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0B2384">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0B2384">
      <w:pPr>
        <w:wordWrap w:val="0"/>
        <w:jc w:val="right"/>
        <w:rPr>
          <w:rFonts w:eastAsia="楷体_GB2312" w:hint="eastAsia"/>
          <w:b/>
          <w:bCs/>
          <w:sz w:val="30"/>
        </w:rPr>
      </w:pPr>
      <w:r>
        <w:rPr>
          <w:rFonts w:eastAsia="楷体_GB2312"/>
          <w:b/>
          <w:bCs/>
          <w:sz w:val="30"/>
        </w:rPr>
        <w:t xml:space="preserve">   </w:t>
      </w:r>
      <w:r>
        <w:rPr>
          <w:rStyle w:val="font21"/>
          <w:b/>
          <w:bCs/>
          <w:szCs w:val="30"/>
        </w:rPr>
        <w:t>12500382MB0L43392G</w:t>
      </w:r>
      <w:r>
        <w:rPr>
          <w:rFonts w:eastAsia="楷体_GB2312"/>
          <w:b/>
          <w:bCs/>
          <w:sz w:val="30"/>
        </w:rPr>
        <w:t xml:space="preserve">   </w:t>
      </w:r>
    </w:p>
    <w:p w:rsidR="00000000" w:rsidRDefault="000B2384">
      <w:pPr>
        <w:jc w:val="right"/>
      </w:pPr>
    </w:p>
    <w:p w:rsidR="00000000" w:rsidRDefault="000B2384">
      <w:pPr>
        <w:jc w:val="right"/>
      </w:pPr>
    </w:p>
    <w:p w:rsidR="00000000" w:rsidRDefault="000B2384">
      <w:pPr>
        <w:jc w:val="right"/>
      </w:pPr>
    </w:p>
    <w:p w:rsidR="00000000" w:rsidRDefault="000B2384">
      <w:pPr>
        <w:jc w:val="right"/>
      </w:pPr>
    </w:p>
    <w:p w:rsidR="00000000" w:rsidRDefault="000B2384">
      <w:pPr>
        <w:jc w:val="right"/>
      </w:pPr>
    </w:p>
    <w:p w:rsidR="00000000" w:rsidRDefault="000B2384">
      <w:pPr>
        <w:jc w:val="center"/>
        <w:rPr>
          <w:rFonts w:eastAsia="黑体"/>
          <w:b/>
          <w:bCs/>
          <w:spacing w:val="40"/>
          <w:sz w:val="52"/>
        </w:rPr>
      </w:pPr>
      <w:r>
        <w:rPr>
          <w:rFonts w:eastAsia="黑体" w:hAnsi="黑体" w:hint="eastAsia"/>
          <w:b/>
          <w:bCs/>
          <w:spacing w:val="40"/>
          <w:sz w:val="52"/>
        </w:rPr>
        <w:t>事业单位法人年度报告书</w:t>
      </w:r>
    </w:p>
    <w:p w:rsidR="00000000" w:rsidRDefault="000B2384">
      <w:pPr>
        <w:jc w:val="center"/>
        <w:rPr>
          <w:rFonts w:eastAsia="黑体"/>
          <w:b/>
          <w:bCs/>
          <w:spacing w:val="30"/>
        </w:rPr>
      </w:pPr>
    </w:p>
    <w:p w:rsidR="00000000" w:rsidRDefault="000B2384">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2022</w:t>
      </w:r>
      <w:r>
        <w:rPr>
          <w:rFonts w:eastAsia="楷体_GB2312"/>
          <w:b/>
          <w:bCs/>
          <w:spacing w:val="30"/>
          <w:sz w:val="36"/>
        </w:rPr>
        <w:t xml:space="preserve">  </w:t>
      </w:r>
      <w:r>
        <w:rPr>
          <w:rFonts w:eastAsia="楷体_GB2312" w:hint="eastAsia"/>
          <w:b/>
          <w:bCs/>
          <w:spacing w:val="30"/>
          <w:sz w:val="36"/>
        </w:rPr>
        <w:t>年度）</w:t>
      </w:r>
    </w:p>
    <w:p w:rsidR="00000000" w:rsidRDefault="000B2384">
      <w:pPr>
        <w:jc w:val="center"/>
        <w:rPr>
          <w:sz w:val="36"/>
        </w:rPr>
      </w:pPr>
    </w:p>
    <w:p w:rsidR="00000000" w:rsidRDefault="000B2384">
      <w:pPr>
        <w:jc w:val="center"/>
        <w:rPr>
          <w:sz w:val="36"/>
        </w:rPr>
      </w:pPr>
    </w:p>
    <w:p w:rsidR="00000000" w:rsidRDefault="000B2384">
      <w:pPr>
        <w:jc w:val="center"/>
        <w:rPr>
          <w:sz w:val="36"/>
        </w:rPr>
      </w:pPr>
    </w:p>
    <w:p w:rsidR="00000000" w:rsidRDefault="000B2384">
      <w:pPr>
        <w:jc w:val="center"/>
        <w:rPr>
          <w:sz w:val="36"/>
        </w:rPr>
      </w:pPr>
    </w:p>
    <w:p w:rsidR="00000000" w:rsidRDefault="000B2384">
      <w:pPr>
        <w:jc w:val="center"/>
        <w:rPr>
          <w:sz w:val="36"/>
        </w:rPr>
      </w:pPr>
    </w:p>
    <w:p w:rsidR="00000000" w:rsidRDefault="000B2384">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0B2384">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0B2384">
            <w:pPr>
              <w:jc w:val="center"/>
              <w:rPr>
                <w:rStyle w:val="font61"/>
                <w:rFonts w:ascii="楷体_GB2312"/>
              </w:rPr>
            </w:pPr>
            <w:r>
              <w:rPr>
                <w:rStyle w:val="font61"/>
                <w:rFonts w:ascii="楷体_GB2312" w:hint="eastAsia"/>
              </w:rPr>
              <w:t>重庆市合川区统战服务中心</w:t>
            </w:r>
          </w:p>
        </w:tc>
      </w:tr>
    </w:tbl>
    <w:p w:rsidR="00000000" w:rsidRDefault="000B2384">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0B2384">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0B2384">
            <w:pPr>
              <w:widowControl/>
              <w:jc w:val="left"/>
              <w:rPr>
                <w:kern w:val="0"/>
                <w:sz w:val="20"/>
                <w:szCs w:val="20"/>
              </w:rPr>
            </w:pPr>
          </w:p>
        </w:tc>
      </w:tr>
    </w:tbl>
    <w:p w:rsidR="00000000" w:rsidRDefault="000B2384">
      <w:pPr>
        <w:ind w:firstLineChars="300" w:firstLine="723"/>
        <w:rPr>
          <w:rFonts w:ascii="黑体" w:eastAsia="黑体" w:hAnsi="黑体" w:hint="eastAsia"/>
          <w:b/>
          <w:bCs/>
          <w:sz w:val="24"/>
          <w:u w:val="single"/>
        </w:rPr>
      </w:pPr>
    </w:p>
    <w:p w:rsidR="00000000" w:rsidRDefault="000B2384">
      <w:pPr>
        <w:jc w:val="center"/>
        <w:rPr>
          <w:rFonts w:ascii="黑体" w:eastAsia="黑体" w:hAnsi="黑体" w:hint="eastAsia"/>
          <w:b/>
          <w:bCs/>
          <w:sz w:val="30"/>
          <w:u w:val="single"/>
        </w:rPr>
      </w:pPr>
    </w:p>
    <w:p w:rsidR="00000000" w:rsidRDefault="000B2384">
      <w:pPr>
        <w:jc w:val="center"/>
        <w:rPr>
          <w:rFonts w:ascii="黑体" w:eastAsia="黑体" w:hAnsi="黑体" w:hint="eastAsia"/>
          <w:b/>
          <w:bCs/>
          <w:sz w:val="30"/>
          <w:u w:val="single"/>
        </w:rPr>
      </w:pPr>
    </w:p>
    <w:p w:rsidR="00000000" w:rsidRDefault="000B2384">
      <w:pPr>
        <w:jc w:val="center"/>
        <w:rPr>
          <w:rFonts w:hint="eastAsia"/>
          <w:u w:val="single"/>
        </w:rPr>
      </w:pPr>
    </w:p>
    <w:p w:rsidR="00000000" w:rsidRDefault="000B2384">
      <w:pPr>
        <w:jc w:val="center"/>
        <w:rPr>
          <w:rFonts w:eastAsia="楷体_GB2312"/>
          <w:b/>
          <w:bCs/>
          <w:sz w:val="32"/>
        </w:rPr>
      </w:pPr>
      <w:r>
        <w:rPr>
          <w:rFonts w:eastAsia="楷体_GB2312" w:hint="eastAsia"/>
          <w:b/>
          <w:bCs/>
          <w:sz w:val="32"/>
        </w:rPr>
        <w:t>国家事业单位登记管理局制</w:t>
      </w:r>
    </w:p>
    <w:p w:rsidR="00000000" w:rsidRDefault="000B2384">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0B2384">
            <w:pPr>
              <w:jc w:val="center"/>
              <w:rPr>
                <w:rFonts w:eastAsia="楷体_GB2312"/>
                <w:b/>
                <w:bCs/>
                <w:sz w:val="32"/>
              </w:rPr>
            </w:pPr>
            <w:r>
              <w:rPr>
                <w:rFonts w:eastAsia="楷体_GB2312" w:hint="eastAsia"/>
                <w:b/>
                <w:bCs/>
                <w:sz w:val="32"/>
              </w:rPr>
              <w:lastRenderedPageBreak/>
              <w:t>《事业</w:t>
            </w:r>
          </w:p>
          <w:p w:rsidR="00000000" w:rsidRDefault="000B2384">
            <w:pPr>
              <w:jc w:val="center"/>
              <w:rPr>
                <w:rFonts w:eastAsia="楷体_GB2312"/>
                <w:b/>
                <w:bCs/>
                <w:sz w:val="32"/>
              </w:rPr>
            </w:pPr>
            <w:r>
              <w:rPr>
                <w:rFonts w:eastAsia="楷体_GB2312" w:hint="eastAsia"/>
                <w:b/>
                <w:bCs/>
                <w:sz w:val="32"/>
              </w:rPr>
              <w:t>单位</w:t>
            </w:r>
          </w:p>
          <w:p w:rsidR="00000000" w:rsidRDefault="000B2384">
            <w:pPr>
              <w:jc w:val="center"/>
              <w:rPr>
                <w:rFonts w:eastAsia="楷体_GB2312"/>
                <w:b/>
                <w:bCs/>
                <w:sz w:val="32"/>
              </w:rPr>
            </w:pPr>
            <w:r>
              <w:rPr>
                <w:rFonts w:eastAsia="楷体_GB2312" w:hint="eastAsia"/>
                <w:b/>
                <w:bCs/>
                <w:sz w:val="32"/>
              </w:rPr>
              <w:t>法人</w:t>
            </w:r>
          </w:p>
          <w:p w:rsidR="00000000" w:rsidRDefault="000B2384">
            <w:pPr>
              <w:jc w:val="center"/>
              <w:rPr>
                <w:rFonts w:eastAsia="楷体_GB2312"/>
                <w:b/>
                <w:bCs/>
                <w:sz w:val="32"/>
              </w:rPr>
            </w:pPr>
            <w:r>
              <w:rPr>
                <w:rFonts w:eastAsia="楷体_GB2312" w:hint="eastAsia"/>
                <w:b/>
                <w:bCs/>
                <w:sz w:val="32"/>
              </w:rPr>
              <w:t>证书》</w:t>
            </w:r>
          </w:p>
          <w:p w:rsidR="00000000" w:rsidRDefault="000B2384">
            <w:pPr>
              <w:jc w:val="center"/>
              <w:rPr>
                <w:rFonts w:eastAsia="楷体_GB2312"/>
                <w:b/>
                <w:bCs/>
                <w:sz w:val="32"/>
              </w:rPr>
            </w:pPr>
            <w:r>
              <w:rPr>
                <w:rFonts w:eastAsia="楷体_GB2312" w:hint="eastAsia"/>
                <w:b/>
                <w:bCs/>
                <w:sz w:val="32"/>
              </w:rPr>
              <w:t>登载</w:t>
            </w:r>
          </w:p>
          <w:p w:rsidR="00000000" w:rsidRDefault="000B2384">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0B2384">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0B2384">
            <w:pPr>
              <w:spacing w:line="320" w:lineRule="exact"/>
              <w:jc w:val="left"/>
              <w:rPr>
                <w:rStyle w:val="font71"/>
                <w:rFonts w:ascii="楷体_GB2312"/>
                <w:szCs w:val="28"/>
              </w:rPr>
            </w:pPr>
            <w:r>
              <w:rPr>
                <w:rStyle w:val="font71"/>
                <w:rFonts w:ascii="楷体_GB2312" w:hint="eastAsia"/>
                <w:szCs w:val="28"/>
              </w:rPr>
              <w:t>重庆市合川区统战服务中心</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B2384">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B2384">
            <w:pPr>
              <w:jc w:val="center"/>
              <w:rPr>
                <w:rFonts w:eastAsia="楷体_GB2312"/>
                <w:b/>
                <w:bCs/>
                <w:sz w:val="32"/>
              </w:rPr>
            </w:pPr>
            <w:r>
              <w:rPr>
                <w:rFonts w:eastAsia="楷体_GB2312" w:hint="eastAsia"/>
                <w:b/>
                <w:bCs/>
                <w:sz w:val="32"/>
              </w:rPr>
              <w:t>宗旨和</w:t>
            </w:r>
          </w:p>
          <w:p w:rsidR="00000000" w:rsidRDefault="000B2384">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0B2384">
            <w:pPr>
              <w:jc w:val="left"/>
              <w:rPr>
                <w:rStyle w:val="font71"/>
                <w:rFonts w:ascii="楷体_GB2312"/>
                <w:szCs w:val="28"/>
              </w:rPr>
            </w:pPr>
            <w:r>
              <w:rPr>
                <w:rStyle w:val="font71"/>
                <w:rFonts w:ascii="楷体_GB2312" w:hint="eastAsia"/>
                <w:szCs w:val="28"/>
              </w:rPr>
              <w:t>为全区统战事业提供服务</w:t>
            </w:r>
            <w:r>
              <w:rPr>
                <w:rStyle w:val="font71"/>
                <w:rFonts w:ascii="楷体_GB2312" w:hint="eastAsia"/>
                <w:szCs w:val="28"/>
              </w:rPr>
              <w:t xml:space="preserve"> </w:t>
            </w:r>
            <w:r>
              <w:rPr>
                <w:rStyle w:val="font71"/>
                <w:rFonts w:ascii="楷体_GB2312" w:hint="eastAsia"/>
                <w:szCs w:val="28"/>
              </w:rPr>
              <w:t>负责党派、民族、宗教、民营经济、侨台、知联会等协助工作。</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B2384">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B2384">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0B2384">
            <w:pPr>
              <w:jc w:val="left"/>
            </w:pPr>
            <w:r>
              <w:rPr>
                <w:rStyle w:val="font71"/>
                <w:rFonts w:ascii="楷体_GB2312" w:hint="eastAsia"/>
                <w:szCs w:val="28"/>
              </w:rPr>
              <w:t>重庆市合川区希尔安大道</w:t>
            </w:r>
            <w:r>
              <w:rPr>
                <w:rStyle w:val="font71"/>
                <w:rFonts w:ascii="楷体_GB2312" w:hint="eastAsia"/>
                <w:szCs w:val="28"/>
              </w:rPr>
              <w:t>222</w:t>
            </w:r>
            <w:r>
              <w:rPr>
                <w:rStyle w:val="font71"/>
                <w:rFonts w:ascii="楷体_GB2312" w:hint="eastAsia"/>
                <w:szCs w:val="28"/>
              </w:rPr>
              <w:t>号</w:t>
            </w:r>
            <w:r>
              <w:rPr>
                <w:rStyle w:val="font71"/>
                <w:rFonts w:ascii="楷体_GB2312" w:hint="eastAsia"/>
                <w:szCs w:val="28"/>
              </w:rPr>
              <w:t>11</w:t>
            </w:r>
            <w:r>
              <w:rPr>
                <w:rStyle w:val="font71"/>
                <w:rFonts w:ascii="楷体_GB2312" w:hint="eastAsia"/>
                <w:szCs w:val="28"/>
              </w:rPr>
              <w:t>楼</w:t>
            </w:r>
            <w:r>
              <w:rPr>
                <w:rStyle w:val="font71"/>
                <w:rFonts w:ascii="楷体_GB2312" w:hint="eastAsia"/>
                <w:szCs w:val="28"/>
              </w:rPr>
              <w:t>1121</w:t>
            </w:r>
            <w:r>
              <w:rPr>
                <w:rStyle w:val="font71"/>
                <w:rFonts w:ascii="楷体_GB2312" w:hint="eastAsia"/>
                <w:szCs w:val="28"/>
              </w:rPr>
              <w:t>室</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B2384">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B2384">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0B2384">
            <w:pPr>
              <w:jc w:val="left"/>
            </w:pPr>
            <w:r>
              <w:rPr>
                <w:rStyle w:val="font71"/>
                <w:rFonts w:ascii="楷体_GB2312" w:hint="eastAsia"/>
                <w:szCs w:val="28"/>
              </w:rPr>
              <w:t>周旋</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B2384">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B2384">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0B2384">
            <w:pPr>
              <w:jc w:val="left"/>
              <w:rPr>
                <w:rStyle w:val="font71"/>
                <w:rFonts w:ascii="楷体_GB2312"/>
                <w:szCs w:val="28"/>
              </w:rPr>
            </w:pPr>
            <w:r>
              <w:rPr>
                <w:rStyle w:val="font71"/>
                <w:rFonts w:ascii="楷体_GB2312" w:hint="eastAsia"/>
                <w:szCs w:val="28"/>
              </w:rPr>
              <w:t>1</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B2384">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B2384">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0B2384">
            <w:pPr>
              <w:jc w:val="left"/>
              <w:rPr>
                <w:rStyle w:val="font61"/>
                <w:szCs w:val="32"/>
              </w:rPr>
            </w:pPr>
            <w:r>
              <w:rPr>
                <w:rStyle w:val="font71"/>
                <w:rFonts w:ascii="楷体_GB2312" w:hint="eastAsia"/>
                <w:szCs w:val="28"/>
              </w:rPr>
              <w:t>非财政补助（全额拨款）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B2384">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B2384">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0B2384">
            <w:pPr>
              <w:jc w:val="left"/>
            </w:pPr>
            <w:r>
              <w:rPr>
                <w:rStyle w:val="font71"/>
                <w:rFonts w:ascii="楷体_GB2312" w:hint="eastAsia"/>
                <w:szCs w:val="28"/>
              </w:rPr>
              <w:t>中国共产党重庆市合川区委员会统一战线工作部</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0B2384">
            <w:pPr>
              <w:widowControl/>
              <w:jc w:val="center"/>
              <w:rPr>
                <w:rFonts w:eastAsia="楷体_GB2312"/>
                <w:b/>
                <w:sz w:val="32"/>
              </w:rPr>
            </w:pPr>
            <w:r>
              <w:rPr>
                <w:rFonts w:eastAsia="楷体_GB2312" w:hint="eastAsia"/>
                <w:b/>
                <w:sz w:val="32"/>
              </w:rPr>
              <w:t>资产</w:t>
            </w:r>
          </w:p>
          <w:p w:rsidR="00000000" w:rsidRDefault="000B2384">
            <w:pPr>
              <w:widowControl/>
              <w:jc w:val="center"/>
              <w:rPr>
                <w:rFonts w:eastAsia="楷体_GB2312"/>
                <w:b/>
                <w:sz w:val="32"/>
              </w:rPr>
            </w:pPr>
            <w:r>
              <w:rPr>
                <w:rFonts w:eastAsia="楷体_GB2312" w:hint="eastAsia"/>
                <w:b/>
                <w:sz w:val="32"/>
              </w:rPr>
              <w:t>损益</w:t>
            </w:r>
          </w:p>
          <w:p w:rsidR="00000000" w:rsidRDefault="000B2384">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0B2384">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0B2384">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0B2384">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0B2384">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0B2384">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0B2384">
            <w:pPr>
              <w:jc w:val="center"/>
              <w:rPr>
                <w:rStyle w:val="font61"/>
              </w:rPr>
            </w:pPr>
            <w:r>
              <w:rPr>
                <w:rStyle w:val="font61"/>
              </w:rPr>
              <w:t>1</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0B2384">
            <w:pPr>
              <w:jc w:val="center"/>
            </w:pPr>
            <w:r>
              <w:rPr>
                <w:rStyle w:val="font71"/>
                <w:sz w:val="32"/>
                <w:szCs w:val="32"/>
              </w:rPr>
              <w:t>.668</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0B2384">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0B2384">
            <w:pPr>
              <w:spacing w:line="0" w:lineRule="atLeast"/>
              <w:jc w:val="left"/>
              <w:rPr>
                <w:rFonts w:ascii="楷体_GB2312" w:eastAsia="楷体_GB2312"/>
                <w:sz w:val="32"/>
              </w:rPr>
            </w:pPr>
            <w:r>
              <w:rPr>
                <w:rFonts w:ascii="楷体_GB2312" w:eastAsia="楷体_GB2312" w:hint="eastAsia"/>
                <w:b/>
                <w:bCs/>
                <w:sz w:val="32"/>
              </w:rPr>
              <w:t>无</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0B2384">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0B2384">
            <w:pPr>
              <w:spacing w:line="0" w:lineRule="atLeast"/>
              <w:jc w:val="left"/>
              <w:rPr>
                <w:rFonts w:ascii="楷体_GB2312" w:eastAsia="楷体_GB2312"/>
                <w:sz w:val="32"/>
              </w:rPr>
            </w:pPr>
            <w:r>
              <w:rPr>
                <w:rStyle w:val="font61"/>
              </w:rPr>
              <w:t>5</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0B2384">
            <w:pPr>
              <w:jc w:val="center"/>
              <w:rPr>
                <w:rFonts w:eastAsia="楷体_GB2312"/>
                <w:b/>
                <w:bCs/>
                <w:sz w:val="32"/>
              </w:rPr>
            </w:pPr>
            <w:r>
              <w:rPr>
                <w:rFonts w:eastAsia="楷体_GB2312" w:hint="eastAsia"/>
                <w:b/>
                <w:bCs/>
                <w:sz w:val="32"/>
              </w:rPr>
              <w:t>对《条</w:t>
            </w:r>
          </w:p>
          <w:p w:rsidR="00000000" w:rsidRDefault="000B2384">
            <w:pPr>
              <w:jc w:val="center"/>
              <w:rPr>
                <w:rFonts w:eastAsia="楷体_GB2312"/>
                <w:b/>
                <w:bCs/>
                <w:sz w:val="32"/>
              </w:rPr>
            </w:pPr>
            <w:r>
              <w:rPr>
                <w:rFonts w:eastAsia="楷体_GB2312" w:hint="eastAsia"/>
                <w:b/>
                <w:bCs/>
                <w:sz w:val="32"/>
              </w:rPr>
              <w:t>例》和</w:t>
            </w:r>
          </w:p>
          <w:p w:rsidR="00000000" w:rsidRDefault="000B2384">
            <w:pPr>
              <w:jc w:val="center"/>
              <w:rPr>
                <w:rFonts w:eastAsia="楷体_GB2312"/>
                <w:b/>
                <w:bCs/>
                <w:sz w:val="32"/>
              </w:rPr>
            </w:pPr>
            <w:r>
              <w:rPr>
                <w:rFonts w:eastAsia="楷体_GB2312" w:hint="eastAsia"/>
                <w:b/>
                <w:bCs/>
                <w:sz w:val="32"/>
              </w:rPr>
              <w:t>实施细</w:t>
            </w:r>
          </w:p>
          <w:p w:rsidR="00000000" w:rsidRDefault="000B2384">
            <w:pPr>
              <w:jc w:val="center"/>
              <w:rPr>
                <w:rFonts w:eastAsia="楷体_GB2312"/>
                <w:b/>
                <w:bCs/>
                <w:sz w:val="32"/>
              </w:rPr>
            </w:pPr>
            <w:r>
              <w:rPr>
                <w:rFonts w:eastAsia="楷体_GB2312" w:hint="eastAsia"/>
                <w:b/>
                <w:bCs/>
                <w:sz w:val="32"/>
              </w:rPr>
              <w:t>则有关</w:t>
            </w:r>
          </w:p>
          <w:p w:rsidR="00000000" w:rsidRDefault="000B2384">
            <w:pPr>
              <w:jc w:val="center"/>
              <w:rPr>
                <w:rFonts w:eastAsia="楷体_GB2312"/>
                <w:b/>
                <w:bCs/>
                <w:sz w:val="32"/>
              </w:rPr>
            </w:pPr>
            <w:r>
              <w:rPr>
                <w:rFonts w:eastAsia="楷体_GB2312" w:hint="eastAsia"/>
                <w:b/>
                <w:bCs/>
                <w:sz w:val="32"/>
              </w:rPr>
              <w:t>变更登</w:t>
            </w:r>
          </w:p>
          <w:p w:rsidR="00000000" w:rsidRDefault="000B2384">
            <w:pPr>
              <w:jc w:val="center"/>
              <w:rPr>
                <w:rFonts w:eastAsia="楷体_GB2312"/>
                <w:b/>
                <w:bCs/>
                <w:sz w:val="32"/>
              </w:rPr>
            </w:pPr>
            <w:r>
              <w:rPr>
                <w:rFonts w:eastAsia="楷体_GB2312" w:hint="eastAsia"/>
                <w:b/>
                <w:bCs/>
                <w:sz w:val="32"/>
              </w:rPr>
              <w:t>记规定</w:t>
            </w:r>
          </w:p>
          <w:p w:rsidR="00000000" w:rsidRDefault="000B2384">
            <w:pPr>
              <w:jc w:val="center"/>
              <w:rPr>
                <w:rFonts w:eastAsia="楷体_GB2312"/>
                <w:b/>
                <w:bCs/>
                <w:sz w:val="32"/>
              </w:rPr>
            </w:pPr>
            <w:r>
              <w:rPr>
                <w:rFonts w:eastAsia="楷体_GB2312" w:hint="eastAsia"/>
                <w:b/>
                <w:bCs/>
                <w:sz w:val="32"/>
              </w:rPr>
              <w:t>的执行</w:t>
            </w:r>
          </w:p>
          <w:p w:rsidR="00000000" w:rsidRDefault="000B2384">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0B2384">
            <w:pPr>
              <w:spacing w:line="320" w:lineRule="exact"/>
              <w:rPr>
                <w:rStyle w:val="font71"/>
                <w:rFonts w:ascii="楷体_GB2312"/>
                <w:szCs w:val="28"/>
              </w:rPr>
            </w:pPr>
            <w:r>
              <w:rPr>
                <w:rStyle w:val="font71"/>
                <w:rFonts w:ascii="楷体_GB2312" w:hint="eastAsia"/>
                <w:szCs w:val="28"/>
              </w:rPr>
              <w:t>严格遵守《条例》和实施细则进行有关变更登记：</w:t>
            </w:r>
            <w:r>
              <w:rPr>
                <w:rStyle w:val="font71"/>
                <w:rFonts w:ascii="楷体_GB2312" w:hint="eastAsia"/>
                <w:szCs w:val="28"/>
              </w:rPr>
              <w:t xml:space="preserve"> 2019</w:t>
            </w:r>
            <w:r>
              <w:rPr>
                <w:rStyle w:val="font71"/>
                <w:rFonts w:ascii="楷体_GB2312" w:hint="eastAsia"/>
                <w:szCs w:val="28"/>
              </w:rPr>
              <w:t>年</w:t>
            </w:r>
            <w:r>
              <w:rPr>
                <w:rStyle w:val="font71"/>
                <w:rFonts w:ascii="楷体_GB2312" w:hint="eastAsia"/>
                <w:szCs w:val="28"/>
              </w:rPr>
              <w:t>12</w:t>
            </w:r>
            <w:r>
              <w:rPr>
                <w:rStyle w:val="font71"/>
                <w:rFonts w:ascii="楷体_GB2312" w:hint="eastAsia"/>
                <w:szCs w:val="28"/>
              </w:rPr>
              <w:t>月</w:t>
            </w:r>
            <w:r>
              <w:rPr>
                <w:rStyle w:val="font71"/>
                <w:rFonts w:ascii="楷体_GB2312" w:hint="eastAsia"/>
                <w:szCs w:val="28"/>
              </w:rPr>
              <w:t>02</w:t>
            </w:r>
            <w:r>
              <w:rPr>
                <w:rStyle w:val="font71"/>
                <w:rFonts w:ascii="楷体_GB2312" w:hint="eastAsia"/>
                <w:szCs w:val="28"/>
              </w:rPr>
              <w:t>日由重庆市合川区民族宗教事务服务中心更名为重庆市合川区统战服务中心。</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0B2384">
            <w:pPr>
              <w:jc w:val="center"/>
              <w:rPr>
                <w:rFonts w:eastAsia="楷体_GB2312"/>
                <w:b/>
                <w:bCs/>
                <w:sz w:val="32"/>
              </w:rPr>
            </w:pPr>
            <w:r>
              <w:rPr>
                <w:rFonts w:eastAsia="楷体_GB2312" w:hint="eastAsia"/>
                <w:b/>
                <w:bCs/>
                <w:sz w:val="32"/>
              </w:rPr>
              <w:t>开</w:t>
            </w:r>
          </w:p>
          <w:p w:rsidR="00000000" w:rsidRDefault="000B2384">
            <w:pPr>
              <w:jc w:val="center"/>
              <w:rPr>
                <w:rFonts w:eastAsia="楷体_GB2312"/>
                <w:b/>
                <w:bCs/>
                <w:sz w:val="32"/>
              </w:rPr>
            </w:pPr>
            <w:r>
              <w:rPr>
                <w:rFonts w:eastAsia="楷体_GB2312" w:hint="eastAsia"/>
                <w:b/>
                <w:bCs/>
                <w:sz w:val="32"/>
              </w:rPr>
              <w:t>展</w:t>
            </w:r>
          </w:p>
          <w:p w:rsidR="00000000" w:rsidRDefault="000B2384">
            <w:pPr>
              <w:jc w:val="center"/>
              <w:rPr>
                <w:rFonts w:eastAsia="楷体_GB2312"/>
                <w:b/>
                <w:bCs/>
                <w:sz w:val="32"/>
              </w:rPr>
            </w:pPr>
            <w:r>
              <w:rPr>
                <w:rFonts w:eastAsia="楷体_GB2312" w:hint="eastAsia"/>
                <w:b/>
                <w:bCs/>
                <w:sz w:val="32"/>
              </w:rPr>
              <w:t>业</w:t>
            </w:r>
          </w:p>
          <w:p w:rsidR="00000000" w:rsidRDefault="000B2384">
            <w:pPr>
              <w:jc w:val="center"/>
              <w:rPr>
                <w:rFonts w:eastAsia="楷体_GB2312"/>
                <w:b/>
                <w:bCs/>
                <w:sz w:val="32"/>
              </w:rPr>
            </w:pPr>
            <w:r>
              <w:rPr>
                <w:rFonts w:eastAsia="楷体_GB2312" w:hint="eastAsia"/>
                <w:b/>
                <w:bCs/>
                <w:sz w:val="32"/>
              </w:rPr>
              <w:t>务</w:t>
            </w:r>
          </w:p>
          <w:p w:rsidR="00000000" w:rsidRDefault="000B2384">
            <w:pPr>
              <w:jc w:val="center"/>
              <w:rPr>
                <w:rFonts w:eastAsia="楷体_GB2312"/>
                <w:b/>
                <w:bCs/>
                <w:sz w:val="32"/>
              </w:rPr>
            </w:pPr>
            <w:r>
              <w:rPr>
                <w:rFonts w:eastAsia="楷体_GB2312" w:hint="eastAsia"/>
                <w:b/>
                <w:bCs/>
                <w:sz w:val="32"/>
              </w:rPr>
              <w:t>活</w:t>
            </w:r>
          </w:p>
          <w:p w:rsidR="00000000" w:rsidRDefault="000B2384">
            <w:pPr>
              <w:jc w:val="center"/>
              <w:rPr>
                <w:rFonts w:eastAsia="楷体_GB2312"/>
                <w:b/>
                <w:bCs/>
                <w:sz w:val="32"/>
              </w:rPr>
            </w:pPr>
            <w:r>
              <w:rPr>
                <w:rFonts w:eastAsia="楷体_GB2312" w:hint="eastAsia"/>
                <w:b/>
                <w:bCs/>
                <w:sz w:val="32"/>
              </w:rPr>
              <w:t>动</w:t>
            </w:r>
          </w:p>
          <w:p w:rsidR="00000000" w:rsidRDefault="000B2384">
            <w:pPr>
              <w:jc w:val="center"/>
              <w:rPr>
                <w:rFonts w:eastAsia="楷体_GB2312"/>
                <w:b/>
                <w:bCs/>
                <w:sz w:val="32"/>
              </w:rPr>
            </w:pPr>
            <w:r>
              <w:rPr>
                <w:rFonts w:eastAsia="楷体_GB2312" w:hint="eastAsia"/>
                <w:b/>
                <w:bCs/>
                <w:sz w:val="32"/>
              </w:rPr>
              <w:t>情</w:t>
            </w:r>
          </w:p>
          <w:p w:rsidR="00000000" w:rsidRDefault="000B2384">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0B2384">
            <w:pPr>
              <w:autoSpaceDE w:val="0"/>
              <w:autoSpaceDN w:val="0"/>
              <w:adjustRightInd w:val="0"/>
              <w:snapToGrid w:val="0"/>
              <w:spacing w:line="360" w:lineRule="auto"/>
              <w:rPr>
                <w:rStyle w:val="font71"/>
                <w:rFonts w:ascii="楷体_GB2312"/>
              </w:rPr>
            </w:pPr>
            <w:r>
              <w:rPr>
                <w:rStyle w:val="font71"/>
                <w:rFonts w:ascii="楷体_GB2312" w:hint="eastAsia"/>
              </w:rPr>
              <w:t>2022</w:t>
            </w:r>
            <w:r>
              <w:rPr>
                <w:rStyle w:val="font71"/>
                <w:rFonts w:ascii="楷体_GB2312" w:hint="eastAsia"/>
              </w:rPr>
              <w:t>年度重庆市合川区统战服务中心在区委统战部的领导下开展了一系列工作，取得了一定成绩。协助统战部机关相关科室发现、培养党外代表人士，联系全区各民主党派，做好支持民主党派履行职责、发挥作用的工作；贯彻执行党的民族、宗教工作方针政策，协调处理民族工作相关问题，维护促进全区民族团结进步事业；落实宗教工作政策措施，引导区内宗教团体坚持中国化方向、巩固和发展宗教界的爱国统一战线；为民营经济发展营造良好的营商环境，做好新的社会阶层人士统战工作。协助处理全区侨台事务，做好侨台同胞及在合眷属的联系服务工作；支持帮助区知</w:t>
            </w:r>
            <w:r>
              <w:rPr>
                <w:rStyle w:val="font71"/>
                <w:rFonts w:ascii="楷体_GB2312" w:hint="eastAsia"/>
              </w:rPr>
              <w:t>联会、区新专联、区中华职教社、区欧美同学会开展活动、发挥作用；协助我区承担的“党外代表人士实践锻炼基地”“外派教师基地”“海峡两岸交流基地”“新的社会阶层人士统战工作实践创新示范点”等市级基地建设任务。下一年，我服务中心将继续努力，争取更大的成绩。</w:t>
            </w:r>
            <w:r>
              <w:rPr>
                <w:rStyle w:val="font71"/>
                <w:rFonts w:ascii="楷体_GB2312" w:hint="eastAsia"/>
              </w:rPr>
              <w:t xml:space="preserve"> </w:t>
            </w:r>
          </w:p>
          <w:p w:rsidR="00000000" w:rsidRDefault="000B2384">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0B2384">
            <w:pPr>
              <w:rPr>
                <w:rFonts w:eastAsia="楷体_GB2312"/>
                <w:b/>
                <w:bCs/>
                <w:sz w:val="32"/>
              </w:rPr>
            </w:pPr>
            <w:r>
              <w:rPr>
                <w:rFonts w:eastAsia="楷体_GB2312" w:hint="eastAsia"/>
                <w:b/>
                <w:bCs/>
                <w:sz w:val="32"/>
              </w:rPr>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0B2384">
            <w:pPr>
              <w:spacing w:line="320" w:lineRule="exact"/>
              <w:rPr>
                <w:rStyle w:val="font71"/>
                <w:rFonts w:ascii="楷体_GB2312"/>
                <w:szCs w:val="28"/>
              </w:rPr>
            </w:pPr>
            <w:r>
              <w:rPr>
                <w:rStyle w:val="font71"/>
                <w:rFonts w:ascii="楷体_GB2312" w:hint="eastAsia"/>
              </w:rPr>
              <w:t>事业单位法人证书</w:t>
            </w:r>
            <w:r>
              <w:rPr>
                <w:rStyle w:val="font71"/>
                <w:rFonts w:ascii="楷体_GB2312" w:hint="eastAsia"/>
              </w:rPr>
              <w:t xml:space="preserve"> </w:t>
            </w:r>
            <w:r>
              <w:rPr>
                <w:rStyle w:val="font71"/>
                <w:rFonts w:ascii="楷体_GB2312" w:hint="eastAsia"/>
              </w:rPr>
              <w:t>有效期：</w:t>
            </w:r>
            <w:r>
              <w:rPr>
                <w:rStyle w:val="font71"/>
                <w:rFonts w:ascii="楷体_GB2312" w:hint="eastAsia"/>
              </w:rPr>
              <w:t>2019</w:t>
            </w:r>
            <w:r>
              <w:rPr>
                <w:rStyle w:val="font71"/>
                <w:rFonts w:ascii="楷体_GB2312" w:hint="eastAsia"/>
              </w:rPr>
              <w:t>年</w:t>
            </w:r>
            <w:r>
              <w:rPr>
                <w:rStyle w:val="font71"/>
                <w:rFonts w:ascii="楷体_GB2312" w:hint="eastAsia"/>
              </w:rPr>
              <w:t>12</w:t>
            </w:r>
            <w:r>
              <w:rPr>
                <w:rStyle w:val="font71"/>
                <w:rFonts w:ascii="楷体_GB2312" w:hint="eastAsia"/>
              </w:rPr>
              <w:t>月</w:t>
            </w:r>
            <w:r>
              <w:rPr>
                <w:rStyle w:val="font71"/>
                <w:rFonts w:ascii="楷体_GB2312" w:hint="eastAsia"/>
              </w:rPr>
              <w:t>02</w:t>
            </w:r>
            <w:r>
              <w:rPr>
                <w:rStyle w:val="font71"/>
                <w:rFonts w:ascii="楷体_GB2312" w:hint="eastAsia"/>
              </w:rPr>
              <w:t>日至</w:t>
            </w:r>
            <w:r>
              <w:rPr>
                <w:rStyle w:val="font71"/>
                <w:rFonts w:ascii="楷体_GB2312" w:hint="eastAsia"/>
              </w:rPr>
              <w:t>2024</w:t>
            </w:r>
            <w:r>
              <w:rPr>
                <w:rStyle w:val="font71"/>
                <w:rFonts w:ascii="楷体_GB2312" w:hint="eastAsia"/>
              </w:rPr>
              <w:t>年</w:t>
            </w:r>
            <w:r>
              <w:rPr>
                <w:rStyle w:val="font71"/>
                <w:rFonts w:ascii="楷体_GB2312" w:hint="eastAsia"/>
              </w:rPr>
              <w:t>12</w:t>
            </w:r>
            <w:r>
              <w:rPr>
                <w:rStyle w:val="font71"/>
                <w:rFonts w:ascii="楷体_GB2312" w:hint="eastAsia"/>
              </w:rPr>
              <w:t>月</w:t>
            </w:r>
            <w:r>
              <w:rPr>
                <w:rStyle w:val="font71"/>
                <w:rFonts w:ascii="楷体_GB2312" w:hint="eastAsia"/>
              </w:rPr>
              <w:t>02</w:t>
            </w:r>
            <w:r>
              <w:rPr>
                <w:rStyle w:val="font71"/>
                <w:rFonts w:ascii="楷体_GB2312" w:hint="eastAsia"/>
              </w:rPr>
              <w:t>日</w:t>
            </w:r>
            <w:r>
              <w:rPr>
                <w:rStyle w:val="font71"/>
                <w:rFonts w:ascii="楷体_GB2312" w:hint="eastAsia"/>
              </w:rPr>
              <w:t xml:space="preserve"> </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0B2384">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0B2384">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0B2384">
            <w:pPr>
              <w:spacing w:line="0" w:lineRule="atLeast"/>
              <w:rPr>
                <w:rFonts w:eastAsia="楷体_GB2312"/>
                <w:b/>
                <w:bCs/>
                <w:sz w:val="32"/>
              </w:rPr>
            </w:pPr>
            <w:r>
              <w:rPr>
                <w:rFonts w:eastAsia="楷体_GB2312" w:hint="eastAsia"/>
                <w:b/>
                <w:bCs/>
                <w:sz w:val="32"/>
              </w:rPr>
              <w:t>接受捐赠</w:t>
            </w:r>
          </w:p>
          <w:p w:rsidR="00000000" w:rsidRDefault="000B2384">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0B2384">
            <w:pPr>
              <w:jc w:val="left"/>
            </w:pPr>
            <w:r>
              <w:rPr>
                <w:rStyle w:val="font71"/>
                <w:rFonts w:ascii="楷体_GB2312" w:hint="eastAsia"/>
                <w:szCs w:val="28"/>
              </w:rPr>
              <w:t>无</w:t>
            </w:r>
          </w:p>
        </w:tc>
      </w:tr>
    </w:tbl>
    <w:p w:rsidR="000B2384" w:rsidRDefault="000B2384" w:rsidP="00D25608">
      <w:pPr>
        <w:jc w:val="left"/>
        <w:rPr>
          <w:rFonts w:ascii="楷体_GB2312" w:eastAsia="楷体_GB2312"/>
          <w:b/>
          <w:bCs/>
          <w:sz w:val="28"/>
          <w:szCs w:val="28"/>
        </w:rPr>
      </w:pPr>
      <w:bookmarkStart w:id="0" w:name="_GoBack"/>
      <w:bookmarkEnd w:id="0"/>
    </w:p>
    <w:sectPr w:rsidR="000B2384">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D25608"/>
    <w:rsid w:val="000B2384"/>
    <w:rsid w:val="00D256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147</Words>
  <Characters>842</Characters>
  <Application>Microsoft Office Word</Application>
  <DocSecurity>0</DocSecurity>
  <Lines>7</Lines>
  <Paragraphs>1</Paragraphs>
  <ScaleCrop>false</ScaleCrop>
  <Company>WwW.YlmF.CoM</Company>
  <LinksUpToDate>false</LinksUpToDate>
  <CharactersWithSpaces>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2023-05-29T07:15:00Z</dcterms:created>
  <dcterms:modified xsi:type="dcterms:W3CDTF">2023-05-29T07:15:00Z</dcterms:modified>
</cp:coreProperties>
</file>