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E6CB1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E6CB1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12500382MB0N07684R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E6CB1">
      <w:pPr>
        <w:jc w:val="right"/>
      </w:pPr>
    </w:p>
    <w:p w:rsidR="00000000" w:rsidRDefault="000E6CB1">
      <w:pPr>
        <w:jc w:val="right"/>
      </w:pPr>
    </w:p>
    <w:p w:rsidR="00000000" w:rsidRDefault="000E6CB1">
      <w:pPr>
        <w:jc w:val="right"/>
      </w:pPr>
    </w:p>
    <w:p w:rsidR="00000000" w:rsidRDefault="000E6CB1">
      <w:pPr>
        <w:jc w:val="right"/>
      </w:pPr>
    </w:p>
    <w:p w:rsidR="00000000" w:rsidRDefault="000E6CB1">
      <w:pPr>
        <w:jc w:val="right"/>
      </w:pPr>
    </w:p>
    <w:p w:rsidR="00000000" w:rsidRDefault="000E6CB1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E6CB1">
      <w:pPr>
        <w:jc w:val="center"/>
        <w:rPr>
          <w:rFonts w:eastAsia="黑体"/>
          <w:b/>
          <w:bCs/>
          <w:spacing w:val="30"/>
        </w:rPr>
      </w:pPr>
    </w:p>
    <w:p w:rsidR="00000000" w:rsidRDefault="000E6CB1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E6CB1">
      <w:pPr>
        <w:jc w:val="center"/>
        <w:rPr>
          <w:sz w:val="36"/>
        </w:rPr>
      </w:pPr>
    </w:p>
    <w:p w:rsidR="00000000" w:rsidRDefault="000E6CB1">
      <w:pPr>
        <w:jc w:val="center"/>
        <w:rPr>
          <w:sz w:val="36"/>
        </w:rPr>
      </w:pPr>
    </w:p>
    <w:p w:rsidR="00000000" w:rsidRDefault="000E6CB1">
      <w:pPr>
        <w:jc w:val="center"/>
        <w:rPr>
          <w:sz w:val="36"/>
        </w:rPr>
      </w:pPr>
    </w:p>
    <w:p w:rsidR="00000000" w:rsidRDefault="000E6CB1">
      <w:pPr>
        <w:jc w:val="center"/>
        <w:rPr>
          <w:sz w:val="36"/>
        </w:rPr>
      </w:pPr>
    </w:p>
    <w:p w:rsidR="00000000" w:rsidRDefault="000E6CB1">
      <w:pPr>
        <w:jc w:val="center"/>
        <w:rPr>
          <w:sz w:val="36"/>
        </w:rPr>
      </w:pPr>
    </w:p>
    <w:p w:rsidR="00000000" w:rsidRDefault="000E6CB1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E6CB1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E6CB1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重庆市合川区官渡敬老院</w:t>
            </w:r>
          </w:p>
        </w:tc>
      </w:tr>
    </w:tbl>
    <w:p w:rsidR="00000000" w:rsidRDefault="000E6CB1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E6CB1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E6C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E6CB1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E6CB1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E6CB1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E6CB1">
      <w:pPr>
        <w:jc w:val="center"/>
        <w:rPr>
          <w:rFonts w:hint="eastAsia"/>
          <w:u w:val="single"/>
        </w:rPr>
      </w:pPr>
    </w:p>
    <w:p w:rsidR="00000000" w:rsidRDefault="000E6CB1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E6CB1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E6CB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E6CB1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重庆市合川区官渡敬老院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  <w:szCs w:val="28"/>
              </w:rPr>
              <w:t>16</w:t>
            </w:r>
            <w:r>
              <w:rPr>
                <w:rStyle w:val="font71"/>
                <w:rFonts w:ascii="楷体_GB2312" w:hint="eastAsia"/>
                <w:szCs w:val="28"/>
              </w:rPr>
              <w:t>周岁的村民提供供养服务。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重庆市合川区官渡镇福龙街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蔡启玲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8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E6CB1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非财政补助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E6CB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重庆市合川区官渡镇人民政府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E6CB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E6CB1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jc w:val="center"/>
            </w:pPr>
            <w:r>
              <w:rPr>
                <w:rStyle w:val="font71"/>
                <w:sz w:val="32"/>
                <w:szCs w:val="32"/>
              </w:rPr>
              <w:t>0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重庆市合川区官渡敬老院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E6CB1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E6CB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无变更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E6C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E6CB1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E6C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合川区电力公司公益爱心捐赠衣物，棉被，社会爱心人士捐赠糖，果，猪肉，慰问金等。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0E6C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05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日，食品经营许可证，</w:t>
            </w:r>
            <w:r>
              <w:rPr>
                <w:rStyle w:val="font71"/>
                <w:rFonts w:ascii="楷体_GB2312" w:hint="eastAsia"/>
              </w:rPr>
              <w:t>2027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E6CB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E6CB1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0E6CB1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E6CB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电力公司捐赠衣物，棉被，毛巾等生活物品用于老人日常生活的换洗，爱心人士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的猪肉用于老人膳食加餐，慰问全抽老人自由支配</w:t>
            </w:r>
          </w:p>
        </w:tc>
      </w:tr>
    </w:tbl>
    <w:p w:rsidR="000E6CB1" w:rsidRPr="00661E34" w:rsidRDefault="000E6CB1" w:rsidP="00661E34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0E6CB1" w:rsidRPr="00661E3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61E34"/>
    <w:rsid w:val="000E6CB1"/>
    <w:rsid w:val="0066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</Words>
  <Characters>549</Characters>
  <Application>Microsoft Office Word</Application>
  <DocSecurity>0</DocSecurity>
  <Lines>4</Lines>
  <Paragraphs>1</Paragraphs>
  <ScaleCrop>false</ScaleCrop>
  <Company>WwW.YlmF.CoM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2023-05-29T07:16:00Z</dcterms:created>
  <dcterms:modified xsi:type="dcterms:W3CDTF">2023-05-29T07:16:00Z</dcterms:modified>
</cp:coreProperties>
</file>