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95624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B95624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12500382MB0R0361XT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B95624">
      <w:pPr>
        <w:jc w:val="right"/>
      </w:pPr>
    </w:p>
    <w:p w:rsidR="00000000" w:rsidRDefault="00B95624">
      <w:pPr>
        <w:jc w:val="right"/>
      </w:pPr>
    </w:p>
    <w:p w:rsidR="00000000" w:rsidRDefault="00B95624">
      <w:pPr>
        <w:jc w:val="right"/>
      </w:pPr>
    </w:p>
    <w:p w:rsidR="00000000" w:rsidRDefault="00B95624">
      <w:pPr>
        <w:jc w:val="right"/>
      </w:pPr>
    </w:p>
    <w:p w:rsidR="00000000" w:rsidRDefault="00B95624">
      <w:pPr>
        <w:jc w:val="right"/>
      </w:pPr>
    </w:p>
    <w:p w:rsidR="00000000" w:rsidRDefault="00B95624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B95624">
      <w:pPr>
        <w:jc w:val="center"/>
        <w:rPr>
          <w:rFonts w:eastAsia="黑体"/>
          <w:b/>
          <w:bCs/>
          <w:spacing w:val="30"/>
        </w:rPr>
      </w:pPr>
    </w:p>
    <w:p w:rsidR="00000000" w:rsidRDefault="00B95624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B95624">
      <w:pPr>
        <w:jc w:val="center"/>
        <w:rPr>
          <w:sz w:val="36"/>
        </w:rPr>
      </w:pPr>
    </w:p>
    <w:p w:rsidR="00000000" w:rsidRDefault="00B95624">
      <w:pPr>
        <w:jc w:val="center"/>
        <w:rPr>
          <w:sz w:val="36"/>
        </w:rPr>
      </w:pPr>
    </w:p>
    <w:p w:rsidR="00000000" w:rsidRDefault="00B95624">
      <w:pPr>
        <w:jc w:val="center"/>
        <w:rPr>
          <w:sz w:val="36"/>
        </w:rPr>
      </w:pPr>
    </w:p>
    <w:p w:rsidR="00000000" w:rsidRDefault="00B95624">
      <w:pPr>
        <w:jc w:val="center"/>
        <w:rPr>
          <w:sz w:val="36"/>
        </w:rPr>
      </w:pPr>
    </w:p>
    <w:p w:rsidR="00000000" w:rsidRDefault="00B95624">
      <w:pPr>
        <w:jc w:val="center"/>
        <w:rPr>
          <w:sz w:val="36"/>
        </w:rPr>
      </w:pPr>
    </w:p>
    <w:p w:rsidR="00000000" w:rsidRDefault="00B95624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B95624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B95624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重庆市合川区香龙敬老院</w:t>
            </w:r>
          </w:p>
        </w:tc>
      </w:tr>
    </w:tbl>
    <w:p w:rsidR="00000000" w:rsidRDefault="00B95624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B95624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B95624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B95624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B95624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B95624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B95624">
      <w:pPr>
        <w:jc w:val="center"/>
        <w:rPr>
          <w:rFonts w:hint="eastAsia"/>
          <w:u w:val="single"/>
        </w:rPr>
      </w:pPr>
    </w:p>
    <w:p w:rsidR="00000000" w:rsidRDefault="00B95624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B95624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B95624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95624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重庆市合川区香龙敬老院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95624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为无劳动能力、无生活来源又无法定赡养义务人，或者其法定赡养义务人无赡养能力的老年、残疾或者未满</w:t>
            </w:r>
            <w:r>
              <w:rPr>
                <w:rStyle w:val="font71"/>
                <w:rFonts w:ascii="楷体_GB2312" w:hint="eastAsia"/>
                <w:szCs w:val="28"/>
              </w:rPr>
              <w:t>16</w:t>
            </w:r>
            <w:r>
              <w:rPr>
                <w:rStyle w:val="font71"/>
                <w:rFonts w:ascii="楷体_GB2312" w:hint="eastAsia"/>
                <w:szCs w:val="28"/>
              </w:rPr>
              <w:t>周岁的村民提供供养服务。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9562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重庆市合川区香龙镇香炉街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9562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李富田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95624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4.8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95624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非财政补助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9562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重庆市合川区香龙镇人民政府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B95624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B95624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750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95624">
            <w:pPr>
              <w:jc w:val="center"/>
            </w:pPr>
            <w:r>
              <w:rPr>
                <w:rStyle w:val="font71"/>
                <w:sz w:val="32"/>
                <w:szCs w:val="32"/>
              </w:rPr>
              <w:t>750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95624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4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B95624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95624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未发生变更。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B956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B95624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B956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一年来，香龙敬老院在镇党委、政府的正确领导和高度重视下，在区民政局的大力支持和关心下，践行以民为本，为民解困，为民服务的宗旨，维护好了老人合法权益，并于今年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月实行了公办民营模式，使全院特困人员的衣、食、住、医得到全面贯彻落实，各项工作走上了规范化、标准化、正常化。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建章立制，进行规范管理。在加大软硬件投入的同时，更加注重制度建设，努力实现人性化管理。一是健全各项规章制度，坚持做到以人为本，以制管院，在广泛征求供养对象基础上，制定了院长责任制、管理人员岗位职责、值班制度、吹事员岗位职责、敬老院老人管理规定、食堂管理制、财务、卫生、医疗等一系列制度，促使各项制度不断健全完善；二是强化院务管理，为确保院内规范有序运作，实行民主管理，挑选有行动能力的老人，成立了财务小组、伙食管理小组、卫生小组、院务管理小组等，负责敬老院日常事务管理和参与重大事项决定，同时负有监督院长及管</w:t>
            </w:r>
            <w:r>
              <w:rPr>
                <w:rStyle w:val="font71"/>
                <w:rFonts w:ascii="楷体_GB2312" w:hint="eastAsia"/>
              </w:rPr>
              <w:t>理人员工作职能，并定期检查各项规章制度落实情况。三是加强服务人员素质教育，坚持把提高服务人员的思想素质和服务能力放在首位，针对院内供养老人热点、难点问题，经常展开讨论，商量对策，在学习探讨中提高服务能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强化服务，营造温馨环境。为改善特困人员生活环境，提高生活质量，我镇敬老院始终把服务工作放在首位。一是加大硬件设施投入。今年为院民购买夏、冬两季全套衣物两套，统一购买更换了新床及床上用品。二是做好环境卫生保洁和美化，栽花种草，定期进行卫生大扫除，院内环境得到进一步整洁和美化。三是竭力服务老人生活起居，千</w:t>
            </w:r>
            <w:r>
              <w:rPr>
                <w:rStyle w:val="font71"/>
                <w:rFonts w:ascii="楷体_GB2312" w:hint="eastAsia"/>
              </w:rPr>
              <w:t>方百计满足老人的愿望，全力做好老人服务工作。根据老人特点，在食谱方面做晕素搭配，对患有疾病老人、残疾老人，专门安排人送饭菜，对生活不能自理的病危老人，不厌其烦，精心伺候。每逢节日，都为老人准备丰盛的菜饭；每逢老人过生，均为每位老人举办生日宴。四是注重老人健康工作，定期开展为老人理发、修剪指甲、换洗衣被、洗浴等服务，还组织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次健康体检，如遇住院还派专人照料。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三、强化管理，保证健康发展。建立特困人员个人资料档案和健康档案，做好特困老人跟踪服务。通过建立、健全和完善工作岗位责任制和落实，大家都基本切实履行好岗位</w:t>
            </w:r>
            <w:r>
              <w:rPr>
                <w:rStyle w:val="font71"/>
                <w:rFonts w:ascii="楷体_GB2312" w:hint="eastAsia"/>
              </w:rPr>
              <w:t>职责，做好具体供养服务工作，值班管理人员每天早、晚按时到供养老人房内巡查老人情况。对行动不便、重病人送医送药到床前，对危险病人及时反映及时送医院医治，使病人尽快得以恢复。膳食管理方面，安排好每星期菜谱，搞好厨房卫生，妥善保管食物，防止病从口入。护理卫生管理方面，保持老人房内清洁，确保房间四季无异味。安全管理方面，长期进行安全知识宣传，规范用电用火，制定了外出请消假制度，院内安装了监控探头。每个职工要根据自己的工作分工、做到各项工作有章可循、程序明确、运转灵活、工作高效，对存在问题能够彻底解决，深受院内特困老</w:t>
            </w:r>
            <w:r>
              <w:rPr>
                <w:rStyle w:val="font71"/>
                <w:rFonts w:ascii="楷体_GB2312" w:hint="eastAsia"/>
              </w:rPr>
              <w:t>人及其亲属的好评。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B956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95624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不涉及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9562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B95624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B95624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B9562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B95624" w:rsidRDefault="00B95624" w:rsidP="00D567E9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B95624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567E9"/>
    <w:rsid w:val="00B95624"/>
    <w:rsid w:val="00D5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250</Words>
  <Characters>1430</Characters>
  <Application>Microsoft Office Word</Application>
  <DocSecurity>0</DocSecurity>
  <Lines>11</Lines>
  <Paragraphs>3</Paragraphs>
  <ScaleCrop>false</ScaleCrop>
  <Company>WwW.YlmF.CoM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2023-05-30T07:30:00Z</dcterms:created>
  <dcterms:modified xsi:type="dcterms:W3CDTF">2023-05-30T07:30:00Z</dcterms:modified>
</cp:coreProperties>
</file>