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4C18D">
      <w:pPr>
        <w:wordWrap w:val="0"/>
        <w:jc w:val="right"/>
        <w:rPr>
          <w:rFonts w:ascii="楷体_GB2312" w:eastAsia="楷体_GB2312"/>
          <w:b/>
          <w:sz w:val="30"/>
        </w:rPr>
      </w:pPr>
      <w:r>
        <w:rPr>
          <w:rFonts w:hint="eastAsia" w:ascii="楷体_GB2312" w:eastAsia="楷体_GB2312"/>
          <w:b/>
          <w:sz w:val="30"/>
        </w:rPr>
        <w:t xml:space="preserve">统一社会信用代码   </w:t>
      </w:r>
    </w:p>
    <w:p w14:paraId="1467B9C2">
      <w:pPr>
        <w:wordWrap w:val="0"/>
        <w:jc w:val="right"/>
        <w:rPr>
          <w:rFonts w:hint="eastAsia" w:eastAsia="楷体_GB2312"/>
          <w:b/>
          <w:bCs/>
          <w:sz w:val="30"/>
        </w:rPr>
      </w:pPr>
      <w:r>
        <w:rPr>
          <w:rFonts w:eastAsia="楷体_GB2312"/>
          <w:b/>
          <w:bCs/>
          <w:sz w:val="30"/>
        </w:rPr>
        <w:t xml:space="preserve">   </w:t>
      </w:r>
      <w:r>
        <w:rPr>
          <w:rStyle w:val="8"/>
          <w:b/>
          <w:bCs/>
          <w:szCs w:val="30"/>
        </w:rPr>
        <w:t>12500382450587224H</w:t>
      </w:r>
      <w:r>
        <w:rPr>
          <w:rFonts w:eastAsia="楷体_GB2312"/>
          <w:b/>
          <w:bCs/>
          <w:sz w:val="30"/>
        </w:rPr>
        <w:t xml:space="preserve">   </w:t>
      </w:r>
    </w:p>
    <w:p w14:paraId="29FE2C72">
      <w:pPr>
        <w:jc w:val="right"/>
      </w:pPr>
    </w:p>
    <w:p w14:paraId="0F10FC68">
      <w:pPr>
        <w:jc w:val="right"/>
      </w:pPr>
    </w:p>
    <w:p w14:paraId="1D705D07">
      <w:pPr>
        <w:jc w:val="right"/>
      </w:pPr>
    </w:p>
    <w:p w14:paraId="11280343">
      <w:pPr>
        <w:jc w:val="right"/>
      </w:pPr>
    </w:p>
    <w:p w14:paraId="2B0A75E1">
      <w:pPr>
        <w:jc w:val="right"/>
      </w:pPr>
    </w:p>
    <w:p w14:paraId="3B9F96EF">
      <w:pPr>
        <w:jc w:val="center"/>
        <w:rPr>
          <w:rFonts w:eastAsia="黑体"/>
          <w:b/>
          <w:bCs/>
          <w:spacing w:val="40"/>
          <w:sz w:val="52"/>
        </w:rPr>
      </w:pPr>
      <w:r>
        <w:rPr>
          <w:rFonts w:hint="eastAsia" w:hAnsi="黑体" w:eastAsia="黑体"/>
          <w:b/>
          <w:bCs/>
          <w:spacing w:val="40"/>
          <w:sz w:val="52"/>
        </w:rPr>
        <w:t>事业单位法人年度报告书</w:t>
      </w:r>
    </w:p>
    <w:p w14:paraId="1552C8CF">
      <w:pPr>
        <w:jc w:val="center"/>
        <w:rPr>
          <w:rFonts w:eastAsia="黑体"/>
          <w:b/>
          <w:bCs/>
          <w:spacing w:val="30"/>
        </w:rPr>
      </w:pPr>
    </w:p>
    <w:p w14:paraId="57AB96C8">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2F17D682">
      <w:pPr>
        <w:jc w:val="center"/>
        <w:rPr>
          <w:sz w:val="36"/>
        </w:rPr>
      </w:pPr>
    </w:p>
    <w:p w14:paraId="5F83C64C">
      <w:pPr>
        <w:jc w:val="center"/>
        <w:rPr>
          <w:sz w:val="36"/>
        </w:rPr>
      </w:pPr>
    </w:p>
    <w:p w14:paraId="5F836BE7">
      <w:pPr>
        <w:jc w:val="center"/>
        <w:rPr>
          <w:sz w:val="36"/>
        </w:rPr>
      </w:pPr>
    </w:p>
    <w:p w14:paraId="42B8A701">
      <w:pPr>
        <w:jc w:val="center"/>
        <w:rPr>
          <w:sz w:val="36"/>
        </w:rPr>
      </w:pPr>
    </w:p>
    <w:p w14:paraId="236DAFA2">
      <w:pPr>
        <w:jc w:val="center"/>
        <w:rPr>
          <w:sz w:val="36"/>
        </w:rPr>
      </w:pPr>
    </w:p>
    <w:p w14:paraId="38349B93">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34907281">
        <w:tblPrEx>
          <w:tblCellMar>
            <w:top w:w="0" w:type="dxa"/>
            <w:left w:w="108" w:type="dxa"/>
            <w:bottom w:w="0" w:type="dxa"/>
            <w:right w:w="108" w:type="dxa"/>
          </w:tblCellMar>
        </w:tblPrEx>
        <w:trPr>
          <w:trHeight w:val="615" w:hRule="atLeast"/>
          <w:jc w:val="center"/>
        </w:trPr>
        <w:tc>
          <w:tcPr>
            <w:tcW w:w="2405" w:type="dxa"/>
            <w:vAlign w:val="bottom"/>
          </w:tcPr>
          <w:p w14:paraId="3F4633C7">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4250A6B4">
            <w:pPr>
              <w:jc w:val="center"/>
              <w:rPr>
                <w:rStyle w:val="10"/>
                <w:rFonts w:ascii="楷体_GB2312"/>
              </w:rPr>
            </w:pPr>
            <w:r>
              <w:rPr>
                <w:rStyle w:val="10"/>
                <w:rFonts w:hint="eastAsia" w:ascii="楷体_GB2312"/>
              </w:rPr>
              <w:t>重庆市合川公证处</w:t>
            </w:r>
          </w:p>
        </w:tc>
      </w:tr>
    </w:tbl>
    <w:p w14:paraId="1AE1B38B">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7933A308">
        <w:tblPrEx>
          <w:tblCellMar>
            <w:top w:w="0" w:type="dxa"/>
            <w:left w:w="108" w:type="dxa"/>
            <w:bottom w:w="0" w:type="dxa"/>
            <w:right w:w="108" w:type="dxa"/>
          </w:tblCellMar>
        </w:tblPrEx>
        <w:trPr>
          <w:trHeight w:val="615" w:hRule="atLeast"/>
          <w:jc w:val="center"/>
        </w:trPr>
        <w:tc>
          <w:tcPr>
            <w:tcW w:w="2365" w:type="dxa"/>
            <w:vAlign w:val="bottom"/>
          </w:tcPr>
          <w:p w14:paraId="1BA54167">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4C466AD5">
            <w:pPr>
              <w:widowControl/>
              <w:jc w:val="left"/>
              <w:rPr>
                <w:kern w:val="0"/>
                <w:sz w:val="20"/>
                <w:szCs w:val="20"/>
              </w:rPr>
            </w:pPr>
          </w:p>
        </w:tc>
      </w:tr>
    </w:tbl>
    <w:p w14:paraId="3B82EFB1">
      <w:pPr>
        <w:ind w:firstLine="723" w:firstLineChars="300"/>
        <w:rPr>
          <w:rFonts w:hint="eastAsia" w:ascii="黑体" w:hAnsi="黑体" w:eastAsia="黑体"/>
          <w:b/>
          <w:bCs/>
          <w:sz w:val="24"/>
          <w:u w:val="single"/>
        </w:rPr>
      </w:pPr>
    </w:p>
    <w:p w14:paraId="5080E303">
      <w:pPr>
        <w:jc w:val="center"/>
        <w:rPr>
          <w:rFonts w:hint="eastAsia" w:ascii="黑体" w:hAnsi="黑体" w:eastAsia="黑体"/>
          <w:b/>
          <w:bCs/>
          <w:sz w:val="30"/>
          <w:u w:val="single"/>
        </w:rPr>
      </w:pPr>
    </w:p>
    <w:p w14:paraId="31145608">
      <w:pPr>
        <w:jc w:val="center"/>
        <w:rPr>
          <w:rFonts w:hint="eastAsia" w:ascii="黑体" w:hAnsi="黑体" w:eastAsia="黑体"/>
          <w:b/>
          <w:bCs/>
          <w:sz w:val="30"/>
          <w:u w:val="single"/>
        </w:rPr>
      </w:pPr>
    </w:p>
    <w:p w14:paraId="7B003771">
      <w:pPr>
        <w:jc w:val="center"/>
        <w:rPr>
          <w:rFonts w:hint="eastAsia"/>
          <w:u w:val="single"/>
        </w:rPr>
      </w:pPr>
    </w:p>
    <w:p w14:paraId="11E9D123">
      <w:pPr>
        <w:jc w:val="center"/>
        <w:rPr>
          <w:rFonts w:eastAsia="楷体_GB2312"/>
          <w:b/>
          <w:bCs/>
          <w:sz w:val="32"/>
        </w:rPr>
      </w:pPr>
      <w:r>
        <w:rPr>
          <w:rFonts w:hint="eastAsia" w:eastAsia="楷体_GB2312"/>
          <w:b/>
          <w:bCs/>
          <w:sz w:val="32"/>
        </w:rPr>
        <w:t>国家事业单位登记管理局制</w:t>
      </w:r>
    </w:p>
    <w:p w14:paraId="45BDDCB9">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567EF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6F9BC51A">
            <w:pPr>
              <w:jc w:val="center"/>
              <w:rPr>
                <w:rFonts w:eastAsia="楷体_GB2312"/>
                <w:b/>
                <w:bCs/>
                <w:sz w:val="32"/>
              </w:rPr>
            </w:pPr>
            <w:r>
              <w:rPr>
                <w:rFonts w:hint="eastAsia" w:eastAsia="楷体_GB2312"/>
                <w:b/>
                <w:bCs/>
                <w:sz w:val="32"/>
              </w:rPr>
              <w:t>《事业</w:t>
            </w:r>
          </w:p>
          <w:p w14:paraId="59C6A963">
            <w:pPr>
              <w:jc w:val="center"/>
              <w:rPr>
                <w:rFonts w:eastAsia="楷体_GB2312"/>
                <w:b/>
                <w:bCs/>
                <w:sz w:val="32"/>
              </w:rPr>
            </w:pPr>
            <w:r>
              <w:rPr>
                <w:rFonts w:hint="eastAsia" w:eastAsia="楷体_GB2312"/>
                <w:b/>
                <w:bCs/>
                <w:sz w:val="32"/>
              </w:rPr>
              <w:t>单位</w:t>
            </w:r>
          </w:p>
          <w:p w14:paraId="529687A2">
            <w:pPr>
              <w:jc w:val="center"/>
              <w:rPr>
                <w:rFonts w:eastAsia="楷体_GB2312"/>
                <w:b/>
                <w:bCs/>
                <w:sz w:val="32"/>
              </w:rPr>
            </w:pPr>
            <w:r>
              <w:rPr>
                <w:rFonts w:hint="eastAsia" w:eastAsia="楷体_GB2312"/>
                <w:b/>
                <w:bCs/>
                <w:sz w:val="32"/>
              </w:rPr>
              <w:t>法人</w:t>
            </w:r>
          </w:p>
          <w:p w14:paraId="23E86B10">
            <w:pPr>
              <w:jc w:val="center"/>
              <w:rPr>
                <w:rFonts w:eastAsia="楷体_GB2312"/>
                <w:b/>
                <w:bCs/>
                <w:sz w:val="32"/>
              </w:rPr>
            </w:pPr>
            <w:r>
              <w:rPr>
                <w:rFonts w:hint="eastAsia" w:eastAsia="楷体_GB2312"/>
                <w:b/>
                <w:bCs/>
                <w:sz w:val="32"/>
              </w:rPr>
              <w:t>证书》</w:t>
            </w:r>
          </w:p>
          <w:p w14:paraId="2594F10F">
            <w:pPr>
              <w:jc w:val="center"/>
              <w:rPr>
                <w:rFonts w:eastAsia="楷体_GB2312"/>
                <w:b/>
                <w:bCs/>
                <w:sz w:val="32"/>
              </w:rPr>
            </w:pPr>
            <w:r>
              <w:rPr>
                <w:rFonts w:hint="eastAsia" w:eastAsia="楷体_GB2312"/>
                <w:b/>
                <w:bCs/>
                <w:sz w:val="32"/>
              </w:rPr>
              <w:t>登载</w:t>
            </w:r>
          </w:p>
          <w:p w14:paraId="5EDA1560">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15687BA7">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6892C6CD">
            <w:pPr>
              <w:spacing w:line="320" w:lineRule="exact"/>
              <w:jc w:val="left"/>
              <w:rPr>
                <w:rStyle w:val="11"/>
                <w:rFonts w:ascii="楷体_GB2312"/>
                <w:szCs w:val="28"/>
              </w:rPr>
            </w:pPr>
            <w:r>
              <w:rPr>
                <w:rStyle w:val="11"/>
                <w:rFonts w:hint="eastAsia" w:ascii="楷体_GB2312"/>
                <w:szCs w:val="28"/>
              </w:rPr>
              <w:t>重庆市合川公证处</w:t>
            </w:r>
          </w:p>
        </w:tc>
      </w:tr>
      <w:tr w14:paraId="78C82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AAEBF5B">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BCED7D6">
            <w:pPr>
              <w:jc w:val="center"/>
              <w:rPr>
                <w:rFonts w:eastAsia="楷体_GB2312"/>
                <w:b/>
                <w:bCs/>
                <w:sz w:val="32"/>
              </w:rPr>
            </w:pPr>
            <w:r>
              <w:rPr>
                <w:rFonts w:hint="eastAsia" w:eastAsia="楷体_GB2312"/>
                <w:b/>
                <w:bCs/>
                <w:sz w:val="32"/>
              </w:rPr>
              <w:t>宗旨和</w:t>
            </w:r>
          </w:p>
          <w:p w14:paraId="1CC90560">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3C64FBC1">
            <w:pPr>
              <w:jc w:val="left"/>
              <w:rPr>
                <w:rStyle w:val="11"/>
                <w:rFonts w:ascii="楷体_GB2312"/>
                <w:szCs w:val="28"/>
              </w:rPr>
            </w:pPr>
            <w:r>
              <w:rPr>
                <w:rStyle w:val="11"/>
                <w:rFonts w:hint="eastAsia" w:ascii="楷体_GB2312"/>
                <w:szCs w:val="28"/>
              </w:rPr>
              <w:t>对民事法律行为、有法律意义的事实和文书的真实性、合法性予以证明。</w:t>
            </w:r>
          </w:p>
        </w:tc>
      </w:tr>
      <w:tr w14:paraId="0BF84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63D3579">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692A490C">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58F684B3">
            <w:pPr>
              <w:jc w:val="left"/>
            </w:pPr>
            <w:r>
              <w:rPr>
                <w:rStyle w:val="11"/>
                <w:rFonts w:hint="eastAsia" w:ascii="楷体_GB2312"/>
                <w:szCs w:val="28"/>
              </w:rPr>
              <w:t>重庆市合川区南津街希尔安大道223号</w:t>
            </w:r>
          </w:p>
        </w:tc>
      </w:tr>
      <w:tr w14:paraId="1BF8D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6E5AAFFF">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ED82494">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7F0A329D">
            <w:pPr>
              <w:jc w:val="left"/>
            </w:pPr>
            <w:r>
              <w:rPr>
                <w:rStyle w:val="11"/>
                <w:rFonts w:hint="eastAsia" w:ascii="楷体_GB2312"/>
                <w:szCs w:val="28"/>
              </w:rPr>
              <w:t>易红</w:t>
            </w:r>
          </w:p>
        </w:tc>
      </w:tr>
      <w:tr w14:paraId="79B43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426CB7B0">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556CA54">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37FE5566">
            <w:pPr>
              <w:jc w:val="left"/>
              <w:rPr>
                <w:rStyle w:val="11"/>
                <w:rFonts w:ascii="楷体_GB2312"/>
                <w:szCs w:val="28"/>
              </w:rPr>
            </w:pPr>
            <w:r>
              <w:rPr>
                <w:rStyle w:val="11"/>
                <w:rFonts w:hint="eastAsia" w:ascii="楷体_GB2312"/>
                <w:szCs w:val="28"/>
              </w:rPr>
              <w:t>5.83（万元）</w:t>
            </w:r>
          </w:p>
        </w:tc>
      </w:tr>
      <w:tr w14:paraId="3C2BA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5320F084">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3B45893">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04F0CB79">
            <w:pPr>
              <w:jc w:val="left"/>
              <w:rPr>
                <w:rStyle w:val="10"/>
                <w:szCs w:val="32"/>
              </w:rPr>
            </w:pPr>
            <w:r>
              <w:rPr>
                <w:rStyle w:val="11"/>
                <w:rFonts w:hint="eastAsia" w:ascii="楷体_GB2312"/>
                <w:szCs w:val="28"/>
              </w:rPr>
              <w:t>财政补助</w:t>
            </w:r>
          </w:p>
        </w:tc>
      </w:tr>
      <w:tr w14:paraId="08607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75678FE">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1FF008C5">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07F423DB">
            <w:pPr>
              <w:jc w:val="left"/>
            </w:pPr>
            <w:r>
              <w:rPr>
                <w:rStyle w:val="11"/>
                <w:rFonts w:hint="eastAsia" w:ascii="楷体_GB2312"/>
                <w:szCs w:val="28"/>
              </w:rPr>
              <w:t>重庆市合川区司法局</w:t>
            </w:r>
          </w:p>
        </w:tc>
      </w:tr>
      <w:tr w14:paraId="62358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6D8131AE">
            <w:pPr>
              <w:widowControl/>
              <w:jc w:val="center"/>
              <w:rPr>
                <w:rFonts w:eastAsia="楷体_GB2312"/>
                <w:b/>
                <w:sz w:val="32"/>
              </w:rPr>
            </w:pPr>
            <w:r>
              <w:rPr>
                <w:rFonts w:hint="eastAsia" w:eastAsia="楷体_GB2312"/>
                <w:b/>
                <w:sz w:val="32"/>
              </w:rPr>
              <w:t>资产</w:t>
            </w:r>
          </w:p>
          <w:p w14:paraId="66B9F34B">
            <w:pPr>
              <w:widowControl/>
              <w:jc w:val="center"/>
              <w:rPr>
                <w:rFonts w:eastAsia="楷体_GB2312"/>
                <w:b/>
                <w:sz w:val="32"/>
              </w:rPr>
            </w:pPr>
            <w:r>
              <w:rPr>
                <w:rFonts w:hint="eastAsia" w:eastAsia="楷体_GB2312"/>
                <w:b/>
                <w:sz w:val="32"/>
              </w:rPr>
              <w:t>损益</w:t>
            </w:r>
          </w:p>
          <w:p w14:paraId="5B2F3046">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6B22B4AD">
            <w:pPr>
              <w:jc w:val="center"/>
              <w:rPr>
                <w:rStyle w:val="10"/>
              </w:rPr>
            </w:pPr>
            <w:r>
              <w:rPr>
                <w:rStyle w:val="10"/>
                <w:rFonts w:hint="eastAsia"/>
              </w:rPr>
              <w:t>净资产合计（所有者权益合计）</w:t>
            </w:r>
          </w:p>
        </w:tc>
      </w:tr>
      <w:tr w14:paraId="59745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46328CD1">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A0FC59D">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289EDF91">
            <w:pPr>
              <w:jc w:val="center"/>
              <w:rPr>
                <w:rStyle w:val="10"/>
              </w:rPr>
            </w:pPr>
            <w:r>
              <w:rPr>
                <w:rStyle w:val="10"/>
                <w:rFonts w:hint="eastAsia"/>
              </w:rPr>
              <w:t>年末数（万元）</w:t>
            </w:r>
          </w:p>
        </w:tc>
      </w:tr>
      <w:tr w14:paraId="28848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11BD8C8A">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6939FBFE">
            <w:pPr>
              <w:jc w:val="center"/>
              <w:rPr>
                <w:rStyle w:val="10"/>
              </w:rPr>
            </w:pPr>
            <w:r>
              <w:rPr>
                <w:rStyle w:val="10"/>
              </w:rPr>
              <w:t>21.07</w:t>
            </w:r>
          </w:p>
        </w:tc>
        <w:tc>
          <w:tcPr>
            <w:tcW w:w="4153" w:type="dxa"/>
            <w:gridSpan w:val="2"/>
            <w:tcBorders>
              <w:top w:val="single" w:color="auto" w:sz="4" w:space="0"/>
              <w:left w:val="single" w:color="auto" w:sz="4" w:space="0"/>
              <w:bottom w:val="single" w:color="auto" w:sz="4" w:space="0"/>
              <w:right w:val="single" w:color="auto" w:sz="12" w:space="0"/>
            </w:tcBorders>
          </w:tcPr>
          <w:p w14:paraId="016CEED9">
            <w:pPr>
              <w:jc w:val="center"/>
            </w:pPr>
            <w:r>
              <w:rPr>
                <w:rStyle w:val="11"/>
                <w:sz w:val="32"/>
                <w:szCs w:val="32"/>
              </w:rPr>
              <w:t>19.15</w:t>
            </w:r>
          </w:p>
        </w:tc>
      </w:tr>
      <w:tr w14:paraId="505F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4588140D">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2160285E">
            <w:pPr>
              <w:spacing w:line="0" w:lineRule="atLeast"/>
              <w:jc w:val="left"/>
              <w:rPr>
                <w:rFonts w:ascii="楷体_GB2312" w:eastAsia="楷体_GB2312"/>
                <w:sz w:val="32"/>
              </w:rPr>
            </w:pPr>
            <w:r>
              <w:rPr>
                <w:rFonts w:hint="eastAsia" w:ascii="楷体_GB2312" w:eastAsia="楷体_GB2312"/>
                <w:b/>
                <w:bCs/>
                <w:sz w:val="32"/>
              </w:rPr>
              <w:t>重庆市合川公证处</w:t>
            </w:r>
          </w:p>
        </w:tc>
        <w:tc>
          <w:tcPr>
            <w:tcW w:w="1701" w:type="dxa"/>
            <w:tcBorders>
              <w:top w:val="single" w:color="auto" w:sz="4" w:space="0"/>
              <w:left w:val="single" w:color="auto" w:sz="4" w:space="0"/>
              <w:bottom w:val="single" w:color="auto" w:sz="4" w:space="0"/>
              <w:right w:val="single" w:color="auto" w:sz="4" w:space="0"/>
            </w:tcBorders>
            <w:vAlign w:val="center"/>
          </w:tcPr>
          <w:p w14:paraId="021F5DF0">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3C45E374">
            <w:pPr>
              <w:spacing w:line="0" w:lineRule="atLeast"/>
              <w:jc w:val="left"/>
              <w:rPr>
                <w:rFonts w:ascii="楷体_GB2312" w:eastAsia="楷体_GB2312"/>
                <w:sz w:val="32"/>
              </w:rPr>
            </w:pPr>
            <w:r>
              <w:rPr>
                <w:rStyle w:val="10"/>
              </w:rPr>
              <w:t>4</w:t>
            </w:r>
          </w:p>
        </w:tc>
      </w:tr>
      <w:tr w14:paraId="447D9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0DF5F943">
            <w:pPr>
              <w:jc w:val="center"/>
              <w:rPr>
                <w:rFonts w:eastAsia="楷体_GB2312"/>
                <w:b/>
                <w:bCs/>
                <w:sz w:val="32"/>
              </w:rPr>
            </w:pPr>
            <w:r>
              <w:rPr>
                <w:rFonts w:hint="eastAsia" w:eastAsia="楷体_GB2312"/>
                <w:b/>
                <w:bCs/>
                <w:sz w:val="32"/>
              </w:rPr>
              <w:t>对《条</w:t>
            </w:r>
          </w:p>
          <w:p w14:paraId="699509DE">
            <w:pPr>
              <w:jc w:val="center"/>
              <w:rPr>
                <w:rFonts w:eastAsia="楷体_GB2312"/>
                <w:b/>
                <w:bCs/>
                <w:sz w:val="32"/>
              </w:rPr>
            </w:pPr>
            <w:r>
              <w:rPr>
                <w:rFonts w:hint="eastAsia" w:eastAsia="楷体_GB2312"/>
                <w:b/>
                <w:bCs/>
                <w:sz w:val="32"/>
              </w:rPr>
              <w:t>例》和</w:t>
            </w:r>
          </w:p>
          <w:p w14:paraId="2CB346FD">
            <w:pPr>
              <w:jc w:val="center"/>
              <w:rPr>
                <w:rFonts w:eastAsia="楷体_GB2312"/>
                <w:b/>
                <w:bCs/>
                <w:sz w:val="32"/>
              </w:rPr>
            </w:pPr>
            <w:r>
              <w:rPr>
                <w:rFonts w:hint="eastAsia" w:eastAsia="楷体_GB2312"/>
                <w:b/>
                <w:bCs/>
                <w:sz w:val="32"/>
              </w:rPr>
              <w:t>实施细</w:t>
            </w:r>
          </w:p>
          <w:p w14:paraId="39E672D2">
            <w:pPr>
              <w:jc w:val="center"/>
              <w:rPr>
                <w:rFonts w:eastAsia="楷体_GB2312"/>
                <w:b/>
                <w:bCs/>
                <w:sz w:val="32"/>
              </w:rPr>
            </w:pPr>
            <w:r>
              <w:rPr>
                <w:rFonts w:hint="eastAsia" w:eastAsia="楷体_GB2312"/>
                <w:b/>
                <w:bCs/>
                <w:sz w:val="32"/>
              </w:rPr>
              <w:t>则有关</w:t>
            </w:r>
          </w:p>
          <w:p w14:paraId="2203EE4C">
            <w:pPr>
              <w:jc w:val="center"/>
              <w:rPr>
                <w:rFonts w:eastAsia="楷体_GB2312"/>
                <w:b/>
                <w:bCs/>
                <w:sz w:val="32"/>
              </w:rPr>
            </w:pPr>
            <w:r>
              <w:rPr>
                <w:rFonts w:hint="eastAsia" w:eastAsia="楷体_GB2312"/>
                <w:b/>
                <w:bCs/>
                <w:sz w:val="32"/>
              </w:rPr>
              <w:t>变更登</w:t>
            </w:r>
          </w:p>
          <w:p w14:paraId="0B734371">
            <w:pPr>
              <w:jc w:val="center"/>
              <w:rPr>
                <w:rFonts w:eastAsia="楷体_GB2312"/>
                <w:b/>
                <w:bCs/>
                <w:sz w:val="32"/>
              </w:rPr>
            </w:pPr>
            <w:r>
              <w:rPr>
                <w:rFonts w:hint="eastAsia" w:eastAsia="楷体_GB2312"/>
                <w:b/>
                <w:bCs/>
                <w:sz w:val="32"/>
              </w:rPr>
              <w:t>记规定</w:t>
            </w:r>
          </w:p>
          <w:p w14:paraId="2CD5B02B">
            <w:pPr>
              <w:jc w:val="center"/>
              <w:rPr>
                <w:rFonts w:eastAsia="楷体_GB2312"/>
                <w:b/>
                <w:bCs/>
                <w:sz w:val="32"/>
              </w:rPr>
            </w:pPr>
            <w:r>
              <w:rPr>
                <w:rFonts w:hint="eastAsia" w:eastAsia="楷体_GB2312"/>
                <w:b/>
                <w:bCs/>
                <w:sz w:val="32"/>
              </w:rPr>
              <w:t>的执行</w:t>
            </w:r>
          </w:p>
          <w:p w14:paraId="2117B6D4">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76299B71">
            <w:pPr>
              <w:spacing w:line="320" w:lineRule="exact"/>
              <w:rPr>
                <w:rStyle w:val="11"/>
                <w:rFonts w:ascii="楷体_GB2312"/>
                <w:szCs w:val="28"/>
              </w:rPr>
            </w:pPr>
            <w:r>
              <w:rPr>
                <w:rStyle w:val="11"/>
                <w:rFonts w:hint="eastAsia" w:ascii="楷体_GB2312"/>
                <w:szCs w:val="28"/>
              </w:rPr>
              <w:t>2021年，我单位严格遵守国家有关法律法规和《事业单位登记管理暂行条例》及其实施细则的规定，按照宗旨和业务范围开展相关活动，没有涉及变更登记的事项，没有违法违规等情况。</w:t>
            </w:r>
          </w:p>
        </w:tc>
      </w:tr>
      <w:tr w14:paraId="36BBF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742112DE">
            <w:pPr>
              <w:jc w:val="center"/>
              <w:rPr>
                <w:rFonts w:eastAsia="楷体_GB2312"/>
                <w:b/>
                <w:bCs/>
                <w:sz w:val="32"/>
              </w:rPr>
            </w:pPr>
            <w:r>
              <w:rPr>
                <w:rFonts w:hint="eastAsia" w:eastAsia="楷体_GB2312"/>
                <w:b/>
                <w:bCs/>
                <w:sz w:val="32"/>
              </w:rPr>
              <w:t>开</w:t>
            </w:r>
          </w:p>
          <w:p w14:paraId="7DF0A82B">
            <w:pPr>
              <w:jc w:val="center"/>
              <w:rPr>
                <w:rFonts w:eastAsia="楷体_GB2312"/>
                <w:b/>
                <w:bCs/>
                <w:sz w:val="32"/>
              </w:rPr>
            </w:pPr>
            <w:r>
              <w:rPr>
                <w:rFonts w:hint="eastAsia" w:eastAsia="楷体_GB2312"/>
                <w:b/>
                <w:bCs/>
                <w:sz w:val="32"/>
              </w:rPr>
              <w:t>展</w:t>
            </w:r>
          </w:p>
          <w:p w14:paraId="726EC162">
            <w:pPr>
              <w:jc w:val="center"/>
              <w:rPr>
                <w:rFonts w:eastAsia="楷体_GB2312"/>
                <w:b/>
                <w:bCs/>
                <w:sz w:val="32"/>
              </w:rPr>
            </w:pPr>
            <w:r>
              <w:rPr>
                <w:rFonts w:hint="eastAsia" w:eastAsia="楷体_GB2312"/>
                <w:b/>
                <w:bCs/>
                <w:sz w:val="32"/>
              </w:rPr>
              <w:t>业</w:t>
            </w:r>
          </w:p>
          <w:p w14:paraId="765B7D63">
            <w:pPr>
              <w:jc w:val="center"/>
              <w:rPr>
                <w:rFonts w:eastAsia="楷体_GB2312"/>
                <w:b/>
                <w:bCs/>
                <w:sz w:val="32"/>
              </w:rPr>
            </w:pPr>
            <w:r>
              <w:rPr>
                <w:rFonts w:hint="eastAsia" w:eastAsia="楷体_GB2312"/>
                <w:b/>
                <w:bCs/>
                <w:sz w:val="32"/>
              </w:rPr>
              <w:t>务</w:t>
            </w:r>
          </w:p>
          <w:p w14:paraId="40CE67D0">
            <w:pPr>
              <w:jc w:val="center"/>
              <w:rPr>
                <w:rFonts w:eastAsia="楷体_GB2312"/>
                <w:b/>
                <w:bCs/>
                <w:sz w:val="32"/>
              </w:rPr>
            </w:pPr>
            <w:r>
              <w:rPr>
                <w:rFonts w:hint="eastAsia" w:eastAsia="楷体_GB2312"/>
                <w:b/>
                <w:bCs/>
                <w:sz w:val="32"/>
              </w:rPr>
              <w:t>活</w:t>
            </w:r>
          </w:p>
          <w:p w14:paraId="0353289C">
            <w:pPr>
              <w:jc w:val="center"/>
              <w:rPr>
                <w:rFonts w:eastAsia="楷体_GB2312"/>
                <w:b/>
                <w:bCs/>
                <w:sz w:val="32"/>
              </w:rPr>
            </w:pPr>
            <w:r>
              <w:rPr>
                <w:rFonts w:hint="eastAsia" w:eastAsia="楷体_GB2312"/>
                <w:b/>
                <w:bCs/>
                <w:sz w:val="32"/>
              </w:rPr>
              <w:t>动</w:t>
            </w:r>
          </w:p>
          <w:p w14:paraId="6871B215">
            <w:pPr>
              <w:jc w:val="center"/>
              <w:rPr>
                <w:rFonts w:eastAsia="楷体_GB2312"/>
                <w:b/>
                <w:bCs/>
                <w:sz w:val="32"/>
              </w:rPr>
            </w:pPr>
            <w:r>
              <w:rPr>
                <w:rFonts w:hint="eastAsia" w:eastAsia="楷体_GB2312"/>
                <w:b/>
                <w:bCs/>
                <w:sz w:val="32"/>
              </w:rPr>
              <w:t>情</w:t>
            </w:r>
          </w:p>
          <w:p w14:paraId="4A046A37">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53DB23F0">
            <w:pPr>
              <w:autoSpaceDE w:val="0"/>
              <w:autoSpaceDN w:val="0"/>
              <w:adjustRightInd w:val="0"/>
              <w:snapToGrid w:val="0"/>
              <w:spacing w:line="360" w:lineRule="auto"/>
              <w:rPr>
                <w:rStyle w:val="11"/>
                <w:rFonts w:ascii="楷体_GB2312"/>
              </w:rPr>
            </w:pPr>
            <w:r>
              <w:rPr>
                <w:rStyle w:val="11"/>
                <w:rFonts w:hint="eastAsia" w:ascii="楷体_GB2312"/>
              </w:rPr>
              <w:t>2021年，我处在区司法局和区行政服务中心的正确领导下，在有关部门的支持和帮助下，我处按照年初工作计划，围绕中心、突出重点、开拓创新、扎实工作，积极发挥公证工作证明、监督、服务、沟通的职能作用，取得了较好的成绩，为促进全区社会发展提供了优质高效的公证法律服务。 一、2021年业务数据 1、公证类型。截止2021年12月31日，总计办理公证3933件，同比2020年增长49.37%，同比2019年增加32.51%。其中，国内民事公证3586件，同比2020年增长49.79%，同比2019年增长45.24%；涉港澳台公证59件，同比2020年增长118.52%，同比2019年减少11.94%；涉外公证288件，同比2020年增长35.85%，同比2019年减少33.33%。 2、年度收费统计。截止2021年12月31日，总计收费2845910元，同比2020年增长46.94%，同比2019年增长41.47%。其中，国内民事公证收费2761360元，同比2020年增长47.15%，同比2019年增长47.45%；涉港澳台公证收费17940元，同比2020年增长93.32%，同比2019年减少19.55%；涉外公证收费66610元，同比2020年增长30.81%，同比2019年减少42.88%。 3、增长的原因。（1）增加了2名非在编人员，人员补足，提高了办事效率；（2）农村房屋确权，继承权公证业务量增长；（3）上半年，房地产市场热度高，售房类委托公证业务量增长。 二、2021年工作总结 （一）深化党建学习教育，改进工作纪律作风 1、积极开展理论学习，提高队伍思想素质。2021年，重庆市合川公证处党支部坚持认真学习习近平新时代中国特色社会主义思想的党的十九大</w:t>
            </w:r>
            <w:bookmarkStart w:id="0" w:name="_GoBack"/>
            <w:bookmarkEnd w:id="0"/>
            <w:r>
              <w:rPr>
                <w:rStyle w:val="11"/>
                <w:rFonts w:hint="eastAsia" w:ascii="楷体_GB2312"/>
              </w:rPr>
              <w:t xml:space="preserve">、十九届三中、四中、五中、六中全会精神，在做好疫情防控工作的同时，加强支部建设，充分发挥支部班子的核心作用，组织开展支部党员大会10次，支部主题党日12次，党课5次，组织生活会3次，“一对一”谈心谈话2次，以“党建引领”全覆盖的模式，做到以党建促业务，以业务促发展，以发展服务社会。 2、深入加强行风建设，助推行业良好风气。我处在区司法局的组织领导下，坚持业务建设和专项治理、教育整顿两手都要抓，两手都要硬，围绕工作任务认真开展并学习总结完成了专项治理、教育整顿的学习教育、深入排查、“回头看”、集中整改、总结提升五个阶段。全处共有在职在编公证人员13人，全员参加专项治理、教育整顿，参与率为100%。通过强化政治引领，开展学习党史、新中国史等80人次，公证行业违法违规典型案例36人次，提高了公证人员的政治思想意识，增强了公证人员为群众服务的责任感和使命感。在深入排查阶段，已谈心谈话14人次，主动提供线索162件，自查自纠问题线索已解决150件，明确了存在的问题；通过专题座谈会进行开门治理，边整边改12件，形成专项治理问题清单2条，取得了专项治理的成效。 （二）优化公证服务举措，完善利企便民制度 1、优化“互联网+公证”服务，提升线上服务水平。推行公证服务“网上办”，借助渝快办、12348重庆法网、公证云平台、合川公证处微信公证号等线上办证平台预约办证，提升线上服务水平，当事人可在线申请，公证处后台受理，减少当事人现场往返公证机构次数，切实满足人民群众对公证法律服务的新需求。 2、优化“零距离”服务，开展便民利民活动。为扎实推进“我为群众办实事”实践活动，切实推动党史学习教育成果转化成为民服务的生动实践，不断增强人民群众获得感、幸福感、安全感。今年我处通过深入铜溪镇弯桥村、南津街白塔街社区、紫荆园社区、白鹿山社区宣讲《公证法》、《民法典》等法律知识，发放宣传资料1200余份，免费为群众提供法治宣传、法律咨询等志愿服务。 3、通过定制服务，助力打造营商环境。为民营企业开通绿色通道，在符合受理条件下优先受理，尽量缩短办证时限，提高办证效率。为解决企业生产经营中的借款难，银行债务执行难问题，积极做好赋予债权文书强制执行效力公证，协助中国邮政储蓄银行股份有限公司重庆合川区支行向企业提供贷款2219万元。为解决企业生产经营中的合同纠纷证据固定难问题，合川公证处做好保全证据公证。某体育设施公司铺装合川卓尔实验学校球场跑道，投入使用后不满半年就出现脱层、断裂、不平整等质量安全问题，合川公证处对该操场现状办理保全证据公证，确保了卓尔实验学校开学工作平稳有序进行。截至目前，2021年合川公证处为企业办理保全证据、赋予债权文书强制执行效力等公证30余件。 4、推行“一对一”服务，提升群众体验感。对于较复杂的预约类公证，由首次受理的公证人员全程跟进，“一对一”服务，并书面告知当事人受理人及受理电话，公证人员在预约签字、领取公证书等流程节点通过“电话＋短信”的方式告知，提升群众体验感，目前提供公证短信服务400余条。 5、推行“快车道”服务，建成办事“高速度”。针对遗产继承公证中，亲属关系证明存在难、繁等情况，推行“承诺+提供线索+调查取证”的服务模式，组建专门调查核实队伍。通过当事人承诺、提供核实线索，由公证处完成相关资料的收集、核实工作，减轻群众负担。推行以来，全处先后承办相关业务200余件，极大地方便了办证群众。 6、服务民生大事，发挥公证公益职能。合川公证处始终把公益放在首位，积极参与服务民生的事项。2021年7月，为合川区2021年新转设义务教育学校及合阳城、南津街、钓鱼城三个街道辖区“小升初”计算机派位活动提供了免费的现场监督公证。2014年至今，已为合川区“小升初”计算机派位活动提供了8次免费服务。为保护长江生态环境，今年5次为合川区嘉陵江流域等多处河流的人工增殖放流活动提供公证服务，共计放流鱼种110余万尾。为预防和减少社会矛盾，今年3次为区公租房摇号配租全过程进行现场监督公证，确保了摇号配租公平、公正、公开，受到了申请公租房市民的好评。 （三）强化质量建设管理，扩大公证影响力 一是强化教育，规范办证程序。每周一中午召开学习会议，学习法律、法规、典型案例及公证质量管理有关内容，切实提高公证人员的质量意识和业务水平。对公证业务接待、告知、受理、审批、出证和检查等环节的工作标准和要求都作了明确规定，从细节入手，不断规范完善办证过程。 二是强化检查，严把公证质量关。公证质量和信誉是公证事业的生命线，只有公证质量过硬，公证信誉才能有所保障，公证事业才能健康良性循环发展。今年，我处按照区司法局和公证协会的要求部署，每季度末由档案管理员随机抽查三个公证员的210个卷宗，全面检查公证质量、公证程序等方面存在的问题，纠正有瑕疵的公证书和解决存在的公证质量问题，不断提高办证质量，提升公证公信力。 三是强化管理，健全规章制度。内部制度建设是公证机构规范化建设的重要内容，是公证行业确保办证质量、维护公信形象、提升服务质效的基础工作，是整治顽瘴痼疾的重要保障和务实举措。为进一步强化基础管理，夯实发展基础，我处进一步健全和完善了党务管理制度、业务管理制度、公证服务制度、质量管理制度、人事管理制度、教育培训制度、收费管理制度、财务管理制度等8项内部管理制度。使公证人员严格按法律、法规办事，严格遵守办证程序，形成良好的办证习惯。 三、2021年工作难点 1、队伍建设有差距。我处共有3名公证员，45-50岁公证员2名，30-40岁公证员1名，年龄断层比较严重，整个公证行业的发展非常迅速，但我处公证队伍的素质与主城公证处公证员存在较大差距。 2、业务创新不足。目前公证处基本办理的是继承、委托等传统民事公证业务，基本无经济业务。赋强公证、证据保全公证业务量只占总业务量很小的比例，与主城公证处相距甚远。虽然取得突破，但要做到全面开花，还是一个长期的过程。 3、绩效激励机制不完善。目前合川公证处未能核定超高绩效，公证员长期高强度付出未得到很好的重视和认可，高强度的工作与得到的待遇不成正比，难以完全调动公证员的积极性，公证员的干事创业积极性不高。 4、档案遗留问题。我处档案室在旧房的一楼，容易潮湿，致使档案室的资料老化、变黄发霉、字迹褪变等现象突出，大大缩短了档案的寿命。且2014年前仅有纸质档案未进行电子归档，不利于档案查询、长期保管。如果全部归档，工作量大，耗时多。 四、2022年工作打算 为了不断促进公证事业的健康快速发展，在总结经验、肯定成绩、找准不足的同时，我处将从以下几方面尽职尽责的履行好公证法律服务职能。 1、进一步加强党建引领，优化公证法律服务。合川公证处将继续以“党建引领”全覆盖的模式，做到以党建促改革，以改革促发展，以发展服务社会。把满足人民群众公证法律服务需求放在第一位，提高公证服务能力和水平，不断增强人民群众对公证法律服务的获得感、幸福感、安全感。 2、进一步加强队伍建设，提升业务服务水平。一是加强公证业务学习。继续积极组织公证人员的培训学习，特别是组织公证员到主城或成都公证处去学习，提升公证处的整体水平；通过交流、总结办案经验，积累丰富的公证实践经验。二是精准培养现有人员。鼓励有条件的公证辅助人员积极通过法律职业资格考试，通过现有人员培养，补足公证员少的情况。三是引进高素质公证员。随着社会主义市场经济体制的不断完善和深入，需要提供公证法律服务的领域不断拓宽，本单位现有公证员已远不能满足实际工作的需要，在一定程度上制约了公证工作的发展。希望区司法局、区人社部门根据公证处的实际情况，用好空余编制，多渠道、多途径引进高素质公证员。 3、进一步加强多措并举，拓展新型业务领域。一是鼓励业务创新。鼓励公证员通过改进工作方法及思路，对传统业务的创新，让传统业务焕发新的面貌，为人民群众提供更优质的服务，确保证源不萎缩，为公证发展提供更多契机。二是加大宣传力度。在积极参加法律宣传、法律服务活动的同时，加强开展“进社区”、“进企业”、“进商圈”等宣传活动，让广大人民群众了解公证法律知识，懂得通过公证来维护自身的合法权益，增强公证的社会影响力和公信力。 4、进一步加强协调沟通，落实绩效激励机制。积极与区司法局、区人社部门协调沟通，建立公证员的激励奖励机制，将公证员的绩效考核和办证工作量、工作风险综合考虑，以调动公证员的积极性，吸引、留住人才。通过制度再完善，兼顾公平和效率的原则，将公证办证量、公证收费情况与临聘人员工资绩效挂钩，提升临聘人员待遇。 5、进一步重新规划设计，完成升级改造工作。为了提高档案工作的规范化水平，利于公证档案的保存，2022年我处将科学推进档案室的升级改造工作。 </w:t>
            </w:r>
          </w:p>
          <w:p w14:paraId="091F9D33">
            <w:pPr>
              <w:autoSpaceDE w:val="0"/>
              <w:autoSpaceDN w:val="0"/>
              <w:adjustRightInd w:val="0"/>
              <w:snapToGrid w:val="0"/>
              <w:spacing w:line="360" w:lineRule="auto"/>
              <w:rPr>
                <w:rStyle w:val="11"/>
                <w:rFonts w:ascii="楷体_GB2312"/>
              </w:rPr>
            </w:pPr>
          </w:p>
        </w:tc>
      </w:tr>
      <w:tr w14:paraId="04CD3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098A8ECC">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47F94241">
            <w:pPr>
              <w:spacing w:line="320" w:lineRule="exact"/>
              <w:rPr>
                <w:rStyle w:val="11"/>
                <w:rFonts w:ascii="楷体_GB2312"/>
                <w:szCs w:val="28"/>
              </w:rPr>
            </w:pPr>
            <w:r>
              <w:rPr>
                <w:rStyle w:val="11"/>
                <w:rFonts w:hint="eastAsia" w:ascii="楷体_GB2312"/>
              </w:rPr>
              <w:t>事业单位法人证书有效期为：2019年10月14日至2024年10月14日</w:t>
            </w:r>
          </w:p>
        </w:tc>
      </w:tr>
      <w:tr w14:paraId="51A80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26C3BC03">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2E3924CB">
            <w:pPr>
              <w:jc w:val="left"/>
            </w:pPr>
            <w:r>
              <w:rPr>
                <w:rStyle w:val="11"/>
                <w:rFonts w:hint="eastAsia" w:ascii="楷体_GB2312"/>
                <w:szCs w:val="28"/>
              </w:rPr>
              <w:t>无</w:t>
            </w:r>
          </w:p>
        </w:tc>
      </w:tr>
      <w:tr w14:paraId="5CE2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0CE6E423">
            <w:pPr>
              <w:spacing w:line="0" w:lineRule="atLeast"/>
              <w:rPr>
                <w:rFonts w:eastAsia="楷体_GB2312"/>
                <w:b/>
                <w:bCs/>
                <w:sz w:val="32"/>
              </w:rPr>
            </w:pPr>
            <w:r>
              <w:rPr>
                <w:rFonts w:hint="eastAsia" w:eastAsia="楷体_GB2312"/>
                <w:b/>
                <w:bCs/>
                <w:sz w:val="32"/>
              </w:rPr>
              <w:t>接受捐赠</w:t>
            </w:r>
          </w:p>
          <w:p w14:paraId="47B5D861">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6A136033">
            <w:pPr>
              <w:jc w:val="left"/>
            </w:pPr>
            <w:r>
              <w:rPr>
                <w:rStyle w:val="11"/>
                <w:rFonts w:hint="eastAsia" w:ascii="楷体_GB2312"/>
                <w:szCs w:val="28"/>
              </w:rPr>
              <w:t>无</w:t>
            </w:r>
          </w:p>
        </w:tc>
      </w:tr>
    </w:tbl>
    <w:p w14:paraId="1565BE53">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1052EA"/>
    <w:rsid w:val="001052EA"/>
    <w:rsid w:val="008937EA"/>
    <w:rsid w:val="5BB50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10</Pages>
  <Words>4452</Words>
  <Characters>4743</Characters>
  <Lines>34</Lines>
  <Paragraphs>9</Paragraphs>
  <TotalTime>0</TotalTime>
  <ScaleCrop>false</ScaleCrop>
  <LinksUpToDate>false</LinksUpToDate>
  <CharactersWithSpaces>4805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2024-08-29T07:47:00Z</dcterms:created>
  <dc:creator>雨林木风</dc:creator>
  <cp:lastModifiedBy>葫芦侠</cp:lastModifiedBy>
  <dcterms:modified xsi:type="dcterms:W3CDTF">2025-03-12T07:08:36Z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2052-12.1.0.20305</vt:lpwstr>
  </property>
  <property fmtid="{D5CDD505-2E9C-101B-9397-08002B2CF9AE}" pid="4" name="ICV">
    <vt:lpwstr>D4DDDA37E2564AFBB8A11AB181290B93_12</vt:lpwstr>
  </property>
</Properties>
</file>