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D332C">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ED332C">
      <w:pPr>
        <w:wordWrap w:val="0"/>
        <w:jc w:val="right"/>
        <w:rPr>
          <w:rFonts w:eastAsia="楷体_GB2312" w:hint="eastAsia"/>
          <w:b/>
          <w:bCs/>
          <w:sz w:val="30"/>
        </w:rPr>
      </w:pPr>
      <w:r>
        <w:rPr>
          <w:rFonts w:eastAsia="楷体_GB2312"/>
          <w:b/>
          <w:bCs/>
          <w:sz w:val="30"/>
        </w:rPr>
        <w:t xml:space="preserve">   </w:t>
      </w:r>
      <w:r>
        <w:rPr>
          <w:rStyle w:val="font21"/>
          <w:b/>
          <w:bCs/>
          <w:szCs w:val="30"/>
        </w:rPr>
        <w:t>1250038255676695XQ</w:t>
      </w:r>
      <w:r>
        <w:rPr>
          <w:rFonts w:eastAsia="楷体_GB2312"/>
          <w:b/>
          <w:bCs/>
          <w:sz w:val="30"/>
        </w:rPr>
        <w:t xml:space="preserve">   </w:t>
      </w:r>
    </w:p>
    <w:p w:rsidR="00000000" w:rsidRDefault="00ED332C">
      <w:pPr>
        <w:jc w:val="right"/>
      </w:pPr>
    </w:p>
    <w:p w:rsidR="00000000" w:rsidRDefault="00ED332C">
      <w:pPr>
        <w:jc w:val="right"/>
      </w:pPr>
    </w:p>
    <w:p w:rsidR="00000000" w:rsidRDefault="00ED332C">
      <w:pPr>
        <w:jc w:val="right"/>
      </w:pPr>
    </w:p>
    <w:p w:rsidR="00000000" w:rsidRDefault="00ED332C">
      <w:pPr>
        <w:jc w:val="right"/>
      </w:pPr>
    </w:p>
    <w:p w:rsidR="00000000" w:rsidRDefault="00ED332C">
      <w:pPr>
        <w:jc w:val="right"/>
      </w:pPr>
    </w:p>
    <w:p w:rsidR="00000000" w:rsidRDefault="00ED332C">
      <w:pPr>
        <w:jc w:val="center"/>
        <w:rPr>
          <w:rFonts w:eastAsia="黑体"/>
          <w:b/>
          <w:bCs/>
          <w:spacing w:val="40"/>
          <w:sz w:val="52"/>
        </w:rPr>
      </w:pPr>
      <w:r>
        <w:rPr>
          <w:rFonts w:eastAsia="黑体" w:hAnsi="黑体" w:hint="eastAsia"/>
          <w:b/>
          <w:bCs/>
          <w:spacing w:val="40"/>
          <w:sz w:val="52"/>
        </w:rPr>
        <w:t>事业单位法人年度报告书</w:t>
      </w:r>
    </w:p>
    <w:p w:rsidR="00000000" w:rsidRDefault="00ED332C">
      <w:pPr>
        <w:jc w:val="center"/>
        <w:rPr>
          <w:rFonts w:eastAsia="黑体"/>
          <w:b/>
          <w:bCs/>
          <w:spacing w:val="30"/>
        </w:rPr>
      </w:pPr>
    </w:p>
    <w:p w:rsidR="00000000" w:rsidRDefault="00ED332C">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ED332C">
      <w:pPr>
        <w:jc w:val="center"/>
        <w:rPr>
          <w:sz w:val="36"/>
        </w:rPr>
      </w:pPr>
    </w:p>
    <w:p w:rsidR="00000000" w:rsidRDefault="00ED332C">
      <w:pPr>
        <w:jc w:val="center"/>
        <w:rPr>
          <w:sz w:val="36"/>
        </w:rPr>
      </w:pPr>
    </w:p>
    <w:p w:rsidR="00000000" w:rsidRDefault="00ED332C">
      <w:pPr>
        <w:jc w:val="center"/>
        <w:rPr>
          <w:sz w:val="36"/>
        </w:rPr>
      </w:pPr>
    </w:p>
    <w:p w:rsidR="00000000" w:rsidRDefault="00ED332C">
      <w:pPr>
        <w:jc w:val="center"/>
        <w:rPr>
          <w:sz w:val="36"/>
        </w:rPr>
      </w:pPr>
    </w:p>
    <w:p w:rsidR="00000000" w:rsidRDefault="00ED332C">
      <w:pPr>
        <w:jc w:val="center"/>
        <w:rPr>
          <w:sz w:val="36"/>
        </w:rPr>
      </w:pPr>
    </w:p>
    <w:p w:rsidR="00000000" w:rsidRDefault="00ED332C">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ED332C">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ED332C">
            <w:pPr>
              <w:jc w:val="center"/>
              <w:rPr>
                <w:rStyle w:val="font61"/>
                <w:rFonts w:ascii="楷体_GB2312"/>
              </w:rPr>
            </w:pPr>
            <w:r>
              <w:rPr>
                <w:rStyle w:val="font61"/>
                <w:rFonts w:ascii="楷体_GB2312" w:hint="eastAsia"/>
              </w:rPr>
              <w:t>重庆市合川区肖家敬老院</w:t>
            </w:r>
          </w:p>
        </w:tc>
      </w:tr>
    </w:tbl>
    <w:p w:rsidR="00000000" w:rsidRDefault="00ED332C">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ED332C">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ED332C">
            <w:pPr>
              <w:widowControl/>
              <w:jc w:val="left"/>
              <w:rPr>
                <w:kern w:val="0"/>
                <w:sz w:val="20"/>
                <w:szCs w:val="20"/>
              </w:rPr>
            </w:pPr>
          </w:p>
        </w:tc>
      </w:tr>
    </w:tbl>
    <w:p w:rsidR="00000000" w:rsidRDefault="00ED332C">
      <w:pPr>
        <w:ind w:firstLineChars="300" w:firstLine="723"/>
        <w:rPr>
          <w:rFonts w:ascii="黑体" w:eastAsia="黑体" w:hAnsi="黑体" w:hint="eastAsia"/>
          <w:b/>
          <w:bCs/>
          <w:sz w:val="24"/>
          <w:u w:val="single"/>
        </w:rPr>
      </w:pPr>
    </w:p>
    <w:p w:rsidR="00000000" w:rsidRDefault="00ED332C">
      <w:pPr>
        <w:jc w:val="center"/>
        <w:rPr>
          <w:rFonts w:ascii="黑体" w:eastAsia="黑体" w:hAnsi="黑体" w:hint="eastAsia"/>
          <w:b/>
          <w:bCs/>
          <w:sz w:val="30"/>
          <w:u w:val="single"/>
        </w:rPr>
      </w:pPr>
    </w:p>
    <w:p w:rsidR="00000000" w:rsidRDefault="00ED332C">
      <w:pPr>
        <w:jc w:val="center"/>
        <w:rPr>
          <w:rFonts w:ascii="黑体" w:eastAsia="黑体" w:hAnsi="黑体" w:hint="eastAsia"/>
          <w:b/>
          <w:bCs/>
          <w:sz w:val="30"/>
          <w:u w:val="single"/>
        </w:rPr>
      </w:pPr>
    </w:p>
    <w:p w:rsidR="00000000" w:rsidRDefault="00ED332C">
      <w:pPr>
        <w:jc w:val="center"/>
        <w:rPr>
          <w:rFonts w:hint="eastAsia"/>
          <w:u w:val="single"/>
        </w:rPr>
      </w:pPr>
    </w:p>
    <w:p w:rsidR="00000000" w:rsidRDefault="00ED332C">
      <w:pPr>
        <w:jc w:val="center"/>
        <w:rPr>
          <w:rFonts w:eastAsia="楷体_GB2312"/>
          <w:b/>
          <w:bCs/>
          <w:sz w:val="32"/>
        </w:rPr>
      </w:pPr>
      <w:r>
        <w:rPr>
          <w:rFonts w:eastAsia="楷体_GB2312" w:hint="eastAsia"/>
          <w:b/>
          <w:bCs/>
          <w:sz w:val="32"/>
        </w:rPr>
        <w:t>国家事业单位登记管理局制</w:t>
      </w:r>
    </w:p>
    <w:p w:rsidR="00000000" w:rsidRDefault="00ED332C">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ED332C">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ED332C">
            <w:pPr>
              <w:jc w:val="center"/>
              <w:rPr>
                <w:rFonts w:eastAsia="楷体_GB2312"/>
                <w:b/>
                <w:bCs/>
                <w:sz w:val="32"/>
              </w:rPr>
            </w:pPr>
            <w:r>
              <w:rPr>
                <w:rFonts w:eastAsia="楷体_GB2312" w:hint="eastAsia"/>
                <w:b/>
                <w:bCs/>
                <w:sz w:val="32"/>
              </w:rPr>
              <w:t>单位</w:t>
            </w:r>
          </w:p>
          <w:p w:rsidR="00000000" w:rsidRDefault="00ED332C">
            <w:pPr>
              <w:jc w:val="center"/>
              <w:rPr>
                <w:rFonts w:eastAsia="楷体_GB2312"/>
                <w:b/>
                <w:bCs/>
                <w:sz w:val="32"/>
              </w:rPr>
            </w:pPr>
            <w:r>
              <w:rPr>
                <w:rFonts w:eastAsia="楷体_GB2312" w:hint="eastAsia"/>
                <w:b/>
                <w:bCs/>
                <w:sz w:val="32"/>
              </w:rPr>
              <w:t>法人</w:t>
            </w:r>
          </w:p>
          <w:p w:rsidR="00000000" w:rsidRDefault="00ED332C">
            <w:pPr>
              <w:jc w:val="center"/>
              <w:rPr>
                <w:rFonts w:eastAsia="楷体_GB2312"/>
                <w:b/>
                <w:bCs/>
                <w:sz w:val="32"/>
              </w:rPr>
            </w:pPr>
            <w:r>
              <w:rPr>
                <w:rFonts w:eastAsia="楷体_GB2312" w:hint="eastAsia"/>
                <w:b/>
                <w:bCs/>
                <w:sz w:val="32"/>
              </w:rPr>
              <w:t>证书》</w:t>
            </w:r>
          </w:p>
          <w:p w:rsidR="00000000" w:rsidRDefault="00ED332C">
            <w:pPr>
              <w:jc w:val="center"/>
              <w:rPr>
                <w:rFonts w:eastAsia="楷体_GB2312"/>
                <w:b/>
                <w:bCs/>
                <w:sz w:val="32"/>
              </w:rPr>
            </w:pPr>
            <w:r>
              <w:rPr>
                <w:rFonts w:eastAsia="楷体_GB2312" w:hint="eastAsia"/>
                <w:b/>
                <w:bCs/>
                <w:sz w:val="32"/>
              </w:rPr>
              <w:t>登载</w:t>
            </w:r>
          </w:p>
          <w:p w:rsidR="00000000" w:rsidRDefault="00ED332C">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ED332C">
            <w:pPr>
              <w:spacing w:line="320" w:lineRule="exact"/>
              <w:jc w:val="left"/>
              <w:rPr>
                <w:rStyle w:val="font71"/>
                <w:rFonts w:ascii="楷体_GB2312"/>
                <w:szCs w:val="28"/>
              </w:rPr>
            </w:pPr>
            <w:r>
              <w:rPr>
                <w:rStyle w:val="font71"/>
                <w:rFonts w:ascii="楷体_GB2312" w:hint="eastAsia"/>
                <w:szCs w:val="28"/>
              </w:rPr>
              <w:t>重庆市合川区肖家敬老院</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D332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t>宗旨和</w:t>
            </w:r>
          </w:p>
          <w:p w:rsidR="00000000" w:rsidRDefault="00ED332C">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D332C">
            <w:pPr>
              <w:jc w:val="left"/>
              <w:rPr>
                <w:rStyle w:val="font71"/>
                <w:rFonts w:ascii="楷体_GB2312"/>
                <w:szCs w:val="28"/>
              </w:rPr>
            </w:pPr>
            <w:r>
              <w:rPr>
                <w:rStyle w:val="font71"/>
                <w:rFonts w:ascii="楷体_GB2312" w:hint="eastAsia"/>
                <w:szCs w:val="28"/>
              </w:rPr>
              <w:t>为无劳动能力、无生活来源又无法定赡养义务人，或者其法定赡养义务人无赡养能力的老年、残疾或者未满</w:t>
            </w:r>
            <w:r>
              <w:rPr>
                <w:rStyle w:val="font71"/>
                <w:rFonts w:ascii="楷体_GB2312" w:hint="eastAsia"/>
                <w:szCs w:val="28"/>
              </w:rPr>
              <w:t>16</w:t>
            </w:r>
            <w:r>
              <w:rPr>
                <w:rStyle w:val="font71"/>
                <w:rFonts w:ascii="楷体_GB2312" w:hint="eastAsia"/>
                <w:szCs w:val="28"/>
              </w:rPr>
              <w:t>周岁的村民提供供养服务。</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D332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D332C">
            <w:pPr>
              <w:jc w:val="left"/>
            </w:pPr>
            <w:r>
              <w:rPr>
                <w:rStyle w:val="font71"/>
                <w:rFonts w:ascii="楷体_GB2312" w:hint="eastAsia"/>
                <w:szCs w:val="28"/>
              </w:rPr>
              <w:t>重庆市合川区肖家镇启蒙街</w:t>
            </w:r>
            <w:r>
              <w:rPr>
                <w:rStyle w:val="font71"/>
                <w:rFonts w:ascii="楷体_GB2312" w:hint="eastAsia"/>
                <w:szCs w:val="28"/>
              </w:rPr>
              <w:t>13</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D332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D332C">
            <w:pPr>
              <w:jc w:val="left"/>
            </w:pPr>
            <w:r>
              <w:rPr>
                <w:rStyle w:val="font71"/>
                <w:rFonts w:ascii="楷体_GB2312" w:hint="eastAsia"/>
                <w:szCs w:val="28"/>
              </w:rPr>
              <w:t>蒋元杰</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D332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ED332C">
            <w:pPr>
              <w:jc w:val="left"/>
              <w:rPr>
                <w:rStyle w:val="font71"/>
                <w:rFonts w:ascii="楷体_GB2312"/>
                <w:szCs w:val="28"/>
              </w:rPr>
            </w:pPr>
            <w:r>
              <w:rPr>
                <w:rStyle w:val="font71"/>
                <w:rFonts w:ascii="楷体_GB2312" w:hint="eastAsia"/>
                <w:szCs w:val="28"/>
              </w:rPr>
              <w:t>5.6</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D332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ED332C">
            <w:pPr>
              <w:jc w:val="left"/>
              <w:rPr>
                <w:rStyle w:val="font61"/>
                <w:szCs w:val="32"/>
              </w:rPr>
            </w:pPr>
            <w:r>
              <w:rPr>
                <w:rStyle w:val="font71"/>
                <w:rFonts w:ascii="楷体_GB2312" w:hint="eastAsia"/>
                <w:szCs w:val="28"/>
              </w:rPr>
              <w:t>非财政补助</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ED332C">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ED332C">
            <w:pPr>
              <w:jc w:val="left"/>
            </w:pPr>
            <w:r>
              <w:rPr>
                <w:rStyle w:val="font71"/>
                <w:rFonts w:ascii="楷体_GB2312" w:hint="eastAsia"/>
                <w:szCs w:val="28"/>
              </w:rPr>
              <w:t>重庆市合川区肖家镇人民政府</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ED332C">
            <w:pPr>
              <w:widowControl/>
              <w:jc w:val="center"/>
              <w:rPr>
                <w:rFonts w:eastAsia="楷体_GB2312"/>
                <w:b/>
                <w:sz w:val="32"/>
              </w:rPr>
            </w:pPr>
            <w:r>
              <w:rPr>
                <w:rFonts w:eastAsia="楷体_GB2312" w:hint="eastAsia"/>
                <w:b/>
                <w:sz w:val="32"/>
              </w:rPr>
              <w:t>资产</w:t>
            </w:r>
          </w:p>
          <w:p w:rsidR="00000000" w:rsidRDefault="00ED332C">
            <w:pPr>
              <w:widowControl/>
              <w:jc w:val="center"/>
              <w:rPr>
                <w:rFonts w:eastAsia="楷体_GB2312"/>
                <w:b/>
                <w:sz w:val="32"/>
              </w:rPr>
            </w:pPr>
            <w:r>
              <w:rPr>
                <w:rFonts w:eastAsia="楷体_GB2312" w:hint="eastAsia"/>
                <w:b/>
                <w:sz w:val="32"/>
              </w:rPr>
              <w:t>损益</w:t>
            </w:r>
          </w:p>
          <w:p w:rsidR="00000000" w:rsidRDefault="00ED332C">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ED332C">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ED332C">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ED332C">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ED332C">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Style w:val="font61"/>
              </w:rPr>
            </w:pPr>
            <w:r>
              <w:rPr>
                <w:rStyle w:val="font61"/>
              </w:rPr>
              <w:t>2</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ED332C">
            <w:pPr>
              <w:jc w:val="center"/>
            </w:pPr>
            <w:r>
              <w:rPr>
                <w:rStyle w:val="font71"/>
                <w:sz w:val="32"/>
                <w:szCs w:val="32"/>
              </w:rPr>
              <w:t>5</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ED332C">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ED332C">
            <w:pPr>
              <w:spacing w:line="0" w:lineRule="atLeast"/>
              <w:jc w:val="left"/>
              <w:rPr>
                <w:rFonts w:ascii="楷体_GB2312" w:eastAsia="楷体_GB2312"/>
                <w:sz w:val="32"/>
              </w:rPr>
            </w:pPr>
            <w:r>
              <w:rPr>
                <w:rFonts w:ascii="楷体_GB2312" w:eastAsia="楷体_GB2312" w:hint="eastAsia"/>
                <w:b/>
                <w:bCs/>
                <w:sz w:val="32"/>
              </w:rPr>
              <w:t>重庆市合川区肖家敬老院</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ED332C">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ED332C">
            <w:pPr>
              <w:spacing w:line="0" w:lineRule="atLeast"/>
              <w:jc w:val="left"/>
              <w:rPr>
                <w:rFonts w:ascii="楷体_GB2312" w:eastAsia="楷体_GB2312"/>
                <w:sz w:val="32"/>
              </w:rPr>
            </w:pPr>
            <w:r>
              <w:rPr>
                <w:rStyle w:val="font61"/>
              </w:rPr>
              <w:t>4</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lastRenderedPageBreak/>
              <w:t>对《条</w:t>
            </w:r>
          </w:p>
          <w:p w:rsidR="00000000" w:rsidRDefault="00ED332C">
            <w:pPr>
              <w:jc w:val="center"/>
              <w:rPr>
                <w:rFonts w:eastAsia="楷体_GB2312"/>
                <w:b/>
                <w:bCs/>
                <w:sz w:val="32"/>
              </w:rPr>
            </w:pPr>
            <w:r>
              <w:rPr>
                <w:rFonts w:eastAsia="楷体_GB2312" w:hint="eastAsia"/>
                <w:b/>
                <w:bCs/>
                <w:sz w:val="32"/>
              </w:rPr>
              <w:t>例》和</w:t>
            </w:r>
          </w:p>
          <w:p w:rsidR="00000000" w:rsidRDefault="00ED332C">
            <w:pPr>
              <w:jc w:val="center"/>
              <w:rPr>
                <w:rFonts w:eastAsia="楷体_GB2312"/>
                <w:b/>
                <w:bCs/>
                <w:sz w:val="32"/>
              </w:rPr>
            </w:pPr>
            <w:r>
              <w:rPr>
                <w:rFonts w:eastAsia="楷体_GB2312" w:hint="eastAsia"/>
                <w:b/>
                <w:bCs/>
                <w:sz w:val="32"/>
              </w:rPr>
              <w:t>实施细</w:t>
            </w:r>
          </w:p>
          <w:p w:rsidR="00000000" w:rsidRDefault="00ED332C">
            <w:pPr>
              <w:jc w:val="center"/>
              <w:rPr>
                <w:rFonts w:eastAsia="楷体_GB2312"/>
                <w:b/>
                <w:bCs/>
                <w:sz w:val="32"/>
              </w:rPr>
            </w:pPr>
            <w:r>
              <w:rPr>
                <w:rFonts w:eastAsia="楷体_GB2312" w:hint="eastAsia"/>
                <w:b/>
                <w:bCs/>
                <w:sz w:val="32"/>
              </w:rPr>
              <w:t>则有关</w:t>
            </w:r>
          </w:p>
          <w:p w:rsidR="00000000" w:rsidRDefault="00ED332C">
            <w:pPr>
              <w:jc w:val="center"/>
              <w:rPr>
                <w:rFonts w:eastAsia="楷体_GB2312"/>
                <w:b/>
                <w:bCs/>
                <w:sz w:val="32"/>
              </w:rPr>
            </w:pPr>
            <w:r>
              <w:rPr>
                <w:rFonts w:eastAsia="楷体_GB2312" w:hint="eastAsia"/>
                <w:b/>
                <w:bCs/>
                <w:sz w:val="32"/>
              </w:rPr>
              <w:t>变更登</w:t>
            </w:r>
          </w:p>
          <w:p w:rsidR="00000000" w:rsidRDefault="00ED332C">
            <w:pPr>
              <w:jc w:val="center"/>
              <w:rPr>
                <w:rFonts w:eastAsia="楷体_GB2312"/>
                <w:b/>
                <w:bCs/>
                <w:sz w:val="32"/>
              </w:rPr>
            </w:pPr>
            <w:r>
              <w:rPr>
                <w:rFonts w:eastAsia="楷体_GB2312" w:hint="eastAsia"/>
                <w:b/>
                <w:bCs/>
                <w:sz w:val="32"/>
              </w:rPr>
              <w:t>记规定</w:t>
            </w:r>
          </w:p>
          <w:p w:rsidR="00000000" w:rsidRDefault="00ED332C">
            <w:pPr>
              <w:jc w:val="center"/>
              <w:rPr>
                <w:rFonts w:eastAsia="楷体_GB2312"/>
                <w:b/>
                <w:bCs/>
                <w:sz w:val="32"/>
              </w:rPr>
            </w:pPr>
            <w:r>
              <w:rPr>
                <w:rFonts w:eastAsia="楷体_GB2312" w:hint="eastAsia"/>
                <w:b/>
                <w:bCs/>
                <w:sz w:val="32"/>
              </w:rPr>
              <w:t>的执行</w:t>
            </w:r>
          </w:p>
          <w:p w:rsidR="00000000" w:rsidRDefault="00ED332C">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ED332C">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ED332C">
            <w:pPr>
              <w:jc w:val="center"/>
              <w:rPr>
                <w:rFonts w:eastAsia="楷体_GB2312"/>
                <w:b/>
                <w:bCs/>
                <w:sz w:val="32"/>
              </w:rPr>
            </w:pPr>
            <w:r>
              <w:rPr>
                <w:rFonts w:eastAsia="楷体_GB2312" w:hint="eastAsia"/>
                <w:b/>
                <w:bCs/>
                <w:sz w:val="32"/>
              </w:rPr>
              <w:t>开</w:t>
            </w:r>
          </w:p>
          <w:p w:rsidR="00000000" w:rsidRDefault="00ED332C">
            <w:pPr>
              <w:jc w:val="center"/>
              <w:rPr>
                <w:rFonts w:eastAsia="楷体_GB2312"/>
                <w:b/>
                <w:bCs/>
                <w:sz w:val="32"/>
              </w:rPr>
            </w:pPr>
            <w:r>
              <w:rPr>
                <w:rFonts w:eastAsia="楷体_GB2312" w:hint="eastAsia"/>
                <w:b/>
                <w:bCs/>
                <w:sz w:val="32"/>
              </w:rPr>
              <w:t>展</w:t>
            </w:r>
          </w:p>
          <w:p w:rsidR="00000000" w:rsidRDefault="00ED332C">
            <w:pPr>
              <w:jc w:val="center"/>
              <w:rPr>
                <w:rFonts w:eastAsia="楷体_GB2312"/>
                <w:b/>
                <w:bCs/>
                <w:sz w:val="32"/>
              </w:rPr>
            </w:pPr>
            <w:r>
              <w:rPr>
                <w:rFonts w:eastAsia="楷体_GB2312" w:hint="eastAsia"/>
                <w:b/>
                <w:bCs/>
                <w:sz w:val="32"/>
              </w:rPr>
              <w:t>业</w:t>
            </w:r>
          </w:p>
          <w:p w:rsidR="00000000" w:rsidRDefault="00ED332C">
            <w:pPr>
              <w:jc w:val="center"/>
              <w:rPr>
                <w:rFonts w:eastAsia="楷体_GB2312"/>
                <w:b/>
                <w:bCs/>
                <w:sz w:val="32"/>
              </w:rPr>
            </w:pPr>
            <w:r>
              <w:rPr>
                <w:rFonts w:eastAsia="楷体_GB2312" w:hint="eastAsia"/>
                <w:b/>
                <w:bCs/>
                <w:sz w:val="32"/>
              </w:rPr>
              <w:t>务</w:t>
            </w:r>
          </w:p>
          <w:p w:rsidR="00000000" w:rsidRDefault="00ED332C">
            <w:pPr>
              <w:jc w:val="center"/>
              <w:rPr>
                <w:rFonts w:eastAsia="楷体_GB2312"/>
                <w:b/>
                <w:bCs/>
                <w:sz w:val="32"/>
              </w:rPr>
            </w:pPr>
            <w:r>
              <w:rPr>
                <w:rFonts w:eastAsia="楷体_GB2312" w:hint="eastAsia"/>
                <w:b/>
                <w:bCs/>
                <w:sz w:val="32"/>
              </w:rPr>
              <w:t>活</w:t>
            </w:r>
          </w:p>
          <w:p w:rsidR="00000000" w:rsidRDefault="00ED332C">
            <w:pPr>
              <w:jc w:val="center"/>
              <w:rPr>
                <w:rFonts w:eastAsia="楷体_GB2312"/>
                <w:b/>
                <w:bCs/>
                <w:sz w:val="32"/>
              </w:rPr>
            </w:pPr>
            <w:r>
              <w:rPr>
                <w:rFonts w:eastAsia="楷体_GB2312" w:hint="eastAsia"/>
                <w:b/>
                <w:bCs/>
                <w:sz w:val="32"/>
              </w:rPr>
              <w:t>动</w:t>
            </w:r>
          </w:p>
          <w:p w:rsidR="00000000" w:rsidRDefault="00ED332C">
            <w:pPr>
              <w:jc w:val="center"/>
              <w:rPr>
                <w:rFonts w:eastAsia="楷体_GB2312"/>
                <w:b/>
                <w:bCs/>
                <w:sz w:val="32"/>
              </w:rPr>
            </w:pPr>
            <w:r>
              <w:rPr>
                <w:rFonts w:eastAsia="楷体_GB2312" w:hint="eastAsia"/>
                <w:b/>
                <w:bCs/>
                <w:sz w:val="32"/>
              </w:rPr>
              <w:t>情</w:t>
            </w:r>
          </w:p>
          <w:p w:rsidR="00000000" w:rsidRDefault="00ED332C">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ED332C">
            <w:pPr>
              <w:autoSpaceDE w:val="0"/>
              <w:autoSpaceDN w:val="0"/>
              <w:adjustRightInd w:val="0"/>
              <w:snapToGrid w:val="0"/>
              <w:spacing w:line="360" w:lineRule="auto"/>
              <w:rPr>
                <w:rStyle w:val="font71"/>
                <w:rFonts w:ascii="楷体_GB2312"/>
              </w:rPr>
            </w:pPr>
            <w:r>
              <w:rPr>
                <w:rStyle w:val="font71"/>
                <w:rFonts w:ascii="楷体_GB2312" w:hint="eastAsia"/>
              </w:rPr>
              <w:t>敬老院现入住特困人员</w:t>
            </w:r>
            <w:r>
              <w:rPr>
                <w:rStyle w:val="font71"/>
                <w:rFonts w:ascii="楷体_GB2312" w:hint="eastAsia"/>
              </w:rPr>
              <w:t>21</w:t>
            </w:r>
            <w:r>
              <w:rPr>
                <w:rStyle w:val="font71"/>
                <w:rFonts w:ascii="楷体_GB2312" w:hint="eastAsia"/>
              </w:rPr>
              <w:t>人，（其中全自理</w:t>
            </w:r>
            <w:r>
              <w:rPr>
                <w:rStyle w:val="font71"/>
                <w:rFonts w:ascii="楷体_GB2312" w:hint="eastAsia"/>
              </w:rPr>
              <w:t>14</w:t>
            </w:r>
            <w:r>
              <w:rPr>
                <w:rStyle w:val="font71"/>
                <w:rFonts w:ascii="楷体_GB2312" w:hint="eastAsia"/>
              </w:rPr>
              <w:t>人，全护理</w:t>
            </w:r>
            <w:r>
              <w:rPr>
                <w:rStyle w:val="font71"/>
                <w:rFonts w:ascii="楷体_GB2312" w:hint="eastAsia"/>
              </w:rPr>
              <w:t>7</w:t>
            </w:r>
            <w:r>
              <w:rPr>
                <w:rStyle w:val="font71"/>
                <w:rFonts w:ascii="楷体_GB2312" w:hint="eastAsia"/>
              </w:rPr>
              <w:t>人。）一是进一步完善了相关制度，如安全管理制度、出入院管理制度、应急管理制度、</w:t>
            </w:r>
            <w:r>
              <w:rPr>
                <w:rStyle w:val="font71"/>
                <w:rFonts w:ascii="楷体_GB2312" w:hint="eastAsia"/>
              </w:rPr>
              <w:t>24</w:t>
            </w:r>
            <w:r>
              <w:rPr>
                <w:rStyle w:val="font71"/>
                <w:rFonts w:ascii="楷体_GB2312" w:hint="eastAsia"/>
              </w:rPr>
              <w:t>小时值班制度、疫情防控应急预案等。二是</w:t>
            </w:r>
            <w:r>
              <w:rPr>
                <w:rStyle w:val="font71"/>
                <w:rFonts w:ascii="楷体_GB2312" w:hint="eastAsia"/>
              </w:rPr>
              <w:t xml:space="preserve"> </w:t>
            </w:r>
            <w:r>
              <w:rPr>
                <w:rStyle w:val="font71"/>
                <w:rFonts w:ascii="楷体_GB2312" w:hint="eastAsia"/>
              </w:rPr>
              <w:t>规范化管理，组织敬老院管理服务人员，积极参加各类业务培训，提高管理服务水平。今年共组织敬老院工作人员和院民开展安全知识和疫情防控个人防护培训</w:t>
            </w:r>
            <w:r>
              <w:rPr>
                <w:rStyle w:val="font71"/>
                <w:rFonts w:ascii="楷体_GB2312" w:hint="eastAsia"/>
              </w:rPr>
              <w:t>6</w:t>
            </w:r>
            <w:r>
              <w:rPr>
                <w:rStyle w:val="font71"/>
                <w:rFonts w:ascii="楷体_GB2312" w:hint="eastAsia"/>
              </w:rPr>
              <w:t>次，应急演练</w:t>
            </w:r>
            <w:r>
              <w:rPr>
                <w:rStyle w:val="font71"/>
                <w:rFonts w:ascii="楷体_GB2312" w:hint="eastAsia"/>
              </w:rPr>
              <w:t>4</w:t>
            </w:r>
            <w:r>
              <w:rPr>
                <w:rStyle w:val="font71"/>
                <w:rFonts w:ascii="楷体_GB2312" w:hint="eastAsia"/>
              </w:rPr>
              <w:t>次，区级组织敬老院工作人员开展服务能力提升培训</w:t>
            </w:r>
            <w:r>
              <w:rPr>
                <w:rStyle w:val="font71"/>
                <w:rFonts w:ascii="楷体_GB2312" w:hint="eastAsia"/>
              </w:rPr>
              <w:t>2</w:t>
            </w:r>
            <w:r>
              <w:rPr>
                <w:rStyle w:val="font71"/>
                <w:rFonts w:ascii="楷体_GB2312" w:hint="eastAsia"/>
              </w:rPr>
              <w:t>次。三是加强了安全管理，要求管理人员</w:t>
            </w:r>
            <w:r>
              <w:rPr>
                <w:rStyle w:val="font71"/>
                <w:rFonts w:ascii="楷体_GB2312" w:hint="eastAsia"/>
              </w:rPr>
              <w:t>24</w:t>
            </w:r>
            <w:r>
              <w:rPr>
                <w:rStyle w:val="font71"/>
                <w:rFonts w:ascii="楷体_GB2312" w:hint="eastAsia"/>
              </w:rPr>
              <w:t>小时值班，食品要</w:t>
            </w:r>
            <w:r>
              <w:rPr>
                <w:rStyle w:val="font71"/>
                <w:rFonts w:ascii="楷体_GB2312" w:hint="eastAsia"/>
              </w:rPr>
              <w:t>48</w:t>
            </w:r>
            <w:r>
              <w:rPr>
                <w:rStyle w:val="font71"/>
                <w:rFonts w:ascii="楷体_GB2312" w:hint="eastAsia"/>
              </w:rPr>
              <w:t>小时留样备查。四是强化了内务管理，要求老人们要勤洗澡，勤换衣，衣服干净整洁，身上无异味，床上用品夏天半月洗一次，冬季每月洗一次，厕所变得干净无尿渍，物品摆放整齐有序，房间无异味。今年</w:t>
            </w:r>
            <w:r>
              <w:rPr>
                <w:rStyle w:val="font71"/>
                <w:rFonts w:ascii="楷体_GB2312" w:hint="eastAsia"/>
              </w:rPr>
              <w:t>8</w:t>
            </w:r>
            <w:r>
              <w:rPr>
                <w:rStyle w:val="font71"/>
                <w:rFonts w:ascii="楷体_GB2312" w:hint="eastAsia"/>
              </w:rPr>
              <w:t>月以来，委托南鼎养老服务公司走进肖家敬老院和养老服务中心，并签订委托管理协议书。为集中供养特困人员提供</w:t>
            </w:r>
            <w:r>
              <w:rPr>
                <w:rStyle w:val="font71"/>
                <w:rFonts w:ascii="楷体_GB2312" w:hint="eastAsia"/>
              </w:rPr>
              <w:t>24</w:t>
            </w:r>
            <w:r>
              <w:rPr>
                <w:rStyle w:val="font71"/>
                <w:rFonts w:ascii="楷体_GB2312" w:hint="eastAsia"/>
              </w:rPr>
              <w:t>小时照料、个人照</w:t>
            </w:r>
            <w:r>
              <w:rPr>
                <w:rStyle w:val="font71"/>
                <w:rFonts w:ascii="楷体_GB2312" w:hint="eastAsia"/>
              </w:rPr>
              <w:lastRenderedPageBreak/>
              <w:t>顾、保健康复、休闲娱乐、精神慰藉。对失能、半失能老人按照区民政局要求提供洗浴、洗漱、衣服清洗、助餐等日常生活护理。享受养老服务中心内各类设施设备及均等化服务，接供空调、电视、康复</w:t>
            </w:r>
            <w:r w:rsidR="008B65A3" w:rsidRPr="008B65A3">
              <w:rPr>
                <w:rStyle w:val="font71"/>
                <w:rFonts w:ascii="楷体_GB2312" w:hint="eastAsia"/>
              </w:rPr>
              <w:t>锻炼</w:t>
            </w:r>
            <w:bookmarkStart w:id="0" w:name="_GoBack"/>
            <w:bookmarkEnd w:id="0"/>
            <w:r>
              <w:rPr>
                <w:rStyle w:val="font71"/>
                <w:rFonts w:ascii="楷体_GB2312" w:hint="eastAsia"/>
              </w:rPr>
              <w:t>器材等休闲娱乐设施设备。</w:t>
            </w:r>
            <w:r>
              <w:rPr>
                <w:rStyle w:val="font71"/>
                <w:rFonts w:ascii="楷体_GB2312" w:hint="eastAsia"/>
              </w:rPr>
              <w:t>提供必要的床上用品、生活用品及基本衣物保障，为老人们提供更加优质的服务。安享晚年之乐。</w:t>
            </w:r>
            <w:r>
              <w:rPr>
                <w:rStyle w:val="font71"/>
                <w:rFonts w:ascii="楷体_GB2312" w:hint="eastAsia"/>
              </w:rPr>
              <w:t xml:space="preserve"> </w:t>
            </w:r>
          </w:p>
          <w:p w:rsidR="00000000" w:rsidRDefault="00ED332C">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ED332C">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ED332C">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ED332C">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ED332C">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ED332C">
            <w:pPr>
              <w:spacing w:line="0" w:lineRule="atLeast"/>
              <w:rPr>
                <w:rFonts w:eastAsia="楷体_GB2312"/>
                <w:b/>
                <w:bCs/>
                <w:sz w:val="32"/>
              </w:rPr>
            </w:pPr>
            <w:r>
              <w:rPr>
                <w:rFonts w:eastAsia="楷体_GB2312" w:hint="eastAsia"/>
                <w:b/>
                <w:bCs/>
                <w:sz w:val="32"/>
              </w:rPr>
              <w:lastRenderedPageBreak/>
              <w:t>接受捐赠</w:t>
            </w:r>
          </w:p>
          <w:p w:rsidR="00000000" w:rsidRDefault="00ED332C">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ED332C">
            <w:pPr>
              <w:jc w:val="left"/>
            </w:pPr>
            <w:r>
              <w:rPr>
                <w:rStyle w:val="font71"/>
                <w:rFonts w:ascii="楷体_GB2312" w:hint="eastAsia"/>
                <w:szCs w:val="28"/>
              </w:rPr>
              <w:t>无</w:t>
            </w:r>
          </w:p>
        </w:tc>
      </w:tr>
    </w:tbl>
    <w:p w:rsidR="00ED332C" w:rsidRDefault="00ED332C">
      <w:pPr>
        <w:jc w:val="left"/>
        <w:rPr>
          <w:rFonts w:ascii="楷体_GB2312" w:eastAsia="楷体_GB2312"/>
          <w:b/>
          <w:bCs/>
          <w:sz w:val="28"/>
          <w:szCs w:val="28"/>
        </w:rPr>
      </w:pPr>
    </w:p>
    <w:sectPr w:rsidR="00ED332C">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8B65A3"/>
    <w:rsid w:val="008B65A3"/>
    <w:rsid w:val="00ED3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Words>
  <Characters>880</Characters>
  <Application>Microsoft Office Word</Application>
  <DocSecurity>0</DocSecurity>
  <Lines>7</Lines>
  <Paragraphs>2</Paragraphs>
  <ScaleCrop>false</ScaleCrop>
  <Company>WwW.YlmF.CoM</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2024-08-29T02:21:00Z</dcterms:created>
  <dcterms:modified xsi:type="dcterms:W3CDTF">2024-08-29T02:21:00Z</dcterms:modified>
</cp:coreProperties>
</file>