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DC23E">
      <w:pPr>
        <w:wordWrap w:val="0"/>
        <w:jc w:val="right"/>
        <w:rPr>
          <w:rFonts w:ascii="楷体_GB2312" w:eastAsia="楷体_GB2312"/>
          <w:b/>
          <w:sz w:val="30"/>
        </w:rPr>
      </w:pPr>
      <w:r>
        <w:rPr>
          <w:rFonts w:hint="eastAsia" w:ascii="楷体_GB2312" w:eastAsia="楷体_GB2312"/>
          <w:b/>
          <w:sz w:val="30"/>
        </w:rPr>
        <w:t xml:space="preserve">统一社会信用代码   </w:t>
      </w:r>
    </w:p>
    <w:p w14:paraId="3C145FBD">
      <w:pPr>
        <w:wordWrap w:val="0"/>
        <w:jc w:val="right"/>
        <w:rPr>
          <w:rFonts w:hint="eastAsia" w:eastAsia="楷体_GB2312"/>
          <w:b/>
          <w:bCs/>
          <w:sz w:val="30"/>
        </w:rPr>
      </w:pPr>
      <w:r>
        <w:rPr>
          <w:rFonts w:eastAsia="楷体_GB2312"/>
          <w:b/>
          <w:bCs/>
          <w:sz w:val="30"/>
        </w:rPr>
        <w:t xml:space="preserve">   </w:t>
      </w:r>
      <w:r>
        <w:rPr>
          <w:rStyle w:val="8"/>
          <w:b/>
          <w:bCs/>
          <w:szCs w:val="30"/>
        </w:rPr>
        <w:t>12500382009328838L</w:t>
      </w:r>
      <w:r>
        <w:rPr>
          <w:rFonts w:eastAsia="楷体_GB2312"/>
          <w:b/>
          <w:bCs/>
          <w:sz w:val="30"/>
        </w:rPr>
        <w:t xml:space="preserve">   </w:t>
      </w:r>
    </w:p>
    <w:p w14:paraId="59FAE490">
      <w:pPr>
        <w:jc w:val="right"/>
      </w:pPr>
    </w:p>
    <w:p w14:paraId="6CC486E7">
      <w:pPr>
        <w:jc w:val="right"/>
      </w:pPr>
    </w:p>
    <w:p w14:paraId="28C4C8A7">
      <w:pPr>
        <w:jc w:val="right"/>
      </w:pPr>
    </w:p>
    <w:p w14:paraId="001191CD">
      <w:pPr>
        <w:jc w:val="right"/>
      </w:pPr>
    </w:p>
    <w:p w14:paraId="0554E2B7">
      <w:pPr>
        <w:jc w:val="right"/>
      </w:pPr>
    </w:p>
    <w:p w14:paraId="1D749E04">
      <w:pPr>
        <w:jc w:val="center"/>
        <w:rPr>
          <w:rFonts w:eastAsia="黑体"/>
          <w:b/>
          <w:bCs/>
          <w:spacing w:val="40"/>
          <w:sz w:val="52"/>
        </w:rPr>
      </w:pPr>
      <w:r>
        <w:rPr>
          <w:rFonts w:hint="eastAsia" w:hAnsi="黑体" w:eastAsia="黑体"/>
          <w:b/>
          <w:bCs/>
          <w:spacing w:val="40"/>
          <w:sz w:val="52"/>
        </w:rPr>
        <w:t>事业单位法人年度报告书</w:t>
      </w:r>
    </w:p>
    <w:p w14:paraId="6AC4FF4F">
      <w:pPr>
        <w:jc w:val="center"/>
        <w:rPr>
          <w:rFonts w:eastAsia="黑体"/>
          <w:b/>
          <w:bCs/>
          <w:spacing w:val="30"/>
        </w:rPr>
      </w:pPr>
    </w:p>
    <w:p w14:paraId="42DA96F2">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7D57AAF2">
      <w:pPr>
        <w:jc w:val="center"/>
        <w:rPr>
          <w:sz w:val="36"/>
        </w:rPr>
      </w:pPr>
    </w:p>
    <w:p w14:paraId="4755E330">
      <w:pPr>
        <w:jc w:val="center"/>
        <w:rPr>
          <w:sz w:val="36"/>
        </w:rPr>
      </w:pPr>
    </w:p>
    <w:p w14:paraId="0E5C76EC">
      <w:pPr>
        <w:jc w:val="center"/>
        <w:rPr>
          <w:sz w:val="36"/>
        </w:rPr>
      </w:pPr>
    </w:p>
    <w:p w14:paraId="0C93EB37">
      <w:pPr>
        <w:jc w:val="center"/>
        <w:rPr>
          <w:sz w:val="36"/>
        </w:rPr>
      </w:pPr>
    </w:p>
    <w:p w14:paraId="48977AF5">
      <w:pPr>
        <w:jc w:val="center"/>
        <w:rPr>
          <w:sz w:val="36"/>
        </w:rPr>
      </w:pPr>
    </w:p>
    <w:p w14:paraId="6027A37A">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6F26B4C1">
        <w:tblPrEx>
          <w:tblCellMar>
            <w:top w:w="0" w:type="dxa"/>
            <w:left w:w="108" w:type="dxa"/>
            <w:bottom w:w="0" w:type="dxa"/>
            <w:right w:w="108" w:type="dxa"/>
          </w:tblCellMar>
        </w:tblPrEx>
        <w:trPr>
          <w:trHeight w:val="615" w:hRule="atLeast"/>
          <w:jc w:val="center"/>
        </w:trPr>
        <w:tc>
          <w:tcPr>
            <w:tcW w:w="2405" w:type="dxa"/>
            <w:vAlign w:val="bottom"/>
          </w:tcPr>
          <w:p w14:paraId="1499C8D6">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48B22D4E">
            <w:pPr>
              <w:jc w:val="center"/>
              <w:rPr>
                <w:rStyle w:val="10"/>
                <w:rFonts w:ascii="楷体_GB2312"/>
              </w:rPr>
            </w:pPr>
            <w:r>
              <w:rPr>
                <w:rStyle w:val="10"/>
                <w:rFonts w:hint="eastAsia" w:ascii="楷体_GB2312"/>
              </w:rPr>
              <w:t>重庆市合川区道路运输事务中心</w:t>
            </w:r>
          </w:p>
        </w:tc>
      </w:tr>
    </w:tbl>
    <w:p w14:paraId="76D7AB04">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47B4B7DE">
        <w:tblPrEx>
          <w:tblCellMar>
            <w:top w:w="0" w:type="dxa"/>
            <w:left w:w="108" w:type="dxa"/>
            <w:bottom w:w="0" w:type="dxa"/>
            <w:right w:w="108" w:type="dxa"/>
          </w:tblCellMar>
        </w:tblPrEx>
        <w:trPr>
          <w:trHeight w:val="615" w:hRule="atLeast"/>
          <w:jc w:val="center"/>
        </w:trPr>
        <w:tc>
          <w:tcPr>
            <w:tcW w:w="2365" w:type="dxa"/>
            <w:vAlign w:val="bottom"/>
          </w:tcPr>
          <w:p w14:paraId="70460190">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77A34F5B">
            <w:pPr>
              <w:widowControl/>
              <w:jc w:val="left"/>
              <w:rPr>
                <w:kern w:val="0"/>
                <w:sz w:val="20"/>
                <w:szCs w:val="20"/>
              </w:rPr>
            </w:pPr>
          </w:p>
        </w:tc>
      </w:tr>
    </w:tbl>
    <w:p w14:paraId="70A96034">
      <w:pPr>
        <w:ind w:firstLine="723" w:firstLineChars="300"/>
        <w:rPr>
          <w:rFonts w:hint="eastAsia" w:ascii="黑体" w:hAnsi="黑体" w:eastAsia="黑体"/>
          <w:b/>
          <w:bCs/>
          <w:sz w:val="24"/>
          <w:u w:val="single"/>
        </w:rPr>
      </w:pPr>
    </w:p>
    <w:p w14:paraId="721477C8">
      <w:pPr>
        <w:jc w:val="center"/>
        <w:rPr>
          <w:rFonts w:hint="eastAsia" w:ascii="黑体" w:hAnsi="黑体" w:eastAsia="黑体"/>
          <w:b/>
          <w:bCs/>
          <w:sz w:val="30"/>
          <w:u w:val="single"/>
        </w:rPr>
      </w:pPr>
    </w:p>
    <w:p w14:paraId="70CA5096">
      <w:pPr>
        <w:jc w:val="center"/>
        <w:rPr>
          <w:rFonts w:hint="eastAsia" w:ascii="黑体" w:hAnsi="黑体" w:eastAsia="黑体"/>
          <w:b/>
          <w:bCs/>
          <w:sz w:val="30"/>
          <w:u w:val="single"/>
        </w:rPr>
      </w:pPr>
    </w:p>
    <w:p w14:paraId="2B91F3D0">
      <w:pPr>
        <w:jc w:val="center"/>
        <w:rPr>
          <w:rFonts w:hint="eastAsia"/>
          <w:u w:val="single"/>
        </w:rPr>
      </w:pPr>
    </w:p>
    <w:p w14:paraId="1BD48EF6">
      <w:pPr>
        <w:jc w:val="center"/>
        <w:rPr>
          <w:rFonts w:eastAsia="楷体_GB2312"/>
          <w:b/>
          <w:bCs/>
          <w:sz w:val="32"/>
        </w:rPr>
      </w:pPr>
      <w:r>
        <w:rPr>
          <w:rFonts w:hint="eastAsia" w:eastAsia="楷体_GB2312"/>
          <w:b/>
          <w:bCs/>
          <w:sz w:val="32"/>
        </w:rPr>
        <w:t>国家事业单位登记管理局制</w:t>
      </w:r>
    </w:p>
    <w:p w14:paraId="7110B532">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66F8F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14E81ECC">
            <w:pPr>
              <w:jc w:val="center"/>
              <w:rPr>
                <w:rFonts w:eastAsia="楷体_GB2312"/>
                <w:b/>
                <w:bCs/>
                <w:sz w:val="32"/>
              </w:rPr>
            </w:pPr>
            <w:r>
              <w:rPr>
                <w:rFonts w:hint="eastAsia" w:eastAsia="楷体_GB2312"/>
                <w:b/>
                <w:bCs/>
                <w:sz w:val="32"/>
              </w:rPr>
              <w:t>《事业</w:t>
            </w:r>
          </w:p>
          <w:p w14:paraId="497F3FF8">
            <w:pPr>
              <w:jc w:val="center"/>
              <w:rPr>
                <w:rFonts w:eastAsia="楷体_GB2312"/>
                <w:b/>
                <w:bCs/>
                <w:sz w:val="32"/>
              </w:rPr>
            </w:pPr>
            <w:r>
              <w:rPr>
                <w:rFonts w:hint="eastAsia" w:eastAsia="楷体_GB2312"/>
                <w:b/>
                <w:bCs/>
                <w:sz w:val="32"/>
              </w:rPr>
              <w:t>单位</w:t>
            </w:r>
          </w:p>
          <w:p w14:paraId="22ED24AE">
            <w:pPr>
              <w:jc w:val="center"/>
              <w:rPr>
                <w:rFonts w:eastAsia="楷体_GB2312"/>
                <w:b/>
                <w:bCs/>
                <w:sz w:val="32"/>
              </w:rPr>
            </w:pPr>
            <w:r>
              <w:rPr>
                <w:rFonts w:hint="eastAsia" w:eastAsia="楷体_GB2312"/>
                <w:b/>
                <w:bCs/>
                <w:sz w:val="32"/>
              </w:rPr>
              <w:t>法人</w:t>
            </w:r>
          </w:p>
          <w:p w14:paraId="623C664B">
            <w:pPr>
              <w:jc w:val="center"/>
              <w:rPr>
                <w:rFonts w:eastAsia="楷体_GB2312"/>
                <w:b/>
                <w:bCs/>
                <w:sz w:val="32"/>
              </w:rPr>
            </w:pPr>
            <w:r>
              <w:rPr>
                <w:rFonts w:hint="eastAsia" w:eastAsia="楷体_GB2312"/>
                <w:b/>
                <w:bCs/>
                <w:sz w:val="32"/>
              </w:rPr>
              <w:t>证书》</w:t>
            </w:r>
          </w:p>
          <w:p w14:paraId="12B3959C">
            <w:pPr>
              <w:jc w:val="center"/>
              <w:rPr>
                <w:rFonts w:eastAsia="楷体_GB2312"/>
                <w:b/>
                <w:bCs/>
                <w:sz w:val="32"/>
              </w:rPr>
            </w:pPr>
            <w:r>
              <w:rPr>
                <w:rFonts w:hint="eastAsia" w:eastAsia="楷体_GB2312"/>
                <w:b/>
                <w:bCs/>
                <w:sz w:val="32"/>
              </w:rPr>
              <w:t>登载</w:t>
            </w:r>
          </w:p>
          <w:p w14:paraId="54283837">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3E221802">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7BE46870">
            <w:pPr>
              <w:spacing w:line="320" w:lineRule="exact"/>
              <w:jc w:val="left"/>
              <w:rPr>
                <w:rStyle w:val="11"/>
                <w:rFonts w:ascii="楷体_GB2312"/>
                <w:szCs w:val="28"/>
              </w:rPr>
            </w:pPr>
            <w:r>
              <w:rPr>
                <w:rStyle w:val="11"/>
                <w:rFonts w:hint="eastAsia" w:ascii="楷体_GB2312"/>
                <w:szCs w:val="28"/>
              </w:rPr>
              <w:t>重庆市合川区道路运输事务中心</w:t>
            </w:r>
          </w:p>
        </w:tc>
      </w:tr>
      <w:tr w14:paraId="19A99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A2B9C42">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37559A8">
            <w:pPr>
              <w:jc w:val="center"/>
              <w:rPr>
                <w:rFonts w:eastAsia="楷体_GB2312"/>
                <w:b/>
                <w:bCs/>
                <w:sz w:val="32"/>
              </w:rPr>
            </w:pPr>
            <w:r>
              <w:rPr>
                <w:rFonts w:hint="eastAsia" w:eastAsia="楷体_GB2312"/>
                <w:b/>
                <w:bCs/>
                <w:sz w:val="32"/>
              </w:rPr>
              <w:t>宗旨和</w:t>
            </w:r>
          </w:p>
          <w:p w14:paraId="7D701B85">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0E07C430">
            <w:pPr>
              <w:jc w:val="left"/>
              <w:rPr>
                <w:rStyle w:val="11"/>
                <w:rFonts w:ascii="楷体_GB2312"/>
                <w:szCs w:val="28"/>
              </w:rPr>
            </w:pPr>
            <w:r>
              <w:rPr>
                <w:rStyle w:val="11"/>
                <w:rFonts w:hint="eastAsia" w:ascii="楷体_GB2312"/>
                <w:szCs w:val="28"/>
              </w:rPr>
              <w:t>承担道路运输管理相关辅助性、事务性、技术性等具体工作；道路运输从业人员培训相关业务管理事务工作；道路运输行业安全、应急管理的事务工作；道路运输客、货运组织事务工作</w:t>
            </w:r>
          </w:p>
        </w:tc>
      </w:tr>
      <w:tr w14:paraId="57925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4FD97E7">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69076B8C">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31EE687B">
            <w:pPr>
              <w:jc w:val="left"/>
            </w:pPr>
            <w:r>
              <w:rPr>
                <w:rStyle w:val="11"/>
                <w:rFonts w:hint="eastAsia" w:ascii="楷体_GB2312"/>
                <w:szCs w:val="28"/>
              </w:rPr>
              <w:t>重庆市合川区将军路10号</w:t>
            </w:r>
          </w:p>
        </w:tc>
      </w:tr>
      <w:tr w14:paraId="6E081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0BADCCE">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9070F88">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69C67D99">
            <w:pPr>
              <w:jc w:val="left"/>
            </w:pPr>
            <w:r>
              <w:rPr>
                <w:rStyle w:val="11"/>
                <w:rFonts w:hint="eastAsia" w:ascii="楷体_GB2312"/>
                <w:szCs w:val="28"/>
              </w:rPr>
              <w:t>姚小强</w:t>
            </w:r>
          </w:p>
        </w:tc>
      </w:tr>
      <w:tr w14:paraId="1EDD3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2156E0E">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B54B865">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4B6A358C">
            <w:pPr>
              <w:jc w:val="left"/>
              <w:rPr>
                <w:rStyle w:val="11"/>
                <w:rFonts w:ascii="楷体_GB2312"/>
                <w:szCs w:val="28"/>
              </w:rPr>
            </w:pPr>
            <w:r>
              <w:rPr>
                <w:rStyle w:val="11"/>
                <w:rFonts w:hint="eastAsia" w:ascii="楷体_GB2312"/>
                <w:szCs w:val="28"/>
              </w:rPr>
              <w:t>237（万元）</w:t>
            </w:r>
          </w:p>
        </w:tc>
      </w:tr>
      <w:tr w14:paraId="3D3B0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214A75B7">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019656F2">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543E09E9">
            <w:pPr>
              <w:jc w:val="left"/>
              <w:rPr>
                <w:rStyle w:val="10"/>
                <w:szCs w:val="32"/>
              </w:rPr>
            </w:pPr>
            <w:r>
              <w:rPr>
                <w:rStyle w:val="11"/>
                <w:rFonts w:hint="eastAsia" w:ascii="楷体_GB2312"/>
                <w:szCs w:val="28"/>
              </w:rPr>
              <w:t>财政补助（全额拨款）</w:t>
            </w:r>
          </w:p>
        </w:tc>
      </w:tr>
      <w:tr w14:paraId="1786E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7029560">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4134EAE2">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4F29C099">
            <w:pPr>
              <w:jc w:val="left"/>
            </w:pPr>
            <w:r>
              <w:rPr>
                <w:rStyle w:val="11"/>
                <w:rFonts w:hint="eastAsia" w:ascii="楷体_GB2312"/>
                <w:szCs w:val="28"/>
              </w:rPr>
              <w:t>重庆市合川区交通局</w:t>
            </w:r>
          </w:p>
        </w:tc>
      </w:tr>
      <w:tr w14:paraId="523E0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7468A2F8">
            <w:pPr>
              <w:widowControl/>
              <w:jc w:val="center"/>
              <w:rPr>
                <w:rFonts w:eastAsia="楷体_GB2312"/>
                <w:b/>
                <w:sz w:val="32"/>
              </w:rPr>
            </w:pPr>
            <w:r>
              <w:rPr>
                <w:rFonts w:hint="eastAsia" w:eastAsia="楷体_GB2312"/>
                <w:b/>
                <w:sz w:val="32"/>
              </w:rPr>
              <w:t>资产</w:t>
            </w:r>
          </w:p>
          <w:p w14:paraId="02D78E3F">
            <w:pPr>
              <w:widowControl/>
              <w:jc w:val="center"/>
              <w:rPr>
                <w:rFonts w:eastAsia="楷体_GB2312"/>
                <w:b/>
                <w:sz w:val="32"/>
              </w:rPr>
            </w:pPr>
            <w:r>
              <w:rPr>
                <w:rFonts w:hint="eastAsia" w:eastAsia="楷体_GB2312"/>
                <w:b/>
                <w:sz w:val="32"/>
              </w:rPr>
              <w:t>损益</w:t>
            </w:r>
          </w:p>
          <w:p w14:paraId="57CA264F">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4F369E2A">
            <w:pPr>
              <w:jc w:val="center"/>
              <w:rPr>
                <w:rStyle w:val="10"/>
              </w:rPr>
            </w:pPr>
            <w:r>
              <w:rPr>
                <w:rStyle w:val="10"/>
                <w:rFonts w:hint="eastAsia"/>
              </w:rPr>
              <w:t>净资产合计（所有者权益合计）</w:t>
            </w:r>
          </w:p>
        </w:tc>
      </w:tr>
      <w:tr w14:paraId="4BC59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4CFB61E0">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5831C2CB">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725F0904">
            <w:pPr>
              <w:jc w:val="center"/>
              <w:rPr>
                <w:rStyle w:val="10"/>
              </w:rPr>
            </w:pPr>
            <w:r>
              <w:rPr>
                <w:rStyle w:val="10"/>
                <w:rFonts w:hint="eastAsia"/>
              </w:rPr>
              <w:t>年末数（万元）</w:t>
            </w:r>
          </w:p>
        </w:tc>
      </w:tr>
      <w:tr w14:paraId="42EBA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330593DC">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35F9458D">
            <w:pPr>
              <w:jc w:val="center"/>
              <w:rPr>
                <w:rStyle w:val="10"/>
              </w:rPr>
            </w:pPr>
            <w:r>
              <w:rPr>
                <w:rStyle w:val="10"/>
              </w:rPr>
              <w:t>190.52</w:t>
            </w:r>
          </w:p>
        </w:tc>
        <w:tc>
          <w:tcPr>
            <w:tcW w:w="4153" w:type="dxa"/>
            <w:gridSpan w:val="2"/>
            <w:tcBorders>
              <w:top w:val="single" w:color="auto" w:sz="4" w:space="0"/>
              <w:left w:val="single" w:color="auto" w:sz="4" w:space="0"/>
              <w:bottom w:val="single" w:color="auto" w:sz="4" w:space="0"/>
              <w:right w:val="single" w:color="auto" w:sz="12" w:space="0"/>
            </w:tcBorders>
          </w:tcPr>
          <w:p w14:paraId="5F8AFB08">
            <w:pPr>
              <w:jc w:val="center"/>
            </w:pPr>
            <w:r>
              <w:rPr>
                <w:rStyle w:val="11"/>
                <w:sz w:val="32"/>
                <w:szCs w:val="32"/>
              </w:rPr>
              <w:t>78</w:t>
            </w:r>
          </w:p>
        </w:tc>
      </w:tr>
      <w:tr w14:paraId="1DCBE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7FC762BD">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70372030">
            <w:pPr>
              <w:spacing w:line="0" w:lineRule="atLeast"/>
              <w:jc w:val="left"/>
              <w:rPr>
                <w:rFonts w:ascii="楷体_GB2312" w:eastAsia="楷体_GB2312"/>
                <w:sz w:val="32"/>
              </w:rPr>
            </w:pPr>
            <w:r>
              <w:rPr>
                <w:rFonts w:hint="eastAsia" w:ascii="楷体_GB2312" w:eastAsia="楷体_GB2312"/>
                <w:b/>
                <w:bCs/>
                <w:sz w:val="32"/>
              </w:rPr>
              <w:t>无</w:t>
            </w:r>
          </w:p>
        </w:tc>
        <w:tc>
          <w:tcPr>
            <w:tcW w:w="1701" w:type="dxa"/>
            <w:tcBorders>
              <w:top w:val="single" w:color="auto" w:sz="4" w:space="0"/>
              <w:left w:val="single" w:color="auto" w:sz="4" w:space="0"/>
              <w:bottom w:val="single" w:color="auto" w:sz="4" w:space="0"/>
              <w:right w:val="single" w:color="auto" w:sz="4" w:space="0"/>
            </w:tcBorders>
            <w:vAlign w:val="center"/>
          </w:tcPr>
          <w:p w14:paraId="04FB32CB">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169A1FFE">
            <w:pPr>
              <w:spacing w:line="0" w:lineRule="atLeast"/>
              <w:jc w:val="left"/>
              <w:rPr>
                <w:rFonts w:ascii="楷体_GB2312" w:eastAsia="楷体_GB2312"/>
                <w:sz w:val="32"/>
              </w:rPr>
            </w:pPr>
            <w:r>
              <w:rPr>
                <w:rStyle w:val="10"/>
              </w:rPr>
              <w:t>33</w:t>
            </w:r>
          </w:p>
        </w:tc>
      </w:tr>
      <w:tr w14:paraId="61E3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20B8D08E">
            <w:pPr>
              <w:jc w:val="center"/>
              <w:rPr>
                <w:rFonts w:eastAsia="楷体_GB2312"/>
                <w:b/>
                <w:bCs/>
                <w:sz w:val="32"/>
              </w:rPr>
            </w:pPr>
            <w:r>
              <w:rPr>
                <w:rFonts w:hint="eastAsia" w:eastAsia="楷体_GB2312"/>
                <w:b/>
                <w:bCs/>
                <w:sz w:val="32"/>
              </w:rPr>
              <w:t>对《条</w:t>
            </w:r>
          </w:p>
          <w:p w14:paraId="0B931FB5">
            <w:pPr>
              <w:jc w:val="center"/>
              <w:rPr>
                <w:rFonts w:eastAsia="楷体_GB2312"/>
                <w:b/>
                <w:bCs/>
                <w:sz w:val="32"/>
              </w:rPr>
            </w:pPr>
            <w:r>
              <w:rPr>
                <w:rFonts w:hint="eastAsia" w:eastAsia="楷体_GB2312"/>
                <w:b/>
                <w:bCs/>
                <w:sz w:val="32"/>
              </w:rPr>
              <w:t>例》和</w:t>
            </w:r>
          </w:p>
          <w:p w14:paraId="6FA7D0F1">
            <w:pPr>
              <w:jc w:val="center"/>
              <w:rPr>
                <w:rFonts w:eastAsia="楷体_GB2312"/>
                <w:b/>
                <w:bCs/>
                <w:sz w:val="32"/>
              </w:rPr>
            </w:pPr>
            <w:r>
              <w:rPr>
                <w:rFonts w:hint="eastAsia" w:eastAsia="楷体_GB2312"/>
                <w:b/>
                <w:bCs/>
                <w:sz w:val="32"/>
              </w:rPr>
              <w:t>实施细</w:t>
            </w:r>
          </w:p>
          <w:p w14:paraId="4A204481">
            <w:pPr>
              <w:jc w:val="center"/>
              <w:rPr>
                <w:rFonts w:eastAsia="楷体_GB2312"/>
                <w:b/>
                <w:bCs/>
                <w:sz w:val="32"/>
              </w:rPr>
            </w:pPr>
            <w:r>
              <w:rPr>
                <w:rFonts w:hint="eastAsia" w:eastAsia="楷体_GB2312"/>
                <w:b/>
                <w:bCs/>
                <w:sz w:val="32"/>
              </w:rPr>
              <w:t>则有关</w:t>
            </w:r>
          </w:p>
          <w:p w14:paraId="0A1C5B55">
            <w:pPr>
              <w:jc w:val="center"/>
              <w:rPr>
                <w:rFonts w:eastAsia="楷体_GB2312"/>
                <w:b/>
                <w:bCs/>
                <w:sz w:val="32"/>
              </w:rPr>
            </w:pPr>
            <w:r>
              <w:rPr>
                <w:rFonts w:hint="eastAsia" w:eastAsia="楷体_GB2312"/>
                <w:b/>
                <w:bCs/>
                <w:sz w:val="32"/>
              </w:rPr>
              <w:t>变更登</w:t>
            </w:r>
          </w:p>
          <w:p w14:paraId="51398DBB">
            <w:pPr>
              <w:jc w:val="center"/>
              <w:rPr>
                <w:rFonts w:eastAsia="楷体_GB2312"/>
                <w:b/>
                <w:bCs/>
                <w:sz w:val="32"/>
              </w:rPr>
            </w:pPr>
            <w:r>
              <w:rPr>
                <w:rFonts w:hint="eastAsia" w:eastAsia="楷体_GB2312"/>
                <w:b/>
                <w:bCs/>
                <w:sz w:val="32"/>
              </w:rPr>
              <w:t>记规定</w:t>
            </w:r>
          </w:p>
          <w:p w14:paraId="6A6ED5B5">
            <w:pPr>
              <w:jc w:val="center"/>
              <w:rPr>
                <w:rFonts w:eastAsia="楷体_GB2312"/>
                <w:b/>
                <w:bCs/>
                <w:sz w:val="32"/>
              </w:rPr>
            </w:pPr>
            <w:r>
              <w:rPr>
                <w:rFonts w:hint="eastAsia" w:eastAsia="楷体_GB2312"/>
                <w:b/>
                <w:bCs/>
                <w:sz w:val="32"/>
              </w:rPr>
              <w:t>的执行</w:t>
            </w:r>
          </w:p>
          <w:p w14:paraId="14B87EDD">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186D9652">
            <w:pPr>
              <w:spacing w:line="320" w:lineRule="exact"/>
              <w:rPr>
                <w:rStyle w:val="11"/>
                <w:rFonts w:ascii="楷体_GB2312"/>
                <w:szCs w:val="28"/>
              </w:rPr>
            </w:pPr>
            <w:r>
              <w:rPr>
                <w:rStyle w:val="11"/>
                <w:rFonts w:hint="eastAsia" w:ascii="楷体_GB2312"/>
                <w:szCs w:val="28"/>
              </w:rPr>
              <w:t>严格按照《条例》和实施细则有关变更登记规定执行。</w:t>
            </w:r>
          </w:p>
        </w:tc>
      </w:tr>
      <w:tr w14:paraId="716BC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31291973">
            <w:pPr>
              <w:jc w:val="center"/>
              <w:rPr>
                <w:rFonts w:eastAsia="楷体_GB2312"/>
                <w:b/>
                <w:bCs/>
                <w:sz w:val="32"/>
              </w:rPr>
            </w:pPr>
            <w:r>
              <w:rPr>
                <w:rFonts w:hint="eastAsia" w:eastAsia="楷体_GB2312"/>
                <w:b/>
                <w:bCs/>
                <w:sz w:val="32"/>
              </w:rPr>
              <w:t>开</w:t>
            </w:r>
          </w:p>
          <w:p w14:paraId="7802E6AF">
            <w:pPr>
              <w:jc w:val="center"/>
              <w:rPr>
                <w:rFonts w:eastAsia="楷体_GB2312"/>
                <w:b/>
                <w:bCs/>
                <w:sz w:val="32"/>
              </w:rPr>
            </w:pPr>
            <w:r>
              <w:rPr>
                <w:rFonts w:hint="eastAsia" w:eastAsia="楷体_GB2312"/>
                <w:b/>
                <w:bCs/>
                <w:sz w:val="32"/>
              </w:rPr>
              <w:t>展</w:t>
            </w:r>
          </w:p>
          <w:p w14:paraId="3C54535A">
            <w:pPr>
              <w:jc w:val="center"/>
              <w:rPr>
                <w:rFonts w:eastAsia="楷体_GB2312"/>
                <w:b/>
                <w:bCs/>
                <w:sz w:val="32"/>
              </w:rPr>
            </w:pPr>
            <w:r>
              <w:rPr>
                <w:rFonts w:hint="eastAsia" w:eastAsia="楷体_GB2312"/>
                <w:b/>
                <w:bCs/>
                <w:sz w:val="32"/>
              </w:rPr>
              <w:t>业</w:t>
            </w:r>
          </w:p>
          <w:p w14:paraId="2B561EC8">
            <w:pPr>
              <w:jc w:val="center"/>
              <w:rPr>
                <w:rFonts w:eastAsia="楷体_GB2312"/>
                <w:b/>
                <w:bCs/>
                <w:sz w:val="32"/>
              </w:rPr>
            </w:pPr>
            <w:r>
              <w:rPr>
                <w:rFonts w:hint="eastAsia" w:eastAsia="楷体_GB2312"/>
                <w:b/>
                <w:bCs/>
                <w:sz w:val="32"/>
              </w:rPr>
              <w:t>务</w:t>
            </w:r>
          </w:p>
          <w:p w14:paraId="6BAB6E47">
            <w:pPr>
              <w:jc w:val="center"/>
              <w:rPr>
                <w:rFonts w:eastAsia="楷体_GB2312"/>
                <w:b/>
                <w:bCs/>
                <w:sz w:val="32"/>
              </w:rPr>
            </w:pPr>
            <w:r>
              <w:rPr>
                <w:rFonts w:hint="eastAsia" w:eastAsia="楷体_GB2312"/>
                <w:b/>
                <w:bCs/>
                <w:sz w:val="32"/>
              </w:rPr>
              <w:t>活</w:t>
            </w:r>
          </w:p>
          <w:p w14:paraId="7263937D">
            <w:pPr>
              <w:jc w:val="center"/>
              <w:rPr>
                <w:rFonts w:eastAsia="楷体_GB2312"/>
                <w:b/>
                <w:bCs/>
                <w:sz w:val="32"/>
              </w:rPr>
            </w:pPr>
            <w:r>
              <w:rPr>
                <w:rFonts w:hint="eastAsia" w:eastAsia="楷体_GB2312"/>
                <w:b/>
                <w:bCs/>
                <w:sz w:val="32"/>
              </w:rPr>
              <w:t>动</w:t>
            </w:r>
          </w:p>
          <w:p w14:paraId="2FF4BA84">
            <w:pPr>
              <w:jc w:val="center"/>
              <w:rPr>
                <w:rFonts w:eastAsia="楷体_GB2312"/>
                <w:b/>
                <w:bCs/>
                <w:sz w:val="32"/>
              </w:rPr>
            </w:pPr>
            <w:r>
              <w:rPr>
                <w:rFonts w:hint="eastAsia" w:eastAsia="楷体_GB2312"/>
                <w:b/>
                <w:bCs/>
                <w:sz w:val="32"/>
              </w:rPr>
              <w:t>情</w:t>
            </w:r>
          </w:p>
          <w:p w14:paraId="70ACD1A7">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19B8B118">
            <w:pPr>
              <w:autoSpaceDE w:val="0"/>
              <w:autoSpaceDN w:val="0"/>
              <w:adjustRightInd w:val="0"/>
              <w:snapToGrid w:val="0"/>
              <w:spacing w:line="360" w:lineRule="auto"/>
              <w:rPr>
                <w:rStyle w:val="11"/>
                <w:rFonts w:ascii="楷体_GB2312"/>
              </w:rPr>
            </w:pPr>
            <w:r>
              <w:rPr>
                <w:rStyle w:val="11"/>
                <w:rFonts w:hint="eastAsia" w:ascii="楷体_GB2312"/>
              </w:rPr>
              <w:t>2021年，区道路运输事务中心在区委区府、区交通局的坚强领导下，在道路运输人共同努力下，以机构改革为契机，认真把握新精神、积极适应新形势、努力开创新局面、充分展示新形象，主要围绕“创新驱动、转型升级、降本增效、服务提质、安全稳定”扎实推进全年各项工作任务。现将2021年工作开展报告如下： 一、引领“四发展”，助推合川交通强国建设 （一）引领客运发展，推进城乡一体化。开通505路东津沱滨江公园旅游环线，优化调整610、236、919、929、959A、959B等8条公交线路，新增公交站点21处，增加公交运行线路网20公里，实现了公交分担市民出行量达21%。新增63台纯电动公交车，使我区新能源公交车总数达215台，占公交车总数85.3%，超过国家2019年新能源公交车比重要求。实现城区211台公交语音报站、语音提示、视频监控、移动支付等智能系统全覆盖。完成190辆双到期巡游出租车重新投放和公司化经营改造。新增一矿至三汇火车站、云门至申明村、官渡至龙溪大桥3条农村客运线路；优化云门至石门、凤寺至五块碑、张家至鹞子村等7条农客线路。投入280万元，完成合川至盐井、合川至草街、七间至合隆33处62个港湾式公交站建设；投资231万元，建设花果山公交首末站，预计12月底完成施工。 （二）引领货运发展，推动行业降本增效。积极引导企业转变发展方式，由单一的货运向货运为主，集汽修、汽配、汽贸、配送、仓储等多样化物流转型；探索引入新能源货车，严禁能源不达标车辆进入市场；新增货运业户22家运力286台。 （三）引领驾培发展，促进行业提档升级。严格督促驾校落实《教学大纲》，执行学员各阶段结业考核制度，审查学员学时3万余条，审核发放结业证书1100余份。全区共报名招生16061人，考试合格12761人，考试合格率74.09%。完成从业人员无纸化考试新系统建设和升级改造，普及网上预约、网上缴费、人脸识别等应用功能，已为150余名考生从业资格考试带来便捷。完成600余名驾驶员普通货运从业资格证申领。 （四）引领维修发展，助力行业污染防治。转变发展模式，逐渐从规模扩张向提质增效转变，优化市场结构，进一步建成功能完善、辐射全区周边的维修服务体系，满足全区机动车维修服务需求，全年新增维修业户32家；全区安装应用维修业户电子健康档案系统116家，安装喷漆光氧活性炭净化装置65家，建立汽车尾气排放维护M站16家。 二、推进“六创新”，保障行业安全稳定向好 （一）创新宣传形式，营造浓厚舆论氛围。运用横幅、广告、LED、QQ、微信、动态监控系统等线上线下载体，积极开展“进企业、进乡村、进校园、进车站、进人员密集场所”“五进”宣传活动，发放宣传资料30000余份，车载视频滚动90000余条次。 （二）创新培训模式，提升行业监管能力。采取线下现场培训模式，组织货运企业和汽车租赁企业主要负责人、安全管理人员和中心业务科室人员200余人开展了安全业务能力大提升培训。采取手机APP学习培训模式，组织行业主要负责人、安全管理人员“两类人员”参加安全考核366人，通过考核270人。 （三）创新督导方式，夯实企业主体责任。创造性开展行业督导、专项督导、综合督导、第三方督导、双随机一公开督导方式，督促企业落实安全生产主体责任成效明显，未发生一起道路运输监管责任事故。全年督导道路运输业户289家次，发现并整改问题1116个。（四）创新技术应用，提升科技兴安水平。认真落实“日查岗、周分析、月通报”制度，努力实现我区“两客一危”车辆入网率达100%、上线率达100%、处警率、处罚率达100%。认真落实风险排名警示约谈制度，对车辆动态数据通报排名靠前的重点货运企业召开重点风险货运企业警示约谈会，督促企业严格落实GPS安全管理主体责任。公共汽车和“两客一危”车辆共533台，已全部安装车载智能视频监控报警装置并投入使用。加快建设货运安全托管平台服务中心，指导建立了合川区货运行业协会，筹资100余万元，支持货运行业协会建立安全服务平台，着力解决企业散、小、弱、乱等安全监管难的问题。 （五）创新应急管理，筑牢安全稳定防线。早研判，早部署，防范化解安全稳定风险。召开全行业安全稳定风险研判会，深刻吸取“11.17”事故惨痛教训，排查安全稳定风险44条，实行“一表、一策、一单、一专班”，落实网格到人、化解风险到位。抓节点，抓整治，保障重大安全活动。以“专项整治三年行动”为主线，开展“百日行动”，落实“十条措施”，圆满完成了春运、全国两会</w:t>
            </w:r>
            <w:bookmarkStart w:id="0" w:name="_GoBack"/>
            <w:bookmarkEnd w:id="0"/>
            <w:r>
              <w:rPr>
                <w:rStyle w:val="11"/>
                <w:rFonts w:hint="eastAsia" w:ascii="楷体_GB2312"/>
              </w:rPr>
              <w:t xml:space="preserve">、建党100周年、国庆、中秋、“2021世界交通运输大会”等党和国家重大会议活动、重大节假日期间道路运输安全保障工作。 （六）创新矛盾化解，落实网格管理。成功化解公交车驾驶员薪金问题引发的劳动仲裁矛盾、出租车公司化改革、网约车暂停办理矛盾、农村客运大幅萎缩、驾培经营风险及川东路断道施工影响周边群众出行等突出问题，实现了进渝到京零上访目标。 三、践行“四服务”，助推成渝双城融合发展 （一）推行延时预约服务，精准保质完成许可事项。落实“互联网+政务服务”要求，更新各类行政审批和服务事项一次性告知书46项；优化办事流程，完善行政服务上网事项清单50项，提高承诺办结时限率60%；工作日提供延时服务，双休日及国家法定节假日提供预约服务，推行专项专办，畅通审批绿色通道，秉承特事特办、急事急办。全年办理行政许可20841件。 （二）创新网络服务，实现“一网通办”“跨省通办”。开通“为民服务微信群”，将传统面对面、到窗口办理转变为线对线、屏对屏办理，自9月份上线以来，该系统共完成线上诚信考核160余件，好评率100%。 （三）开行公交服务，唱好双城记演好双城戏。开通合川七间至四川武胜首条省际公交线路（川渝8号），保障沿途群众17万余人出行。加快推进合川三汇至华蓥溪口、合川沙鱼至武胜乐善2条省际公交线路建设。计划投资225万元，建设合川三汇至华蓥溪口（合川段）的38个公交站亭、公交港湾、防撞护栏及附属配套设施建设。计划投资400万元，对合川城区113处公交站点的公交站亭、灯箱式站牌、加设广告灯箱、公交港湾以及标志标牌标线等改造建设。积极争取财政资金500万元，做好农村客运招呼站（点）、农村客运站场等规划设计建设。 （四）持续爱心服务，展现行业精神文明新气象。组织开展慰问一线从业人员发放抗疫物资30000余件（套），“雷锋的士”志愿服务队走进硝硐村关心关爱暨精准帮扶贫困户12家，慰问敬老院孤寡老人150人次，“雷锋的士”爱心送考师生4300余人次。开展“战高温送亲情保安全”活动，送去2万余元清凉物品和亲切慰问。评选2020年道路运输行业“文明使者”等先进典型140人，创建巡游出租车行业五星级“雷锋的士”118辆。全年刊发政务信息250余篇，其中被市道运中心采用信息150余篇；被重庆日报、七一客户端、上游新闻等市级媒体采用信息3篇；区级媒体信息采用40余篇。 </w:t>
            </w:r>
          </w:p>
          <w:p w14:paraId="31E5AF46">
            <w:pPr>
              <w:autoSpaceDE w:val="0"/>
              <w:autoSpaceDN w:val="0"/>
              <w:adjustRightInd w:val="0"/>
              <w:snapToGrid w:val="0"/>
              <w:spacing w:line="360" w:lineRule="auto"/>
              <w:rPr>
                <w:rStyle w:val="11"/>
                <w:rFonts w:ascii="楷体_GB2312"/>
              </w:rPr>
            </w:pPr>
          </w:p>
        </w:tc>
      </w:tr>
      <w:tr w14:paraId="279E9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2C6F2BEC">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3BC59393">
            <w:pPr>
              <w:spacing w:line="320" w:lineRule="exact"/>
              <w:rPr>
                <w:rStyle w:val="11"/>
                <w:rFonts w:ascii="楷体_GB2312"/>
                <w:szCs w:val="28"/>
              </w:rPr>
            </w:pPr>
            <w:r>
              <w:rPr>
                <w:rStyle w:val="11"/>
                <w:rFonts w:hint="eastAsia" w:ascii="楷体_GB2312"/>
              </w:rPr>
              <w:t>无</w:t>
            </w:r>
          </w:p>
        </w:tc>
      </w:tr>
      <w:tr w14:paraId="1DDC9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35D137D6">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14FA9CD8">
            <w:pPr>
              <w:jc w:val="left"/>
            </w:pPr>
            <w:r>
              <w:rPr>
                <w:rStyle w:val="11"/>
                <w:rFonts w:hint="eastAsia" w:ascii="楷体_GB2312"/>
                <w:szCs w:val="28"/>
              </w:rPr>
              <w:t>无</w:t>
            </w:r>
          </w:p>
        </w:tc>
      </w:tr>
      <w:tr w14:paraId="2B7A6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2E22A85A">
            <w:pPr>
              <w:spacing w:line="0" w:lineRule="atLeast"/>
              <w:rPr>
                <w:rFonts w:eastAsia="楷体_GB2312"/>
                <w:b/>
                <w:bCs/>
                <w:sz w:val="32"/>
              </w:rPr>
            </w:pPr>
            <w:r>
              <w:rPr>
                <w:rFonts w:hint="eastAsia" w:eastAsia="楷体_GB2312"/>
                <w:b/>
                <w:bCs/>
                <w:sz w:val="32"/>
              </w:rPr>
              <w:t>接受捐赠</w:t>
            </w:r>
          </w:p>
          <w:p w14:paraId="595F3AB6">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76FDB487">
            <w:pPr>
              <w:jc w:val="left"/>
            </w:pPr>
            <w:r>
              <w:rPr>
                <w:rStyle w:val="11"/>
                <w:rFonts w:hint="eastAsia" w:ascii="楷体_GB2312"/>
                <w:szCs w:val="28"/>
              </w:rPr>
              <w:t>无</w:t>
            </w:r>
          </w:p>
        </w:tc>
      </w:tr>
    </w:tbl>
    <w:p w14:paraId="0171A29E">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3F672E"/>
    <w:rsid w:val="003F672E"/>
    <w:rsid w:val="005F0FA7"/>
    <w:rsid w:val="26E01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locked/>
    <w:uiPriority w:val="99"/>
    <w:rPr>
      <w:rFonts w:hint="default" w:ascii="Times New Roman" w:hAnsi="Times New Roman" w:eastAsia="宋体" w:cs="Times New Roman"/>
      <w:sz w:val="18"/>
      <w:szCs w:val="18"/>
    </w:rPr>
  </w:style>
  <w:style w:type="character" w:customStyle="1" w:styleId="7">
    <w:name w:val="页脚 Char"/>
    <w:basedOn w:val="5"/>
    <w:link w:val="2"/>
    <w:semiHidden/>
    <w:locked/>
    <w:uiPriority w:val="99"/>
    <w:rPr>
      <w:rFonts w:hint="default" w:ascii="Times New Roman" w:hAnsi="Times New Roman" w:eastAsia="宋体" w:cs="Times New Roman"/>
      <w:sz w:val="18"/>
      <w:szCs w:val="18"/>
    </w:rPr>
  </w:style>
  <w:style w:type="character" w:customStyle="1" w:styleId="8">
    <w:name w:val="font21"/>
    <w:basedOn w:val="5"/>
    <w:uiPriority w:val="0"/>
    <w:rPr>
      <w:rFonts w:hint="default" w:ascii="Times New Roman" w:hAnsi="Times New Roman" w:eastAsia="楷体_GB2312" w:cs="Times New Roman"/>
      <w:sz w:val="30"/>
      <w:szCs w:val="24"/>
    </w:rPr>
  </w:style>
  <w:style w:type="character" w:customStyle="1" w:styleId="9">
    <w:name w:val="font51"/>
    <w:basedOn w:val="5"/>
    <w:uiPriority w:val="0"/>
    <w:rPr>
      <w:rFonts w:hint="eastAsia" w:ascii="黑体" w:hAnsi="黑体" w:eastAsia="黑体"/>
      <w:sz w:val="36"/>
      <w:szCs w:val="24"/>
    </w:rPr>
  </w:style>
  <w:style w:type="character" w:customStyle="1" w:styleId="10">
    <w:name w:val="font61"/>
    <w:basedOn w:val="5"/>
    <w:uiPriority w:val="0"/>
    <w:rPr>
      <w:rFonts w:hint="default" w:ascii="Times New Roman" w:hAnsi="Times New Roman" w:eastAsia="楷体_GB2312" w:cs="Times New Roman"/>
      <w:sz w:val="32"/>
      <w:szCs w:val="24"/>
    </w:rPr>
  </w:style>
  <w:style w:type="character" w:customStyle="1" w:styleId="11">
    <w:name w:val="font71"/>
    <w:basedOn w:val="5"/>
    <w:uiPriority w:val="0"/>
    <w:rPr>
      <w:rFonts w:hint="default" w:ascii="Times New Roman" w:hAnsi="Times New Roman" w:eastAsia="楷体_GB2312" w:cs="Times New Roman"/>
      <w:sz w:val="28"/>
      <w:szCs w:val="24"/>
    </w:rPr>
  </w:style>
  <w:style w:type="character" w:customStyle="1" w:styleId="12">
    <w:name w:val="hps"/>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8</Pages>
  <Words>3046</Words>
  <Characters>3245</Characters>
  <Lines>24</Lines>
  <Paragraphs>6</Paragraphs>
  <TotalTime>0</TotalTime>
  <ScaleCrop>false</ScaleCrop>
  <LinksUpToDate>false</LinksUpToDate>
  <CharactersWithSpaces>3292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2024-08-28T09:16:00Z</dcterms:created>
  <dc:creator>雨林木风</dc:creator>
  <cp:lastModifiedBy>葫芦侠</cp:lastModifiedBy>
  <dcterms:modified xsi:type="dcterms:W3CDTF">2025-02-20T03:44:40Z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eyJoZGlkIjoiYzY5MTJkNGQ5MjQ0MTc1NWM2YjE0ZjM4ODZmNTZlMWIiLCJ1c2VySWQiOiI1MjQwNjMyMjIifQ==</vt:lpwstr>
  </property>
  <property fmtid="{D5CDD505-2E9C-101B-9397-08002B2CF9AE}" pid="3" name="KSOProductBuildVer">
    <vt:lpwstr>2052-12.1.0.19302</vt:lpwstr>
  </property>
  <property fmtid="{D5CDD505-2E9C-101B-9397-08002B2CF9AE}" pid="4" name="ICV">
    <vt:lpwstr>76027007702F41AAA038BCFF396CB257_12</vt:lpwstr>
  </property>
</Properties>
</file>