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F380C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9F380C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12500382580157150J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9F380C">
      <w:pPr>
        <w:jc w:val="right"/>
      </w:pPr>
    </w:p>
    <w:p w:rsidR="00000000" w:rsidRDefault="009F380C">
      <w:pPr>
        <w:jc w:val="right"/>
      </w:pPr>
    </w:p>
    <w:p w:rsidR="00000000" w:rsidRDefault="009F380C">
      <w:pPr>
        <w:jc w:val="right"/>
      </w:pPr>
    </w:p>
    <w:p w:rsidR="00000000" w:rsidRDefault="009F380C">
      <w:pPr>
        <w:jc w:val="right"/>
      </w:pPr>
    </w:p>
    <w:p w:rsidR="00000000" w:rsidRDefault="009F380C">
      <w:pPr>
        <w:jc w:val="right"/>
      </w:pPr>
    </w:p>
    <w:p w:rsidR="00000000" w:rsidRDefault="009F380C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9F380C">
      <w:pPr>
        <w:jc w:val="center"/>
        <w:rPr>
          <w:rFonts w:eastAsia="黑体"/>
          <w:b/>
          <w:bCs/>
          <w:spacing w:val="30"/>
        </w:rPr>
      </w:pPr>
    </w:p>
    <w:p w:rsidR="00000000" w:rsidRDefault="009F380C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9F380C">
      <w:pPr>
        <w:jc w:val="center"/>
        <w:rPr>
          <w:sz w:val="36"/>
        </w:rPr>
      </w:pPr>
    </w:p>
    <w:p w:rsidR="00000000" w:rsidRDefault="009F380C">
      <w:pPr>
        <w:jc w:val="center"/>
        <w:rPr>
          <w:sz w:val="36"/>
        </w:rPr>
      </w:pPr>
    </w:p>
    <w:p w:rsidR="00000000" w:rsidRDefault="009F380C">
      <w:pPr>
        <w:jc w:val="center"/>
        <w:rPr>
          <w:sz w:val="36"/>
        </w:rPr>
      </w:pPr>
    </w:p>
    <w:p w:rsidR="00000000" w:rsidRDefault="009F380C">
      <w:pPr>
        <w:jc w:val="center"/>
        <w:rPr>
          <w:sz w:val="36"/>
        </w:rPr>
      </w:pPr>
    </w:p>
    <w:p w:rsidR="00000000" w:rsidRDefault="009F380C">
      <w:pPr>
        <w:jc w:val="center"/>
        <w:rPr>
          <w:sz w:val="36"/>
        </w:rPr>
      </w:pPr>
    </w:p>
    <w:p w:rsidR="00000000" w:rsidRDefault="009F380C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9F380C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9F380C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重庆市合川区肖家镇中心幼儿园</w:t>
            </w:r>
          </w:p>
        </w:tc>
      </w:tr>
    </w:tbl>
    <w:p w:rsidR="00000000" w:rsidRDefault="009F380C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9F380C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9F380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9F380C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9F380C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9F380C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9F380C">
      <w:pPr>
        <w:jc w:val="center"/>
        <w:rPr>
          <w:rFonts w:hint="eastAsia"/>
          <w:u w:val="single"/>
        </w:rPr>
      </w:pPr>
    </w:p>
    <w:p w:rsidR="00000000" w:rsidRDefault="009F380C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9F380C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9F380C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F380C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重庆市合川区肖家镇中心幼儿园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F380C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为学龄前儿童提供保育和教育服务。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幼儿保育、幼儿教育。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F380C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重庆市合川区肖家镇杨柳街</w:t>
            </w:r>
            <w:r>
              <w:rPr>
                <w:rStyle w:val="font71"/>
                <w:rFonts w:ascii="楷体_GB2312" w:hint="eastAsia"/>
                <w:szCs w:val="28"/>
              </w:rPr>
              <w:t>35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F380C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马建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F380C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4.88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F380C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F380C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9F380C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9F380C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F380C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F380C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45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F380C">
            <w:pPr>
              <w:jc w:val="center"/>
            </w:pPr>
            <w:r>
              <w:rPr>
                <w:rStyle w:val="font71"/>
                <w:sz w:val="32"/>
                <w:szCs w:val="32"/>
              </w:rPr>
              <w:t>47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.</w:t>
            </w:r>
            <w:r>
              <w:rPr>
                <w:rFonts w:ascii="楷体_GB2312" w:eastAsia="楷体_GB2312" w:hint="eastAsia"/>
                <w:b/>
                <w:bCs/>
                <w:sz w:val="32"/>
              </w:rPr>
              <w:t>公益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9F380C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10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9F380C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F380C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9F380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9F380C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9F38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一、求新务实，抓实学校德育工作，培育合格小公民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、以德为首，坚持把德育寓于学校的教育教学工作之中，教育</w:t>
            </w:r>
            <w:r w:rsidR="0015364D" w:rsidRPr="0015364D">
              <w:rPr>
                <w:rStyle w:val="font71"/>
                <w:rFonts w:ascii="楷体_GB2312" w:hint="eastAsia"/>
              </w:rPr>
              <w:t>有的放矢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、制度健全，职责到人，提高了工作的效能。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、我们坚持每周一举行升旗仪式，对学生进行爱国主义、集体主义教育。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、我们积极地开展普法教育，利用晨会课、思品课、综合实践活动向学生进行有关法律、法规的教育。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二、脚踏实地，深入推进课程改革，全面提高教育教学质量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、加强了教学工作的管理，规范了标准。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、推出了新的教学考核制度，提高了教师积极性。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、认真开展教研活动，推动了教育教学工作的发展。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、健全制</w:t>
            </w:r>
            <w:r>
              <w:rPr>
                <w:rStyle w:val="font71"/>
                <w:rFonts w:ascii="楷体_GB2312" w:hint="eastAsia"/>
              </w:rPr>
              <w:t>度，激发积极性。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三、加强科研，提升办学品位，为学校发展提供强大后劲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、振兴民族的希望靠教育，振兴教育的希望靠教师。我们始终树立：科研兴校、科研兴教、科研兴师的观念，重视教师自身素质的提高。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、我们坚定不移地抓好了理论学习，利用</w:t>
            </w:r>
            <w:r>
              <w:rPr>
                <w:rStyle w:val="font71"/>
                <w:rFonts w:ascii="楷体_GB2312" w:hint="eastAsia"/>
              </w:rPr>
              <w:lastRenderedPageBreak/>
              <w:t>周前会、教研活动、教师月会等把集中学习与自学相结合。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、学校也订了数十种教学科研刊物和教育教学杂志，供教师阅读参考，开阔眼界。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四、以人为本，立足长远，建设有生命力的可持续发展的教师队伍。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、一年来加强师德师风建设，要求教师时刻牢记自己的身份，防微杜渐，</w:t>
            </w:r>
            <w:r w:rsidR="0015364D" w:rsidRPr="0015364D">
              <w:rPr>
                <w:rStyle w:val="font71"/>
                <w:rFonts w:ascii="楷体_GB2312" w:hint="eastAsia"/>
              </w:rPr>
              <w:t>严于律己</w:t>
            </w:r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、加强了骨干教</w:t>
            </w:r>
            <w:r>
              <w:rPr>
                <w:rStyle w:val="font71"/>
                <w:rFonts w:ascii="楷体_GB2312" w:hint="eastAsia"/>
              </w:rPr>
              <w:t>师队伍的建设，多次派骨干教师参加上级组织的各项培训，让他们在评优课中锻炼成长。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、发挥了党支部的核心作用和党员的模范带头作用。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五、优化机制，提高内部管理水平，为创建示范校搭建平台。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、通过教代会，讨论通过了《肖家中心幼儿园关于内部管理体制，分配制度改革，财经管理，安全工作的实施意见》，激发了教师的内动力。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、十分重视对学生的安全教育，平时利用升旗仪式、晨会、综合实践活动课对学生进行安全常识的宣讲和教育。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、我们努力做到勤政廉政，</w:t>
            </w:r>
            <w:r w:rsidR="0015364D" w:rsidRPr="0015364D">
              <w:rPr>
                <w:rStyle w:val="font71"/>
                <w:rFonts w:ascii="楷体_GB2312" w:hint="eastAsia"/>
              </w:rPr>
              <w:t>克己奉公</w:t>
            </w:r>
            <w:r>
              <w:rPr>
                <w:rStyle w:val="font71"/>
                <w:rFonts w:ascii="楷体_GB2312" w:hint="eastAsia"/>
              </w:rPr>
              <w:t>，严格执行市教委的“八不准”文件要求，一年来，未出现违纪违规事件。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、关心教师的冷暖，给他们以安慰和慰问，使他们感受到集体的温暖，感受到组织的关怀。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9F38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F380C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9F380C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9F380C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9F380C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9F380C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9F380C" w:rsidRDefault="009F380C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9F380C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15364D"/>
    <w:rsid w:val="0015364D"/>
    <w:rsid w:val="009F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191</Words>
  <Characters>1095</Characters>
  <Application>Microsoft Office Word</Application>
  <DocSecurity>0</DocSecurity>
  <Lines>9</Lines>
  <Paragraphs>2</Paragraphs>
  <ScaleCrop>false</ScaleCrop>
  <Company>WwW.YlmF.CoM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2024-08-28T09:12:00Z</dcterms:created>
  <dcterms:modified xsi:type="dcterms:W3CDTF">2024-08-28T09:12:00Z</dcterms:modified>
</cp:coreProperties>
</file>