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4F" w:rsidRPr="00F56340" w:rsidRDefault="00726C4F" w:rsidP="00726C4F">
      <w:pPr>
        <w:ind w:firstLine="632"/>
        <w:rPr>
          <w:rFonts w:ascii="方正黑体_GBK" w:eastAsia="方正黑体_GBK" w:hint="eastAsia"/>
        </w:rPr>
      </w:pPr>
      <w:r w:rsidRPr="00F56340">
        <w:rPr>
          <w:rFonts w:ascii="方正黑体_GBK" w:eastAsia="方正黑体_GBK" w:hint="eastAsia"/>
        </w:rPr>
        <w:t>附件1</w:t>
      </w:r>
    </w:p>
    <w:p w:rsidR="00726C4F" w:rsidRPr="00F56340" w:rsidRDefault="00726C4F" w:rsidP="00726C4F">
      <w:pPr>
        <w:rPr>
          <w:rFonts w:hint="eastAsia"/>
        </w:rPr>
      </w:pPr>
    </w:p>
    <w:p w:rsidR="00726C4F" w:rsidRPr="00066052" w:rsidRDefault="00726C4F" w:rsidP="00726C4F">
      <w:pPr>
        <w:snapToGrid w:val="0"/>
        <w:jc w:val="center"/>
        <w:rPr>
          <w:rFonts w:eastAsia="方正小标宋_GBK" w:hint="eastAsia"/>
          <w:sz w:val="44"/>
          <w:szCs w:val="44"/>
        </w:rPr>
      </w:pPr>
      <w:bookmarkStart w:id="0" w:name="_GoBack"/>
      <w:r w:rsidRPr="00066052">
        <w:rPr>
          <w:rFonts w:eastAsia="方正小标宋_GBK" w:hint="eastAsia"/>
          <w:sz w:val="44"/>
          <w:szCs w:val="44"/>
        </w:rPr>
        <w:t>市级防洪风险点整治清单</w:t>
      </w:r>
    </w:p>
    <w:bookmarkEnd w:id="0"/>
    <w:p w:rsidR="00726C4F" w:rsidRDefault="00726C4F" w:rsidP="00726C4F">
      <w:pPr>
        <w:ind w:firstLineChars="200" w:firstLine="624"/>
        <w:rPr>
          <w:rFonts w:hint="eastAsia"/>
          <w:spacing w:val="-4"/>
        </w:rPr>
      </w:pPr>
    </w:p>
    <w:tbl>
      <w:tblPr>
        <w:tblW w:w="9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"/>
        <w:gridCol w:w="1498"/>
        <w:gridCol w:w="896"/>
        <w:gridCol w:w="2448"/>
        <w:gridCol w:w="1217"/>
        <w:gridCol w:w="1329"/>
        <w:gridCol w:w="760"/>
        <w:gridCol w:w="792"/>
      </w:tblGrid>
      <w:tr w:rsidR="00726C4F" w:rsidRPr="00F56340" w:rsidTr="00180A95">
        <w:trPr>
          <w:trHeight w:val="369"/>
          <w:tblHeader/>
          <w:jc w:val="center"/>
        </w:trPr>
        <w:tc>
          <w:tcPr>
            <w:tcW w:w="308" w:type="dxa"/>
            <w:vMerge w:val="restart"/>
            <w:tcMar>
              <w:left w:w="17" w:type="dxa"/>
              <w:right w:w="17" w:type="dxa"/>
            </w:tcMar>
            <w:vAlign w:val="center"/>
          </w:tcPr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1498" w:type="dxa"/>
            <w:vMerge w:val="restart"/>
            <w:tcMar>
              <w:left w:w="17" w:type="dxa"/>
              <w:right w:w="17" w:type="dxa"/>
            </w:tcMar>
            <w:vAlign w:val="center"/>
          </w:tcPr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名称</w:t>
            </w:r>
          </w:p>
        </w:tc>
        <w:tc>
          <w:tcPr>
            <w:tcW w:w="896" w:type="dxa"/>
            <w:vMerge w:val="restart"/>
            <w:tcMar>
              <w:left w:w="17" w:type="dxa"/>
              <w:right w:w="17" w:type="dxa"/>
            </w:tcMar>
            <w:vAlign w:val="center"/>
          </w:tcPr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所在</w:t>
            </w:r>
          </w:p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河流</w:t>
            </w:r>
          </w:p>
        </w:tc>
        <w:tc>
          <w:tcPr>
            <w:tcW w:w="2448" w:type="dxa"/>
            <w:vMerge w:val="restart"/>
            <w:tcMar>
              <w:left w:w="17" w:type="dxa"/>
              <w:right w:w="17" w:type="dxa"/>
            </w:tcMar>
            <w:vAlign w:val="center"/>
          </w:tcPr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主要问题</w:t>
            </w:r>
          </w:p>
        </w:tc>
        <w:tc>
          <w:tcPr>
            <w:tcW w:w="2546" w:type="dxa"/>
            <w:gridSpan w:val="2"/>
            <w:tcMar>
              <w:left w:w="17" w:type="dxa"/>
              <w:right w:w="17" w:type="dxa"/>
            </w:tcMar>
            <w:vAlign w:val="center"/>
          </w:tcPr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整改措施</w:t>
            </w:r>
          </w:p>
        </w:tc>
        <w:tc>
          <w:tcPr>
            <w:tcW w:w="760" w:type="dxa"/>
            <w:vMerge w:val="restart"/>
            <w:tcMar>
              <w:left w:w="17" w:type="dxa"/>
              <w:right w:w="17" w:type="dxa"/>
            </w:tcMar>
            <w:vAlign w:val="center"/>
          </w:tcPr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责任</w:t>
            </w:r>
          </w:p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单位</w:t>
            </w:r>
          </w:p>
        </w:tc>
        <w:tc>
          <w:tcPr>
            <w:tcW w:w="792" w:type="dxa"/>
            <w:vMerge w:val="restart"/>
            <w:tcMar>
              <w:left w:w="17" w:type="dxa"/>
              <w:right w:w="17" w:type="dxa"/>
            </w:tcMar>
            <w:vAlign w:val="center"/>
          </w:tcPr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整改</w:t>
            </w:r>
          </w:p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期限</w:t>
            </w:r>
          </w:p>
        </w:tc>
      </w:tr>
      <w:tr w:rsidR="00726C4F" w:rsidRPr="00F56340" w:rsidTr="00180A95">
        <w:trPr>
          <w:trHeight w:val="674"/>
          <w:tblHeader/>
          <w:jc w:val="center"/>
        </w:trPr>
        <w:tc>
          <w:tcPr>
            <w:tcW w:w="308" w:type="dxa"/>
            <w:vMerge/>
            <w:tcMar>
              <w:left w:w="17" w:type="dxa"/>
              <w:right w:w="17" w:type="dxa"/>
            </w:tcMar>
            <w:vAlign w:val="center"/>
          </w:tcPr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1498" w:type="dxa"/>
            <w:vMerge/>
            <w:tcMar>
              <w:left w:w="17" w:type="dxa"/>
              <w:right w:w="17" w:type="dxa"/>
            </w:tcMar>
            <w:vAlign w:val="center"/>
          </w:tcPr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896" w:type="dxa"/>
            <w:vMerge/>
            <w:tcMar>
              <w:left w:w="17" w:type="dxa"/>
              <w:right w:w="17" w:type="dxa"/>
            </w:tcMar>
            <w:vAlign w:val="center"/>
          </w:tcPr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2448" w:type="dxa"/>
            <w:vMerge/>
            <w:tcMar>
              <w:left w:w="17" w:type="dxa"/>
              <w:right w:w="17" w:type="dxa"/>
            </w:tcMar>
            <w:vAlign w:val="center"/>
          </w:tcPr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1217" w:type="dxa"/>
            <w:tcMar>
              <w:left w:w="17" w:type="dxa"/>
              <w:right w:w="17" w:type="dxa"/>
            </w:tcMar>
            <w:vAlign w:val="center"/>
          </w:tcPr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非工程措施</w:t>
            </w:r>
          </w:p>
        </w:tc>
        <w:tc>
          <w:tcPr>
            <w:tcW w:w="1329" w:type="dxa"/>
            <w:tcMar>
              <w:left w:w="17" w:type="dxa"/>
              <w:right w:w="17" w:type="dxa"/>
            </w:tcMar>
            <w:vAlign w:val="center"/>
          </w:tcPr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F56340">
              <w:rPr>
                <w:rFonts w:ascii="方正黑体_GBK" w:eastAsia="方正黑体_GBK" w:hint="eastAsia"/>
                <w:sz w:val="24"/>
                <w:szCs w:val="24"/>
              </w:rPr>
              <w:t>工程措施</w:t>
            </w:r>
          </w:p>
        </w:tc>
        <w:tc>
          <w:tcPr>
            <w:tcW w:w="760" w:type="dxa"/>
            <w:vMerge/>
            <w:tcMar>
              <w:left w:w="17" w:type="dxa"/>
              <w:right w:w="17" w:type="dxa"/>
            </w:tcMar>
            <w:vAlign w:val="center"/>
          </w:tcPr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792" w:type="dxa"/>
            <w:vMerge/>
            <w:tcMar>
              <w:left w:w="17" w:type="dxa"/>
              <w:right w:w="17" w:type="dxa"/>
            </w:tcMar>
            <w:vAlign w:val="center"/>
          </w:tcPr>
          <w:p w:rsidR="00726C4F" w:rsidRPr="00F56340" w:rsidRDefault="00726C4F" w:rsidP="00180A95">
            <w:pPr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</w:tr>
      <w:tr w:rsidR="00726C4F" w:rsidRPr="00066052" w:rsidTr="00180A95">
        <w:trPr>
          <w:trHeight w:val="869"/>
          <w:jc w:val="center"/>
        </w:trPr>
        <w:tc>
          <w:tcPr>
            <w:tcW w:w="308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jc w:val="center"/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1</w:t>
            </w:r>
          </w:p>
        </w:tc>
        <w:tc>
          <w:tcPr>
            <w:tcW w:w="1498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合川区城区</w:t>
            </w:r>
          </w:p>
        </w:tc>
        <w:tc>
          <w:tcPr>
            <w:tcW w:w="896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嘉陵江、涪江</w:t>
            </w:r>
          </w:p>
        </w:tc>
        <w:tc>
          <w:tcPr>
            <w:tcW w:w="2448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局部防洪能力仅</w:t>
            </w:r>
            <w:r w:rsidRPr="00066052">
              <w:rPr>
                <w:sz w:val="24"/>
                <w:szCs w:val="24"/>
              </w:rPr>
              <w:t>5</w:t>
            </w:r>
            <w:r w:rsidRPr="00066052">
              <w:rPr>
                <w:sz w:val="24"/>
                <w:szCs w:val="24"/>
              </w:rPr>
              <w:t>年一遇</w:t>
            </w:r>
          </w:p>
        </w:tc>
        <w:tc>
          <w:tcPr>
            <w:tcW w:w="1217" w:type="dxa"/>
            <w:vMerge w:val="restart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完善预案，落实责任，提前预警，及时转移</w:t>
            </w:r>
          </w:p>
        </w:tc>
        <w:tc>
          <w:tcPr>
            <w:tcW w:w="1329" w:type="dxa"/>
            <w:vMerge w:val="restart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实施防洪综合整治工程</w:t>
            </w:r>
          </w:p>
        </w:tc>
        <w:tc>
          <w:tcPr>
            <w:tcW w:w="760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合川区政府</w:t>
            </w:r>
          </w:p>
        </w:tc>
        <w:tc>
          <w:tcPr>
            <w:tcW w:w="792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2022</w:t>
            </w:r>
            <w:r w:rsidRPr="00066052">
              <w:rPr>
                <w:sz w:val="24"/>
                <w:szCs w:val="24"/>
              </w:rPr>
              <w:t>年</w:t>
            </w:r>
          </w:p>
        </w:tc>
      </w:tr>
      <w:tr w:rsidR="00726C4F" w:rsidRPr="00066052" w:rsidTr="00180A95">
        <w:trPr>
          <w:trHeight w:val="853"/>
          <w:jc w:val="center"/>
        </w:trPr>
        <w:tc>
          <w:tcPr>
            <w:tcW w:w="308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jc w:val="center"/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合川</w:t>
            </w:r>
            <w:proofErr w:type="gramStart"/>
            <w:r w:rsidRPr="00066052">
              <w:rPr>
                <w:sz w:val="24"/>
                <w:szCs w:val="24"/>
              </w:rPr>
              <w:t>区铜溪镇</w:t>
            </w:r>
            <w:proofErr w:type="gramEnd"/>
            <w:r w:rsidRPr="00066052">
              <w:rPr>
                <w:sz w:val="24"/>
                <w:szCs w:val="24"/>
              </w:rPr>
              <w:t>老街</w:t>
            </w:r>
          </w:p>
        </w:tc>
        <w:tc>
          <w:tcPr>
            <w:tcW w:w="896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涪江</w:t>
            </w:r>
          </w:p>
        </w:tc>
        <w:tc>
          <w:tcPr>
            <w:tcW w:w="2448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两岔河河口现状防洪能力不足</w:t>
            </w:r>
            <w:r w:rsidRPr="00066052"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066052">
              <w:rPr>
                <w:sz w:val="24"/>
                <w:szCs w:val="24"/>
              </w:rPr>
              <w:t>一遇</w:t>
            </w:r>
          </w:p>
        </w:tc>
        <w:tc>
          <w:tcPr>
            <w:tcW w:w="1217" w:type="dxa"/>
            <w:vMerge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合川区政府</w:t>
            </w:r>
          </w:p>
        </w:tc>
        <w:tc>
          <w:tcPr>
            <w:tcW w:w="792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2022</w:t>
            </w:r>
            <w:r w:rsidRPr="00066052">
              <w:rPr>
                <w:sz w:val="24"/>
                <w:szCs w:val="24"/>
              </w:rPr>
              <w:t>年</w:t>
            </w:r>
          </w:p>
        </w:tc>
      </w:tr>
      <w:tr w:rsidR="00726C4F" w:rsidRPr="00066052" w:rsidTr="00180A95">
        <w:trPr>
          <w:trHeight w:val="1155"/>
          <w:jc w:val="center"/>
        </w:trPr>
        <w:tc>
          <w:tcPr>
            <w:tcW w:w="308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jc w:val="center"/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3</w:t>
            </w:r>
          </w:p>
        </w:tc>
        <w:tc>
          <w:tcPr>
            <w:tcW w:w="1498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合川区太和场镇</w:t>
            </w:r>
          </w:p>
        </w:tc>
        <w:tc>
          <w:tcPr>
            <w:tcW w:w="896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涪江、打柴沟</w:t>
            </w:r>
          </w:p>
        </w:tc>
        <w:tc>
          <w:tcPr>
            <w:tcW w:w="2448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现状防洪能力不足</w:t>
            </w:r>
            <w:r w:rsidRPr="00066052">
              <w:rPr>
                <w:sz w:val="24"/>
                <w:szCs w:val="24"/>
              </w:rPr>
              <w:t>10</w:t>
            </w:r>
            <w:r w:rsidRPr="00066052">
              <w:rPr>
                <w:sz w:val="24"/>
                <w:szCs w:val="24"/>
              </w:rPr>
              <w:t>年一遇</w:t>
            </w:r>
            <w:proofErr w:type="gramStart"/>
            <w:r w:rsidRPr="00066052">
              <w:rPr>
                <w:sz w:val="24"/>
                <w:szCs w:val="24"/>
              </w:rPr>
              <w:t>，</w:t>
            </w:r>
            <w:proofErr w:type="gramEnd"/>
            <w:r w:rsidRPr="00066052">
              <w:rPr>
                <w:sz w:val="24"/>
                <w:szCs w:val="24"/>
              </w:rPr>
              <w:t>打柴沟两岸无防洪护岸工程</w:t>
            </w:r>
          </w:p>
        </w:tc>
        <w:tc>
          <w:tcPr>
            <w:tcW w:w="1217" w:type="dxa"/>
            <w:vMerge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合川区政府</w:t>
            </w:r>
          </w:p>
        </w:tc>
        <w:tc>
          <w:tcPr>
            <w:tcW w:w="792" w:type="dxa"/>
            <w:tcMar>
              <w:left w:w="17" w:type="dxa"/>
              <w:right w:w="17" w:type="dxa"/>
            </w:tcMar>
            <w:vAlign w:val="center"/>
          </w:tcPr>
          <w:p w:rsidR="00726C4F" w:rsidRPr="00066052" w:rsidRDefault="00726C4F" w:rsidP="00180A95">
            <w:pPr>
              <w:rPr>
                <w:sz w:val="24"/>
                <w:szCs w:val="24"/>
              </w:rPr>
            </w:pPr>
            <w:r w:rsidRPr="00066052">
              <w:rPr>
                <w:sz w:val="24"/>
                <w:szCs w:val="24"/>
              </w:rPr>
              <w:t>2022</w:t>
            </w:r>
            <w:r w:rsidRPr="00066052">
              <w:rPr>
                <w:sz w:val="24"/>
                <w:szCs w:val="24"/>
              </w:rPr>
              <w:t>年</w:t>
            </w:r>
          </w:p>
        </w:tc>
      </w:tr>
    </w:tbl>
    <w:p w:rsidR="00726C4F" w:rsidRPr="00066052" w:rsidRDefault="00726C4F" w:rsidP="00726C4F">
      <w:pPr>
        <w:rPr>
          <w:sz w:val="24"/>
          <w:szCs w:val="24"/>
        </w:rPr>
      </w:pPr>
      <w:r w:rsidRPr="00066052">
        <w:rPr>
          <w:sz w:val="24"/>
          <w:szCs w:val="24"/>
        </w:rPr>
        <w:t>注：</w:t>
      </w:r>
      <w:r w:rsidRPr="00066052">
        <w:rPr>
          <w:sz w:val="24"/>
          <w:szCs w:val="24"/>
        </w:rPr>
        <w:t>1</w:t>
      </w:r>
      <w:r w:rsidRPr="00066052">
        <w:rPr>
          <w:sz w:val="24"/>
          <w:szCs w:val="24"/>
        </w:rPr>
        <w:t>．整改措施由区水利局编制</w:t>
      </w:r>
      <w:r>
        <w:rPr>
          <w:rFonts w:hint="eastAsia"/>
          <w:sz w:val="24"/>
          <w:szCs w:val="24"/>
        </w:rPr>
        <w:t>“</w:t>
      </w:r>
      <w:r w:rsidRPr="00066052">
        <w:rPr>
          <w:sz w:val="24"/>
          <w:szCs w:val="24"/>
        </w:rPr>
        <w:t>一点一案</w:t>
      </w:r>
      <w:r>
        <w:rPr>
          <w:rFonts w:hint="eastAsia"/>
          <w:sz w:val="24"/>
          <w:szCs w:val="24"/>
        </w:rPr>
        <w:t>”</w:t>
      </w:r>
      <w:r w:rsidRPr="00066052">
        <w:rPr>
          <w:sz w:val="24"/>
          <w:szCs w:val="24"/>
        </w:rPr>
        <w:t>具体完善。</w:t>
      </w:r>
    </w:p>
    <w:p w:rsidR="00726C4F" w:rsidRDefault="00726C4F" w:rsidP="00726C4F">
      <w:pPr>
        <w:ind w:firstLineChars="200" w:firstLine="480"/>
        <w:rPr>
          <w:rFonts w:ascii="方正仿宋_GBK" w:hint="eastAsia"/>
          <w:spacing w:val="-4"/>
        </w:rPr>
      </w:pPr>
      <w:r>
        <w:rPr>
          <w:rFonts w:ascii="方正仿宋_GBK" w:hint="eastAsia"/>
          <w:sz w:val="24"/>
          <w:szCs w:val="24"/>
        </w:rPr>
        <w:t>2．工程措施中涉及重点水利工程的，以批复工期为准，有关“整改期限”主要指非工程措施完成时间。</w:t>
      </w:r>
    </w:p>
    <w:p w:rsidR="00726C4F" w:rsidRDefault="00726C4F" w:rsidP="00726C4F">
      <w:pPr>
        <w:ind w:firstLineChars="200" w:firstLine="624"/>
        <w:rPr>
          <w:rFonts w:ascii="方正仿宋_GBK" w:hint="eastAsia"/>
          <w:spacing w:val="-4"/>
        </w:rPr>
      </w:pPr>
    </w:p>
    <w:p w:rsidR="00726C4F" w:rsidRDefault="00726C4F" w:rsidP="00726C4F">
      <w:pPr>
        <w:pStyle w:val="Default"/>
        <w:rPr>
          <w:color w:val="auto"/>
          <w:spacing w:val="-4"/>
        </w:rPr>
      </w:pPr>
    </w:p>
    <w:p w:rsidR="00286B7F" w:rsidRPr="00726C4F" w:rsidRDefault="00286B7F"/>
    <w:sectPr w:rsidR="00286B7F" w:rsidRPr="0072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4F"/>
    <w:rsid w:val="00286B7F"/>
    <w:rsid w:val="0072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726C4F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rsid w:val="00726C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26C4F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726C4F"/>
    <w:rPr>
      <w:rFonts w:eastAsia="方正仿宋_GBK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726C4F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rsid w:val="00726C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26C4F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726C4F"/>
    <w:rPr>
      <w:rFonts w:eastAsia="方正仿宋_GBK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2021-01-26T07:27:00Z</dcterms:created>
  <dcterms:modified xsi:type="dcterms:W3CDTF">2021-01-26T07:27:00Z</dcterms:modified>
</cp:coreProperties>
</file>