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5E" w:rsidRDefault="00B2505E" w:rsidP="00B2505E">
      <w:pPr>
        <w:adjustRightInd w:val="0"/>
        <w:snapToGrid w:val="0"/>
        <w:spacing w:line="579" w:lineRule="exact"/>
        <w:rPr>
          <w:rFonts w:eastAsia="方正黑体_GBK" w:cs="方正黑体_GBK"/>
          <w:szCs w:val="32"/>
        </w:rPr>
      </w:pPr>
      <w:r>
        <w:rPr>
          <w:rFonts w:eastAsia="方正黑体_GBK" w:cs="方正黑体_GBK" w:hint="eastAsia"/>
          <w:szCs w:val="32"/>
        </w:rPr>
        <w:t>附件</w:t>
      </w:r>
      <w:r>
        <w:rPr>
          <w:rFonts w:eastAsia="方正黑体_GBK" w:cs="方正黑体_GBK" w:hint="eastAsia"/>
          <w:szCs w:val="32"/>
        </w:rPr>
        <w:t>1</w:t>
      </w:r>
    </w:p>
    <w:p w:rsidR="00B2505E" w:rsidRPr="008F2CD2" w:rsidRDefault="00B2505E" w:rsidP="00B2505E">
      <w:pPr>
        <w:adjustRightInd w:val="0"/>
        <w:snapToGrid w:val="0"/>
        <w:spacing w:line="579" w:lineRule="exact"/>
        <w:jc w:val="center"/>
        <w:rPr>
          <w:rFonts w:eastAsia="方正小标宋_GBK" w:cs="方正小标宋_GBK"/>
          <w:szCs w:val="32"/>
        </w:rPr>
      </w:pPr>
      <w:bookmarkStart w:id="0" w:name="_GoBack"/>
      <w:r w:rsidRPr="008F2CD2">
        <w:rPr>
          <w:rFonts w:eastAsia="方正小标宋_GBK" w:cs="方正小标宋_GBK" w:hint="eastAsia"/>
          <w:szCs w:val="32"/>
        </w:rPr>
        <w:t>特困人员供养服务设施（敬老院）改造提升基础指标</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896"/>
        <w:gridCol w:w="11534"/>
      </w:tblGrid>
      <w:tr w:rsidR="00B2505E" w:rsidRPr="008F2CD2" w:rsidTr="0017625E">
        <w:trPr>
          <w:trHeight w:val="20"/>
          <w:tblHeader/>
          <w:jc w:val="center"/>
        </w:trPr>
        <w:tc>
          <w:tcPr>
            <w:tcW w:w="702" w:type="dxa"/>
          </w:tcPr>
          <w:p w:rsidR="00B2505E" w:rsidRPr="008F2CD2" w:rsidRDefault="00B2505E" w:rsidP="0017625E">
            <w:pPr>
              <w:adjustRightInd w:val="0"/>
              <w:snapToGrid w:val="0"/>
              <w:jc w:val="center"/>
              <w:rPr>
                <w:rFonts w:cs="方正仿宋_GBK"/>
                <w:sz w:val="21"/>
                <w:szCs w:val="21"/>
              </w:rPr>
            </w:pPr>
            <w:r w:rsidRPr="008F2CD2">
              <w:rPr>
                <w:rFonts w:eastAsia="黑体" w:cs="黑体" w:hint="eastAsia"/>
                <w:sz w:val="21"/>
                <w:szCs w:val="21"/>
              </w:rPr>
              <w:t>序号</w:t>
            </w:r>
          </w:p>
        </w:tc>
        <w:tc>
          <w:tcPr>
            <w:tcW w:w="1896" w:type="dxa"/>
            <w:vAlign w:val="center"/>
          </w:tcPr>
          <w:p w:rsidR="00B2505E" w:rsidRPr="008F2CD2" w:rsidRDefault="00B2505E" w:rsidP="0017625E">
            <w:pPr>
              <w:adjustRightInd w:val="0"/>
              <w:snapToGrid w:val="0"/>
              <w:jc w:val="center"/>
              <w:rPr>
                <w:rFonts w:cs="方正仿宋_GBK"/>
                <w:sz w:val="21"/>
                <w:szCs w:val="21"/>
              </w:rPr>
            </w:pPr>
            <w:r w:rsidRPr="008F2CD2">
              <w:rPr>
                <w:rFonts w:eastAsia="黑体" w:cs="黑体" w:hint="eastAsia"/>
                <w:sz w:val="21"/>
                <w:szCs w:val="21"/>
              </w:rPr>
              <w:t>指标类别</w:t>
            </w:r>
          </w:p>
        </w:tc>
        <w:tc>
          <w:tcPr>
            <w:tcW w:w="11534" w:type="dxa"/>
          </w:tcPr>
          <w:p w:rsidR="00B2505E" w:rsidRPr="008F2CD2" w:rsidRDefault="00B2505E" w:rsidP="0017625E">
            <w:pPr>
              <w:adjustRightInd w:val="0"/>
              <w:snapToGrid w:val="0"/>
              <w:jc w:val="center"/>
              <w:rPr>
                <w:rFonts w:cs="方正仿宋_GBK"/>
                <w:sz w:val="21"/>
                <w:szCs w:val="21"/>
              </w:rPr>
            </w:pPr>
            <w:r w:rsidRPr="008F2CD2">
              <w:rPr>
                <w:rFonts w:eastAsia="黑体" w:cs="黑体" w:hint="eastAsia"/>
                <w:sz w:val="21"/>
                <w:szCs w:val="21"/>
              </w:rPr>
              <w:t>指标要求</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（一）建筑标准</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入住对象用房抗震设防标准应为重点设防类。</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2</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建筑物耐火指标等级不应低于三级。</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3</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3.</w:t>
            </w:r>
            <w:r w:rsidRPr="008F2CD2">
              <w:rPr>
                <w:rFonts w:cs="方正仿宋_GBK" w:hint="eastAsia"/>
                <w:sz w:val="21"/>
                <w:szCs w:val="21"/>
              </w:rPr>
              <w:t>室内通道和床铺间距应满足轮椅和救护床进出及日常护理需要。</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4</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（二）设施设备</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应配置包括给排水、采暖、通风、供电、安保、通信、消防、网络设备和必要的交通工具等。</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5</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入住对象生活用房应集中供应生活热水或配置制备生活热水的设备。</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6</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3.</w:t>
            </w:r>
            <w:r w:rsidRPr="008F2CD2">
              <w:rPr>
                <w:rFonts w:cs="方正仿宋_GBK" w:hint="eastAsia"/>
                <w:sz w:val="21"/>
                <w:szCs w:val="21"/>
              </w:rPr>
              <w:t>入住对象生活用房应配置衣物储藏空间和洗涤、洗浴设施，并宜内设卫生间。</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7</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（三）院区场地</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院区应设置通透式围墙或围栏装置，形成相对独立空间。</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8</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场地应包括院区道路、室外活动场、衣物晾晒场、停车场、堆场等，有条件的地方可设置供养对象从事作业劳动的场地。</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9</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（四）用房功能</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应设置入住对象用房，包括但不限于生活用房、医疗保健用房、公共活动用房。</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10</w:t>
            </w:r>
          </w:p>
        </w:tc>
        <w:tc>
          <w:tcPr>
            <w:tcW w:w="1896" w:type="dxa"/>
            <w:vMerge/>
            <w:vAlign w:val="center"/>
          </w:tcPr>
          <w:p w:rsidR="00B2505E" w:rsidRPr="008F2CD2" w:rsidRDefault="00B2505E" w:rsidP="0017625E">
            <w:pPr>
              <w:adjustRightInd w:val="0"/>
              <w:snapToGrid w:val="0"/>
              <w:rPr>
                <w:rFonts w:cs="方正仿宋_GBK"/>
                <w:sz w:val="21"/>
                <w:szCs w:val="21"/>
              </w:rPr>
            </w:pPr>
          </w:p>
        </w:tc>
        <w:tc>
          <w:tcPr>
            <w:tcW w:w="11534" w:type="dxa"/>
          </w:tcPr>
          <w:p w:rsidR="00B2505E" w:rsidRPr="008F2CD2" w:rsidRDefault="00B2505E" w:rsidP="0017625E">
            <w:pPr>
              <w:numPr>
                <w:ilvl w:val="0"/>
                <w:numId w:val="1"/>
              </w:numPr>
              <w:adjustRightInd w:val="0"/>
              <w:snapToGrid w:val="0"/>
              <w:rPr>
                <w:rFonts w:cs="方正仿宋_GBK"/>
                <w:sz w:val="21"/>
                <w:szCs w:val="21"/>
              </w:rPr>
            </w:pPr>
            <w:r w:rsidRPr="008F2CD2">
              <w:rPr>
                <w:rFonts w:cs="方正仿宋_GBK" w:hint="eastAsia"/>
                <w:sz w:val="21"/>
                <w:szCs w:val="21"/>
              </w:rPr>
              <w:t>应设置管理服务用房，包括但不限于管理用房、附属用房。</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11</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numPr>
                <w:ilvl w:val="0"/>
                <w:numId w:val="1"/>
              </w:numPr>
              <w:adjustRightInd w:val="0"/>
              <w:snapToGrid w:val="0"/>
              <w:rPr>
                <w:rFonts w:cs="方正仿宋_GBK"/>
                <w:sz w:val="21"/>
                <w:szCs w:val="21"/>
              </w:rPr>
            </w:pPr>
            <w:r w:rsidRPr="008F2CD2">
              <w:rPr>
                <w:rFonts w:cs="方正仿宋_GBK" w:hint="eastAsia"/>
                <w:sz w:val="21"/>
                <w:szCs w:val="21"/>
              </w:rPr>
              <w:t>入住对象生活用房宜与医疗保健、康复、娱乐、社会工作服务等设施贯连。</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12</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numPr>
                <w:ilvl w:val="0"/>
                <w:numId w:val="1"/>
              </w:numPr>
              <w:adjustRightInd w:val="0"/>
              <w:snapToGrid w:val="0"/>
              <w:rPr>
                <w:rFonts w:cs="方正仿宋_GBK"/>
                <w:sz w:val="21"/>
                <w:szCs w:val="21"/>
              </w:rPr>
            </w:pPr>
            <w:r w:rsidRPr="008F2CD2">
              <w:rPr>
                <w:rFonts w:cs="方正仿宋_GBK" w:hint="eastAsia"/>
                <w:sz w:val="21"/>
                <w:szCs w:val="21"/>
              </w:rPr>
              <w:t>入住对象居室和休息室不应设置在地下室、半地下室。</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13</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（五）适老化改造</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出入口、门厅应设置坡道。</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14</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平台、台阶、楼梯等设置应符合供养对象使用要求。</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15</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3.</w:t>
            </w:r>
            <w:r w:rsidRPr="008F2CD2">
              <w:rPr>
                <w:rFonts w:cs="方正仿宋_GBK" w:hint="eastAsia"/>
                <w:sz w:val="21"/>
                <w:szCs w:val="21"/>
              </w:rPr>
              <w:t>对居住区缘石坡道、轮椅坡道、公共出入口、扶手、走道、电梯等设施和部位应实施无障碍改造。</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16</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4.</w:t>
            </w:r>
            <w:r w:rsidRPr="008F2CD2">
              <w:rPr>
                <w:rFonts w:cs="方正仿宋_GBK" w:hint="eastAsia"/>
                <w:sz w:val="21"/>
                <w:szCs w:val="21"/>
              </w:rPr>
              <w:t>地面做防滑处理。</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17</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（六）照护型床位</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应根据便于为失能入住对象提供服务和方便管理的原则设置照护单元。</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18</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照护型床位的配套设备包括生活照护设备、医疗设备、康复设备、安防设备和必要的交通工具等。</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19</w:t>
            </w:r>
          </w:p>
        </w:tc>
        <w:tc>
          <w:tcPr>
            <w:tcW w:w="1896" w:type="dxa"/>
            <w:vMerge w:val="restart"/>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（七）消防安全</w:t>
            </w: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1.</w:t>
            </w:r>
            <w:r w:rsidRPr="008F2CD2">
              <w:rPr>
                <w:rFonts w:cs="方正仿宋_GBK" w:hint="eastAsia"/>
                <w:sz w:val="21"/>
                <w:szCs w:val="21"/>
              </w:rPr>
              <w:t>对不需要设置自动消防系统的建筑，应当加强物防、技防措施，在人员住宿和主要活动场所安装独立式感烟火灾探测报警器和简易喷淋装置，配备应急照明和灭火器材。做好消防设施设备的维护保养。</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20</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2.</w:t>
            </w:r>
            <w:r w:rsidRPr="008F2CD2">
              <w:rPr>
                <w:rFonts w:cs="方正仿宋_GBK" w:hint="eastAsia"/>
                <w:sz w:val="21"/>
                <w:szCs w:val="21"/>
              </w:rPr>
              <w:t>燃气设施使用正确，无私自拆、移、改动燃气装置的情况。设置可燃气体报警装置，维护和保养燃气设施设备。</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21</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3.</w:t>
            </w:r>
            <w:r w:rsidRPr="008F2CD2">
              <w:rPr>
                <w:rFonts w:cs="方正仿宋_GBK" w:hint="eastAsia"/>
                <w:sz w:val="21"/>
                <w:szCs w:val="21"/>
              </w:rPr>
              <w:t>对电器产品及其线路、管路进行维护保养和检测，及时整改火灾隐患。</w:t>
            </w:r>
          </w:p>
        </w:tc>
      </w:tr>
      <w:tr w:rsidR="00B2505E" w:rsidRPr="008F2CD2" w:rsidTr="0017625E">
        <w:trPr>
          <w:trHeight w:val="20"/>
          <w:jc w:val="center"/>
        </w:trPr>
        <w:tc>
          <w:tcPr>
            <w:tcW w:w="702" w:type="dxa"/>
            <w:vAlign w:val="center"/>
          </w:tcPr>
          <w:p w:rsidR="00B2505E" w:rsidRPr="008F2CD2" w:rsidRDefault="00B2505E" w:rsidP="0017625E">
            <w:pPr>
              <w:adjustRightInd w:val="0"/>
              <w:snapToGrid w:val="0"/>
              <w:jc w:val="center"/>
              <w:rPr>
                <w:rFonts w:cs="方正仿宋_GBK"/>
                <w:sz w:val="21"/>
                <w:szCs w:val="21"/>
              </w:rPr>
            </w:pPr>
            <w:r w:rsidRPr="008F2CD2">
              <w:rPr>
                <w:rFonts w:cs="方正仿宋_GBK" w:hint="eastAsia"/>
                <w:sz w:val="21"/>
                <w:szCs w:val="21"/>
              </w:rPr>
              <w:t>22</w:t>
            </w:r>
          </w:p>
        </w:tc>
        <w:tc>
          <w:tcPr>
            <w:tcW w:w="1896" w:type="dxa"/>
            <w:vMerge/>
            <w:vAlign w:val="center"/>
          </w:tcPr>
          <w:p w:rsidR="00B2505E" w:rsidRPr="008F2CD2" w:rsidRDefault="00B2505E" w:rsidP="0017625E">
            <w:pPr>
              <w:adjustRightInd w:val="0"/>
              <w:snapToGrid w:val="0"/>
              <w:jc w:val="center"/>
              <w:rPr>
                <w:rFonts w:cs="方正仿宋_GBK"/>
                <w:sz w:val="21"/>
                <w:szCs w:val="21"/>
              </w:rPr>
            </w:pPr>
          </w:p>
        </w:tc>
        <w:tc>
          <w:tcPr>
            <w:tcW w:w="11534" w:type="dxa"/>
          </w:tcPr>
          <w:p w:rsidR="00B2505E" w:rsidRPr="008F2CD2" w:rsidRDefault="00B2505E" w:rsidP="0017625E">
            <w:pPr>
              <w:adjustRightInd w:val="0"/>
              <w:snapToGrid w:val="0"/>
              <w:rPr>
                <w:rFonts w:cs="方正仿宋_GBK"/>
                <w:sz w:val="21"/>
                <w:szCs w:val="21"/>
              </w:rPr>
            </w:pPr>
            <w:r w:rsidRPr="008F2CD2">
              <w:rPr>
                <w:rFonts w:cs="方正仿宋_GBK" w:hint="eastAsia"/>
                <w:sz w:val="21"/>
                <w:szCs w:val="21"/>
              </w:rPr>
              <w:t>4.</w:t>
            </w:r>
            <w:r w:rsidRPr="008F2CD2">
              <w:rPr>
                <w:rFonts w:cs="方正仿宋_GBK" w:hint="eastAsia"/>
                <w:sz w:val="21"/>
                <w:szCs w:val="21"/>
              </w:rPr>
              <w:t>符合《建筑设计防火规范》（</w:t>
            </w:r>
            <w:r w:rsidRPr="008F2CD2">
              <w:rPr>
                <w:rFonts w:cs="方正仿宋_GBK" w:hint="eastAsia"/>
                <w:sz w:val="21"/>
                <w:szCs w:val="21"/>
              </w:rPr>
              <w:t>GB50016-2014</w:t>
            </w:r>
            <w:r w:rsidRPr="008F2CD2">
              <w:rPr>
                <w:rFonts w:cs="方正仿宋_GBK" w:hint="eastAsia"/>
                <w:sz w:val="21"/>
                <w:szCs w:val="21"/>
              </w:rPr>
              <w:t>）等相关标准规范要求。</w:t>
            </w:r>
          </w:p>
        </w:tc>
      </w:tr>
    </w:tbl>
    <w:p w:rsidR="00B2505E" w:rsidRDefault="00B2505E" w:rsidP="00B2505E">
      <w:pPr>
        <w:adjustRightInd w:val="0"/>
        <w:snapToGrid w:val="0"/>
        <w:spacing w:line="579" w:lineRule="exact"/>
        <w:rPr>
          <w:kern w:val="0"/>
          <w:szCs w:val="32"/>
          <w:shd w:val="clear" w:color="auto" w:fill="FFFFFF"/>
        </w:rPr>
        <w:sectPr w:rsidR="00B2505E" w:rsidSect="008F2CD2">
          <w:pgSz w:w="16838" w:h="11906" w:orient="landscape"/>
          <w:pgMar w:top="1134" w:right="1440" w:bottom="1418" w:left="1440" w:header="851" w:footer="992" w:gutter="0"/>
          <w:cols w:space="720"/>
          <w:docGrid w:type="lines" w:linePitch="312"/>
        </w:sectPr>
      </w:pPr>
    </w:p>
    <w:p w:rsidR="00A0248B" w:rsidRPr="00B2505E" w:rsidRDefault="00A0248B"/>
    <w:sectPr w:rsidR="00A0248B" w:rsidRPr="00B2505E" w:rsidSect="00A02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04133"/>
    <w:multiLevelType w:val="singleLevel"/>
    <w:tmpl w:val="5D20413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5E"/>
    <w:rsid w:val="006178A1"/>
    <w:rsid w:val="00A0248B"/>
    <w:rsid w:val="00B2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FB660-A7B4-46EA-800D-57763941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5E"/>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周倪利</dc:creator>
  <cp:lastModifiedBy>AutoBVT</cp:lastModifiedBy>
  <cp:revision>2</cp:revision>
  <dcterms:created xsi:type="dcterms:W3CDTF">2021-09-10T03:59:00Z</dcterms:created>
  <dcterms:modified xsi:type="dcterms:W3CDTF">2021-09-10T03:59:00Z</dcterms:modified>
</cp:coreProperties>
</file>