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B0" w:rsidRDefault="000E4FB0" w:rsidP="000E4FB0">
      <w:pPr>
        <w:adjustRightInd w:val="0"/>
        <w:snapToGrid w:val="0"/>
        <w:spacing w:line="579" w:lineRule="exact"/>
        <w:rPr>
          <w:rFonts w:eastAsia="方正黑体_GBK" w:cs="方正黑体_GBK" w:hint="eastAsia"/>
          <w:kern w:val="0"/>
          <w:szCs w:val="32"/>
          <w:shd w:val="clear" w:color="auto" w:fill="FFFFFF"/>
        </w:rPr>
      </w:pP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附件</w:t>
      </w:r>
      <w:r>
        <w:rPr>
          <w:rFonts w:eastAsia="方正黑体_GBK" w:cs="方正黑体_GBK" w:hint="eastAsia"/>
          <w:kern w:val="0"/>
          <w:szCs w:val="32"/>
          <w:shd w:val="clear" w:color="auto" w:fill="FFFFFF"/>
        </w:rPr>
        <w:t>3</w:t>
      </w:r>
    </w:p>
    <w:p w:rsidR="000E4FB0" w:rsidRDefault="000E4FB0" w:rsidP="000E4FB0">
      <w:pPr>
        <w:adjustRightInd w:val="0"/>
        <w:snapToGrid w:val="0"/>
        <w:spacing w:line="579" w:lineRule="exact"/>
        <w:rPr>
          <w:rFonts w:eastAsia="方正黑体_GBK"/>
          <w:kern w:val="0"/>
          <w:szCs w:val="32"/>
          <w:shd w:val="clear" w:color="auto" w:fill="FFFFFF"/>
        </w:rPr>
      </w:pPr>
    </w:p>
    <w:p w:rsidR="000E4FB0" w:rsidRPr="00BA53A9" w:rsidRDefault="000E4FB0" w:rsidP="000E4FB0">
      <w:pPr>
        <w:pStyle w:val="a3"/>
        <w:widowControl/>
        <w:spacing w:before="0" w:beforeAutospacing="0" w:after="0" w:afterAutospacing="0" w:line="560" w:lineRule="exact"/>
        <w:jc w:val="center"/>
        <w:rPr>
          <w:rFonts w:eastAsia="方正小标宋_GBK" w:cs="方正小标宋_GBK" w:hint="eastAsia"/>
          <w:sz w:val="44"/>
          <w:szCs w:val="44"/>
          <w:shd w:val="clear" w:color="auto" w:fill="FFFFFF"/>
        </w:rPr>
      </w:pPr>
      <w:r w:rsidRPr="00BA53A9">
        <w:rPr>
          <w:rFonts w:eastAsia="方正小标宋_GBK" w:cs="方正小标宋_GBK" w:hint="eastAsia"/>
          <w:sz w:val="44"/>
          <w:szCs w:val="44"/>
          <w:shd w:val="clear" w:color="auto" w:fill="FFFFFF"/>
        </w:rPr>
        <w:t>合川区农村养老服务全覆盖工作责任分工</w:t>
      </w:r>
    </w:p>
    <w:p w:rsidR="000E4FB0" w:rsidRPr="008F2CD2" w:rsidRDefault="000E4FB0" w:rsidP="000E4FB0">
      <w:pPr>
        <w:pStyle w:val="a3"/>
        <w:widowControl/>
        <w:snapToGrid w:val="0"/>
        <w:spacing w:before="0" w:beforeAutospacing="0" w:after="0" w:afterAutospacing="0" w:line="579" w:lineRule="exact"/>
        <w:jc w:val="center"/>
        <w:rPr>
          <w:rFonts w:eastAsia="方正小标宋_GBK" w:cs="方正小标宋_GBK"/>
          <w:sz w:val="32"/>
          <w:szCs w:val="32"/>
          <w:shd w:val="clear" w:color="auto" w:fill="FFFFFF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2844"/>
        <w:gridCol w:w="5530"/>
      </w:tblGrid>
      <w:tr w:rsidR="000E4FB0" w:rsidRPr="008F2CD2" w:rsidTr="0017625E">
        <w:trPr>
          <w:trHeight w:val="468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序号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工作任务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240" w:lineRule="exact"/>
              <w:contextualSpacing/>
              <w:jc w:val="center"/>
              <w:rPr>
                <w:rFonts w:ascii="方正黑体_GBK" w:eastAsia="方正黑体_GBK" w:hAnsi="方正黑体_GBK" w:cs="方正黑体_GBK"/>
                <w:sz w:val="21"/>
                <w:szCs w:val="21"/>
              </w:rPr>
            </w:pPr>
            <w:r w:rsidRPr="008F2CD2"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责任单位</w:t>
            </w:r>
          </w:p>
        </w:tc>
      </w:tr>
      <w:tr w:rsidR="000E4FB0" w:rsidRPr="008F2CD2" w:rsidTr="0017625E">
        <w:trPr>
          <w:trHeight w:val="951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推进农村失能特困人员集中照护机构建设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区民政局、区发展改革委、区财政局、区住房城乡建委、区规划自然资源局、区残联，相关镇街</w:t>
            </w:r>
          </w:p>
        </w:tc>
      </w:tr>
      <w:tr w:rsidR="000E4FB0" w:rsidRPr="008F2CD2" w:rsidTr="0017625E">
        <w:trPr>
          <w:trHeight w:val="505"/>
        </w:trPr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推进镇级敬老院改造提升工程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区民政局、区发展改革委、区财政局、区住房城乡建委、区规划自然资源局，相关镇街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推进镇养老服务中心全覆盖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区民政局、区财政局、区住房城乡建委、区规划自然资源局、区卫生健康委、区国资委，各镇街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合理规划建设村级互助养老点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区民政局、区农业农村委、区住房城乡建委、区规划自然资源局、区卫生健康委，各镇街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推进农村养老服务设施规范管理、持续经营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区民政局、区财政局、区卫生健康委，各镇街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探索农村互助养老服务模式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区民政局、区农业农村委、区卫生健康委、区扶贫办、区住房城乡建委，各镇街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建立农村老年人“结对扶老”制度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培育农村“专兼职+志愿者”养老服务队伍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积极支持家庭承担养老功能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区民政局、区卫生健康委、区司法局、区住房城乡建委、区人力社保局，各镇街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提升农村养老服务人员业务水平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区民政局、区人力社保局，各镇街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推进农村医疗与养老服务融合发展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区卫生健康委、区民政局、区大数据发展局，各镇街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提升农村养老服务信息化水平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区卫生健康委、区民政局、区大数据发展局，各镇街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提升农村老年人养老照护支付能力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区人力社保局、区财政局、区农业农村委、区卫生健康委、区</w:t>
            </w:r>
            <w:proofErr w:type="gramStart"/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医</w:t>
            </w:r>
            <w:proofErr w:type="gramEnd"/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保局、合川银保监局、区民政局，各镇街</w:t>
            </w:r>
          </w:p>
        </w:tc>
      </w:tr>
      <w:tr w:rsidR="000E4FB0" w:rsidRPr="008F2CD2" w:rsidTr="0017625E">
        <w:tc>
          <w:tcPr>
            <w:tcW w:w="74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ind w:firstLineChars="100" w:firstLine="210"/>
              <w:contextualSpacing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2844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丰富农村养老服务业态</w:t>
            </w:r>
          </w:p>
        </w:tc>
        <w:tc>
          <w:tcPr>
            <w:tcW w:w="5530" w:type="dxa"/>
            <w:vAlign w:val="center"/>
          </w:tcPr>
          <w:p w:rsidR="000E4FB0" w:rsidRPr="008F2CD2" w:rsidRDefault="000E4FB0" w:rsidP="0017625E">
            <w:pPr>
              <w:pStyle w:val="a3"/>
              <w:widowControl/>
              <w:spacing w:before="0" w:beforeAutospacing="0" w:after="0" w:afterAutospacing="0" w:line="300" w:lineRule="exact"/>
              <w:contextualSpacing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  <w:shd w:val="clear" w:color="auto" w:fill="FFFFFF"/>
              </w:rPr>
            </w:pPr>
            <w:r w:rsidRPr="008F2CD2">
              <w:rPr>
                <w:rFonts w:ascii="方正仿宋_GBK" w:eastAsia="方正仿宋_GBK" w:hAnsi="方正仿宋_GBK" w:cs="方正仿宋_GBK" w:hint="eastAsia"/>
                <w:sz w:val="21"/>
                <w:szCs w:val="21"/>
                <w:shd w:val="clear" w:color="auto" w:fill="FFFFFF"/>
              </w:rPr>
              <w:t>区农业农村委、区民政局、区发展改革委、区经济信息委、区规划自然资源局、区住房城乡建委、区卫生健康委、区人力社保局，各镇街</w:t>
            </w:r>
          </w:p>
        </w:tc>
      </w:tr>
    </w:tbl>
    <w:p w:rsidR="000E4FB0" w:rsidRPr="007A329B" w:rsidRDefault="000E4FB0" w:rsidP="000E4FB0"/>
    <w:p w:rsidR="000E4FB0" w:rsidRDefault="000E4FB0" w:rsidP="000E4FB0"/>
    <w:p w:rsidR="000E4FB0" w:rsidRDefault="000E4FB0" w:rsidP="000E4FB0">
      <w:pPr>
        <w:rPr>
          <w:rFonts w:ascii="方正仿宋_GBK" w:hint="eastAsia"/>
          <w:szCs w:val="32"/>
        </w:rPr>
      </w:pPr>
    </w:p>
    <w:p w:rsidR="00A0248B" w:rsidRPr="000E4FB0" w:rsidRDefault="00A0248B"/>
    <w:sectPr w:rsidR="00A0248B" w:rsidRPr="000E4FB0" w:rsidSect="00A0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FB0"/>
    <w:rsid w:val="000E4FB0"/>
    <w:rsid w:val="00A0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0"/>
    <w:pPr>
      <w:widowControl w:val="0"/>
      <w:jc w:val="both"/>
    </w:pPr>
    <w:rPr>
      <w:rFonts w:ascii="Times New Roman" w:eastAsia="方正仿宋_GBK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E4FB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2021-06-23T01:10:00Z</dcterms:created>
  <dcterms:modified xsi:type="dcterms:W3CDTF">2021-06-23T01:10:00Z</dcterms:modified>
</cp:coreProperties>
</file>