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701" w:right="1588" w:bottom="1588" w:left="1588" w:header="1304" w:footer="1247" w:gutter="0"/>
          <w:pgNumType w:start="1"/>
          <w:cols w:space="720" w:num="1"/>
          <w:titlePg/>
          <w:docGrid w:linePitch="381" w:charSpace="0"/>
        </w:sectPr>
      </w:pPr>
      <w:bookmarkStart w:id="0" w:name="_Toc226170859"/>
      <w:bookmarkStart w:id="1" w:name="_Toc250986134"/>
      <w:bookmarkStart w:id="2" w:name="_Toc118803401"/>
      <w:bookmarkStart w:id="3" w:name="_Toc216687041"/>
      <w:bookmarkStart w:id="4" w:name="_Toc211699283"/>
      <w:bookmarkStart w:id="5" w:name="_Toc214964249"/>
      <w:bookmarkStart w:id="6" w:name="_Toc250984893"/>
      <w:bookmarkStart w:id="7" w:name="_Toc211698641"/>
      <w:bookmarkStart w:id="8" w:name="_Toc211699125"/>
      <w:bookmarkStart w:id="9" w:name="_Toc218853980"/>
      <w:bookmarkStart w:id="10" w:name="_Toc214708536"/>
      <w:bookmarkStart w:id="11" w:name="_Toc224383057"/>
      <w:bookmarkStart w:id="12" w:name="_Toc211738815"/>
      <w:bookmarkStart w:id="13" w:name="_Toc219453029"/>
      <w:bookmarkStart w:id="14" w:name="_Toc118803402"/>
      <w:r>
        <w:drawing>
          <wp:inline distT="0" distB="0" distL="114300" distR="114300">
            <wp:extent cx="5541010" cy="7828280"/>
            <wp:effectExtent l="0" t="0" r="2540" b="1270"/>
            <wp:docPr id="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0"/>
                    <pic:cNvPicPr>
                      <a:picLocks noChangeAspect="1"/>
                    </pic:cNvPicPr>
                  </pic:nvPicPr>
                  <pic:blipFill>
                    <a:blip r:embed="rId15"/>
                    <a:stretch>
                      <a:fillRect/>
                    </a:stretch>
                  </pic:blipFill>
                  <pic:spPr>
                    <a:xfrm>
                      <a:off x="0" y="0"/>
                      <a:ext cx="5541010" cy="7828280"/>
                    </a:xfrm>
                    <a:prstGeom prst="rect">
                      <a:avLst/>
                    </a:prstGeom>
                    <a:noFill/>
                    <a:ln>
                      <a:noFill/>
                    </a:ln>
                  </pic:spPr>
                </pic:pic>
              </a:graphicData>
            </a:graphic>
          </wp:inline>
        </w:drawing>
      </w:r>
    </w:p>
    <w:p>
      <w:pPr>
        <w:pStyle w:val="2"/>
        <w:sectPr>
          <w:pgSz w:w="11906" w:h="16838"/>
          <w:pgMar w:top="1701" w:right="1588" w:bottom="1588" w:left="1588" w:header="1304" w:footer="1247" w:gutter="0"/>
          <w:pgNumType w:start="1"/>
          <w:cols w:space="720" w:num="1"/>
          <w:titlePg/>
          <w:docGrid w:linePitch="381" w:charSpace="0"/>
        </w:sectPr>
      </w:pPr>
      <w:r>
        <w:drawing>
          <wp:inline distT="0" distB="0" distL="114300" distR="114300">
            <wp:extent cx="5542280" cy="7830820"/>
            <wp:effectExtent l="0" t="0" r="1270" b="17780"/>
            <wp:docPr id="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3"/>
                    <pic:cNvPicPr>
                      <a:picLocks noChangeAspect="1"/>
                    </pic:cNvPicPr>
                  </pic:nvPicPr>
                  <pic:blipFill>
                    <a:blip r:embed="rId16"/>
                    <a:stretch>
                      <a:fillRect/>
                    </a:stretch>
                  </pic:blipFill>
                  <pic:spPr>
                    <a:xfrm>
                      <a:off x="0" y="0"/>
                      <a:ext cx="5542280" cy="7830820"/>
                    </a:xfrm>
                    <a:prstGeom prst="rect">
                      <a:avLst/>
                    </a:prstGeom>
                    <a:noFill/>
                    <a:ln>
                      <a:noFill/>
                    </a:ln>
                  </pic:spPr>
                </pic:pic>
              </a:graphicData>
            </a:graphic>
          </wp:inline>
        </w:drawing>
      </w:r>
    </w:p>
    <w:p>
      <w:pPr>
        <w:spacing w:line="240" w:lineRule="auto"/>
        <w:ind w:left="0" w:leftChars="0" w:firstLine="0" w:firstLineChars="0"/>
        <w:sectPr>
          <w:pgSz w:w="11906" w:h="16838"/>
          <w:pgMar w:top="1701" w:right="1588" w:bottom="1588" w:left="1588" w:header="1304" w:footer="1247" w:gutter="0"/>
          <w:pgNumType w:start="1"/>
          <w:cols w:space="720" w:num="1"/>
          <w:titlePg/>
          <w:docGrid w:linePitch="381" w:charSpace="0"/>
        </w:sectPr>
      </w:pPr>
      <w:r>
        <w:drawing>
          <wp:inline distT="0" distB="0" distL="114300" distR="114300">
            <wp:extent cx="5541010" cy="7828280"/>
            <wp:effectExtent l="0" t="0" r="2540" b="1270"/>
            <wp:docPr id="8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8"/>
                    <pic:cNvPicPr>
                      <a:picLocks noChangeAspect="1"/>
                    </pic:cNvPicPr>
                  </pic:nvPicPr>
                  <pic:blipFill>
                    <a:blip r:embed="rId17"/>
                    <a:stretch>
                      <a:fillRect/>
                    </a:stretch>
                  </pic:blipFill>
                  <pic:spPr>
                    <a:xfrm>
                      <a:off x="0" y="0"/>
                      <a:ext cx="5541010" cy="7828280"/>
                    </a:xfrm>
                    <a:prstGeom prst="rect">
                      <a:avLst/>
                    </a:prstGeom>
                    <a:noFill/>
                    <a:ln>
                      <a:noFill/>
                    </a:ln>
                  </pic:spPr>
                </pic:pic>
              </a:graphicData>
            </a:graphic>
          </wp:inline>
        </w:drawing>
      </w:r>
    </w:p>
    <w:p>
      <w:pPr>
        <w:snapToGrid w:val="0"/>
        <w:spacing w:line="240" w:lineRule="auto"/>
        <w:ind w:firstLine="520"/>
        <w:rPr>
          <w:color w:val="auto"/>
          <w:highlight w:val="none"/>
        </w:rPr>
      </w:pPr>
    </w:p>
    <w:bookmarkEnd w:id="0"/>
    <w:bookmarkEnd w:id="1"/>
    <w:bookmarkEnd w:id="2"/>
    <w:bookmarkEnd w:id="3"/>
    <w:bookmarkEnd w:id="4"/>
    <w:bookmarkEnd w:id="5"/>
    <w:bookmarkEnd w:id="6"/>
    <w:bookmarkEnd w:id="7"/>
    <w:bookmarkEnd w:id="8"/>
    <w:bookmarkEnd w:id="9"/>
    <w:bookmarkEnd w:id="10"/>
    <w:bookmarkEnd w:id="11"/>
    <w:bookmarkEnd w:id="12"/>
    <w:bookmarkEnd w:id="13"/>
    <w:p>
      <w:pPr>
        <w:spacing w:before="240" w:after="60"/>
        <w:ind w:firstLine="0" w:firstLineChars="0"/>
        <w:jc w:val="center"/>
        <w:outlineLvl w:val="0"/>
        <w:rPr>
          <w:rFonts w:ascii="Cambria" w:hAnsi="Cambria"/>
          <w:b/>
          <w:bCs/>
          <w:color w:val="auto"/>
          <w:sz w:val="32"/>
          <w:szCs w:val="32"/>
          <w:highlight w:val="none"/>
        </w:rPr>
      </w:pPr>
      <w:bookmarkStart w:id="15" w:name="_Toc250984894"/>
      <w:bookmarkStart w:id="16" w:name="_Toc250986135"/>
      <w:bookmarkStart w:id="17" w:name="_Toc15969"/>
      <w:r>
        <w:rPr>
          <w:rFonts w:hint="eastAsia" w:ascii="Cambria" w:hAnsi="Cambria"/>
          <w:b/>
          <w:bCs/>
          <w:color w:val="auto"/>
          <w:sz w:val="32"/>
          <w:szCs w:val="32"/>
          <w:highlight w:val="none"/>
        </w:rPr>
        <w:t>目  录</w:t>
      </w:r>
      <w:bookmarkEnd w:id="15"/>
      <w:bookmarkEnd w:id="16"/>
      <w:bookmarkEnd w:id="17"/>
    </w:p>
    <w:p>
      <w:pPr>
        <w:spacing w:line="240" w:lineRule="auto"/>
        <w:ind w:firstLine="520"/>
        <w:rPr>
          <w:color w:val="auto"/>
          <w:highlight w:val="none"/>
        </w:rPr>
      </w:pPr>
    </w:p>
    <w:p>
      <w:pPr>
        <w:pStyle w:val="20"/>
        <w:tabs>
          <w:tab w:val="right" w:leader="dot" w:pos="8731"/>
          <w:tab w:val="clear" w:pos="8721"/>
        </w:tabs>
      </w:pPr>
      <w:r>
        <w:rPr>
          <w:snapToGrid w:val="0"/>
          <w:color w:val="auto"/>
          <w:kern w:val="0"/>
          <w:szCs w:val="26"/>
          <w:highlight w:val="none"/>
        </w:rPr>
        <w:fldChar w:fldCharType="begin"/>
      </w:r>
      <w:r>
        <w:rPr>
          <w:snapToGrid w:val="0"/>
          <w:color w:val="auto"/>
          <w:kern w:val="0"/>
          <w:szCs w:val="26"/>
          <w:highlight w:val="none"/>
        </w:rPr>
        <w:instrText xml:space="preserve"> </w:instrText>
      </w:r>
      <w:r>
        <w:rPr>
          <w:rFonts w:hint="eastAsia"/>
          <w:snapToGrid w:val="0"/>
          <w:color w:val="auto"/>
          <w:kern w:val="0"/>
          <w:szCs w:val="26"/>
          <w:highlight w:val="none"/>
        </w:rPr>
        <w:instrText xml:space="preserve">TOC \o "1-2" \h \z \u</w:instrText>
      </w:r>
      <w:r>
        <w:rPr>
          <w:snapToGrid w:val="0"/>
          <w:color w:val="auto"/>
          <w:kern w:val="0"/>
          <w:szCs w:val="26"/>
          <w:highlight w:val="none"/>
        </w:rPr>
        <w:instrText xml:space="preserve"> </w:instrText>
      </w:r>
      <w:r>
        <w:rPr>
          <w:snapToGrid w:val="0"/>
          <w:color w:val="auto"/>
          <w:kern w:val="0"/>
          <w:szCs w:val="26"/>
          <w:highlight w:val="none"/>
        </w:rPr>
        <w:fldChar w:fldCharType="separate"/>
      </w:r>
      <w:r>
        <w:rPr>
          <w:snapToGrid w:val="0"/>
          <w:color w:val="auto"/>
          <w:kern w:val="0"/>
          <w:szCs w:val="26"/>
          <w:highlight w:val="none"/>
        </w:rPr>
        <w:fldChar w:fldCharType="begin"/>
      </w:r>
      <w:r>
        <w:rPr>
          <w:snapToGrid w:val="0"/>
          <w:kern w:val="0"/>
          <w:szCs w:val="26"/>
          <w:highlight w:val="none"/>
        </w:rPr>
        <w:instrText xml:space="preserve"> HYPERLINK \l _Toc15969 </w:instrText>
      </w:r>
      <w:r>
        <w:rPr>
          <w:snapToGrid w:val="0"/>
          <w:kern w:val="0"/>
          <w:szCs w:val="26"/>
          <w:highlight w:val="none"/>
        </w:rPr>
        <w:fldChar w:fldCharType="separate"/>
      </w:r>
      <w:r>
        <w:rPr>
          <w:rFonts w:hint="eastAsia" w:ascii="Cambria" w:hAnsi="Cambria"/>
          <w:bCs/>
          <w:szCs w:val="32"/>
          <w:highlight w:val="none"/>
        </w:rPr>
        <w:t>目  录</w:t>
      </w:r>
      <w:r>
        <w:tab/>
      </w:r>
      <w:r>
        <w:fldChar w:fldCharType="begin"/>
      </w:r>
      <w:r>
        <w:instrText xml:space="preserve"> PAGEREF _Toc15969 \h </w:instrText>
      </w:r>
      <w:r>
        <w:fldChar w:fldCharType="separate"/>
      </w:r>
      <w:r>
        <w:t>1</w:t>
      </w:r>
      <w:r>
        <w:fldChar w:fldCharType="end"/>
      </w:r>
      <w:r>
        <w:rPr>
          <w:snapToGrid w:val="0"/>
          <w:color w:val="auto"/>
          <w:kern w:val="0"/>
          <w:szCs w:val="26"/>
          <w:highlight w:val="none"/>
        </w:rPr>
        <w:fldChar w:fldCharType="end"/>
      </w:r>
    </w:p>
    <w:p>
      <w:pPr>
        <w:pStyle w:val="20"/>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_Toc11286 </w:instrText>
      </w:r>
      <w:r>
        <w:rPr>
          <w:snapToGrid w:val="0"/>
          <w:kern w:val="0"/>
          <w:szCs w:val="26"/>
          <w:highlight w:val="none"/>
        </w:rPr>
        <w:fldChar w:fldCharType="separate"/>
      </w:r>
      <w:r>
        <w:rPr>
          <w:rFonts w:hint="eastAsia"/>
          <w:highlight w:val="none"/>
        </w:rPr>
        <w:t>概  述</w:t>
      </w:r>
      <w:r>
        <w:tab/>
      </w:r>
      <w:r>
        <w:fldChar w:fldCharType="begin"/>
      </w:r>
      <w:r>
        <w:instrText xml:space="preserve"> PAGEREF _Toc11286 \h </w:instrText>
      </w:r>
      <w:r>
        <w:fldChar w:fldCharType="separate"/>
      </w:r>
      <w:r>
        <w:t>4</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_Toc905 </w:instrText>
      </w:r>
      <w:r>
        <w:rPr>
          <w:snapToGrid w:val="0"/>
          <w:kern w:val="0"/>
          <w:szCs w:val="26"/>
          <w:highlight w:val="none"/>
        </w:rPr>
        <w:fldChar w:fldCharType="separate"/>
      </w:r>
      <w:r>
        <w:rPr>
          <w:highlight w:val="none"/>
        </w:rPr>
        <w:t>一、建设项目背景</w:t>
      </w:r>
      <w:r>
        <w:tab/>
      </w:r>
      <w:r>
        <w:fldChar w:fldCharType="begin"/>
      </w:r>
      <w:r>
        <w:instrText xml:space="preserve"> PAGEREF _Toc905 \h </w:instrText>
      </w:r>
      <w:r>
        <w:fldChar w:fldCharType="separate"/>
      </w:r>
      <w:r>
        <w:t>4</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_Toc19436 </w:instrText>
      </w:r>
      <w:r>
        <w:rPr>
          <w:snapToGrid w:val="0"/>
          <w:kern w:val="0"/>
          <w:szCs w:val="26"/>
          <w:highlight w:val="none"/>
        </w:rPr>
        <w:fldChar w:fldCharType="separate"/>
      </w:r>
      <w:r>
        <w:rPr>
          <w:rFonts w:hint="eastAsia"/>
          <w:highlight w:val="none"/>
        </w:rPr>
        <w:t>二</w:t>
      </w:r>
      <w:r>
        <w:rPr>
          <w:highlight w:val="none"/>
        </w:rPr>
        <w:t>、建设项目</w:t>
      </w:r>
      <w:r>
        <w:rPr>
          <w:rFonts w:hint="eastAsia"/>
          <w:highlight w:val="none"/>
        </w:rPr>
        <w:t>的</w:t>
      </w:r>
      <w:r>
        <w:rPr>
          <w:highlight w:val="none"/>
        </w:rPr>
        <w:t>特点</w:t>
      </w:r>
      <w:r>
        <w:tab/>
      </w:r>
      <w:r>
        <w:fldChar w:fldCharType="begin"/>
      </w:r>
      <w:r>
        <w:instrText xml:space="preserve"> PAGEREF _Toc19436 \h </w:instrText>
      </w:r>
      <w:r>
        <w:fldChar w:fldCharType="separate"/>
      </w:r>
      <w:r>
        <w:t>5</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_Toc13630 </w:instrText>
      </w:r>
      <w:r>
        <w:rPr>
          <w:snapToGrid w:val="0"/>
          <w:kern w:val="0"/>
          <w:szCs w:val="26"/>
          <w:highlight w:val="none"/>
        </w:rPr>
        <w:fldChar w:fldCharType="separate"/>
      </w:r>
      <w:r>
        <w:rPr>
          <w:rFonts w:hint="eastAsia"/>
          <w:highlight w:val="none"/>
        </w:rPr>
        <w:t>三</w:t>
      </w:r>
      <w:r>
        <w:rPr>
          <w:highlight w:val="none"/>
        </w:rPr>
        <w:t>、环境影响评价工作过程</w:t>
      </w:r>
      <w:r>
        <w:tab/>
      </w:r>
      <w:r>
        <w:fldChar w:fldCharType="begin"/>
      </w:r>
      <w:r>
        <w:instrText xml:space="preserve"> PAGEREF _Toc13630 \h </w:instrText>
      </w:r>
      <w:r>
        <w:fldChar w:fldCharType="separate"/>
      </w:r>
      <w:r>
        <w:t>5</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_Toc26053 </w:instrText>
      </w:r>
      <w:r>
        <w:rPr>
          <w:snapToGrid w:val="0"/>
          <w:kern w:val="0"/>
          <w:szCs w:val="26"/>
          <w:highlight w:val="none"/>
        </w:rPr>
        <w:fldChar w:fldCharType="separate"/>
      </w:r>
      <w:r>
        <w:rPr>
          <w:rFonts w:hint="eastAsia"/>
          <w:highlight w:val="none"/>
        </w:rPr>
        <w:t>四</w:t>
      </w:r>
      <w:r>
        <w:rPr>
          <w:highlight w:val="none"/>
        </w:rPr>
        <w:t>、分析判断相关情况</w:t>
      </w:r>
      <w:r>
        <w:tab/>
      </w:r>
      <w:r>
        <w:fldChar w:fldCharType="begin"/>
      </w:r>
      <w:r>
        <w:instrText xml:space="preserve"> PAGEREF _Toc26053 \h </w:instrText>
      </w:r>
      <w:r>
        <w:fldChar w:fldCharType="separate"/>
      </w:r>
      <w:r>
        <w:t>7</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_Toc13038 </w:instrText>
      </w:r>
      <w:r>
        <w:rPr>
          <w:snapToGrid w:val="0"/>
          <w:kern w:val="0"/>
          <w:szCs w:val="26"/>
          <w:highlight w:val="none"/>
        </w:rPr>
        <w:fldChar w:fldCharType="separate"/>
      </w:r>
      <w:r>
        <w:rPr>
          <w:rFonts w:hint="eastAsia"/>
          <w:highlight w:val="none"/>
        </w:rPr>
        <w:t>五</w:t>
      </w:r>
      <w:r>
        <w:rPr>
          <w:highlight w:val="none"/>
        </w:rPr>
        <w:t>、关注的主要环境问题</w:t>
      </w:r>
      <w:r>
        <w:rPr>
          <w:rFonts w:hint="eastAsia"/>
          <w:highlight w:val="none"/>
        </w:rPr>
        <w:t>及</w:t>
      </w:r>
      <w:r>
        <w:rPr>
          <w:highlight w:val="none"/>
        </w:rPr>
        <w:t>环境影响</w:t>
      </w:r>
      <w:r>
        <w:tab/>
      </w:r>
      <w:r>
        <w:fldChar w:fldCharType="begin"/>
      </w:r>
      <w:r>
        <w:instrText xml:space="preserve"> PAGEREF _Toc13038 \h </w:instrText>
      </w:r>
      <w:r>
        <w:fldChar w:fldCharType="separate"/>
      </w:r>
      <w:r>
        <w:t>7</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_Toc680 </w:instrText>
      </w:r>
      <w:r>
        <w:rPr>
          <w:snapToGrid w:val="0"/>
          <w:kern w:val="0"/>
          <w:szCs w:val="26"/>
          <w:highlight w:val="none"/>
        </w:rPr>
        <w:fldChar w:fldCharType="separate"/>
      </w:r>
      <w:r>
        <w:rPr>
          <w:rFonts w:hint="eastAsia"/>
          <w:szCs w:val="26"/>
          <w:highlight w:val="none"/>
        </w:rPr>
        <w:t>六</w:t>
      </w:r>
      <w:r>
        <w:rPr>
          <w:szCs w:val="26"/>
          <w:highlight w:val="none"/>
        </w:rPr>
        <w:t>、环境影响报告书的主要结论</w:t>
      </w:r>
      <w:r>
        <w:tab/>
      </w:r>
      <w:r>
        <w:fldChar w:fldCharType="begin"/>
      </w:r>
      <w:r>
        <w:instrText xml:space="preserve"> PAGEREF _Toc680 \h </w:instrText>
      </w:r>
      <w:r>
        <w:fldChar w:fldCharType="separate"/>
      </w:r>
      <w:r>
        <w:t>8</w:t>
      </w:r>
      <w:r>
        <w:fldChar w:fldCharType="end"/>
      </w:r>
      <w:r>
        <w:rPr>
          <w:snapToGrid w:val="0"/>
          <w:color w:val="auto"/>
          <w:kern w:val="0"/>
          <w:szCs w:val="26"/>
          <w:highlight w:val="none"/>
        </w:rPr>
        <w:fldChar w:fldCharType="end"/>
      </w:r>
    </w:p>
    <w:p>
      <w:pPr>
        <w:pStyle w:val="20"/>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_Toc12204 </w:instrText>
      </w:r>
      <w:r>
        <w:rPr>
          <w:snapToGrid w:val="0"/>
          <w:kern w:val="0"/>
          <w:szCs w:val="26"/>
          <w:highlight w:val="none"/>
        </w:rPr>
        <w:fldChar w:fldCharType="separate"/>
      </w:r>
      <w:r>
        <w:rPr>
          <w:rFonts w:hint="eastAsia"/>
          <w:bCs/>
          <w:kern w:val="44"/>
          <w:szCs w:val="32"/>
        </w:rPr>
        <w:t xml:space="preserve">1 </w:t>
      </w:r>
      <w:r>
        <w:rPr>
          <w:rFonts w:hint="eastAsia"/>
          <w:bCs/>
          <w:kern w:val="44"/>
          <w:szCs w:val="32"/>
          <w:highlight w:val="none"/>
        </w:rPr>
        <w:t>总  则</w:t>
      </w:r>
      <w:r>
        <w:tab/>
      </w:r>
      <w:r>
        <w:fldChar w:fldCharType="begin"/>
      </w:r>
      <w:r>
        <w:instrText xml:space="preserve"> PAGEREF _Toc12204 \h </w:instrText>
      </w:r>
      <w:r>
        <w:fldChar w:fldCharType="separate"/>
      </w:r>
      <w:r>
        <w:t>10</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_Toc552 </w:instrText>
      </w:r>
      <w:r>
        <w:rPr>
          <w:snapToGrid w:val="0"/>
          <w:kern w:val="0"/>
          <w:szCs w:val="26"/>
          <w:highlight w:val="none"/>
        </w:rPr>
        <w:fldChar w:fldCharType="separate"/>
      </w:r>
      <w:r>
        <w:rPr>
          <w:rFonts w:hint="default" w:ascii="Times New Roman" w:hAnsi="Times New Roman" w:cs="Times New Roman"/>
        </w:rPr>
        <w:t xml:space="preserve">1.1 </w:t>
      </w:r>
      <w:r>
        <w:rPr>
          <w:rFonts w:hint="eastAsia"/>
          <w:highlight w:val="none"/>
        </w:rPr>
        <w:t>编制依据</w:t>
      </w:r>
      <w:r>
        <w:tab/>
      </w:r>
      <w:r>
        <w:fldChar w:fldCharType="begin"/>
      </w:r>
      <w:r>
        <w:instrText xml:space="preserve"> PAGEREF _Toc552 \h </w:instrText>
      </w:r>
      <w:r>
        <w:fldChar w:fldCharType="separate"/>
      </w:r>
      <w:r>
        <w:t>10</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_Toc7278 </w:instrText>
      </w:r>
      <w:r>
        <w:rPr>
          <w:snapToGrid w:val="0"/>
          <w:kern w:val="0"/>
          <w:szCs w:val="26"/>
          <w:highlight w:val="none"/>
        </w:rPr>
        <w:fldChar w:fldCharType="separate"/>
      </w:r>
      <w:r>
        <w:rPr>
          <w:rFonts w:hint="default" w:ascii="Times New Roman" w:hAnsi="Times New Roman" w:cs="Times New Roman"/>
        </w:rPr>
        <w:t xml:space="preserve">1.2 </w:t>
      </w:r>
      <w:r>
        <w:rPr>
          <w:rFonts w:hint="eastAsia"/>
          <w:highlight w:val="none"/>
        </w:rPr>
        <w:t>评价目的</w:t>
      </w:r>
      <w:r>
        <w:tab/>
      </w:r>
      <w:r>
        <w:fldChar w:fldCharType="begin"/>
      </w:r>
      <w:r>
        <w:instrText xml:space="preserve"> PAGEREF _Toc7278 \h </w:instrText>
      </w:r>
      <w:r>
        <w:fldChar w:fldCharType="separate"/>
      </w:r>
      <w:r>
        <w:t>18</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_Toc9498 </w:instrText>
      </w:r>
      <w:r>
        <w:rPr>
          <w:snapToGrid w:val="0"/>
          <w:kern w:val="0"/>
          <w:szCs w:val="26"/>
          <w:highlight w:val="none"/>
        </w:rPr>
        <w:fldChar w:fldCharType="separate"/>
      </w:r>
      <w:r>
        <w:rPr>
          <w:rFonts w:hint="default" w:ascii="Times New Roman" w:hAnsi="Times New Roman" w:cs="Times New Roman"/>
        </w:rPr>
        <w:t xml:space="preserve">1.3 </w:t>
      </w:r>
      <w:r>
        <w:rPr>
          <w:rFonts w:hint="eastAsia"/>
          <w:highlight w:val="none"/>
        </w:rPr>
        <w:t>评价思路</w:t>
      </w:r>
      <w:r>
        <w:rPr>
          <w:highlight w:val="none"/>
        </w:rPr>
        <w:t>、内容</w:t>
      </w:r>
      <w:r>
        <w:rPr>
          <w:rFonts w:hint="eastAsia"/>
          <w:highlight w:val="none"/>
        </w:rPr>
        <w:t>及</w:t>
      </w:r>
      <w:r>
        <w:rPr>
          <w:highlight w:val="none"/>
        </w:rPr>
        <w:t>重点</w:t>
      </w:r>
      <w:r>
        <w:tab/>
      </w:r>
      <w:r>
        <w:fldChar w:fldCharType="begin"/>
      </w:r>
      <w:r>
        <w:instrText xml:space="preserve"> PAGEREF _Toc9498 \h </w:instrText>
      </w:r>
      <w:r>
        <w:fldChar w:fldCharType="separate"/>
      </w:r>
      <w:r>
        <w:t>18</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_Toc7821 </w:instrText>
      </w:r>
      <w:r>
        <w:rPr>
          <w:snapToGrid w:val="0"/>
          <w:kern w:val="0"/>
          <w:szCs w:val="26"/>
          <w:highlight w:val="none"/>
        </w:rPr>
        <w:fldChar w:fldCharType="separate"/>
      </w:r>
      <w:r>
        <w:rPr>
          <w:rFonts w:hint="default" w:ascii="Times New Roman" w:hAnsi="Times New Roman" w:cs="Times New Roman"/>
        </w:rPr>
        <w:t xml:space="preserve">1.4 </w:t>
      </w:r>
      <w:r>
        <w:rPr>
          <w:highlight w:val="none"/>
        </w:rPr>
        <w:t>环境影响识别及评价因子筛选</w:t>
      </w:r>
      <w:r>
        <w:tab/>
      </w:r>
      <w:r>
        <w:fldChar w:fldCharType="begin"/>
      </w:r>
      <w:r>
        <w:instrText xml:space="preserve"> PAGEREF _Toc7821 \h </w:instrText>
      </w:r>
      <w:r>
        <w:fldChar w:fldCharType="separate"/>
      </w:r>
      <w:r>
        <w:t>19</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_Toc27136 </w:instrText>
      </w:r>
      <w:r>
        <w:rPr>
          <w:snapToGrid w:val="0"/>
          <w:kern w:val="0"/>
          <w:szCs w:val="26"/>
          <w:highlight w:val="none"/>
        </w:rPr>
        <w:fldChar w:fldCharType="separate"/>
      </w:r>
      <w:r>
        <w:rPr>
          <w:rFonts w:hint="default" w:ascii="Times New Roman" w:hAnsi="Times New Roman" w:cs="Times New Roman"/>
        </w:rPr>
        <w:t xml:space="preserve">1.5 </w:t>
      </w:r>
      <w:r>
        <w:rPr>
          <w:highlight w:val="none"/>
        </w:rPr>
        <w:t>评价工作等级</w:t>
      </w:r>
      <w:r>
        <w:tab/>
      </w:r>
      <w:r>
        <w:fldChar w:fldCharType="begin"/>
      </w:r>
      <w:r>
        <w:instrText xml:space="preserve"> PAGEREF _Toc27136 \h </w:instrText>
      </w:r>
      <w:r>
        <w:fldChar w:fldCharType="separate"/>
      </w:r>
      <w:r>
        <w:t>21</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_Toc18868 </w:instrText>
      </w:r>
      <w:r>
        <w:rPr>
          <w:snapToGrid w:val="0"/>
          <w:kern w:val="0"/>
          <w:szCs w:val="26"/>
          <w:highlight w:val="none"/>
        </w:rPr>
        <w:fldChar w:fldCharType="separate"/>
      </w:r>
      <w:r>
        <w:rPr>
          <w:rFonts w:hint="default" w:ascii="Times New Roman" w:hAnsi="Times New Roman" w:cs="Times New Roman"/>
        </w:rPr>
        <w:t xml:space="preserve">1.6 </w:t>
      </w:r>
      <w:r>
        <w:rPr>
          <w:rFonts w:hint="eastAsia"/>
          <w:highlight w:val="none"/>
        </w:rPr>
        <w:t>评价范围</w:t>
      </w:r>
      <w:r>
        <w:tab/>
      </w:r>
      <w:r>
        <w:fldChar w:fldCharType="begin"/>
      </w:r>
      <w:r>
        <w:instrText xml:space="preserve"> PAGEREF _Toc18868 \h </w:instrText>
      </w:r>
      <w:r>
        <w:fldChar w:fldCharType="separate"/>
      </w:r>
      <w:r>
        <w:t>25</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_Toc26655 </w:instrText>
      </w:r>
      <w:r>
        <w:rPr>
          <w:snapToGrid w:val="0"/>
          <w:kern w:val="0"/>
          <w:szCs w:val="26"/>
          <w:highlight w:val="none"/>
        </w:rPr>
        <w:fldChar w:fldCharType="separate"/>
      </w:r>
      <w:r>
        <w:rPr>
          <w:rFonts w:hint="default" w:ascii="Times New Roman" w:hAnsi="Times New Roman" w:cs="Times New Roman"/>
        </w:rPr>
        <w:t xml:space="preserve">1.7 </w:t>
      </w:r>
      <w:r>
        <w:rPr>
          <w:highlight w:val="none"/>
        </w:rPr>
        <w:t>环境功能区划与评价标准</w:t>
      </w:r>
      <w:r>
        <w:tab/>
      </w:r>
      <w:r>
        <w:fldChar w:fldCharType="begin"/>
      </w:r>
      <w:r>
        <w:instrText xml:space="preserve"> PAGEREF _Toc26655 \h </w:instrText>
      </w:r>
      <w:r>
        <w:fldChar w:fldCharType="separate"/>
      </w:r>
      <w:r>
        <w:t>26</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_Toc2356 </w:instrText>
      </w:r>
      <w:r>
        <w:rPr>
          <w:snapToGrid w:val="0"/>
          <w:kern w:val="0"/>
          <w:szCs w:val="26"/>
          <w:highlight w:val="none"/>
        </w:rPr>
        <w:fldChar w:fldCharType="separate"/>
      </w:r>
      <w:r>
        <w:rPr>
          <w:rFonts w:hint="default" w:ascii="Times New Roman" w:hAnsi="Times New Roman" w:cs="Times New Roman"/>
        </w:rPr>
        <w:t xml:space="preserve">1.8 </w:t>
      </w:r>
      <w:r>
        <w:rPr>
          <w:rFonts w:hint="eastAsia"/>
          <w:highlight w:val="none"/>
        </w:rPr>
        <w:t>环境保护</w:t>
      </w:r>
      <w:r>
        <w:rPr>
          <w:highlight w:val="none"/>
        </w:rPr>
        <w:t>目标</w:t>
      </w:r>
      <w:r>
        <w:rPr>
          <w:rFonts w:hint="eastAsia"/>
          <w:highlight w:val="none"/>
        </w:rPr>
        <w:t>及控制标准</w:t>
      </w:r>
      <w:r>
        <w:tab/>
      </w:r>
      <w:r>
        <w:fldChar w:fldCharType="begin"/>
      </w:r>
      <w:r>
        <w:instrText xml:space="preserve"> PAGEREF _Toc2356 \h </w:instrText>
      </w:r>
      <w:r>
        <w:fldChar w:fldCharType="separate"/>
      </w:r>
      <w:r>
        <w:t>31</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_Toc21026 </w:instrText>
      </w:r>
      <w:r>
        <w:rPr>
          <w:snapToGrid w:val="0"/>
          <w:kern w:val="0"/>
          <w:szCs w:val="26"/>
          <w:highlight w:val="none"/>
        </w:rPr>
        <w:fldChar w:fldCharType="separate"/>
      </w:r>
      <w:r>
        <w:rPr>
          <w:rFonts w:hint="default" w:ascii="Times New Roman" w:hAnsi="Times New Roman" w:cs="Times New Roman"/>
        </w:rPr>
        <w:t xml:space="preserve">1.9 </w:t>
      </w:r>
      <w:r>
        <w:rPr>
          <w:rFonts w:hint="eastAsia"/>
          <w:highlight w:val="none"/>
        </w:rPr>
        <w:t>相关</w:t>
      </w:r>
      <w:r>
        <w:rPr>
          <w:highlight w:val="none"/>
        </w:rPr>
        <w:t>政策及规划符合性分析</w:t>
      </w:r>
      <w:r>
        <w:tab/>
      </w:r>
      <w:r>
        <w:fldChar w:fldCharType="begin"/>
      </w:r>
      <w:r>
        <w:instrText xml:space="preserve"> PAGEREF _Toc21026 \h </w:instrText>
      </w:r>
      <w:r>
        <w:fldChar w:fldCharType="separate"/>
      </w:r>
      <w:r>
        <w:t>41</w:t>
      </w:r>
      <w:r>
        <w:fldChar w:fldCharType="end"/>
      </w:r>
      <w:r>
        <w:rPr>
          <w:snapToGrid w:val="0"/>
          <w:color w:val="auto"/>
          <w:kern w:val="0"/>
          <w:szCs w:val="26"/>
          <w:highlight w:val="none"/>
        </w:rPr>
        <w:fldChar w:fldCharType="end"/>
      </w:r>
    </w:p>
    <w:p>
      <w:pPr>
        <w:pStyle w:val="20"/>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_Toc20293 </w:instrText>
      </w:r>
      <w:r>
        <w:rPr>
          <w:snapToGrid w:val="0"/>
          <w:kern w:val="0"/>
          <w:szCs w:val="26"/>
          <w:highlight w:val="none"/>
        </w:rPr>
        <w:fldChar w:fldCharType="separate"/>
      </w:r>
      <w:r>
        <w:rPr>
          <w:rFonts w:hint="eastAsia"/>
        </w:rPr>
        <w:t xml:space="preserve">2 </w:t>
      </w:r>
      <w:r>
        <w:rPr>
          <w:rFonts w:hint="eastAsia"/>
          <w:highlight w:val="none"/>
        </w:rPr>
        <w:t>建设项目</w:t>
      </w:r>
      <w:r>
        <w:rPr>
          <w:highlight w:val="none"/>
        </w:rPr>
        <w:t>工程分析</w:t>
      </w:r>
      <w:r>
        <w:tab/>
      </w:r>
      <w:r>
        <w:fldChar w:fldCharType="begin"/>
      </w:r>
      <w:r>
        <w:instrText xml:space="preserve"> PAGEREF _Toc20293 \h </w:instrText>
      </w:r>
      <w:r>
        <w:fldChar w:fldCharType="separate"/>
      </w:r>
      <w:r>
        <w:t>83</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_Toc31435 </w:instrText>
      </w:r>
      <w:r>
        <w:rPr>
          <w:snapToGrid w:val="0"/>
          <w:kern w:val="0"/>
          <w:szCs w:val="26"/>
          <w:highlight w:val="none"/>
        </w:rPr>
        <w:fldChar w:fldCharType="separate"/>
      </w:r>
      <w:r>
        <w:rPr>
          <w:rFonts w:hint="default" w:ascii="Times New Roman" w:hAnsi="Times New Roman" w:cs="Times New Roman"/>
        </w:rPr>
        <w:t xml:space="preserve">2.1 </w:t>
      </w:r>
      <w:r>
        <w:rPr>
          <w:rFonts w:hint="eastAsia"/>
          <w:highlight w:val="none"/>
        </w:rPr>
        <w:t>工程位置</w:t>
      </w:r>
      <w:r>
        <w:tab/>
      </w:r>
      <w:r>
        <w:fldChar w:fldCharType="begin"/>
      </w:r>
      <w:r>
        <w:instrText xml:space="preserve"> PAGEREF _Toc31435 \h </w:instrText>
      </w:r>
      <w:r>
        <w:fldChar w:fldCharType="separate"/>
      </w:r>
      <w:r>
        <w:t>83</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_Toc20315 </w:instrText>
      </w:r>
      <w:r>
        <w:rPr>
          <w:snapToGrid w:val="0"/>
          <w:kern w:val="0"/>
          <w:szCs w:val="26"/>
          <w:highlight w:val="none"/>
        </w:rPr>
        <w:fldChar w:fldCharType="separate"/>
      </w:r>
      <w:r>
        <w:rPr>
          <w:rFonts w:hint="default" w:ascii="Times New Roman" w:hAnsi="Times New Roman" w:cs="Times New Roman"/>
        </w:rPr>
        <w:t xml:space="preserve">2.2 </w:t>
      </w:r>
      <w:r>
        <w:rPr>
          <w:rFonts w:hint="eastAsia"/>
          <w:highlight w:val="none"/>
          <w:lang w:eastAsia="zh-CN"/>
        </w:rPr>
        <w:t>航道规划情况</w:t>
      </w:r>
      <w:r>
        <w:tab/>
      </w:r>
      <w:r>
        <w:fldChar w:fldCharType="begin"/>
      </w:r>
      <w:r>
        <w:instrText xml:space="preserve"> PAGEREF _Toc20315 \h </w:instrText>
      </w:r>
      <w:r>
        <w:fldChar w:fldCharType="separate"/>
      </w:r>
      <w:r>
        <w:t>84</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_Toc19571 </w:instrText>
      </w:r>
      <w:r>
        <w:rPr>
          <w:snapToGrid w:val="0"/>
          <w:kern w:val="0"/>
          <w:szCs w:val="26"/>
          <w:highlight w:val="none"/>
        </w:rPr>
        <w:fldChar w:fldCharType="separate"/>
      </w:r>
      <w:r>
        <w:rPr>
          <w:rFonts w:hint="default" w:ascii="Times New Roman" w:hAnsi="Times New Roman" w:cs="Times New Roman"/>
        </w:rPr>
        <w:t xml:space="preserve">2.3 </w:t>
      </w:r>
      <w:r>
        <w:rPr>
          <w:rFonts w:hint="eastAsia"/>
          <w:highlight w:val="none"/>
        </w:rPr>
        <w:t>涪江航道及水运量现状</w:t>
      </w:r>
      <w:r>
        <w:tab/>
      </w:r>
      <w:r>
        <w:fldChar w:fldCharType="begin"/>
      </w:r>
      <w:r>
        <w:instrText xml:space="preserve"> PAGEREF _Toc19571 \h </w:instrText>
      </w:r>
      <w:r>
        <w:fldChar w:fldCharType="separate"/>
      </w:r>
      <w:r>
        <w:t>84</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_Toc9281 </w:instrText>
      </w:r>
      <w:r>
        <w:rPr>
          <w:snapToGrid w:val="0"/>
          <w:kern w:val="0"/>
          <w:szCs w:val="26"/>
          <w:highlight w:val="none"/>
        </w:rPr>
        <w:fldChar w:fldCharType="separate"/>
      </w:r>
      <w:r>
        <w:rPr>
          <w:rFonts w:hint="default" w:ascii="Times New Roman" w:hAnsi="Times New Roman" w:cs="Times New Roman"/>
        </w:rPr>
        <w:t xml:space="preserve">2.4 </w:t>
      </w:r>
      <w:r>
        <w:rPr>
          <w:rFonts w:hint="eastAsia"/>
          <w:highlight w:val="none"/>
        </w:rPr>
        <w:t>渭沱枢纽现状</w:t>
      </w:r>
      <w:r>
        <w:tab/>
      </w:r>
      <w:r>
        <w:fldChar w:fldCharType="begin"/>
      </w:r>
      <w:r>
        <w:instrText xml:space="preserve"> PAGEREF _Toc9281 \h </w:instrText>
      </w:r>
      <w:r>
        <w:fldChar w:fldCharType="separate"/>
      </w:r>
      <w:r>
        <w:t>87</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_Toc12617 </w:instrText>
      </w:r>
      <w:r>
        <w:rPr>
          <w:snapToGrid w:val="0"/>
          <w:kern w:val="0"/>
          <w:szCs w:val="26"/>
          <w:highlight w:val="none"/>
        </w:rPr>
        <w:fldChar w:fldCharType="separate"/>
      </w:r>
      <w:r>
        <w:rPr>
          <w:rFonts w:hint="default" w:ascii="Times New Roman" w:hAnsi="Times New Roman" w:cs="Times New Roman"/>
        </w:rPr>
        <w:t xml:space="preserve">2.5 </w:t>
      </w:r>
      <w:r>
        <w:rPr>
          <w:rFonts w:hint="eastAsia"/>
          <w:highlight w:val="none"/>
        </w:rPr>
        <w:t>拟建项目</w:t>
      </w:r>
      <w:r>
        <w:rPr>
          <w:highlight w:val="none"/>
        </w:rPr>
        <w:t>概况</w:t>
      </w:r>
      <w:r>
        <w:tab/>
      </w:r>
      <w:r>
        <w:fldChar w:fldCharType="begin"/>
      </w:r>
      <w:r>
        <w:instrText xml:space="preserve"> PAGEREF _Toc12617 \h </w:instrText>
      </w:r>
      <w:r>
        <w:fldChar w:fldCharType="separate"/>
      </w:r>
      <w:r>
        <w:t>115</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_Toc1996 </w:instrText>
      </w:r>
      <w:r>
        <w:rPr>
          <w:snapToGrid w:val="0"/>
          <w:kern w:val="0"/>
          <w:szCs w:val="26"/>
          <w:highlight w:val="none"/>
        </w:rPr>
        <w:fldChar w:fldCharType="separate"/>
      </w:r>
      <w:r>
        <w:rPr>
          <w:rFonts w:hint="default" w:ascii="Times New Roman" w:hAnsi="Times New Roman" w:cs="Times New Roman"/>
        </w:rPr>
        <w:t xml:space="preserve">2.6 </w:t>
      </w:r>
      <w:r>
        <w:rPr>
          <w:rFonts w:hint="eastAsia"/>
          <w:highlight w:val="none"/>
        </w:rPr>
        <w:t>环境影响因素</w:t>
      </w:r>
      <w:r>
        <w:rPr>
          <w:highlight w:val="none"/>
        </w:rPr>
        <w:t>分析</w:t>
      </w:r>
      <w:r>
        <w:rPr>
          <w:rFonts w:hint="eastAsia"/>
          <w:highlight w:val="none"/>
        </w:rPr>
        <w:t>及</w:t>
      </w:r>
      <w:r>
        <w:rPr>
          <w:highlight w:val="none"/>
        </w:rPr>
        <w:t>污染源强核算</w:t>
      </w:r>
      <w:r>
        <w:tab/>
      </w:r>
      <w:r>
        <w:fldChar w:fldCharType="begin"/>
      </w:r>
      <w:r>
        <w:instrText xml:space="preserve"> PAGEREF _Toc1996 \h </w:instrText>
      </w:r>
      <w:r>
        <w:fldChar w:fldCharType="separate"/>
      </w:r>
      <w:r>
        <w:t>145</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_Toc6820 </w:instrText>
      </w:r>
      <w:r>
        <w:rPr>
          <w:snapToGrid w:val="0"/>
          <w:kern w:val="0"/>
          <w:szCs w:val="26"/>
          <w:highlight w:val="none"/>
        </w:rPr>
        <w:fldChar w:fldCharType="separate"/>
      </w:r>
      <w:r>
        <w:rPr>
          <w:rFonts w:hint="default" w:ascii="Times New Roman" w:hAnsi="Times New Roman" w:cs="Times New Roman"/>
        </w:rPr>
        <w:t xml:space="preserve">2.7 </w:t>
      </w:r>
      <w:r>
        <w:rPr>
          <w:rFonts w:hint="eastAsia"/>
          <w:highlight w:val="none"/>
        </w:rPr>
        <w:t>项目污染物</w:t>
      </w:r>
      <w:r>
        <w:rPr>
          <w:highlight w:val="none"/>
        </w:rPr>
        <w:t>排放汇总</w:t>
      </w:r>
      <w:r>
        <w:tab/>
      </w:r>
      <w:r>
        <w:fldChar w:fldCharType="begin"/>
      </w:r>
      <w:r>
        <w:instrText xml:space="preserve"> PAGEREF _Toc6820 \h </w:instrText>
      </w:r>
      <w:r>
        <w:fldChar w:fldCharType="separate"/>
      </w:r>
      <w:r>
        <w:t>162</w:t>
      </w:r>
      <w:r>
        <w:fldChar w:fldCharType="end"/>
      </w:r>
      <w:r>
        <w:rPr>
          <w:snapToGrid w:val="0"/>
          <w:color w:val="auto"/>
          <w:kern w:val="0"/>
          <w:szCs w:val="26"/>
          <w:highlight w:val="none"/>
        </w:rPr>
        <w:fldChar w:fldCharType="end"/>
      </w:r>
    </w:p>
    <w:p>
      <w:pPr>
        <w:pStyle w:val="20"/>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_Toc12645 </w:instrText>
      </w:r>
      <w:r>
        <w:rPr>
          <w:snapToGrid w:val="0"/>
          <w:kern w:val="0"/>
          <w:szCs w:val="26"/>
          <w:highlight w:val="none"/>
        </w:rPr>
        <w:fldChar w:fldCharType="separate"/>
      </w:r>
      <w:r>
        <w:rPr>
          <w:rFonts w:hint="eastAsia"/>
        </w:rPr>
        <w:t xml:space="preserve">3 </w:t>
      </w:r>
      <w:r>
        <w:rPr>
          <w:rFonts w:hint="eastAsia"/>
          <w:highlight w:val="none"/>
        </w:rPr>
        <w:t>环境现状</w:t>
      </w:r>
      <w:r>
        <w:rPr>
          <w:highlight w:val="none"/>
        </w:rPr>
        <w:t>调查与评价</w:t>
      </w:r>
      <w:r>
        <w:tab/>
      </w:r>
      <w:r>
        <w:fldChar w:fldCharType="begin"/>
      </w:r>
      <w:r>
        <w:instrText xml:space="preserve"> PAGEREF _Toc12645 \h </w:instrText>
      </w:r>
      <w:r>
        <w:fldChar w:fldCharType="separate"/>
      </w:r>
      <w:r>
        <w:t>166</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_Toc2036 </w:instrText>
      </w:r>
      <w:r>
        <w:rPr>
          <w:snapToGrid w:val="0"/>
          <w:kern w:val="0"/>
          <w:szCs w:val="26"/>
          <w:highlight w:val="none"/>
        </w:rPr>
        <w:fldChar w:fldCharType="separate"/>
      </w:r>
      <w:r>
        <w:rPr>
          <w:rFonts w:hint="default" w:ascii="Times New Roman" w:hAnsi="Times New Roman" w:cs="Times New Roman"/>
        </w:rPr>
        <w:t xml:space="preserve">3.1 </w:t>
      </w:r>
      <w:r>
        <w:rPr>
          <w:rFonts w:hint="eastAsia"/>
          <w:highlight w:val="none"/>
        </w:rPr>
        <w:t>自然环境</w:t>
      </w:r>
      <w:r>
        <w:rPr>
          <w:highlight w:val="none"/>
        </w:rPr>
        <w:t>概况</w:t>
      </w:r>
      <w:r>
        <w:tab/>
      </w:r>
      <w:r>
        <w:fldChar w:fldCharType="begin"/>
      </w:r>
      <w:r>
        <w:instrText xml:space="preserve"> PAGEREF _Toc2036 \h </w:instrText>
      </w:r>
      <w:r>
        <w:fldChar w:fldCharType="separate"/>
      </w:r>
      <w:r>
        <w:t>166</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_Toc22981 </w:instrText>
      </w:r>
      <w:r>
        <w:rPr>
          <w:snapToGrid w:val="0"/>
          <w:kern w:val="0"/>
          <w:szCs w:val="26"/>
          <w:highlight w:val="none"/>
        </w:rPr>
        <w:fldChar w:fldCharType="separate"/>
      </w:r>
      <w:r>
        <w:rPr>
          <w:rFonts w:hint="default" w:ascii="Times New Roman" w:hAnsi="Times New Roman" w:cs="Times New Roman"/>
        </w:rPr>
        <w:t xml:space="preserve">3.2 </w:t>
      </w:r>
      <w:r>
        <w:rPr>
          <w:rFonts w:hint="eastAsia"/>
          <w:highlight w:val="none"/>
        </w:rPr>
        <w:t>生态</w:t>
      </w:r>
      <w:r>
        <w:rPr>
          <w:highlight w:val="none"/>
        </w:rPr>
        <w:t>环境现状调查</w:t>
      </w:r>
      <w:r>
        <w:rPr>
          <w:rFonts w:hint="eastAsia"/>
          <w:highlight w:val="none"/>
        </w:rPr>
        <w:t>与</w:t>
      </w:r>
      <w:r>
        <w:rPr>
          <w:highlight w:val="none"/>
        </w:rPr>
        <w:t>评价</w:t>
      </w:r>
      <w:r>
        <w:tab/>
      </w:r>
      <w:r>
        <w:fldChar w:fldCharType="begin"/>
      </w:r>
      <w:r>
        <w:instrText xml:space="preserve"> PAGEREF _Toc22981 \h </w:instrText>
      </w:r>
      <w:r>
        <w:fldChar w:fldCharType="separate"/>
      </w:r>
      <w:r>
        <w:t>171</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_Toc12808 </w:instrText>
      </w:r>
      <w:r>
        <w:rPr>
          <w:snapToGrid w:val="0"/>
          <w:kern w:val="0"/>
          <w:szCs w:val="26"/>
          <w:highlight w:val="none"/>
        </w:rPr>
        <w:fldChar w:fldCharType="separate"/>
      </w:r>
      <w:r>
        <w:rPr>
          <w:rFonts w:hint="default" w:ascii="Times New Roman" w:hAnsi="Times New Roman" w:cs="Times New Roman"/>
        </w:rPr>
        <w:t xml:space="preserve">3.3 </w:t>
      </w:r>
      <w:r>
        <w:rPr>
          <w:rFonts w:hint="eastAsia"/>
          <w:highlight w:val="none"/>
        </w:rPr>
        <w:t>环境</w:t>
      </w:r>
      <w:r>
        <w:rPr>
          <w:highlight w:val="none"/>
        </w:rPr>
        <w:t>现状</w:t>
      </w:r>
      <w:r>
        <w:rPr>
          <w:rFonts w:hint="eastAsia"/>
          <w:highlight w:val="none"/>
        </w:rPr>
        <w:t>调查</w:t>
      </w:r>
      <w:r>
        <w:rPr>
          <w:highlight w:val="none"/>
        </w:rPr>
        <w:t>与</w:t>
      </w:r>
      <w:r>
        <w:rPr>
          <w:rFonts w:hint="eastAsia"/>
          <w:highlight w:val="none"/>
        </w:rPr>
        <w:t>评价</w:t>
      </w:r>
      <w:r>
        <w:tab/>
      </w:r>
      <w:r>
        <w:fldChar w:fldCharType="begin"/>
      </w:r>
      <w:r>
        <w:instrText xml:space="preserve"> PAGEREF _Toc12808 \h </w:instrText>
      </w:r>
      <w:r>
        <w:fldChar w:fldCharType="separate"/>
      </w:r>
      <w:r>
        <w:t>204</w:t>
      </w:r>
      <w:r>
        <w:fldChar w:fldCharType="end"/>
      </w:r>
      <w:r>
        <w:rPr>
          <w:snapToGrid w:val="0"/>
          <w:color w:val="auto"/>
          <w:kern w:val="0"/>
          <w:szCs w:val="26"/>
          <w:highlight w:val="none"/>
        </w:rPr>
        <w:fldChar w:fldCharType="end"/>
      </w:r>
    </w:p>
    <w:p>
      <w:pPr>
        <w:pStyle w:val="20"/>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_Toc5516 </w:instrText>
      </w:r>
      <w:r>
        <w:rPr>
          <w:snapToGrid w:val="0"/>
          <w:kern w:val="0"/>
          <w:szCs w:val="26"/>
          <w:highlight w:val="none"/>
        </w:rPr>
        <w:fldChar w:fldCharType="separate"/>
      </w:r>
      <w:r>
        <w:rPr>
          <w:rFonts w:hint="eastAsia"/>
        </w:rPr>
        <w:t xml:space="preserve">4 </w:t>
      </w:r>
      <w:r>
        <w:rPr>
          <w:rFonts w:hint="eastAsia"/>
          <w:highlight w:val="none"/>
        </w:rPr>
        <w:t>环境影响</w:t>
      </w:r>
      <w:r>
        <w:rPr>
          <w:highlight w:val="none"/>
        </w:rPr>
        <w:t>预测与评价</w:t>
      </w:r>
      <w:r>
        <w:tab/>
      </w:r>
      <w:r>
        <w:fldChar w:fldCharType="begin"/>
      </w:r>
      <w:r>
        <w:instrText xml:space="preserve"> PAGEREF _Toc5516 \h </w:instrText>
      </w:r>
      <w:r>
        <w:fldChar w:fldCharType="separate"/>
      </w:r>
      <w:r>
        <w:t>217</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_Toc26057 </w:instrText>
      </w:r>
      <w:r>
        <w:rPr>
          <w:snapToGrid w:val="0"/>
          <w:kern w:val="0"/>
          <w:szCs w:val="26"/>
          <w:highlight w:val="none"/>
        </w:rPr>
        <w:fldChar w:fldCharType="separate"/>
      </w:r>
      <w:r>
        <w:rPr>
          <w:rFonts w:hint="default" w:ascii="Times New Roman" w:hAnsi="Times New Roman" w:cs="Times New Roman"/>
        </w:rPr>
        <w:t xml:space="preserve">4.1 </w:t>
      </w:r>
      <w:r>
        <w:rPr>
          <w:rFonts w:hint="eastAsia"/>
          <w:highlight w:val="none"/>
          <w:lang w:eastAsia="zh-CN"/>
        </w:rPr>
        <w:t>生态</w:t>
      </w:r>
      <w:r>
        <w:rPr>
          <w:highlight w:val="none"/>
        </w:rPr>
        <w:t>环境</w:t>
      </w:r>
      <w:r>
        <w:rPr>
          <w:rFonts w:hint="eastAsia"/>
          <w:highlight w:val="none"/>
          <w:shd w:val="clear" w:fill="FFFFFF"/>
          <w:lang w:eastAsia="zh-CN"/>
        </w:rPr>
        <w:t>影响评价</w:t>
      </w:r>
      <w:r>
        <w:tab/>
      </w:r>
      <w:r>
        <w:fldChar w:fldCharType="begin"/>
      </w:r>
      <w:r>
        <w:instrText xml:space="preserve"> PAGEREF _Toc26057 \h </w:instrText>
      </w:r>
      <w:r>
        <w:fldChar w:fldCharType="separate"/>
      </w:r>
      <w:r>
        <w:t>217</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_Toc1440 </w:instrText>
      </w:r>
      <w:r>
        <w:rPr>
          <w:snapToGrid w:val="0"/>
          <w:kern w:val="0"/>
          <w:szCs w:val="26"/>
          <w:highlight w:val="none"/>
        </w:rPr>
        <w:fldChar w:fldCharType="separate"/>
      </w:r>
      <w:r>
        <w:rPr>
          <w:rFonts w:hint="default" w:ascii="Times New Roman" w:hAnsi="Times New Roman" w:cs="Times New Roman"/>
        </w:rPr>
        <w:t xml:space="preserve">4.2 </w:t>
      </w:r>
      <w:r>
        <w:rPr>
          <w:rFonts w:hint="eastAsia"/>
          <w:highlight w:val="none"/>
          <w:lang w:eastAsia="zh-CN"/>
        </w:rPr>
        <w:t>地表水</w:t>
      </w:r>
      <w:r>
        <w:rPr>
          <w:rFonts w:hint="eastAsia"/>
          <w:highlight w:val="none"/>
        </w:rPr>
        <w:t>环境</w:t>
      </w:r>
      <w:r>
        <w:rPr>
          <w:highlight w:val="none"/>
        </w:rPr>
        <w:t>影响预测与评价</w:t>
      </w:r>
      <w:r>
        <w:tab/>
      </w:r>
      <w:r>
        <w:fldChar w:fldCharType="begin"/>
      </w:r>
      <w:r>
        <w:instrText xml:space="preserve"> PAGEREF _Toc1440 \h </w:instrText>
      </w:r>
      <w:r>
        <w:fldChar w:fldCharType="separate"/>
      </w:r>
      <w:r>
        <w:t>249</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_Toc12706 </w:instrText>
      </w:r>
      <w:r>
        <w:rPr>
          <w:snapToGrid w:val="0"/>
          <w:kern w:val="0"/>
          <w:szCs w:val="26"/>
          <w:highlight w:val="none"/>
        </w:rPr>
        <w:fldChar w:fldCharType="separate"/>
      </w:r>
      <w:r>
        <w:rPr>
          <w:rFonts w:hint="default" w:ascii="Times New Roman" w:hAnsi="Times New Roman" w:cs="Times New Roman"/>
        </w:rPr>
        <w:t xml:space="preserve">4.3 </w:t>
      </w:r>
      <w:r>
        <w:rPr>
          <w:rFonts w:hint="eastAsia"/>
          <w:highlight w:val="none"/>
        </w:rPr>
        <w:t>大气</w:t>
      </w:r>
      <w:r>
        <w:rPr>
          <w:highlight w:val="none"/>
        </w:rPr>
        <w:t>环境影响</w:t>
      </w:r>
      <w:r>
        <w:rPr>
          <w:rFonts w:hint="eastAsia"/>
          <w:highlight w:val="none"/>
        </w:rPr>
        <w:t>预测</w:t>
      </w:r>
      <w:r>
        <w:rPr>
          <w:highlight w:val="none"/>
        </w:rPr>
        <w:t>与</w:t>
      </w:r>
      <w:r>
        <w:rPr>
          <w:rFonts w:hint="eastAsia"/>
          <w:highlight w:val="none"/>
        </w:rPr>
        <w:t>评价</w:t>
      </w:r>
      <w:r>
        <w:tab/>
      </w:r>
      <w:r>
        <w:fldChar w:fldCharType="begin"/>
      </w:r>
      <w:r>
        <w:instrText xml:space="preserve"> PAGEREF _Toc12706 \h </w:instrText>
      </w:r>
      <w:r>
        <w:fldChar w:fldCharType="separate"/>
      </w:r>
      <w:r>
        <w:t>256</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_Toc4982 </w:instrText>
      </w:r>
      <w:r>
        <w:rPr>
          <w:snapToGrid w:val="0"/>
          <w:kern w:val="0"/>
          <w:szCs w:val="26"/>
          <w:highlight w:val="none"/>
        </w:rPr>
        <w:fldChar w:fldCharType="separate"/>
      </w:r>
      <w:r>
        <w:rPr>
          <w:rFonts w:hint="default" w:ascii="Times New Roman" w:hAnsi="Times New Roman" w:cs="Times New Roman"/>
        </w:rPr>
        <w:t xml:space="preserve">4.4 </w:t>
      </w:r>
      <w:r>
        <w:rPr>
          <w:rFonts w:hint="eastAsia"/>
          <w:highlight w:val="none"/>
          <w:lang w:eastAsia="zh-CN"/>
        </w:rPr>
        <w:t>声</w:t>
      </w:r>
      <w:r>
        <w:rPr>
          <w:highlight w:val="none"/>
        </w:rPr>
        <w:t>环境影响</w:t>
      </w:r>
      <w:r>
        <w:rPr>
          <w:rFonts w:hint="eastAsia"/>
          <w:highlight w:val="none"/>
        </w:rPr>
        <w:t>预测</w:t>
      </w:r>
      <w:r>
        <w:rPr>
          <w:highlight w:val="none"/>
        </w:rPr>
        <w:t>与评价</w:t>
      </w:r>
      <w:r>
        <w:tab/>
      </w:r>
      <w:r>
        <w:fldChar w:fldCharType="begin"/>
      </w:r>
      <w:r>
        <w:instrText xml:space="preserve"> PAGEREF _Toc4982 \h </w:instrText>
      </w:r>
      <w:r>
        <w:fldChar w:fldCharType="separate"/>
      </w:r>
      <w:r>
        <w:t>257</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_Toc25372 </w:instrText>
      </w:r>
      <w:r>
        <w:rPr>
          <w:snapToGrid w:val="0"/>
          <w:kern w:val="0"/>
          <w:szCs w:val="26"/>
          <w:highlight w:val="none"/>
        </w:rPr>
        <w:fldChar w:fldCharType="separate"/>
      </w:r>
      <w:r>
        <w:rPr>
          <w:rFonts w:hint="default" w:ascii="Times New Roman" w:hAnsi="Times New Roman" w:cs="Times New Roman"/>
        </w:rPr>
        <w:t xml:space="preserve">4.5 </w:t>
      </w:r>
      <w:r>
        <w:rPr>
          <w:rFonts w:hint="eastAsia"/>
          <w:highlight w:val="none"/>
          <w:lang w:eastAsia="zh-CN"/>
        </w:rPr>
        <w:t>固体废物</w:t>
      </w:r>
      <w:r>
        <w:rPr>
          <w:highlight w:val="none"/>
        </w:rPr>
        <w:t>影响预测与评价</w:t>
      </w:r>
      <w:r>
        <w:tab/>
      </w:r>
      <w:r>
        <w:fldChar w:fldCharType="begin"/>
      </w:r>
      <w:r>
        <w:instrText xml:space="preserve"> PAGEREF _Toc25372 \h </w:instrText>
      </w:r>
      <w:r>
        <w:fldChar w:fldCharType="separate"/>
      </w:r>
      <w:r>
        <w:t>263</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_Toc24755 </w:instrText>
      </w:r>
      <w:r>
        <w:rPr>
          <w:snapToGrid w:val="0"/>
          <w:kern w:val="0"/>
          <w:szCs w:val="26"/>
          <w:highlight w:val="none"/>
        </w:rPr>
        <w:fldChar w:fldCharType="separate"/>
      </w:r>
      <w:r>
        <w:rPr>
          <w:rFonts w:hint="default" w:ascii="Times New Roman" w:hAnsi="Times New Roman" w:cs="Times New Roman"/>
        </w:rPr>
        <w:t xml:space="preserve">4.6 </w:t>
      </w:r>
      <w:r>
        <w:rPr>
          <w:rFonts w:hint="eastAsia"/>
          <w:highlight w:val="none"/>
        </w:rPr>
        <w:t>环境风险评价</w:t>
      </w:r>
      <w:r>
        <w:tab/>
      </w:r>
      <w:r>
        <w:fldChar w:fldCharType="begin"/>
      </w:r>
      <w:r>
        <w:instrText xml:space="preserve"> PAGEREF _Toc24755 \h </w:instrText>
      </w:r>
      <w:r>
        <w:fldChar w:fldCharType="separate"/>
      </w:r>
      <w:r>
        <w:t>264</w:t>
      </w:r>
      <w:r>
        <w:fldChar w:fldCharType="end"/>
      </w:r>
      <w:r>
        <w:rPr>
          <w:snapToGrid w:val="0"/>
          <w:color w:val="auto"/>
          <w:kern w:val="0"/>
          <w:szCs w:val="26"/>
          <w:highlight w:val="none"/>
        </w:rPr>
        <w:fldChar w:fldCharType="end"/>
      </w:r>
    </w:p>
    <w:p>
      <w:pPr>
        <w:pStyle w:val="20"/>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_Toc32387 </w:instrText>
      </w:r>
      <w:r>
        <w:rPr>
          <w:snapToGrid w:val="0"/>
          <w:kern w:val="0"/>
          <w:szCs w:val="26"/>
          <w:highlight w:val="none"/>
        </w:rPr>
        <w:fldChar w:fldCharType="separate"/>
      </w:r>
      <w:r>
        <w:rPr>
          <w:rFonts w:hint="eastAsia"/>
        </w:rPr>
        <w:t xml:space="preserve">5 </w:t>
      </w:r>
      <w:r>
        <w:rPr>
          <w:rFonts w:hint="eastAsia"/>
          <w:highlight w:val="none"/>
        </w:rPr>
        <w:t>环境保护</w:t>
      </w:r>
      <w:r>
        <w:rPr>
          <w:highlight w:val="none"/>
        </w:rPr>
        <w:t>措施</w:t>
      </w:r>
      <w:r>
        <w:rPr>
          <w:rFonts w:hint="eastAsia"/>
          <w:highlight w:val="none"/>
        </w:rPr>
        <w:t>及其</w:t>
      </w:r>
      <w:r>
        <w:rPr>
          <w:highlight w:val="none"/>
        </w:rPr>
        <w:t>可行性论证</w:t>
      </w:r>
      <w:r>
        <w:tab/>
      </w:r>
      <w:r>
        <w:fldChar w:fldCharType="begin"/>
      </w:r>
      <w:r>
        <w:instrText xml:space="preserve"> PAGEREF _Toc32387 \h </w:instrText>
      </w:r>
      <w:r>
        <w:fldChar w:fldCharType="separate"/>
      </w:r>
      <w:r>
        <w:t>282</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_Toc3273 </w:instrText>
      </w:r>
      <w:r>
        <w:rPr>
          <w:snapToGrid w:val="0"/>
          <w:kern w:val="0"/>
          <w:szCs w:val="26"/>
          <w:highlight w:val="none"/>
        </w:rPr>
        <w:fldChar w:fldCharType="separate"/>
      </w:r>
      <w:r>
        <w:rPr>
          <w:rFonts w:hint="default" w:ascii="Times New Roman" w:hAnsi="Times New Roman" w:cs="Times New Roman"/>
        </w:rPr>
        <w:t xml:space="preserve">5.1 </w:t>
      </w:r>
      <w:r>
        <w:rPr>
          <w:rFonts w:hint="eastAsia"/>
          <w:highlight w:val="none"/>
        </w:rPr>
        <w:t>施工期环境</w:t>
      </w:r>
      <w:r>
        <w:rPr>
          <w:highlight w:val="none"/>
        </w:rPr>
        <w:t>保护措施</w:t>
      </w:r>
      <w:r>
        <w:rPr>
          <w:rFonts w:hint="eastAsia"/>
          <w:highlight w:val="none"/>
        </w:rPr>
        <w:t>及</w:t>
      </w:r>
      <w:r>
        <w:rPr>
          <w:highlight w:val="none"/>
        </w:rPr>
        <w:t>可行性论证</w:t>
      </w:r>
      <w:r>
        <w:tab/>
      </w:r>
      <w:r>
        <w:fldChar w:fldCharType="begin"/>
      </w:r>
      <w:r>
        <w:instrText xml:space="preserve"> PAGEREF _Toc3273 \h </w:instrText>
      </w:r>
      <w:r>
        <w:fldChar w:fldCharType="separate"/>
      </w:r>
      <w:r>
        <w:t>282</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_Toc26763 </w:instrText>
      </w:r>
      <w:r>
        <w:rPr>
          <w:snapToGrid w:val="0"/>
          <w:kern w:val="0"/>
          <w:szCs w:val="26"/>
          <w:highlight w:val="none"/>
        </w:rPr>
        <w:fldChar w:fldCharType="separate"/>
      </w:r>
      <w:r>
        <w:rPr>
          <w:rFonts w:hint="default" w:ascii="Times New Roman" w:hAnsi="Times New Roman" w:cs="Times New Roman"/>
        </w:rPr>
        <w:t xml:space="preserve">5.2 </w:t>
      </w:r>
      <w:r>
        <w:rPr>
          <w:rFonts w:hint="eastAsia"/>
          <w:highlight w:val="none"/>
        </w:rPr>
        <w:t>运营期环境保护措施及其可行性论证</w:t>
      </w:r>
      <w:r>
        <w:tab/>
      </w:r>
      <w:r>
        <w:fldChar w:fldCharType="begin"/>
      </w:r>
      <w:r>
        <w:instrText xml:space="preserve"> PAGEREF _Toc26763 \h </w:instrText>
      </w:r>
      <w:r>
        <w:fldChar w:fldCharType="separate"/>
      </w:r>
      <w:r>
        <w:t>289</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_Toc18550 </w:instrText>
      </w:r>
      <w:r>
        <w:rPr>
          <w:snapToGrid w:val="0"/>
          <w:kern w:val="0"/>
          <w:szCs w:val="26"/>
          <w:highlight w:val="none"/>
        </w:rPr>
        <w:fldChar w:fldCharType="separate"/>
      </w:r>
      <w:r>
        <w:rPr>
          <w:rFonts w:hint="default" w:ascii="Times New Roman" w:hAnsi="Times New Roman" w:cs="Times New Roman"/>
        </w:rPr>
        <w:t xml:space="preserve">5.3 </w:t>
      </w:r>
      <w:r>
        <w:rPr>
          <w:rFonts w:hint="eastAsia"/>
          <w:highlight w:val="none"/>
          <w:lang w:eastAsia="zh-CN"/>
        </w:rPr>
        <w:t>生态保护对策措施</w:t>
      </w:r>
      <w:r>
        <w:tab/>
      </w:r>
      <w:r>
        <w:fldChar w:fldCharType="begin"/>
      </w:r>
      <w:r>
        <w:instrText xml:space="preserve"> PAGEREF _Toc18550 \h </w:instrText>
      </w:r>
      <w:r>
        <w:fldChar w:fldCharType="separate"/>
      </w:r>
      <w:r>
        <w:t>291</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_Toc31315 </w:instrText>
      </w:r>
      <w:r>
        <w:rPr>
          <w:snapToGrid w:val="0"/>
          <w:kern w:val="0"/>
          <w:szCs w:val="26"/>
          <w:highlight w:val="none"/>
        </w:rPr>
        <w:fldChar w:fldCharType="separate"/>
      </w:r>
      <w:r>
        <w:rPr>
          <w:rFonts w:hint="default" w:ascii="Times New Roman" w:hAnsi="Times New Roman" w:cs="Times New Roman"/>
        </w:rPr>
        <w:t xml:space="preserve">5.4 </w:t>
      </w:r>
      <w:r>
        <w:rPr>
          <w:rFonts w:hint="eastAsia"/>
          <w:highlight w:val="none"/>
        </w:rPr>
        <w:t>环保</w:t>
      </w:r>
      <w:r>
        <w:rPr>
          <w:highlight w:val="none"/>
        </w:rPr>
        <w:t>设施及投资估算</w:t>
      </w:r>
      <w:r>
        <w:tab/>
      </w:r>
      <w:r>
        <w:fldChar w:fldCharType="begin"/>
      </w:r>
      <w:r>
        <w:instrText xml:space="preserve"> PAGEREF _Toc31315 \h </w:instrText>
      </w:r>
      <w:r>
        <w:fldChar w:fldCharType="separate"/>
      </w:r>
      <w:r>
        <w:t>305</w:t>
      </w:r>
      <w:r>
        <w:fldChar w:fldCharType="end"/>
      </w:r>
      <w:r>
        <w:rPr>
          <w:snapToGrid w:val="0"/>
          <w:color w:val="auto"/>
          <w:kern w:val="0"/>
          <w:szCs w:val="26"/>
          <w:highlight w:val="none"/>
        </w:rPr>
        <w:fldChar w:fldCharType="end"/>
      </w:r>
    </w:p>
    <w:p>
      <w:pPr>
        <w:pStyle w:val="20"/>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_Toc11861 </w:instrText>
      </w:r>
      <w:r>
        <w:rPr>
          <w:snapToGrid w:val="0"/>
          <w:kern w:val="0"/>
          <w:szCs w:val="26"/>
          <w:highlight w:val="none"/>
        </w:rPr>
        <w:fldChar w:fldCharType="separate"/>
      </w:r>
      <w:r>
        <w:rPr>
          <w:rFonts w:hint="eastAsia"/>
        </w:rPr>
        <w:t xml:space="preserve">6 </w:t>
      </w:r>
      <w:r>
        <w:rPr>
          <w:rFonts w:hint="eastAsia"/>
          <w:highlight w:val="none"/>
        </w:rPr>
        <w:t>环境经济损益分析</w:t>
      </w:r>
      <w:r>
        <w:tab/>
      </w:r>
      <w:r>
        <w:fldChar w:fldCharType="begin"/>
      </w:r>
      <w:r>
        <w:instrText xml:space="preserve"> PAGEREF _Toc11861 \h </w:instrText>
      </w:r>
      <w:r>
        <w:fldChar w:fldCharType="separate"/>
      </w:r>
      <w:r>
        <w:t>307</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_Toc14897 </w:instrText>
      </w:r>
      <w:r>
        <w:rPr>
          <w:snapToGrid w:val="0"/>
          <w:kern w:val="0"/>
          <w:szCs w:val="26"/>
          <w:highlight w:val="none"/>
        </w:rPr>
        <w:fldChar w:fldCharType="separate"/>
      </w:r>
      <w:r>
        <w:rPr>
          <w:rFonts w:hint="default" w:ascii="Times New Roman" w:hAnsi="Times New Roman" w:cs="Times New Roman"/>
        </w:rPr>
        <w:t xml:space="preserve">6.1 </w:t>
      </w:r>
      <w:r>
        <w:rPr>
          <w:rFonts w:hint="eastAsia"/>
          <w:highlight w:val="none"/>
          <w:lang w:eastAsia="zh-CN"/>
        </w:rPr>
        <w:t>环境效益分析</w:t>
      </w:r>
      <w:r>
        <w:tab/>
      </w:r>
      <w:r>
        <w:fldChar w:fldCharType="begin"/>
      </w:r>
      <w:r>
        <w:instrText xml:space="preserve"> PAGEREF _Toc14897 \h </w:instrText>
      </w:r>
      <w:r>
        <w:fldChar w:fldCharType="separate"/>
      </w:r>
      <w:r>
        <w:t>307</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_Toc20707 </w:instrText>
      </w:r>
      <w:r>
        <w:rPr>
          <w:snapToGrid w:val="0"/>
          <w:kern w:val="0"/>
          <w:szCs w:val="26"/>
          <w:highlight w:val="none"/>
        </w:rPr>
        <w:fldChar w:fldCharType="separate"/>
      </w:r>
      <w:r>
        <w:rPr>
          <w:rFonts w:hint="default" w:ascii="Times New Roman" w:hAnsi="Times New Roman" w:cs="Times New Roman"/>
        </w:rPr>
        <w:t xml:space="preserve">6.2 </w:t>
      </w:r>
      <w:r>
        <w:rPr>
          <w:rFonts w:hint="eastAsia"/>
          <w:highlight w:val="none"/>
        </w:rPr>
        <w:t>环境</w:t>
      </w:r>
      <w:r>
        <w:rPr>
          <w:rFonts w:hint="eastAsia"/>
          <w:highlight w:val="none"/>
          <w:lang w:eastAsia="zh-CN"/>
        </w:rPr>
        <w:t>损失</w:t>
      </w:r>
      <w:r>
        <w:rPr>
          <w:highlight w:val="none"/>
        </w:rPr>
        <w:t>分析</w:t>
      </w:r>
      <w:r>
        <w:tab/>
      </w:r>
      <w:r>
        <w:fldChar w:fldCharType="begin"/>
      </w:r>
      <w:r>
        <w:instrText xml:space="preserve"> PAGEREF _Toc20707 \h </w:instrText>
      </w:r>
      <w:r>
        <w:fldChar w:fldCharType="separate"/>
      </w:r>
      <w:r>
        <w:t>308</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_Toc2093 </w:instrText>
      </w:r>
      <w:r>
        <w:rPr>
          <w:snapToGrid w:val="0"/>
          <w:kern w:val="0"/>
          <w:szCs w:val="26"/>
          <w:highlight w:val="none"/>
        </w:rPr>
        <w:fldChar w:fldCharType="separate"/>
      </w:r>
      <w:r>
        <w:rPr>
          <w:rFonts w:hint="default" w:ascii="Times New Roman" w:hAnsi="Times New Roman" w:cs="Times New Roman"/>
        </w:rPr>
        <w:t xml:space="preserve">6.3 </w:t>
      </w:r>
      <w:r>
        <w:rPr>
          <w:rFonts w:hint="eastAsia"/>
          <w:highlight w:val="none"/>
          <w:lang w:eastAsia="zh-CN"/>
        </w:rPr>
        <w:t>环境经济损益分析</w:t>
      </w:r>
      <w:r>
        <w:tab/>
      </w:r>
      <w:r>
        <w:fldChar w:fldCharType="begin"/>
      </w:r>
      <w:r>
        <w:instrText xml:space="preserve"> PAGEREF _Toc2093 \h </w:instrText>
      </w:r>
      <w:r>
        <w:fldChar w:fldCharType="separate"/>
      </w:r>
      <w:r>
        <w:t>310</w:t>
      </w:r>
      <w:r>
        <w:fldChar w:fldCharType="end"/>
      </w:r>
      <w:r>
        <w:rPr>
          <w:snapToGrid w:val="0"/>
          <w:color w:val="auto"/>
          <w:kern w:val="0"/>
          <w:szCs w:val="26"/>
          <w:highlight w:val="none"/>
        </w:rPr>
        <w:fldChar w:fldCharType="end"/>
      </w:r>
    </w:p>
    <w:p>
      <w:pPr>
        <w:pStyle w:val="20"/>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_Toc12700 </w:instrText>
      </w:r>
      <w:r>
        <w:rPr>
          <w:snapToGrid w:val="0"/>
          <w:kern w:val="0"/>
          <w:szCs w:val="26"/>
          <w:highlight w:val="none"/>
        </w:rPr>
        <w:fldChar w:fldCharType="separate"/>
      </w:r>
      <w:r>
        <w:rPr>
          <w:rFonts w:hint="eastAsia"/>
        </w:rPr>
        <w:t xml:space="preserve">7 </w:t>
      </w:r>
      <w:r>
        <w:rPr>
          <w:rFonts w:hint="eastAsia"/>
          <w:highlight w:val="none"/>
        </w:rPr>
        <w:t>环境管理与</w:t>
      </w:r>
      <w:r>
        <w:rPr>
          <w:highlight w:val="none"/>
        </w:rPr>
        <w:t>监测计划</w:t>
      </w:r>
      <w:r>
        <w:tab/>
      </w:r>
      <w:r>
        <w:fldChar w:fldCharType="begin"/>
      </w:r>
      <w:r>
        <w:instrText xml:space="preserve"> PAGEREF _Toc12700 \h </w:instrText>
      </w:r>
      <w:r>
        <w:fldChar w:fldCharType="separate"/>
      </w:r>
      <w:r>
        <w:t>311</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_Toc17180 </w:instrText>
      </w:r>
      <w:r>
        <w:rPr>
          <w:snapToGrid w:val="0"/>
          <w:kern w:val="0"/>
          <w:szCs w:val="26"/>
          <w:highlight w:val="none"/>
        </w:rPr>
        <w:fldChar w:fldCharType="separate"/>
      </w:r>
      <w:r>
        <w:rPr>
          <w:rFonts w:hint="default" w:ascii="Times New Roman" w:hAnsi="Times New Roman" w:cs="Times New Roman"/>
        </w:rPr>
        <w:t xml:space="preserve">7.1 </w:t>
      </w:r>
      <w:r>
        <w:rPr>
          <w:rFonts w:ascii="Times New Roman" w:hAnsi="Times New Roman"/>
          <w:highlight w:val="none"/>
        </w:rPr>
        <w:t>环境管理</w:t>
      </w:r>
      <w:r>
        <w:tab/>
      </w:r>
      <w:r>
        <w:fldChar w:fldCharType="begin"/>
      </w:r>
      <w:r>
        <w:instrText xml:space="preserve"> PAGEREF _Toc17180 \h </w:instrText>
      </w:r>
      <w:r>
        <w:fldChar w:fldCharType="separate"/>
      </w:r>
      <w:r>
        <w:t>311</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_Toc12835 </w:instrText>
      </w:r>
      <w:r>
        <w:rPr>
          <w:snapToGrid w:val="0"/>
          <w:kern w:val="0"/>
          <w:szCs w:val="26"/>
          <w:highlight w:val="none"/>
        </w:rPr>
        <w:fldChar w:fldCharType="separate"/>
      </w:r>
      <w:r>
        <w:rPr>
          <w:rFonts w:hint="default" w:ascii="Times New Roman" w:hAnsi="Times New Roman" w:cs="Times New Roman"/>
        </w:rPr>
        <w:t xml:space="preserve">7.2 </w:t>
      </w:r>
      <w:r>
        <w:rPr>
          <w:rFonts w:ascii="Times New Roman" w:hAnsi="Times New Roman"/>
          <w:highlight w:val="none"/>
        </w:rPr>
        <w:t>环境监测</w:t>
      </w:r>
      <w:r>
        <w:tab/>
      </w:r>
      <w:r>
        <w:fldChar w:fldCharType="begin"/>
      </w:r>
      <w:r>
        <w:instrText xml:space="preserve"> PAGEREF _Toc12835 \h </w:instrText>
      </w:r>
      <w:r>
        <w:fldChar w:fldCharType="separate"/>
      </w:r>
      <w:r>
        <w:t>313</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_Toc21424 </w:instrText>
      </w:r>
      <w:r>
        <w:rPr>
          <w:snapToGrid w:val="0"/>
          <w:kern w:val="0"/>
          <w:szCs w:val="26"/>
          <w:highlight w:val="none"/>
        </w:rPr>
        <w:fldChar w:fldCharType="separate"/>
      </w:r>
      <w:r>
        <w:rPr>
          <w:rFonts w:hint="default" w:ascii="Times New Roman" w:hAnsi="Times New Roman" w:cs="Times New Roman"/>
        </w:rPr>
        <w:t xml:space="preserve">7.3 </w:t>
      </w:r>
      <w:r>
        <w:rPr>
          <w:highlight w:val="none"/>
        </w:rPr>
        <w:t>环境保护竣工验收调查内容</w:t>
      </w:r>
      <w:r>
        <w:tab/>
      </w:r>
      <w:r>
        <w:fldChar w:fldCharType="begin"/>
      </w:r>
      <w:r>
        <w:instrText xml:space="preserve"> PAGEREF _Toc21424 \h </w:instrText>
      </w:r>
      <w:r>
        <w:fldChar w:fldCharType="separate"/>
      </w:r>
      <w:r>
        <w:t>314</w:t>
      </w:r>
      <w:r>
        <w:fldChar w:fldCharType="end"/>
      </w:r>
      <w:r>
        <w:rPr>
          <w:snapToGrid w:val="0"/>
          <w:color w:val="auto"/>
          <w:kern w:val="0"/>
          <w:szCs w:val="26"/>
          <w:highlight w:val="none"/>
        </w:rPr>
        <w:fldChar w:fldCharType="end"/>
      </w:r>
    </w:p>
    <w:p>
      <w:pPr>
        <w:pStyle w:val="20"/>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_Toc22418 </w:instrText>
      </w:r>
      <w:r>
        <w:rPr>
          <w:snapToGrid w:val="0"/>
          <w:kern w:val="0"/>
          <w:szCs w:val="26"/>
          <w:highlight w:val="none"/>
        </w:rPr>
        <w:fldChar w:fldCharType="separate"/>
      </w:r>
      <w:r>
        <w:rPr>
          <w:rFonts w:hint="eastAsia"/>
        </w:rPr>
        <w:t xml:space="preserve">8 </w:t>
      </w:r>
      <w:r>
        <w:rPr>
          <w:rFonts w:hint="eastAsia"/>
          <w:highlight w:val="none"/>
        </w:rPr>
        <w:t>环境影响评价</w:t>
      </w:r>
      <w:r>
        <w:rPr>
          <w:highlight w:val="none"/>
        </w:rPr>
        <w:t>结论</w:t>
      </w:r>
      <w:r>
        <w:tab/>
      </w:r>
      <w:r>
        <w:fldChar w:fldCharType="begin"/>
      </w:r>
      <w:r>
        <w:instrText xml:space="preserve"> PAGEREF _Toc22418 \h </w:instrText>
      </w:r>
      <w:r>
        <w:fldChar w:fldCharType="separate"/>
      </w:r>
      <w:r>
        <w:t>316</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_Toc13568 </w:instrText>
      </w:r>
      <w:r>
        <w:rPr>
          <w:snapToGrid w:val="0"/>
          <w:kern w:val="0"/>
          <w:szCs w:val="26"/>
          <w:highlight w:val="none"/>
        </w:rPr>
        <w:fldChar w:fldCharType="separate"/>
      </w:r>
      <w:r>
        <w:rPr>
          <w:rFonts w:hint="default" w:ascii="Times New Roman" w:hAnsi="Times New Roman" w:cs="Times New Roman"/>
        </w:rPr>
        <w:t xml:space="preserve">8.1 </w:t>
      </w:r>
      <w:r>
        <w:rPr>
          <w:rFonts w:hint="eastAsia"/>
          <w:highlight w:val="none"/>
        </w:rPr>
        <w:t>项目</w:t>
      </w:r>
      <w:r>
        <w:rPr>
          <w:highlight w:val="none"/>
        </w:rPr>
        <w:t>概况</w:t>
      </w:r>
      <w:r>
        <w:tab/>
      </w:r>
      <w:r>
        <w:fldChar w:fldCharType="begin"/>
      </w:r>
      <w:r>
        <w:instrText xml:space="preserve"> PAGEREF _Toc13568 \h </w:instrText>
      </w:r>
      <w:r>
        <w:fldChar w:fldCharType="separate"/>
      </w:r>
      <w:r>
        <w:t>316</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_Toc14694 </w:instrText>
      </w:r>
      <w:r>
        <w:rPr>
          <w:snapToGrid w:val="0"/>
          <w:kern w:val="0"/>
          <w:szCs w:val="26"/>
          <w:highlight w:val="none"/>
        </w:rPr>
        <w:fldChar w:fldCharType="separate"/>
      </w:r>
      <w:r>
        <w:rPr>
          <w:rFonts w:hint="default" w:ascii="Times New Roman" w:hAnsi="Times New Roman" w:cs="Times New Roman"/>
        </w:rPr>
        <w:t xml:space="preserve">8.2 </w:t>
      </w:r>
      <w:r>
        <w:rPr>
          <w:rFonts w:hint="eastAsia"/>
          <w:highlight w:val="none"/>
        </w:rPr>
        <w:t>环境质量</w:t>
      </w:r>
      <w:r>
        <w:rPr>
          <w:highlight w:val="none"/>
        </w:rPr>
        <w:t>现状</w:t>
      </w:r>
      <w:r>
        <w:tab/>
      </w:r>
      <w:r>
        <w:fldChar w:fldCharType="begin"/>
      </w:r>
      <w:r>
        <w:instrText xml:space="preserve"> PAGEREF _Toc14694 \h </w:instrText>
      </w:r>
      <w:r>
        <w:fldChar w:fldCharType="separate"/>
      </w:r>
      <w:r>
        <w:t>316</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_Toc3666 </w:instrText>
      </w:r>
      <w:r>
        <w:rPr>
          <w:snapToGrid w:val="0"/>
          <w:kern w:val="0"/>
          <w:szCs w:val="26"/>
          <w:highlight w:val="none"/>
        </w:rPr>
        <w:fldChar w:fldCharType="separate"/>
      </w:r>
      <w:r>
        <w:rPr>
          <w:rFonts w:hint="default" w:ascii="Times New Roman" w:hAnsi="Times New Roman" w:cs="Times New Roman"/>
        </w:rPr>
        <w:t xml:space="preserve">8.3 </w:t>
      </w:r>
      <w:r>
        <w:rPr>
          <w:rFonts w:hint="eastAsia"/>
          <w:highlight w:val="none"/>
        </w:rPr>
        <w:t>主要环境影响及</w:t>
      </w:r>
      <w:r>
        <w:rPr>
          <w:rFonts w:hint="eastAsia"/>
          <w:highlight w:val="none"/>
          <w:lang w:eastAsia="zh-CN"/>
        </w:rPr>
        <w:t>对策</w:t>
      </w:r>
      <w:r>
        <w:rPr>
          <w:rFonts w:hint="eastAsia"/>
          <w:highlight w:val="none"/>
        </w:rPr>
        <w:t>措施</w:t>
      </w:r>
      <w:r>
        <w:tab/>
      </w:r>
      <w:r>
        <w:fldChar w:fldCharType="begin"/>
      </w:r>
      <w:r>
        <w:instrText xml:space="preserve"> PAGEREF _Toc3666 \h </w:instrText>
      </w:r>
      <w:r>
        <w:fldChar w:fldCharType="separate"/>
      </w:r>
      <w:r>
        <w:t>317</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_Toc161 </w:instrText>
      </w:r>
      <w:r>
        <w:rPr>
          <w:snapToGrid w:val="0"/>
          <w:kern w:val="0"/>
          <w:szCs w:val="26"/>
          <w:highlight w:val="none"/>
        </w:rPr>
        <w:fldChar w:fldCharType="separate"/>
      </w:r>
      <w:r>
        <w:rPr>
          <w:rFonts w:hint="default" w:ascii="Times New Roman" w:hAnsi="Times New Roman" w:cs="Times New Roman"/>
        </w:rPr>
        <w:t xml:space="preserve">8.4 </w:t>
      </w:r>
      <w:r>
        <w:rPr>
          <w:rFonts w:hint="eastAsia"/>
          <w:highlight w:val="none"/>
        </w:rPr>
        <w:t>环境影响经济损益分析</w:t>
      </w:r>
      <w:r>
        <w:tab/>
      </w:r>
      <w:r>
        <w:fldChar w:fldCharType="begin"/>
      </w:r>
      <w:r>
        <w:instrText xml:space="preserve"> PAGEREF _Toc161 \h </w:instrText>
      </w:r>
      <w:r>
        <w:fldChar w:fldCharType="separate"/>
      </w:r>
      <w:r>
        <w:t>322</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_Toc20524 </w:instrText>
      </w:r>
      <w:r>
        <w:rPr>
          <w:snapToGrid w:val="0"/>
          <w:kern w:val="0"/>
          <w:szCs w:val="26"/>
          <w:highlight w:val="none"/>
        </w:rPr>
        <w:fldChar w:fldCharType="separate"/>
      </w:r>
      <w:r>
        <w:rPr>
          <w:rFonts w:hint="default" w:ascii="Times New Roman" w:hAnsi="Times New Roman" w:cs="Times New Roman"/>
        </w:rPr>
        <w:t xml:space="preserve">8.5 </w:t>
      </w:r>
      <w:r>
        <w:rPr>
          <w:rFonts w:hint="eastAsia"/>
          <w:highlight w:val="none"/>
        </w:rPr>
        <w:t>环境管理及监测计划</w:t>
      </w:r>
      <w:r>
        <w:tab/>
      </w:r>
      <w:r>
        <w:fldChar w:fldCharType="begin"/>
      </w:r>
      <w:r>
        <w:instrText xml:space="preserve"> PAGEREF _Toc20524 \h </w:instrText>
      </w:r>
      <w:r>
        <w:fldChar w:fldCharType="separate"/>
      </w:r>
      <w:r>
        <w:t>322</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_Toc16659 </w:instrText>
      </w:r>
      <w:r>
        <w:rPr>
          <w:snapToGrid w:val="0"/>
          <w:kern w:val="0"/>
          <w:szCs w:val="26"/>
          <w:highlight w:val="none"/>
        </w:rPr>
        <w:fldChar w:fldCharType="separate"/>
      </w:r>
      <w:r>
        <w:rPr>
          <w:rFonts w:hint="default" w:ascii="Times New Roman" w:hAnsi="Times New Roman" w:cs="Times New Roman"/>
        </w:rPr>
        <w:t xml:space="preserve">8.6 </w:t>
      </w:r>
      <w:r>
        <w:rPr>
          <w:rFonts w:hint="eastAsia"/>
          <w:highlight w:val="none"/>
        </w:rPr>
        <w:t>公众</w:t>
      </w:r>
      <w:r>
        <w:rPr>
          <w:rFonts w:hint="eastAsia"/>
          <w:highlight w:val="none"/>
          <w:lang w:eastAsia="zh-CN"/>
        </w:rPr>
        <w:t>参与</w:t>
      </w:r>
      <w:r>
        <w:tab/>
      </w:r>
      <w:r>
        <w:fldChar w:fldCharType="begin"/>
      </w:r>
      <w:r>
        <w:instrText xml:space="preserve"> PAGEREF _Toc16659 \h </w:instrText>
      </w:r>
      <w:r>
        <w:fldChar w:fldCharType="separate"/>
      </w:r>
      <w:r>
        <w:t>322</w:t>
      </w:r>
      <w:r>
        <w:fldChar w:fldCharType="end"/>
      </w:r>
      <w:r>
        <w:rPr>
          <w:snapToGrid w:val="0"/>
          <w:color w:val="auto"/>
          <w:kern w:val="0"/>
          <w:szCs w:val="26"/>
          <w:highlight w:val="none"/>
        </w:rPr>
        <w:fldChar w:fldCharType="end"/>
      </w:r>
    </w:p>
    <w:p>
      <w:pPr>
        <w:pStyle w:val="21"/>
        <w:tabs>
          <w:tab w:val="right" w:leader="dot" w:pos="8731"/>
          <w:tab w:val="clear" w:pos="8721"/>
        </w:tabs>
      </w:pPr>
      <w:r>
        <w:rPr>
          <w:snapToGrid w:val="0"/>
          <w:color w:val="auto"/>
          <w:kern w:val="0"/>
          <w:szCs w:val="26"/>
          <w:highlight w:val="none"/>
        </w:rPr>
        <w:fldChar w:fldCharType="begin"/>
      </w:r>
      <w:r>
        <w:rPr>
          <w:snapToGrid w:val="0"/>
          <w:kern w:val="0"/>
          <w:szCs w:val="26"/>
          <w:highlight w:val="none"/>
        </w:rPr>
        <w:instrText xml:space="preserve"> HYPERLINK \l _Toc5880 </w:instrText>
      </w:r>
      <w:r>
        <w:rPr>
          <w:snapToGrid w:val="0"/>
          <w:kern w:val="0"/>
          <w:szCs w:val="26"/>
          <w:highlight w:val="none"/>
        </w:rPr>
        <w:fldChar w:fldCharType="separate"/>
      </w:r>
      <w:r>
        <w:rPr>
          <w:rFonts w:hint="default" w:ascii="Times New Roman" w:hAnsi="Times New Roman" w:cs="Times New Roman"/>
        </w:rPr>
        <w:t xml:space="preserve">8.7 </w:t>
      </w:r>
      <w:r>
        <w:rPr>
          <w:rFonts w:hint="eastAsia"/>
          <w:highlight w:val="none"/>
        </w:rPr>
        <w:t>总体结论</w:t>
      </w:r>
      <w:r>
        <w:tab/>
      </w:r>
      <w:r>
        <w:fldChar w:fldCharType="begin"/>
      </w:r>
      <w:r>
        <w:instrText xml:space="preserve"> PAGEREF _Toc5880 \h </w:instrText>
      </w:r>
      <w:r>
        <w:fldChar w:fldCharType="separate"/>
      </w:r>
      <w:r>
        <w:t>322</w:t>
      </w:r>
      <w:r>
        <w:fldChar w:fldCharType="end"/>
      </w:r>
      <w:r>
        <w:rPr>
          <w:snapToGrid w:val="0"/>
          <w:color w:val="auto"/>
          <w:kern w:val="0"/>
          <w:szCs w:val="26"/>
          <w:highlight w:val="none"/>
        </w:rPr>
        <w:fldChar w:fldCharType="end"/>
      </w:r>
    </w:p>
    <w:p>
      <w:pPr>
        <w:snapToGrid w:val="0"/>
        <w:ind w:firstLine="520"/>
        <w:rPr>
          <w:snapToGrid w:val="0"/>
          <w:color w:val="auto"/>
          <w:kern w:val="0"/>
          <w:szCs w:val="26"/>
          <w:highlight w:val="none"/>
        </w:rPr>
      </w:pPr>
      <w:r>
        <w:rPr>
          <w:snapToGrid w:val="0"/>
          <w:color w:val="auto"/>
          <w:kern w:val="0"/>
          <w:szCs w:val="26"/>
          <w:highlight w:val="none"/>
        </w:rPr>
        <w:fldChar w:fldCharType="end"/>
      </w:r>
    </w:p>
    <w:p>
      <w:pPr>
        <w:rPr>
          <w:rFonts w:hint="default"/>
          <w:color w:val="auto"/>
          <w:highlight w:val="none"/>
          <w:lang w:val="en-US" w:eastAsia="zh-CN"/>
        </w:rPr>
      </w:pPr>
    </w:p>
    <w:p>
      <w:pPr>
        <w:pStyle w:val="36"/>
        <w:rPr>
          <w:rFonts w:hint="eastAsia"/>
          <w:color w:val="auto"/>
          <w:highlight w:val="none"/>
          <w:lang w:val="en-US" w:eastAsia="zh-CN"/>
        </w:rPr>
      </w:pPr>
    </w:p>
    <w:p>
      <w:pPr>
        <w:rPr>
          <w:rFonts w:hint="default"/>
          <w:color w:val="auto"/>
          <w:highlight w:val="none"/>
          <w:lang w:val="en-US" w:eastAsia="zh-CN"/>
        </w:rPr>
      </w:pPr>
    </w:p>
    <w:p>
      <w:pPr>
        <w:rPr>
          <w:rFonts w:hint="default"/>
          <w:color w:val="auto"/>
          <w:highlight w:val="none"/>
          <w:lang w:val="en-US" w:eastAsia="zh-CN"/>
        </w:rPr>
      </w:pPr>
    </w:p>
    <w:p>
      <w:pPr>
        <w:rPr>
          <w:rFonts w:hint="default"/>
          <w:color w:val="auto"/>
          <w:highlight w:val="none"/>
          <w:lang w:val="en-US" w:eastAsia="zh-CN"/>
        </w:rPr>
        <w:sectPr>
          <w:footerReference r:id="rId11" w:type="default"/>
          <w:footerReference r:id="rId12" w:type="even"/>
          <w:pgSz w:w="11907" w:h="16840"/>
          <w:pgMar w:top="1701" w:right="1588" w:bottom="1588" w:left="1588" w:header="1304" w:footer="1247" w:gutter="0"/>
          <w:pgNumType w:start="1"/>
          <w:cols w:space="720" w:num="1"/>
          <w:docGrid w:linePitch="354" w:charSpace="0"/>
        </w:sectPr>
      </w:pPr>
    </w:p>
    <w:p>
      <w:pPr>
        <w:snapToGrid w:val="0"/>
        <w:spacing w:line="240" w:lineRule="auto"/>
        <w:ind w:firstLine="520"/>
        <w:rPr>
          <w:color w:val="auto"/>
          <w:highlight w:val="none"/>
        </w:rPr>
      </w:pPr>
      <w:bookmarkStart w:id="18" w:name="_Toc211698643"/>
      <w:bookmarkStart w:id="19" w:name="_Toc211699127"/>
      <w:bookmarkStart w:id="20" w:name="_Toc226170861"/>
    </w:p>
    <w:p>
      <w:pPr>
        <w:pStyle w:val="3"/>
        <w:numPr>
          <w:ilvl w:val="0"/>
          <w:numId w:val="0"/>
        </w:numPr>
        <w:snapToGrid w:val="0"/>
        <w:spacing w:line="240" w:lineRule="auto"/>
        <w:rPr>
          <w:color w:val="auto"/>
          <w:highlight w:val="none"/>
        </w:rPr>
      </w:pPr>
      <w:bookmarkStart w:id="21" w:name="_Toc11286"/>
      <w:r>
        <w:rPr>
          <w:rFonts w:hint="eastAsia"/>
          <w:color w:val="auto"/>
          <w:highlight w:val="none"/>
        </w:rPr>
        <w:t>概  述</w:t>
      </w:r>
      <w:bookmarkEnd w:id="21"/>
    </w:p>
    <w:p>
      <w:pPr>
        <w:snapToGrid w:val="0"/>
        <w:spacing w:line="240" w:lineRule="auto"/>
        <w:ind w:firstLine="520"/>
        <w:rPr>
          <w:color w:val="auto"/>
          <w:highlight w:val="none"/>
        </w:rPr>
      </w:pPr>
    </w:p>
    <w:p>
      <w:pPr>
        <w:pStyle w:val="4"/>
        <w:numPr>
          <w:ilvl w:val="0"/>
          <w:numId w:val="0"/>
        </w:numPr>
        <w:snapToGrid w:val="0"/>
        <w:ind w:left="522"/>
        <w:rPr>
          <w:color w:val="auto"/>
          <w:highlight w:val="none"/>
        </w:rPr>
      </w:pPr>
      <w:bookmarkStart w:id="22" w:name="_Toc498031536"/>
      <w:bookmarkStart w:id="23" w:name="_Toc905"/>
      <w:bookmarkStart w:id="24" w:name="_Toc89291949"/>
      <w:r>
        <w:rPr>
          <w:color w:val="auto"/>
          <w:highlight w:val="none"/>
        </w:rPr>
        <w:t>一、</w:t>
      </w:r>
      <w:bookmarkEnd w:id="22"/>
      <w:r>
        <w:rPr>
          <w:color w:val="auto"/>
          <w:highlight w:val="none"/>
        </w:rPr>
        <w:t>建设项目背景</w:t>
      </w:r>
      <w:bookmarkEnd w:id="23"/>
      <w:bookmarkEnd w:id="24"/>
      <w:r>
        <w:rPr>
          <w:color w:val="auto"/>
          <w:highlight w:val="none"/>
        </w:rPr>
        <w:t xml:space="preserve"> </w:t>
      </w:r>
    </w:p>
    <w:p>
      <w:pPr>
        <w:ind w:firstLine="520"/>
        <w:rPr>
          <w:rFonts w:hint="eastAsia" w:eastAsia="宋体"/>
          <w:color w:val="auto"/>
          <w:highlight w:val="none"/>
          <w:lang w:eastAsia="zh-CN"/>
        </w:rPr>
      </w:pPr>
      <w:bookmarkStart w:id="25" w:name="_Toc498031537"/>
      <w:bookmarkStart w:id="26" w:name="OLE_LINK22"/>
      <w:r>
        <w:rPr>
          <w:rFonts w:hint="eastAsia"/>
          <w:color w:val="auto"/>
          <w:highlight w:val="none"/>
        </w:rPr>
        <w:t>涪江是嘉陵江右岸的最大支流，发源于岷山东麓三舍驿的红星岩，自西北向东南流经平武、江油、绵阳、三台、射洪、遂宁、潼南至合川汇入嘉陵江。涪江航道自古以来是</w:t>
      </w:r>
      <w:r>
        <w:rPr>
          <w:rFonts w:hint="eastAsia"/>
          <w:color w:val="auto"/>
          <w:szCs w:val="26"/>
          <w:highlight w:val="none"/>
        </w:rPr>
        <w:t>四川东部区域与重庆西部地区通江达海的重要水上通道。</w:t>
      </w:r>
      <w:r>
        <w:rPr>
          <w:rFonts w:hint="eastAsia"/>
          <w:color w:val="auto"/>
          <w:szCs w:val="26"/>
          <w:highlight w:val="none"/>
          <w:lang w:eastAsia="zh-CN"/>
        </w:rPr>
        <w:t>其中</w:t>
      </w:r>
      <w:r>
        <w:rPr>
          <w:rFonts w:hint="eastAsia"/>
          <w:color w:val="auto"/>
          <w:highlight w:val="none"/>
        </w:rPr>
        <w:t>涪江干流重庆段总长136km</w:t>
      </w:r>
      <w:r>
        <w:rPr>
          <w:rFonts w:hint="eastAsia"/>
          <w:color w:val="auto"/>
          <w:highlight w:val="none"/>
          <w:lang w:eastAsia="zh-CN"/>
        </w:rPr>
        <w:t>。</w:t>
      </w:r>
    </w:p>
    <w:p>
      <w:pPr>
        <w:ind w:firstLine="520"/>
        <w:rPr>
          <w:color w:val="auto"/>
          <w:highlight w:val="none"/>
        </w:rPr>
      </w:pPr>
      <w:r>
        <w:rPr>
          <w:rFonts w:hint="eastAsia"/>
          <w:color w:val="auto"/>
          <w:highlight w:val="none"/>
        </w:rPr>
        <w:t>1977年，四川省水利水电勘察设计</w:t>
      </w:r>
      <w:r>
        <w:rPr>
          <w:rFonts w:hint="eastAsia"/>
          <w:color w:val="auto"/>
          <w:highlight w:val="none"/>
          <w:shd w:val="clear" w:fill="FFFFFF"/>
        </w:rPr>
        <w:t>研究院</w:t>
      </w:r>
      <w:r>
        <w:rPr>
          <w:rFonts w:hint="eastAsia"/>
          <w:color w:val="auto"/>
          <w:highlight w:val="none"/>
        </w:rPr>
        <w:t>编制了《四川省涪江综合利用规划报告》</w:t>
      </w:r>
      <w:r>
        <w:rPr>
          <w:rFonts w:hint="eastAsia"/>
          <w:color w:val="auto"/>
          <w:highlight w:val="none"/>
          <w:lang w:eastAsia="zh-CN"/>
        </w:rPr>
        <w:t>；</w:t>
      </w:r>
      <w:r>
        <w:rPr>
          <w:rFonts w:hint="eastAsia"/>
          <w:color w:val="auto"/>
          <w:highlight w:val="none"/>
        </w:rPr>
        <w:t>1994年</w:t>
      </w:r>
      <w:r>
        <w:rPr>
          <w:rFonts w:hint="eastAsia"/>
          <w:color w:val="auto"/>
          <w:highlight w:val="none"/>
          <w:lang w:eastAsia="zh-CN"/>
        </w:rPr>
        <w:t>，</w:t>
      </w:r>
      <w:r>
        <w:rPr>
          <w:rFonts w:hint="eastAsia"/>
          <w:color w:val="auto"/>
          <w:highlight w:val="none"/>
        </w:rPr>
        <w:t>编制了《四川省涪江流域水资源开发总体规划补充报告》</w:t>
      </w:r>
      <w:r>
        <w:rPr>
          <w:rFonts w:hint="eastAsia"/>
          <w:color w:val="auto"/>
          <w:highlight w:val="none"/>
          <w:lang w:eastAsia="zh-CN"/>
        </w:rPr>
        <w:t>，其中在涪江重庆段规划了双江、大佛场、富金坝、安居和渭沱</w:t>
      </w:r>
      <w:r>
        <w:rPr>
          <w:rFonts w:hint="eastAsia"/>
          <w:color w:val="auto"/>
          <w:highlight w:val="none"/>
          <w:lang w:val="en-US" w:eastAsia="zh-CN"/>
        </w:rPr>
        <w:t>5</w:t>
      </w:r>
      <w:r>
        <w:rPr>
          <w:rFonts w:hint="eastAsia"/>
          <w:color w:val="auto"/>
          <w:highlight w:val="none"/>
          <w:lang w:eastAsia="zh-CN"/>
        </w:rPr>
        <w:t>个梯级，</w:t>
      </w:r>
      <w:r>
        <w:rPr>
          <w:rFonts w:ascii="Times New Roman" w:hAnsi="Times New Roman"/>
          <w:color w:val="auto"/>
          <w:sz w:val="26"/>
          <w:szCs w:val="26"/>
          <w:highlight w:val="none"/>
        </w:rPr>
        <w:t>涪江干流规划航道等级</w:t>
      </w:r>
      <w:r>
        <w:rPr>
          <w:rFonts w:hint="eastAsia" w:ascii="Times New Roman" w:hAnsi="Times New Roman"/>
          <w:color w:val="auto"/>
          <w:sz w:val="26"/>
          <w:szCs w:val="26"/>
          <w:highlight w:val="none"/>
          <w:lang w:eastAsia="zh-CN"/>
        </w:rPr>
        <w:t>为</w:t>
      </w:r>
      <w:r>
        <w:rPr>
          <w:rFonts w:ascii="Times New Roman" w:hAnsi="Times New Roman"/>
          <w:color w:val="auto"/>
          <w:sz w:val="26"/>
          <w:szCs w:val="26"/>
          <w:highlight w:val="none"/>
        </w:rPr>
        <w:fldChar w:fldCharType="begin"/>
      </w:r>
      <w:r>
        <w:rPr>
          <w:rFonts w:ascii="Times New Roman" w:hAnsi="Times New Roman"/>
          <w:color w:val="auto"/>
          <w:sz w:val="26"/>
          <w:szCs w:val="26"/>
          <w:highlight w:val="none"/>
        </w:rPr>
        <w:instrText xml:space="preserve"> = 5 \* ROMAN </w:instrText>
      </w:r>
      <w:r>
        <w:rPr>
          <w:rFonts w:ascii="Times New Roman" w:hAnsi="Times New Roman"/>
          <w:color w:val="auto"/>
          <w:sz w:val="26"/>
          <w:szCs w:val="26"/>
          <w:highlight w:val="none"/>
        </w:rPr>
        <w:fldChar w:fldCharType="separate"/>
      </w:r>
      <w:r>
        <w:rPr>
          <w:rFonts w:ascii="Times New Roman" w:hAnsi="Times New Roman"/>
          <w:color w:val="auto"/>
          <w:sz w:val="26"/>
          <w:szCs w:val="26"/>
          <w:highlight w:val="none"/>
        </w:rPr>
        <w:t>V</w:t>
      </w:r>
      <w:r>
        <w:rPr>
          <w:rFonts w:ascii="Times New Roman" w:hAnsi="Times New Roman"/>
          <w:color w:val="auto"/>
          <w:sz w:val="26"/>
          <w:szCs w:val="26"/>
          <w:highlight w:val="none"/>
        </w:rPr>
        <w:fldChar w:fldCharType="end"/>
      </w:r>
      <w:r>
        <w:rPr>
          <w:rFonts w:ascii="Times New Roman" w:hAnsi="Times New Roman"/>
          <w:color w:val="auto"/>
          <w:sz w:val="26"/>
          <w:szCs w:val="26"/>
          <w:highlight w:val="none"/>
        </w:rPr>
        <w:t>级</w:t>
      </w:r>
      <w:r>
        <w:rPr>
          <w:rFonts w:hint="eastAsia"/>
          <w:color w:val="auto"/>
          <w:highlight w:val="none"/>
          <w:lang w:eastAsia="zh-CN"/>
        </w:rPr>
        <w:t>；2013年，重庆市发展和改革委员会以“渝发改能</w:t>
      </w:r>
      <w:r>
        <w:rPr>
          <w:rFonts w:hint="eastAsia"/>
          <w:color w:val="auto"/>
          <w:highlight w:val="none"/>
        </w:rPr>
        <w:t>〔2</w:t>
      </w:r>
      <w:r>
        <w:rPr>
          <w:rFonts w:hint="eastAsia"/>
          <w:color w:val="auto"/>
          <w:highlight w:val="none"/>
          <w:lang w:val="en-US" w:eastAsia="zh-CN"/>
        </w:rPr>
        <w:t>013</w:t>
      </w:r>
      <w:r>
        <w:rPr>
          <w:rFonts w:hint="eastAsia"/>
          <w:color w:val="auto"/>
          <w:highlight w:val="none"/>
        </w:rPr>
        <w:t>〕</w:t>
      </w:r>
      <w:r>
        <w:rPr>
          <w:rFonts w:hint="eastAsia"/>
          <w:color w:val="auto"/>
          <w:highlight w:val="none"/>
          <w:lang w:eastAsia="zh-CN"/>
        </w:rPr>
        <w:t>333号”批复了《涪江干流潼南段梯级规划调整报告》，该报告将重庆境内梯级调整为双江、潼南、富金坝、安居和渭沱5个梯级</w:t>
      </w:r>
      <w:r>
        <w:rPr>
          <w:rFonts w:hint="eastAsia"/>
          <w:color w:val="auto"/>
          <w:highlight w:val="none"/>
        </w:rPr>
        <w:t>，目前</w:t>
      </w:r>
      <w:r>
        <w:rPr>
          <w:rFonts w:hint="eastAsia"/>
          <w:color w:val="auto"/>
          <w:highlight w:val="none"/>
          <w:lang w:eastAsia="zh-CN"/>
        </w:rPr>
        <w:t>涪江干流</w:t>
      </w:r>
      <w:r>
        <w:rPr>
          <w:rFonts w:hint="eastAsia"/>
          <w:color w:val="auto"/>
          <w:highlight w:val="none"/>
          <w:lang w:val="en-US" w:eastAsia="zh-CN"/>
        </w:rPr>
        <w:t>5座梯级</w:t>
      </w:r>
      <w:r>
        <w:rPr>
          <w:rFonts w:hint="eastAsia"/>
          <w:color w:val="auto"/>
          <w:highlight w:val="none"/>
        </w:rPr>
        <w:t>均已建成。其中</w:t>
      </w:r>
      <w:r>
        <w:rPr>
          <w:rFonts w:hint="eastAsia"/>
          <w:color w:val="auto"/>
          <w:highlight w:val="none"/>
          <w:lang w:eastAsia="zh-CN"/>
        </w:rPr>
        <w:t>，</w:t>
      </w:r>
      <w:r>
        <w:rPr>
          <w:rFonts w:hint="eastAsia"/>
          <w:color w:val="auto"/>
          <w:highlight w:val="none"/>
        </w:rPr>
        <w:t>渭沱枢纽位于合川区</w:t>
      </w:r>
      <w:r>
        <w:rPr>
          <w:rFonts w:hint="eastAsia"/>
          <w:color w:val="auto"/>
          <w:highlight w:val="none"/>
          <w:lang w:eastAsia="zh-CN"/>
        </w:rPr>
        <w:t>渭沱镇、</w:t>
      </w:r>
      <w:r>
        <w:rPr>
          <w:rFonts w:hint="eastAsia"/>
          <w:color w:val="auto"/>
          <w:highlight w:val="none"/>
        </w:rPr>
        <w:t>铜溪镇涪江干流，下距涪江、嘉陵江交汇处23km，是涪江干流最后一级枢纽，工程于1992年建成</w:t>
      </w:r>
      <w:r>
        <w:rPr>
          <w:rFonts w:hint="eastAsia"/>
          <w:color w:val="auto"/>
          <w:highlight w:val="none"/>
          <w:lang w:eastAsia="zh-CN"/>
        </w:rPr>
        <w:t>投运</w:t>
      </w:r>
      <w:r>
        <w:rPr>
          <w:rFonts w:hint="eastAsia"/>
          <w:color w:val="auto"/>
          <w:highlight w:val="none"/>
        </w:rPr>
        <w:t>，原渭沱枢纽船闸按Ⅵ级航道标准设计，过闸船舶为100吨级驳船。</w:t>
      </w:r>
    </w:p>
    <w:p>
      <w:pPr>
        <w:snapToGrid w:val="0"/>
        <w:ind w:firstLine="520"/>
        <w:rPr>
          <w:color w:val="auto"/>
          <w:szCs w:val="26"/>
          <w:highlight w:val="none"/>
        </w:rPr>
      </w:pPr>
      <w:r>
        <w:rPr>
          <w:rFonts w:hint="eastAsia"/>
          <w:color w:val="auto"/>
          <w:szCs w:val="26"/>
          <w:highlight w:val="none"/>
        </w:rPr>
        <w:t>2021年2月，中共中央、国务院印发的《国家综合立体交通网规划纲要（2021-2050年）》中明确规划涪江干线已纳入全国内河国家高等级航道网，2035年三江～合川354公里发展目标为Ⅳ级航道，2050年规划为Ⅲ级航道。</w:t>
      </w:r>
    </w:p>
    <w:p>
      <w:pPr>
        <w:snapToGrid w:val="0"/>
        <w:ind w:firstLine="520"/>
        <w:rPr>
          <w:color w:val="auto"/>
          <w:szCs w:val="26"/>
          <w:highlight w:val="none"/>
        </w:rPr>
      </w:pPr>
      <w:r>
        <w:rPr>
          <w:rFonts w:hint="eastAsia"/>
          <w:color w:val="auto"/>
          <w:szCs w:val="26"/>
          <w:highlight w:val="none"/>
        </w:rPr>
        <w:t>2024年11月，重庆市人民政府批复《重庆市航道规划（2035年）》，涪江为国家高等级航道，规划涪江三星大坝至合川</w:t>
      </w:r>
      <w:r>
        <w:rPr>
          <w:rFonts w:hint="eastAsia"/>
          <w:color w:val="auto"/>
          <w:szCs w:val="26"/>
          <w:highlight w:val="none"/>
          <w:shd w:val="clear" w:color="auto" w:fill="FFFFFF"/>
        </w:rPr>
        <w:t>鸭嘴</w:t>
      </w:r>
      <w:r>
        <w:rPr>
          <w:rFonts w:hint="eastAsia"/>
          <w:color w:val="auto"/>
          <w:szCs w:val="26"/>
          <w:highlight w:val="none"/>
        </w:rPr>
        <w:t>136公里为</w:t>
      </w:r>
      <w:r>
        <w:rPr>
          <w:rFonts w:hint="eastAsia"/>
          <w:color w:val="auto"/>
          <w:szCs w:val="26"/>
          <w:highlight w:val="none"/>
        </w:rPr>
        <w:fldChar w:fldCharType="begin"/>
      </w:r>
      <w:r>
        <w:rPr>
          <w:rFonts w:hint="eastAsia"/>
          <w:color w:val="auto"/>
          <w:szCs w:val="26"/>
          <w:highlight w:val="none"/>
        </w:rPr>
        <w:instrText xml:space="preserve"> = 3 \* ROMAN \* MERGEFORMAT </w:instrText>
      </w:r>
      <w:r>
        <w:rPr>
          <w:rFonts w:hint="eastAsia"/>
          <w:color w:val="auto"/>
          <w:szCs w:val="26"/>
          <w:highlight w:val="none"/>
        </w:rPr>
        <w:fldChar w:fldCharType="separate"/>
      </w:r>
      <w:r>
        <w:rPr>
          <w:color w:val="auto"/>
          <w:highlight w:val="none"/>
        </w:rPr>
        <w:t>III</w:t>
      </w:r>
      <w:r>
        <w:rPr>
          <w:rFonts w:hint="eastAsia"/>
          <w:color w:val="auto"/>
          <w:szCs w:val="26"/>
          <w:highlight w:val="none"/>
        </w:rPr>
        <w:fldChar w:fldCharType="end"/>
      </w:r>
      <w:r>
        <w:rPr>
          <w:rFonts w:hint="eastAsia"/>
          <w:color w:val="auto"/>
          <w:szCs w:val="26"/>
          <w:highlight w:val="none"/>
        </w:rPr>
        <w:t>级航道。</w:t>
      </w:r>
    </w:p>
    <w:p>
      <w:pPr>
        <w:ind w:firstLine="520"/>
        <w:rPr>
          <w:color w:val="auto"/>
          <w:highlight w:val="none"/>
        </w:rPr>
      </w:pPr>
      <w:r>
        <w:rPr>
          <w:rFonts w:hint="eastAsia"/>
          <w:color w:val="auto"/>
          <w:szCs w:val="26"/>
          <w:highlight w:val="none"/>
        </w:rPr>
        <w:t>2025年1月，涪江重庆段航道整治工程正式开工，按照内</w:t>
      </w:r>
      <w:r>
        <w:rPr>
          <w:color w:val="auto"/>
          <w:szCs w:val="26"/>
          <w:highlight w:val="none"/>
        </w:rPr>
        <w:t>河</w:t>
      </w:r>
      <w:r>
        <w:rPr>
          <w:color w:val="auto"/>
          <w:szCs w:val="26"/>
          <w:highlight w:val="none"/>
        </w:rPr>
        <w:fldChar w:fldCharType="begin"/>
      </w:r>
      <w:r>
        <w:rPr>
          <w:color w:val="auto"/>
          <w:szCs w:val="26"/>
          <w:highlight w:val="none"/>
        </w:rPr>
        <w:instrText xml:space="preserve"> = 3 \* ROMAN \* MERGEFORMAT </w:instrText>
      </w:r>
      <w:r>
        <w:rPr>
          <w:color w:val="auto"/>
          <w:szCs w:val="26"/>
          <w:highlight w:val="none"/>
        </w:rPr>
        <w:fldChar w:fldCharType="separate"/>
      </w:r>
      <w:r>
        <w:rPr>
          <w:color w:val="auto"/>
          <w:szCs w:val="26"/>
          <w:highlight w:val="none"/>
        </w:rPr>
        <w:t>III</w:t>
      </w:r>
      <w:r>
        <w:rPr>
          <w:color w:val="auto"/>
          <w:szCs w:val="26"/>
          <w:highlight w:val="none"/>
        </w:rPr>
        <w:fldChar w:fldCharType="end"/>
      </w:r>
      <w:r>
        <w:rPr>
          <w:rFonts w:hint="eastAsia"/>
          <w:color w:val="auto"/>
          <w:szCs w:val="26"/>
          <w:highlight w:val="none"/>
          <w:shd w:val="clear" w:color="auto" w:fill="FFFFFF"/>
        </w:rPr>
        <w:t>级</w:t>
      </w:r>
      <w:r>
        <w:rPr>
          <w:rFonts w:hint="eastAsia"/>
          <w:color w:val="auto"/>
          <w:szCs w:val="26"/>
          <w:highlight w:val="none"/>
        </w:rPr>
        <w:t>标准对涪江三星枢纽以下10公里处至河口的126公里航道进行整治。</w:t>
      </w:r>
    </w:p>
    <w:p>
      <w:pPr>
        <w:ind w:firstLine="520"/>
        <w:rPr>
          <w:color w:val="auto"/>
          <w:highlight w:val="none"/>
        </w:rPr>
      </w:pPr>
      <w:r>
        <w:rPr>
          <w:rFonts w:hint="eastAsia"/>
          <w:color w:val="auto"/>
          <w:szCs w:val="26"/>
          <w:highlight w:val="none"/>
        </w:rPr>
        <w:t>涪江重庆段航道整治工程完成后，将全线达到</w:t>
      </w:r>
      <w:r>
        <w:rPr>
          <w:rFonts w:hint="eastAsia"/>
          <w:color w:val="auto"/>
          <w:highlight w:val="none"/>
        </w:rPr>
        <w:t>Ⅲ</w:t>
      </w:r>
      <w:r>
        <w:rPr>
          <w:color w:val="auto"/>
          <w:highlight w:val="none"/>
        </w:rPr>
        <w:t>级航道</w:t>
      </w:r>
      <w:r>
        <w:rPr>
          <w:rFonts w:hint="eastAsia"/>
          <w:color w:val="auto"/>
          <w:highlight w:val="none"/>
        </w:rPr>
        <w:t>标准</w:t>
      </w:r>
      <w:r>
        <w:rPr>
          <w:rFonts w:hint="eastAsia"/>
          <w:color w:val="auto"/>
          <w:highlight w:val="none"/>
          <w:lang w:eastAsia="zh-CN"/>
        </w:rPr>
        <w:t>，</w:t>
      </w:r>
      <w:r>
        <w:rPr>
          <w:rFonts w:hint="eastAsia"/>
          <w:color w:val="auto"/>
          <w:highlight w:val="none"/>
        </w:rPr>
        <w:t>满足千吨级船舶通航需求，对提升川渝地区互联互通，完善综合交通运输体系具有重要作用。但由于现有枢纽船闸难以满足</w:t>
      </w:r>
      <w:r>
        <w:rPr>
          <w:color w:val="auto"/>
          <w:szCs w:val="26"/>
          <w:highlight w:val="none"/>
        </w:rPr>
        <w:fldChar w:fldCharType="begin"/>
      </w:r>
      <w:r>
        <w:rPr>
          <w:color w:val="auto"/>
          <w:szCs w:val="26"/>
          <w:highlight w:val="none"/>
        </w:rPr>
        <w:instrText xml:space="preserve"> = 3 \* ROMAN \* MERGEFORMAT </w:instrText>
      </w:r>
      <w:r>
        <w:rPr>
          <w:color w:val="auto"/>
          <w:szCs w:val="26"/>
          <w:highlight w:val="none"/>
        </w:rPr>
        <w:fldChar w:fldCharType="separate"/>
      </w:r>
      <w:r>
        <w:rPr>
          <w:color w:val="auto"/>
          <w:szCs w:val="26"/>
          <w:highlight w:val="none"/>
        </w:rPr>
        <w:t>III</w:t>
      </w:r>
      <w:r>
        <w:rPr>
          <w:color w:val="auto"/>
          <w:szCs w:val="26"/>
          <w:highlight w:val="none"/>
        </w:rPr>
        <w:fldChar w:fldCharType="end"/>
      </w:r>
      <w:r>
        <w:rPr>
          <w:rFonts w:hint="eastAsia"/>
          <w:color w:val="auto"/>
          <w:szCs w:val="26"/>
          <w:highlight w:val="none"/>
          <w:shd w:val="clear" w:color="auto" w:fill="FFFFFF"/>
        </w:rPr>
        <w:t>级船闸标准，制约了涪江航道通航能力，《水运“十四五”发展规划》《共建长江上游航运中心实施方案》《重庆市综合交通运输“十四五”规划（2021—2025 年）》均提出“推动涪江渭沱、安居、富金坝等船闸改造提级”。为此，重庆航运建设发展（集团）有限公司拟实施“涪江干流渭沱电厂船闸扩能升级改造工程”，对现有船闸进行升级改造，以提升渭沱枢纽船闸通航能力，满足航道等级提升要求，解决通航建筑物等级与航道等级不匹配瓶颈，适应货运船舶大型化发展趋势</w:t>
      </w:r>
      <w:r>
        <w:rPr>
          <w:rFonts w:hint="eastAsia"/>
          <w:color w:val="auto"/>
          <w:szCs w:val="26"/>
          <w:highlight w:val="none"/>
          <w:shd w:val="clear" w:color="auto" w:fill="FFFFFF"/>
          <w:lang w:eastAsia="zh-CN"/>
        </w:rPr>
        <w:t>，工程不对渭沱枢纽主体工程调度运行方式及发电规模造成改变</w:t>
      </w:r>
      <w:r>
        <w:rPr>
          <w:rFonts w:hint="eastAsia"/>
          <w:color w:val="auto"/>
          <w:szCs w:val="26"/>
          <w:highlight w:val="none"/>
          <w:shd w:val="clear" w:color="auto" w:fill="FFFFFF"/>
        </w:rPr>
        <w:t>。</w:t>
      </w:r>
      <w:r>
        <w:rPr>
          <w:rFonts w:hint="eastAsia"/>
          <w:color w:val="auto"/>
          <w:szCs w:val="26"/>
          <w:highlight w:val="none"/>
          <w:shd w:val="clear" w:color="auto" w:fill="FFFFFF"/>
          <w:lang w:eastAsia="zh-CN"/>
        </w:rPr>
        <w:t>工程可研于</w:t>
      </w:r>
      <w:r>
        <w:rPr>
          <w:rFonts w:hint="eastAsia"/>
          <w:color w:val="auto"/>
          <w:szCs w:val="26"/>
          <w:highlight w:val="none"/>
          <w:shd w:val="clear" w:color="auto" w:fill="FFFFFF"/>
          <w:lang w:val="en-US" w:eastAsia="zh-CN"/>
        </w:rPr>
        <w:t>2025年3月11日取得重庆市发展和改革委员会批复（渝发改交通</w:t>
      </w:r>
      <w:r>
        <w:rPr>
          <w:rFonts w:hint="eastAsia"/>
          <w:color w:val="auto"/>
          <w:highlight w:val="none"/>
        </w:rPr>
        <w:t>〔2</w:t>
      </w:r>
      <w:r>
        <w:rPr>
          <w:rFonts w:hint="eastAsia"/>
          <w:color w:val="auto"/>
          <w:highlight w:val="none"/>
          <w:lang w:val="en-US" w:eastAsia="zh-CN"/>
        </w:rPr>
        <w:t>025</w:t>
      </w:r>
      <w:r>
        <w:rPr>
          <w:rFonts w:hint="eastAsia"/>
          <w:color w:val="auto"/>
          <w:highlight w:val="none"/>
        </w:rPr>
        <w:t>〕</w:t>
      </w:r>
      <w:r>
        <w:rPr>
          <w:rFonts w:hint="eastAsia"/>
          <w:color w:val="auto"/>
          <w:szCs w:val="26"/>
          <w:highlight w:val="none"/>
          <w:lang w:val="en-US" w:eastAsia="zh-CN"/>
        </w:rPr>
        <w:t>314</w:t>
      </w:r>
      <w:r>
        <w:rPr>
          <w:color w:val="auto"/>
          <w:szCs w:val="26"/>
          <w:highlight w:val="none"/>
        </w:rPr>
        <w:t>号</w:t>
      </w:r>
      <w:r>
        <w:rPr>
          <w:rFonts w:hint="eastAsia"/>
          <w:color w:val="auto"/>
          <w:szCs w:val="26"/>
          <w:highlight w:val="none"/>
          <w:shd w:val="clear" w:color="auto" w:fill="FFFFFF"/>
          <w:lang w:val="en-US" w:eastAsia="zh-CN"/>
        </w:rPr>
        <w:t>），根据批复，主要建设内容包括：</w:t>
      </w:r>
      <w:r>
        <w:rPr>
          <w:color w:val="auto"/>
          <w:kern w:val="0"/>
          <w:szCs w:val="26"/>
          <w:highlight w:val="none"/>
        </w:rPr>
        <w:t>在既有船闸右侧新建船闸1座，配套建设公用工程、过鱼设施等，迁建原枢纽电厂配套设施。船闸采用内河Ⅲ级标准建设，有效尺度190</w:t>
      </w:r>
      <w:r>
        <w:rPr>
          <w:color w:val="auto"/>
          <w:szCs w:val="26"/>
          <w:highlight w:val="none"/>
          <w:shd w:val="clear" w:color="auto" w:fill="FFFFFF"/>
        </w:rPr>
        <w:t>×</w:t>
      </w:r>
      <w:r>
        <w:rPr>
          <w:color w:val="auto"/>
          <w:kern w:val="0"/>
          <w:szCs w:val="26"/>
          <w:highlight w:val="none"/>
        </w:rPr>
        <w:t>23</w:t>
      </w:r>
      <w:r>
        <w:rPr>
          <w:color w:val="auto"/>
          <w:szCs w:val="26"/>
          <w:highlight w:val="none"/>
          <w:shd w:val="clear" w:color="auto" w:fill="FFFFFF"/>
        </w:rPr>
        <w:t>×</w:t>
      </w:r>
      <w:r>
        <w:rPr>
          <w:color w:val="auto"/>
          <w:kern w:val="0"/>
          <w:szCs w:val="26"/>
          <w:highlight w:val="none"/>
        </w:rPr>
        <w:t>4.2米</w:t>
      </w:r>
      <w:r>
        <w:rPr>
          <w:rFonts w:hint="eastAsia"/>
          <w:color w:val="auto"/>
          <w:kern w:val="0"/>
          <w:szCs w:val="26"/>
          <w:highlight w:val="none"/>
        </w:rPr>
        <w:t>（</w:t>
      </w:r>
      <w:r>
        <w:rPr>
          <w:color w:val="auto"/>
          <w:kern w:val="0"/>
          <w:szCs w:val="26"/>
          <w:highlight w:val="none"/>
        </w:rPr>
        <w:t>长</w:t>
      </w:r>
      <w:r>
        <w:rPr>
          <w:color w:val="auto"/>
          <w:szCs w:val="26"/>
          <w:highlight w:val="none"/>
          <w:shd w:val="clear" w:color="auto" w:fill="FFFFFF"/>
        </w:rPr>
        <w:t>×</w:t>
      </w:r>
      <w:r>
        <w:rPr>
          <w:color w:val="auto"/>
          <w:kern w:val="0"/>
          <w:szCs w:val="26"/>
          <w:highlight w:val="none"/>
        </w:rPr>
        <w:t>宽</w:t>
      </w:r>
      <w:r>
        <w:rPr>
          <w:color w:val="auto"/>
          <w:szCs w:val="26"/>
          <w:highlight w:val="none"/>
          <w:shd w:val="clear" w:color="auto" w:fill="FFFFFF"/>
        </w:rPr>
        <w:t>×</w:t>
      </w:r>
      <w:r>
        <w:rPr>
          <w:color w:val="auto"/>
          <w:kern w:val="0"/>
          <w:szCs w:val="26"/>
          <w:highlight w:val="none"/>
        </w:rPr>
        <w:t>门槛水深</w:t>
      </w:r>
      <w:r>
        <w:rPr>
          <w:rFonts w:hint="eastAsia"/>
          <w:color w:val="auto"/>
          <w:kern w:val="0"/>
          <w:szCs w:val="26"/>
          <w:highlight w:val="none"/>
        </w:rPr>
        <w:t>）</w:t>
      </w:r>
      <w:r>
        <w:rPr>
          <w:color w:val="auto"/>
          <w:kern w:val="0"/>
          <w:szCs w:val="26"/>
          <w:highlight w:val="none"/>
        </w:rPr>
        <w:t>。设计代表船型为1000吨级干散货船，船型尺度 63</w:t>
      </w:r>
      <w:r>
        <w:rPr>
          <w:color w:val="auto"/>
          <w:szCs w:val="26"/>
          <w:highlight w:val="none"/>
          <w:shd w:val="clear" w:color="auto" w:fill="FFFFFF"/>
        </w:rPr>
        <w:t>×</w:t>
      </w:r>
      <w:r>
        <w:rPr>
          <w:color w:val="auto"/>
          <w:kern w:val="0"/>
          <w:szCs w:val="26"/>
          <w:highlight w:val="none"/>
        </w:rPr>
        <w:t>11</w:t>
      </w:r>
      <w:r>
        <w:rPr>
          <w:color w:val="auto"/>
          <w:szCs w:val="26"/>
          <w:highlight w:val="none"/>
          <w:shd w:val="clear" w:color="auto" w:fill="FFFFFF"/>
        </w:rPr>
        <w:t>×</w:t>
      </w:r>
      <w:r>
        <w:rPr>
          <w:color w:val="auto"/>
          <w:kern w:val="0"/>
          <w:szCs w:val="26"/>
          <w:highlight w:val="none"/>
        </w:rPr>
        <w:t>2.6米</w:t>
      </w:r>
      <w:r>
        <w:rPr>
          <w:rFonts w:hint="eastAsia"/>
          <w:color w:val="auto"/>
          <w:kern w:val="0"/>
          <w:szCs w:val="26"/>
          <w:highlight w:val="none"/>
        </w:rPr>
        <w:t>（</w:t>
      </w:r>
      <w:r>
        <w:rPr>
          <w:color w:val="auto"/>
          <w:kern w:val="0"/>
          <w:szCs w:val="26"/>
          <w:highlight w:val="none"/>
        </w:rPr>
        <w:t>长</w:t>
      </w:r>
      <w:r>
        <w:rPr>
          <w:color w:val="auto"/>
          <w:szCs w:val="26"/>
          <w:highlight w:val="none"/>
          <w:shd w:val="clear" w:color="auto" w:fill="FFFFFF"/>
        </w:rPr>
        <w:t>×</w:t>
      </w:r>
      <w:r>
        <w:rPr>
          <w:color w:val="auto"/>
          <w:kern w:val="0"/>
          <w:szCs w:val="26"/>
          <w:highlight w:val="none"/>
        </w:rPr>
        <w:t>宽</w:t>
      </w:r>
      <w:r>
        <w:rPr>
          <w:color w:val="auto"/>
          <w:szCs w:val="26"/>
          <w:highlight w:val="none"/>
          <w:shd w:val="clear" w:color="auto" w:fill="FFFFFF"/>
        </w:rPr>
        <w:t>×</w:t>
      </w:r>
      <w:r>
        <w:rPr>
          <w:color w:val="auto"/>
          <w:kern w:val="0"/>
          <w:szCs w:val="26"/>
          <w:highlight w:val="none"/>
        </w:rPr>
        <w:t>吃水</w:t>
      </w:r>
      <w:r>
        <w:rPr>
          <w:rFonts w:hint="eastAsia"/>
          <w:color w:val="auto"/>
          <w:kern w:val="0"/>
          <w:szCs w:val="26"/>
          <w:highlight w:val="none"/>
        </w:rPr>
        <w:t>）</w:t>
      </w:r>
      <w:r>
        <w:rPr>
          <w:rFonts w:hint="eastAsia"/>
          <w:color w:val="auto"/>
          <w:kern w:val="44"/>
          <w:highlight w:val="none"/>
        </w:rPr>
        <w:t>。</w:t>
      </w:r>
    </w:p>
    <w:bookmarkEnd w:id="25"/>
    <w:bookmarkEnd w:id="26"/>
    <w:p>
      <w:pPr>
        <w:pStyle w:val="4"/>
        <w:numPr>
          <w:ilvl w:val="0"/>
          <w:numId w:val="0"/>
        </w:numPr>
        <w:adjustRightInd w:val="0"/>
        <w:snapToGrid w:val="0"/>
        <w:ind w:firstLine="522" w:firstLineChars="200"/>
        <w:rPr>
          <w:color w:val="auto"/>
          <w:highlight w:val="none"/>
        </w:rPr>
      </w:pPr>
      <w:bookmarkStart w:id="27" w:name="_Toc498031541"/>
      <w:bookmarkStart w:id="28" w:name="_Toc19436"/>
      <w:bookmarkStart w:id="29" w:name="_Toc89291951"/>
      <w:r>
        <w:rPr>
          <w:rFonts w:hint="eastAsia"/>
          <w:color w:val="auto"/>
          <w:highlight w:val="none"/>
        </w:rPr>
        <w:t>二</w:t>
      </w:r>
      <w:r>
        <w:rPr>
          <w:color w:val="auto"/>
          <w:highlight w:val="none"/>
        </w:rPr>
        <w:t>、建设项目</w:t>
      </w:r>
      <w:r>
        <w:rPr>
          <w:rFonts w:hint="eastAsia"/>
          <w:color w:val="auto"/>
          <w:highlight w:val="none"/>
        </w:rPr>
        <w:t>的</w:t>
      </w:r>
      <w:r>
        <w:rPr>
          <w:color w:val="auto"/>
          <w:highlight w:val="none"/>
        </w:rPr>
        <w:t>特点</w:t>
      </w:r>
      <w:bookmarkEnd w:id="27"/>
      <w:bookmarkEnd w:id="28"/>
      <w:bookmarkEnd w:id="29"/>
    </w:p>
    <w:p>
      <w:pPr>
        <w:adjustRightInd w:val="0"/>
        <w:snapToGrid w:val="0"/>
        <w:ind w:firstLine="520"/>
        <w:rPr>
          <w:color w:val="auto"/>
          <w:szCs w:val="26"/>
          <w:highlight w:val="none"/>
        </w:rPr>
      </w:pPr>
      <w:r>
        <w:rPr>
          <w:rFonts w:hint="eastAsia"/>
          <w:color w:val="auto"/>
          <w:szCs w:val="26"/>
          <w:highlight w:val="none"/>
        </w:rPr>
        <w:t>涪江干流渭沱电厂船闸扩能升级改造工程是在</w:t>
      </w:r>
      <w:r>
        <w:rPr>
          <w:rFonts w:hint="eastAsia"/>
          <w:color w:val="auto"/>
          <w:szCs w:val="26"/>
          <w:highlight w:val="none"/>
          <w:lang w:eastAsia="zh-CN"/>
        </w:rPr>
        <w:t>现有船闸</w:t>
      </w:r>
      <w:r>
        <w:rPr>
          <w:rFonts w:hint="eastAsia"/>
          <w:color w:val="auto"/>
          <w:szCs w:val="26"/>
          <w:highlight w:val="none"/>
        </w:rPr>
        <w:t>基础上的改造提升工程，受现有船闸</w:t>
      </w:r>
      <w:r>
        <w:rPr>
          <w:rFonts w:hint="eastAsia"/>
          <w:color w:val="auto"/>
          <w:szCs w:val="26"/>
          <w:highlight w:val="none"/>
          <w:lang w:eastAsia="zh-CN"/>
        </w:rPr>
        <w:t>及枢纽的</w:t>
      </w:r>
      <w:r>
        <w:rPr>
          <w:rFonts w:hint="eastAsia"/>
          <w:color w:val="auto"/>
          <w:szCs w:val="26"/>
          <w:highlight w:val="none"/>
        </w:rPr>
        <w:t>位置限制，其项目选址具有唯一性。</w:t>
      </w:r>
      <w:r>
        <w:rPr>
          <w:rFonts w:hint="eastAsia"/>
          <w:color w:val="auto"/>
          <w:szCs w:val="26"/>
          <w:highlight w:val="none"/>
          <w:lang w:eastAsia="zh-CN"/>
        </w:rPr>
        <w:t>项目</w:t>
      </w:r>
      <w:r>
        <w:rPr>
          <w:rFonts w:hint="eastAsia"/>
          <w:color w:val="auto"/>
          <w:kern w:val="0"/>
          <w:szCs w:val="26"/>
          <w:highlight w:val="none"/>
          <w:lang w:eastAsia="zh-CN"/>
        </w:rPr>
        <w:t>不对现有渭沱枢纽主体建设内容进行改造，不改变枢纽调度运行方式及工程特性</w:t>
      </w:r>
      <w:r>
        <w:rPr>
          <w:rFonts w:hint="eastAsia"/>
          <w:color w:val="auto"/>
          <w:szCs w:val="26"/>
          <w:highlight w:val="none"/>
        </w:rPr>
        <w:t>。</w:t>
      </w:r>
    </w:p>
    <w:p>
      <w:pPr>
        <w:adjustRightInd w:val="0"/>
        <w:snapToGrid w:val="0"/>
        <w:ind w:firstLine="520"/>
        <w:rPr>
          <w:color w:val="auto"/>
          <w:szCs w:val="26"/>
          <w:highlight w:val="none"/>
        </w:rPr>
      </w:pPr>
      <w:r>
        <w:rPr>
          <w:rFonts w:hint="eastAsia"/>
          <w:color w:val="auto"/>
          <w:szCs w:val="26"/>
          <w:highlight w:val="none"/>
        </w:rPr>
        <w:t>项目所在江段内分布国家和重庆市重点保护鱼类、长江上游特有鱼类、受威胁物种及特有种等重要物种。涉水施工可能对水生生态环境造成影响</w:t>
      </w:r>
      <w:r>
        <w:rPr>
          <w:rFonts w:hint="eastAsia"/>
          <w:color w:val="auto"/>
          <w:szCs w:val="26"/>
          <w:highlight w:val="none"/>
          <w:lang w:eastAsia="zh-CN"/>
        </w:rPr>
        <w:t>，</w:t>
      </w:r>
      <w:r>
        <w:rPr>
          <w:rFonts w:hint="eastAsia"/>
          <w:color w:val="auto"/>
          <w:kern w:val="0"/>
          <w:szCs w:val="26"/>
          <w:highlight w:val="none"/>
          <w:lang w:eastAsia="zh-CN"/>
        </w:rPr>
        <w:t>但通过本次工程增设鱼道，对涪江水生生态保护具有积极作用；</w:t>
      </w:r>
      <w:r>
        <w:rPr>
          <w:rFonts w:hint="eastAsia"/>
          <w:color w:val="auto"/>
          <w:szCs w:val="26"/>
          <w:highlight w:val="none"/>
        </w:rPr>
        <w:t>工程施工场地、弃土需堆存占用土地，破坏土地的原有植被和使用功能，同时产生扬尘、水土流失等环境问题，需分析弃土方案的环境合理性，加强土方工程环境污染防治和生态恢复措施的论证。</w:t>
      </w:r>
      <w:r>
        <w:rPr>
          <w:rFonts w:hint="eastAsia"/>
          <w:color w:val="auto"/>
          <w:szCs w:val="26"/>
          <w:highlight w:val="none"/>
          <w:lang w:eastAsia="zh-CN"/>
        </w:rPr>
        <w:t>项目占地范围</w:t>
      </w:r>
      <w:r>
        <w:rPr>
          <w:rFonts w:hint="eastAsia"/>
          <w:color w:val="auto"/>
          <w:szCs w:val="26"/>
          <w:highlight w:val="none"/>
        </w:rPr>
        <w:t>涉及“重庆合川三江国家湿地公园</w:t>
      </w:r>
      <w:r>
        <w:rPr>
          <w:rFonts w:hint="eastAsia"/>
          <w:color w:val="auto"/>
          <w:szCs w:val="26"/>
          <w:highlight w:val="none"/>
          <w:shd w:val="clear" w:fill="FFFFFF"/>
        </w:rPr>
        <w:t>”“</w:t>
      </w:r>
      <w:r>
        <w:rPr>
          <w:rFonts w:hint="eastAsia"/>
          <w:color w:val="auto"/>
          <w:szCs w:val="26"/>
          <w:highlight w:val="none"/>
        </w:rPr>
        <w:t>生态保护红线”</w:t>
      </w:r>
      <w:r>
        <w:rPr>
          <w:rFonts w:hint="eastAsia"/>
          <w:color w:val="auto"/>
          <w:szCs w:val="26"/>
          <w:highlight w:val="none"/>
          <w:lang w:eastAsia="zh-CN"/>
        </w:rPr>
        <w:t>，</w:t>
      </w:r>
      <w:r>
        <w:rPr>
          <w:rFonts w:hint="eastAsia"/>
          <w:color w:val="auto"/>
          <w:szCs w:val="26"/>
          <w:highlight w:val="none"/>
        </w:rPr>
        <w:t>应加强施工期、运行期环境管控，降低施工期和运行区对降低对</w:t>
      </w:r>
      <w:r>
        <w:rPr>
          <w:rFonts w:hint="eastAsia"/>
          <w:color w:val="auto"/>
          <w:szCs w:val="26"/>
          <w:highlight w:val="none"/>
          <w:lang w:eastAsia="zh-CN"/>
        </w:rPr>
        <w:t>生态</w:t>
      </w:r>
      <w:r>
        <w:rPr>
          <w:rFonts w:hint="eastAsia"/>
          <w:color w:val="auto"/>
          <w:szCs w:val="26"/>
          <w:highlight w:val="none"/>
        </w:rPr>
        <w:t>敏感区的影响。</w:t>
      </w:r>
    </w:p>
    <w:p>
      <w:pPr>
        <w:pStyle w:val="4"/>
        <w:keepNext w:val="0"/>
        <w:keepLines w:val="0"/>
        <w:numPr>
          <w:ilvl w:val="0"/>
          <w:numId w:val="0"/>
        </w:numPr>
        <w:adjustRightInd w:val="0"/>
        <w:snapToGrid w:val="0"/>
        <w:ind w:firstLine="522" w:firstLineChars="200"/>
        <w:rPr>
          <w:color w:val="auto"/>
          <w:highlight w:val="none"/>
        </w:rPr>
      </w:pPr>
      <w:bookmarkStart w:id="30" w:name="_Toc13630"/>
      <w:bookmarkStart w:id="31" w:name="_Toc89291952"/>
      <w:bookmarkStart w:id="32" w:name="_Toc498031542"/>
      <w:r>
        <w:rPr>
          <w:rFonts w:hint="eastAsia"/>
          <w:color w:val="auto"/>
          <w:highlight w:val="none"/>
        </w:rPr>
        <w:t>三</w:t>
      </w:r>
      <w:r>
        <w:rPr>
          <w:color w:val="auto"/>
          <w:highlight w:val="none"/>
        </w:rPr>
        <w:t>、环境影响评价工作过程</w:t>
      </w:r>
      <w:bookmarkEnd w:id="30"/>
      <w:bookmarkEnd w:id="31"/>
      <w:bookmarkEnd w:id="32"/>
    </w:p>
    <w:p>
      <w:pPr>
        <w:adjustRightInd w:val="0"/>
        <w:snapToGrid w:val="0"/>
        <w:ind w:firstLine="520"/>
        <w:rPr>
          <w:color w:val="auto"/>
          <w:szCs w:val="26"/>
          <w:highlight w:val="none"/>
        </w:rPr>
      </w:pPr>
      <w:r>
        <w:rPr>
          <w:rFonts w:hint="eastAsia"/>
          <w:color w:val="auto"/>
          <w:szCs w:val="26"/>
          <w:highlight w:val="none"/>
        </w:rPr>
        <w:t>根据《中华人民共和国环境保护法</w:t>
      </w:r>
      <w:r>
        <w:rPr>
          <w:rFonts w:hint="eastAsia"/>
          <w:color w:val="auto"/>
          <w:szCs w:val="26"/>
          <w:highlight w:val="none"/>
          <w:shd w:val="clear" w:fill="FFFFFF"/>
        </w:rPr>
        <w:t>》《</w:t>
      </w:r>
      <w:r>
        <w:rPr>
          <w:rFonts w:hint="eastAsia"/>
          <w:color w:val="auto"/>
          <w:szCs w:val="26"/>
          <w:highlight w:val="none"/>
        </w:rPr>
        <w:t>中华人民共和国环境影响评价法</w:t>
      </w:r>
      <w:r>
        <w:rPr>
          <w:rFonts w:hint="eastAsia"/>
          <w:color w:val="auto"/>
          <w:szCs w:val="26"/>
          <w:highlight w:val="none"/>
          <w:shd w:val="clear" w:fill="FFFFFF"/>
        </w:rPr>
        <w:t>》《</w:t>
      </w:r>
      <w:r>
        <w:rPr>
          <w:rFonts w:hint="eastAsia"/>
          <w:color w:val="auto"/>
          <w:szCs w:val="26"/>
          <w:highlight w:val="none"/>
        </w:rPr>
        <w:t>建设项目环境保护管理条例》等有关规定，</w:t>
      </w:r>
      <w:r>
        <w:rPr>
          <w:rFonts w:hint="eastAsia"/>
          <w:color w:val="auto"/>
          <w:highlight w:val="none"/>
        </w:rPr>
        <w:t>“</w:t>
      </w:r>
      <w:r>
        <w:rPr>
          <w:rFonts w:hint="eastAsia"/>
          <w:color w:val="auto"/>
          <w:szCs w:val="26"/>
          <w:highlight w:val="none"/>
          <w:shd w:val="clear" w:color="auto" w:fill="FFFFFF"/>
        </w:rPr>
        <w:t>涪江干流渭沱电厂船闸扩能升级改造工程</w:t>
      </w:r>
      <w:r>
        <w:rPr>
          <w:rFonts w:hint="eastAsia"/>
          <w:color w:val="auto"/>
          <w:highlight w:val="none"/>
        </w:rPr>
        <w:t>”</w:t>
      </w:r>
      <w:r>
        <w:rPr>
          <w:rFonts w:hint="eastAsia"/>
          <w:color w:val="auto"/>
          <w:szCs w:val="26"/>
          <w:highlight w:val="none"/>
        </w:rPr>
        <w:t>应开展环境影响评价工作，项目涉及生态保护红线、重庆合川三江国家湿地公园，按照《建设项目环境影响评价分类管理名录（2021年版）》，属于“五十二、交通运输业、管道运输业—143航道工程、水运辅助工程-涉及环境敏感区的防波堤、船闸、通航建筑物”，项目应编制环境影响报告书。因此，</w:t>
      </w:r>
      <w:r>
        <w:rPr>
          <w:rFonts w:hint="eastAsia"/>
          <w:color w:val="auto"/>
          <w:szCs w:val="26"/>
          <w:highlight w:val="none"/>
          <w:shd w:val="clear" w:color="auto" w:fill="FFFFFF"/>
        </w:rPr>
        <w:t>重庆航运建设发展（集团）有限公司</w:t>
      </w:r>
      <w:r>
        <w:rPr>
          <w:bCs/>
          <w:color w:val="auto"/>
          <w:kern w:val="0"/>
          <w:szCs w:val="26"/>
          <w:highlight w:val="none"/>
          <w:lang w:bidi="en-US"/>
        </w:rPr>
        <w:t>委托中煤科工重庆设计研究院（集团）有限公司（以下简称</w:t>
      </w:r>
      <w:r>
        <w:rPr>
          <w:rFonts w:hint="eastAsia" w:ascii="宋体" w:hAnsi="宋体" w:cs="宋体"/>
          <w:bCs/>
          <w:color w:val="auto"/>
          <w:kern w:val="0"/>
          <w:szCs w:val="26"/>
          <w:highlight w:val="none"/>
          <w:lang w:bidi="en-US"/>
        </w:rPr>
        <w:t>“我公司”</w:t>
      </w:r>
      <w:r>
        <w:rPr>
          <w:bCs/>
          <w:color w:val="auto"/>
          <w:kern w:val="0"/>
          <w:szCs w:val="26"/>
          <w:highlight w:val="none"/>
          <w:lang w:bidi="en-US"/>
        </w:rPr>
        <w:t>）承担</w:t>
      </w:r>
      <w:r>
        <w:rPr>
          <w:rFonts w:hint="eastAsia"/>
          <w:bCs/>
          <w:color w:val="auto"/>
          <w:kern w:val="0"/>
          <w:szCs w:val="26"/>
          <w:highlight w:val="none"/>
          <w:lang w:bidi="en-US"/>
        </w:rPr>
        <w:t>了该</w:t>
      </w:r>
      <w:r>
        <w:rPr>
          <w:bCs/>
          <w:color w:val="auto"/>
          <w:kern w:val="0"/>
          <w:szCs w:val="26"/>
          <w:highlight w:val="none"/>
          <w:lang w:bidi="en-US"/>
        </w:rPr>
        <w:t>项目环境影响</w:t>
      </w:r>
      <w:r>
        <w:rPr>
          <w:rFonts w:hint="eastAsia"/>
          <w:bCs/>
          <w:color w:val="auto"/>
          <w:kern w:val="0"/>
          <w:szCs w:val="26"/>
          <w:highlight w:val="none"/>
          <w:lang w:bidi="en-US"/>
        </w:rPr>
        <w:t>评价</w:t>
      </w:r>
      <w:r>
        <w:rPr>
          <w:bCs/>
          <w:color w:val="auto"/>
          <w:kern w:val="0"/>
          <w:szCs w:val="26"/>
          <w:highlight w:val="none"/>
          <w:lang w:bidi="en-US"/>
        </w:rPr>
        <w:t>工作，</w:t>
      </w:r>
      <w:r>
        <w:rPr>
          <w:rFonts w:hint="eastAsia"/>
          <w:color w:val="auto"/>
          <w:szCs w:val="26"/>
          <w:highlight w:val="none"/>
        </w:rPr>
        <w:t>接受委托后，我公司随即成立了项目组，开展了环境</w:t>
      </w:r>
      <w:r>
        <w:rPr>
          <w:color w:val="auto"/>
          <w:szCs w:val="26"/>
          <w:highlight w:val="none"/>
        </w:rPr>
        <w:t>影响</w:t>
      </w:r>
      <w:r>
        <w:rPr>
          <w:rFonts w:hint="eastAsia"/>
          <w:color w:val="auto"/>
          <w:szCs w:val="26"/>
          <w:highlight w:val="none"/>
        </w:rPr>
        <w:t>相关工作。</w:t>
      </w:r>
    </w:p>
    <w:p>
      <w:pPr>
        <w:adjustRightInd w:val="0"/>
        <w:snapToGrid w:val="0"/>
        <w:ind w:firstLine="520"/>
        <w:rPr>
          <w:color w:val="auto"/>
          <w:szCs w:val="26"/>
          <w:highlight w:val="none"/>
        </w:rPr>
      </w:pPr>
      <w:r>
        <w:rPr>
          <w:color w:val="auto"/>
          <w:szCs w:val="26"/>
          <w:highlight w:val="none"/>
        </w:rPr>
        <w:t>（1）准备阶段</w:t>
      </w:r>
    </w:p>
    <w:p>
      <w:pPr>
        <w:adjustRightInd w:val="0"/>
        <w:snapToGrid w:val="0"/>
        <w:ind w:firstLine="520"/>
        <w:rPr>
          <w:color w:val="auto"/>
          <w:szCs w:val="26"/>
          <w:highlight w:val="none"/>
        </w:rPr>
      </w:pPr>
      <w:r>
        <w:rPr>
          <w:color w:val="auto"/>
          <w:szCs w:val="26"/>
          <w:highlight w:val="none"/>
        </w:rPr>
        <w:t>202</w:t>
      </w:r>
      <w:r>
        <w:rPr>
          <w:rFonts w:hint="eastAsia"/>
          <w:color w:val="auto"/>
          <w:szCs w:val="26"/>
          <w:highlight w:val="none"/>
        </w:rPr>
        <w:t>5</w:t>
      </w:r>
      <w:r>
        <w:rPr>
          <w:color w:val="auto"/>
          <w:szCs w:val="26"/>
          <w:highlight w:val="none"/>
        </w:rPr>
        <w:t>年</w:t>
      </w:r>
      <w:r>
        <w:rPr>
          <w:rFonts w:hint="eastAsia"/>
          <w:color w:val="auto"/>
          <w:szCs w:val="26"/>
          <w:highlight w:val="none"/>
        </w:rPr>
        <w:t>7</w:t>
      </w:r>
      <w:r>
        <w:rPr>
          <w:color w:val="auto"/>
          <w:szCs w:val="26"/>
          <w:highlight w:val="none"/>
        </w:rPr>
        <w:t>月，</w:t>
      </w:r>
      <w:r>
        <w:rPr>
          <w:rFonts w:hint="eastAsia" w:eastAsiaTheme="minorEastAsia"/>
          <w:color w:val="auto"/>
          <w:szCs w:val="26"/>
          <w:highlight w:val="none"/>
        </w:rPr>
        <w:t>建设</w:t>
      </w:r>
      <w:r>
        <w:rPr>
          <w:rFonts w:eastAsiaTheme="minorEastAsia"/>
          <w:color w:val="auto"/>
          <w:szCs w:val="26"/>
          <w:highlight w:val="none"/>
        </w:rPr>
        <w:t>单位</w:t>
      </w:r>
      <w:r>
        <w:rPr>
          <w:rFonts w:hint="eastAsia" w:eastAsiaTheme="minorEastAsia"/>
          <w:color w:val="auto"/>
          <w:szCs w:val="26"/>
          <w:highlight w:val="none"/>
        </w:rPr>
        <w:t>委托</w:t>
      </w:r>
      <w:r>
        <w:rPr>
          <w:color w:val="auto"/>
          <w:szCs w:val="26"/>
          <w:highlight w:val="none"/>
        </w:rPr>
        <w:t>我公司承担了</w:t>
      </w:r>
      <w:r>
        <w:rPr>
          <w:rFonts w:hint="eastAsia" w:ascii="宋体" w:hAnsi="宋体" w:cs="宋体"/>
          <w:color w:val="auto"/>
          <w:szCs w:val="26"/>
          <w:highlight w:val="none"/>
        </w:rPr>
        <w:t>项目</w:t>
      </w:r>
      <w:r>
        <w:rPr>
          <w:rFonts w:eastAsiaTheme="minorEastAsia"/>
          <w:color w:val="auto"/>
          <w:szCs w:val="26"/>
          <w:highlight w:val="none"/>
        </w:rPr>
        <w:t>环</w:t>
      </w:r>
      <w:r>
        <w:rPr>
          <w:color w:val="auto"/>
          <w:szCs w:val="26"/>
          <w:highlight w:val="none"/>
        </w:rPr>
        <w:t>境影响评价工作后</w:t>
      </w:r>
      <w:r>
        <w:rPr>
          <w:rFonts w:eastAsiaTheme="minorEastAsia"/>
          <w:color w:val="auto"/>
          <w:szCs w:val="26"/>
          <w:highlight w:val="none"/>
        </w:rPr>
        <w:t>，</w:t>
      </w:r>
      <w:r>
        <w:rPr>
          <w:color w:val="auto"/>
          <w:szCs w:val="26"/>
          <w:highlight w:val="none"/>
        </w:rPr>
        <w:t>根据</w:t>
      </w:r>
      <w:r>
        <w:rPr>
          <w:rFonts w:hint="eastAsia"/>
          <w:color w:val="auto"/>
          <w:szCs w:val="26"/>
          <w:highlight w:val="none"/>
        </w:rPr>
        <w:t>拟建</w:t>
      </w:r>
      <w:r>
        <w:rPr>
          <w:color w:val="auto"/>
          <w:szCs w:val="26"/>
          <w:highlight w:val="none"/>
        </w:rPr>
        <w:t>项目特点，确立了环评工作思路</w:t>
      </w:r>
      <w:r>
        <w:rPr>
          <w:rFonts w:hint="eastAsia"/>
          <w:color w:val="auto"/>
          <w:szCs w:val="26"/>
          <w:highlight w:val="none"/>
          <w:lang w:eastAsia="zh-CN"/>
        </w:rPr>
        <w:t>，成立了项目环评工作组</w:t>
      </w:r>
      <w:r>
        <w:rPr>
          <w:rFonts w:hint="eastAsia" w:eastAsiaTheme="minorEastAsia"/>
          <w:color w:val="auto"/>
          <w:szCs w:val="26"/>
          <w:highlight w:val="none"/>
        </w:rPr>
        <w:t>。</w:t>
      </w:r>
    </w:p>
    <w:p>
      <w:pPr>
        <w:adjustRightInd w:val="0"/>
        <w:snapToGrid w:val="0"/>
        <w:ind w:firstLine="520"/>
        <w:rPr>
          <w:color w:val="auto"/>
          <w:szCs w:val="26"/>
          <w:highlight w:val="none"/>
        </w:rPr>
      </w:pPr>
      <w:r>
        <w:rPr>
          <w:color w:val="auto"/>
          <w:szCs w:val="26"/>
          <w:highlight w:val="none"/>
        </w:rPr>
        <w:t>（2）环境影响评价工作阶段</w:t>
      </w:r>
    </w:p>
    <w:p>
      <w:pPr>
        <w:adjustRightInd w:val="0"/>
        <w:snapToGrid w:val="0"/>
        <w:ind w:firstLine="520"/>
        <w:rPr>
          <w:color w:val="auto"/>
          <w:szCs w:val="26"/>
          <w:highlight w:val="none"/>
        </w:rPr>
      </w:pPr>
      <w:r>
        <w:rPr>
          <w:rFonts w:hint="eastAsia" w:ascii="宋体" w:hAnsi="宋体" w:cs="宋体"/>
          <w:color w:val="auto"/>
          <w:szCs w:val="26"/>
          <w:highlight w:val="none"/>
        </w:rPr>
        <w:t>①</w:t>
      </w:r>
      <w:r>
        <w:rPr>
          <w:color w:val="auto"/>
          <w:szCs w:val="26"/>
          <w:highlight w:val="none"/>
        </w:rPr>
        <w:tab/>
      </w:r>
      <w:r>
        <w:rPr>
          <w:color w:val="auto"/>
          <w:szCs w:val="26"/>
          <w:highlight w:val="none"/>
        </w:rPr>
        <w:t>环境敏感区筛查</w:t>
      </w:r>
    </w:p>
    <w:p>
      <w:pPr>
        <w:adjustRightInd w:val="0"/>
        <w:snapToGrid w:val="0"/>
        <w:ind w:firstLine="520"/>
        <w:rPr>
          <w:color w:val="auto"/>
          <w:szCs w:val="26"/>
          <w:highlight w:val="none"/>
        </w:rPr>
      </w:pPr>
      <w:r>
        <w:rPr>
          <w:rFonts w:hint="eastAsia"/>
          <w:color w:val="auto"/>
          <w:highlight w:val="none"/>
        </w:rPr>
        <w:t>接受</w:t>
      </w:r>
      <w:r>
        <w:rPr>
          <w:color w:val="auto"/>
          <w:highlight w:val="none"/>
        </w:rPr>
        <w:t>委托后，</w:t>
      </w:r>
      <w:r>
        <w:rPr>
          <w:rFonts w:hint="eastAsia"/>
          <w:color w:val="auto"/>
          <w:highlight w:val="none"/>
        </w:rPr>
        <w:t>我公司通过</w:t>
      </w:r>
      <w:r>
        <w:rPr>
          <w:rFonts w:asciiTheme="minorEastAsia" w:hAnsiTheme="minorEastAsia" w:eastAsiaTheme="minorEastAsia"/>
          <w:color w:val="auto"/>
          <w:highlight w:val="none"/>
        </w:rPr>
        <w:t>重庆市“</w:t>
      </w:r>
      <w:r>
        <w:rPr>
          <w:rFonts w:hint="eastAsia" w:asciiTheme="minorEastAsia" w:hAnsiTheme="minorEastAsia" w:eastAsiaTheme="minorEastAsia"/>
          <w:color w:val="auto"/>
          <w:highlight w:val="none"/>
        </w:rPr>
        <w:t>三线</w:t>
      </w:r>
      <w:r>
        <w:rPr>
          <w:rFonts w:asciiTheme="minorEastAsia" w:hAnsiTheme="minorEastAsia" w:eastAsiaTheme="minorEastAsia"/>
          <w:color w:val="auto"/>
          <w:highlight w:val="none"/>
        </w:rPr>
        <w:t>一单”</w:t>
      </w:r>
      <w:r>
        <w:rPr>
          <w:rFonts w:hint="eastAsia" w:asciiTheme="minorEastAsia" w:hAnsiTheme="minorEastAsia" w:eastAsiaTheme="minorEastAsia"/>
          <w:color w:val="auto"/>
          <w:highlight w:val="none"/>
        </w:rPr>
        <w:t>检索</w:t>
      </w:r>
      <w:r>
        <w:rPr>
          <w:color w:val="auto"/>
          <w:highlight w:val="none"/>
        </w:rPr>
        <w:t>平台及对</w:t>
      </w:r>
      <w:r>
        <w:rPr>
          <w:rFonts w:hint="eastAsia"/>
          <w:color w:val="auto"/>
          <w:highlight w:val="none"/>
          <w:lang w:eastAsia="zh-CN"/>
        </w:rPr>
        <w:t>重庆市国土空间用途管制红线智检服务平台</w:t>
      </w:r>
      <w:r>
        <w:rPr>
          <w:rFonts w:hint="eastAsia"/>
          <w:color w:val="auto"/>
          <w:highlight w:val="none"/>
        </w:rPr>
        <w:t>区域生态</w:t>
      </w:r>
      <w:r>
        <w:rPr>
          <w:color w:val="auto"/>
          <w:highlight w:val="none"/>
        </w:rPr>
        <w:t>功能分区进行</w:t>
      </w:r>
      <w:r>
        <w:rPr>
          <w:rFonts w:hint="eastAsia"/>
          <w:color w:val="auto"/>
          <w:highlight w:val="none"/>
        </w:rPr>
        <w:t>初步</w:t>
      </w:r>
      <w:r>
        <w:rPr>
          <w:color w:val="auto"/>
          <w:highlight w:val="none"/>
        </w:rPr>
        <w:t>比对，同时多次对区域</w:t>
      </w:r>
      <w:r>
        <w:rPr>
          <w:rFonts w:hint="eastAsia"/>
          <w:color w:val="auto"/>
          <w:highlight w:val="none"/>
        </w:rPr>
        <w:t>生态环境</w:t>
      </w:r>
      <w:r>
        <w:rPr>
          <w:color w:val="auto"/>
          <w:highlight w:val="none"/>
        </w:rPr>
        <w:t>敏感区进行了详查，查明区域</w:t>
      </w:r>
      <w:r>
        <w:rPr>
          <w:rFonts w:hint="eastAsia"/>
          <w:color w:val="auto"/>
          <w:highlight w:val="none"/>
          <w:lang w:eastAsia="zh-CN"/>
        </w:rPr>
        <w:t>生态保护红线、</w:t>
      </w:r>
      <w:r>
        <w:rPr>
          <w:rFonts w:hint="eastAsia"/>
          <w:color w:val="auto"/>
          <w:highlight w:val="none"/>
        </w:rPr>
        <w:t>永久</w:t>
      </w:r>
      <w:r>
        <w:rPr>
          <w:color w:val="auto"/>
          <w:highlight w:val="none"/>
        </w:rPr>
        <w:t>基本农田、</w:t>
      </w:r>
      <w:r>
        <w:rPr>
          <w:rFonts w:hint="eastAsia"/>
          <w:color w:val="auto"/>
          <w:highlight w:val="none"/>
          <w:lang w:eastAsia="zh-CN"/>
        </w:rPr>
        <w:t>自然保护地、</w:t>
      </w:r>
      <w:r>
        <w:rPr>
          <w:color w:val="auto"/>
          <w:highlight w:val="none"/>
        </w:rPr>
        <w:t>饮用水源保护区等各类环境敏感区</w:t>
      </w:r>
      <w:r>
        <w:rPr>
          <w:rFonts w:hint="eastAsia"/>
          <w:color w:val="auto"/>
          <w:highlight w:val="none"/>
        </w:rPr>
        <w:t>分布</w:t>
      </w:r>
      <w:r>
        <w:rPr>
          <w:color w:val="auto"/>
          <w:highlight w:val="none"/>
        </w:rPr>
        <w:t>情况。</w:t>
      </w:r>
    </w:p>
    <w:p>
      <w:pPr>
        <w:adjustRightInd w:val="0"/>
        <w:snapToGrid w:val="0"/>
        <w:ind w:firstLine="520"/>
        <w:rPr>
          <w:color w:val="auto"/>
          <w:szCs w:val="26"/>
          <w:highlight w:val="none"/>
        </w:rPr>
      </w:pPr>
      <w:r>
        <w:rPr>
          <w:rFonts w:hint="eastAsia"/>
          <w:color w:val="auto"/>
          <w:szCs w:val="26"/>
          <w:highlight w:val="none"/>
        </w:rPr>
        <w:t>②</w:t>
      </w:r>
      <w:r>
        <w:rPr>
          <w:color w:val="auto"/>
          <w:szCs w:val="26"/>
          <w:highlight w:val="none"/>
        </w:rPr>
        <w:t>环境现状调查</w:t>
      </w:r>
    </w:p>
    <w:p>
      <w:pPr>
        <w:adjustRightInd w:val="0"/>
        <w:snapToGrid w:val="0"/>
        <w:ind w:firstLine="520"/>
        <w:rPr>
          <w:color w:val="auto"/>
          <w:szCs w:val="26"/>
          <w:highlight w:val="none"/>
        </w:rPr>
      </w:pPr>
      <w:r>
        <w:rPr>
          <w:color w:val="auto"/>
          <w:szCs w:val="26"/>
          <w:highlight w:val="none"/>
        </w:rPr>
        <w:t>结合</w:t>
      </w:r>
      <w:r>
        <w:rPr>
          <w:rFonts w:hint="eastAsia"/>
          <w:color w:val="auto"/>
          <w:szCs w:val="26"/>
          <w:highlight w:val="none"/>
          <w:lang w:eastAsia="zh-CN"/>
        </w:rPr>
        <w:t>项目所在涪江江段的例行监测情况，</w:t>
      </w:r>
      <w:r>
        <w:rPr>
          <w:color w:val="auto"/>
          <w:szCs w:val="26"/>
          <w:highlight w:val="none"/>
        </w:rPr>
        <w:t>本</w:t>
      </w:r>
      <w:r>
        <w:rPr>
          <w:rFonts w:hint="eastAsia"/>
          <w:color w:val="auto"/>
          <w:szCs w:val="26"/>
          <w:highlight w:val="none"/>
        </w:rPr>
        <w:t>次</w:t>
      </w:r>
      <w:r>
        <w:rPr>
          <w:color w:val="auto"/>
          <w:szCs w:val="26"/>
          <w:highlight w:val="none"/>
        </w:rPr>
        <w:t>评价于202</w:t>
      </w:r>
      <w:r>
        <w:rPr>
          <w:rFonts w:hint="eastAsia"/>
          <w:color w:val="auto"/>
          <w:szCs w:val="26"/>
          <w:highlight w:val="none"/>
          <w:lang w:val="en-US" w:eastAsia="zh-CN"/>
        </w:rPr>
        <w:t>5</w:t>
      </w:r>
      <w:r>
        <w:rPr>
          <w:color w:val="auto"/>
          <w:szCs w:val="26"/>
          <w:highlight w:val="none"/>
        </w:rPr>
        <w:t>年</w:t>
      </w:r>
      <w:r>
        <w:rPr>
          <w:rFonts w:hint="eastAsia"/>
          <w:color w:val="auto"/>
          <w:szCs w:val="26"/>
          <w:highlight w:val="none"/>
          <w:lang w:val="en-US" w:eastAsia="zh-CN"/>
        </w:rPr>
        <w:t>7</w:t>
      </w:r>
      <w:r>
        <w:rPr>
          <w:color w:val="auto"/>
          <w:szCs w:val="26"/>
          <w:highlight w:val="none"/>
        </w:rPr>
        <w:t>月</w:t>
      </w:r>
      <w:r>
        <w:rPr>
          <w:rFonts w:hint="eastAsia"/>
          <w:color w:val="auto"/>
          <w:szCs w:val="26"/>
          <w:highlight w:val="none"/>
          <w:lang w:eastAsia="zh-CN"/>
        </w:rPr>
        <w:t>、</w:t>
      </w:r>
      <w:r>
        <w:rPr>
          <w:rFonts w:hint="eastAsia"/>
          <w:color w:val="auto"/>
          <w:szCs w:val="26"/>
          <w:highlight w:val="none"/>
          <w:lang w:val="en-US" w:eastAsia="zh-CN"/>
        </w:rPr>
        <w:t>8</w:t>
      </w:r>
      <w:r>
        <w:rPr>
          <w:rFonts w:hint="eastAsia"/>
          <w:color w:val="auto"/>
          <w:szCs w:val="26"/>
          <w:highlight w:val="none"/>
        </w:rPr>
        <w:t>月</w:t>
      </w:r>
      <w:r>
        <w:rPr>
          <w:color w:val="auto"/>
          <w:szCs w:val="26"/>
          <w:highlight w:val="none"/>
        </w:rPr>
        <w:t>对项目区域声环境、地表水、生态环境等开展了现状监测</w:t>
      </w:r>
      <w:r>
        <w:rPr>
          <w:rFonts w:hint="eastAsia"/>
          <w:color w:val="auto"/>
          <w:szCs w:val="26"/>
          <w:highlight w:val="none"/>
        </w:rPr>
        <w:t>及</w:t>
      </w:r>
      <w:r>
        <w:rPr>
          <w:color w:val="auto"/>
          <w:szCs w:val="26"/>
          <w:highlight w:val="none"/>
        </w:rPr>
        <w:t>现场调查工作</w:t>
      </w:r>
      <w:r>
        <w:rPr>
          <w:rFonts w:hint="eastAsia" w:eastAsiaTheme="minorEastAsia"/>
          <w:color w:val="auto"/>
          <w:szCs w:val="26"/>
          <w:highlight w:val="none"/>
        </w:rPr>
        <w:t>。</w:t>
      </w:r>
    </w:p>
    <w:p>
      <w:pPr>
        <w:adjustRightInd w:val="0"/>
        <w:snapToGrid w:val="0"/>
        <w:ind w:firstLine="520"/>
        <w:rPr>
          <w:color w:val="auto"/>
          <w:szCs w:val="26"/>
          <w:highlight w:val="none"/>
        </w:rPr>
      </w:pPr>
      <w:r>
        <w:rPr>
          <w:rFonts w:hint="eastAsia" w:ascii="宋体" w:hAnsi="宋体" w:cs="宋体"/>
          <w:color w:val="auto"/>
          <w:szCs w:val="26"/>
          <w:highlight w:val="none"/>
        </w:rPr>
        <w:t>③</w:t>
      </w:r>
      <w:r>
        <w:rPr>
          <w:color w:val="auto"/>
          <w:szCs w:val="26"/>
          <w:highlight w:val="none"/>
        </w:rPr>
        <w:t>环境影响</w:t>
      </w:r>
      <w:r>
        <w:rPr>
          <w:rFonts w:hint="eastAsia"/>
          <w:color w:val="auto"/>
          <w:szCs w:val="26"/>
          <w:highlight w:val="none"/>
        </w:rPr>
        <w:t>预测</w:t>
      </w:r>
      <w:r>
        <w:rPr>
          <w:color w:val="auto"/>
          <w:szCs w:val="26"/>
          <w:highlight w:val="none"/>
        </w:rPr>
        <w:t>评价</w:t>
      </w:r>
    </w:p>
    <w:p>
      <w:pPr>
        <w:adjustRightInd w:val="0"/>
        <w:snapToGrid w:val="0"/>
        <w:ind w:firstLine="520"/>
        <w:rPr>
          <w:color w:val="auto"/>
          <w:szCs w:val="26"/>
          <w:highlight w:val="none"/>
        </w:rPr>
      </w:pPr>
      <w:r>
        <w:rPr>
          <w:color w:val="auto"/>
          <w:szCs w:val="26"/>
          <w:highlight w:val="none"/>
        </w:rPr>
        <w:t>根据调查、收集到的有关文件、资料，在环境现状调查结果的基础上，采用模型模拟、类比分析等手段，对建设项目环境影响和环境风险进行了分析、预测及评价，</w:t>
      </w:r>
      <w:r>
        <w:rPr>
          <w:color w:val="auto"/>
          <w:highlight w:val="none"/>
        </w:rPr>
        <w:t>提出</w:t>
      </w:r>
      <w:r>
        <w:rPr>
          <w:rFonts w:hint="eastAsia"/>
          <w:color w:val="auto"/>
          <w:highlight w:val="none"/>
        </w:rPr>
        <w:t>合理</w:t>
      </w:r>
      <w:r>
        <w:rPr>
          <w:color w:val="auto"/>
          <w:highlight w:val="none"/>
        </w:rPr>
        <w:t>可行的环境保护措施</w:t>
      </w:r>
      <w:r>
        <w:rPr>
          <w:rFonts w:hint="eastAsia"/>
          <w:color w:val="auto"/>
          <w:highlight w:val="none"/>
        </w:rPr>
        <w:t>与</w:t>
      </w:r>
      <w:r>
        <w:rPr>
          <w:color w:val="auto"/>
          <w:highlight w:val="none"/>
        </w:rPr>
        <w:t>对策。</w:t>
      </w:r>
    </w:p>
    <w:p>
      <w:pPr>
        <w:rPr>
          <w:color w:val="auto"/>
          <w:highlight w:val="none"/>
        </w:rPr>
      </w:pPr>
      <w:r>
        <w:rPr>
          <w:rFonts w:hint="eastAsia"/>
          <w:color w:val="auto"/>
          <w:highlight w:val="none"/>
          <w:lang w:eastAsia="zh-CN"/>
        </w:rPr>
        <w:t>在环境影响评价工作阶段，针对项目涉及生态保护红线、重庆合川三江国家湿地公园等情况，建设单位分别委托了重庆永能勘测规划设计有限公司及我公司分别开展生态保护红线不可避让论证工作及湿地公园专题影响评价工作；针对项目水生生物影响，委托重庆师范大学生命科学学院编制了工程水生生物影响专题论证报告，于</w:t>
      </w:r>
      <w:r>
        <w:rPr>
          <w:rFonts w:hint="eastAsia"/>
          <w:color w:val="auto"/>
          <w:highlight w:val="none"/>
          <w:lang w:val="en-US" w:eastAsia="zh-CN"/>
        </w:rPr>
        <w:t>2025年10月24日通过了专家组验收</w:t>
      </w:r>
      <w:r>
        <w:rPr>
          <w:rFonts w:hint="eastAsia"/>
          <w:color w:val="auto"/>
          <w:highlight w:val="none"/>
          <w:lang w:eastAsia="zh-CN"/>
        </w:rPr>
        <w:t>；同时，针对鱼道工程设计，建设单位委托重庆交通大学开展了鱼道模型试验研究，于</w:t>
      </w:r>
      <w:r>
        <w:rPr>
          <w:rFonts w:hint="eastAsia"/>
          <w:color w:val="auto"/>
          <w:highlight w:val="none"/>
          <w:lang w:val="en-US" w:eastAsia="zh-CN"/>
        </w:rPr>
        <w:t>2025年9月26日通过专家组验收</w:t>
      </w:r>
      <w:r>
        <w:rPr>
          <w:snapToGrid w:val="0"/>
          <w:color w:val="auto"/>
          <w:highlight w:val="none"/>
        </w:rPr>
        <w:t>。</w:t>
      </w:r>
    </w:p>
    <w:p>
      <w:pPr>
        <w:adjustRightInd w:val="0"/>
        <w:snapToGrid w:val="0"/>
        <w:ind w:firstLine="520"/>
        <w:rPr>
          <w:color w:val="auto"/>
          <w:szCs w:val="26"/>
          <w:highlight w:val="none"/>
        </w:rPr>
      </w:pPr>
      <w:r>
        <w:rPr>
          <w:color w:val="auto"/>
          <w:szCs w:val="26"/>
          <w:highlight w:val="none"/>
        </w:rPr>
        <w:t>（3）环境影响报告书编制</w:t>
      </w:r>
      <w:r>
        <w:rPr>
          <w:rFonts w:hint="eastAsia"/>
          <w:color w:val="auto"/>
          <w:szCs w:val="26"/>
          <w:highlight w:val="none"/>
        </w:rPr>
        <w:t>阶段</w:t>
      </w:r>
    </w:p>
    <w:p>
      <w:pPr>
        <w:adjustRightInd w:val="0"/>
        <w:snapToGrid w:val="0"/>
        <w:ind w:firstLine="520"/>
        <w:rPr>
          <w:color w:val="auto"/>
          <w:szCs w:val="26"/>
          <w:highlight w:val="none"/>
        </w:rPr>
      </w:pPr>
      <w:r>
        <w:rPr>
          <w:rFonts w:hint="eastAsia"/>
          <w:color w:val="auto"/>
          <w:szCs w:val="26"/>
          <w:highlight w:val="none"/>
          <w:lang w:eastAsia="zh-CN"/>
        </w:rPr>
        <w:t>在</w:t>
      </w:r>
      <w:r>
        <w:rPr>
          <w:color w:val="auto"/>
          <w:szCs w:val="26"/>
          <w:highlight w:val="none"/>
        </w:rPr>
        <w:t>整理各环境要素的分析、预测成果，评价工程建设对各环境要素的影响，</w:t>
      </w:r>
      <w:r>
        <w:rPr>
          <w:rFonts w:hint="eastAsia"/>
          <w:color w:val="auto"/>
          <w:szCs w:val="26"/>
          <w:highlight w:val="none"/>
          <w:lang w:eastAsia="zh-CN"/>
        </w:rPr>
        <w:t>并结合各类专项成果的基础上，</w:t>
      </w:r>
      <w:r>
        <w:rPr>
          <w:color w:val="auto"/>
          <w:szCs w:val="26"/>
          <w:highlight w:val="none"/>
        </w:rPr>
        <w:t>编制</w:t>
      </w:r>
      <w:r>
        <w:rPr>
          <w:rFonts w:hint="eastAsia"/>
          <w:color w:val="auto"/>
          <w:szCs w:val="26"/>
          <w:highlight w:val="none"/>
          <w:lang w:eastAsia="zh-CN"/>
        </w:rPr>
        <w:t>完成了《涪江干流渭沱电厂船闸扩能升级改造工程环境影响报告书》</w:t>
      </w:r>
      <w:r>
        <w:rPr>
          <w:color w:val="auto"/>
          <w:szCs w:val="26"/>
          <w:highlight w:val="none"/>
        </w:rPr>
        <w:t>。</w:t>
      </w:r>
    </w:p>
    <w:p>
      <w:pPr>
        <w:pStyle w:val="4"/>
        <w:keepNext w:val="0"/>
        <w:keepLines w:val="0"/>
        <w:numPr>
          <w:ilvl w:val="0"/>
          <w:numId w:val="0"/>
        </w:numPr>
        <w:adjustRightInd w:val="0"/>
        <w:snapToGrid w:val="0"/>
        <w:ind w:firstLine="522" w:firstLineChars="200"/>
        <w:rPr>
          <w:color w:val="auto"/>
          <w:highlight w:val="none"/>
        </w:rPr>
      </w:pPr>
      <w:bookmarkStart w:id="33" w:name="_Toc26053"/>
      <w:r>
        <w:rPr>
          <w:rFonts w:hint="eastAsia"/>
          <w:color w:val="auto"/>
          <w:highlight w:val="none"/>
        </w:rPr>
        <w:t>四</w:t>
      </w:r>
      <w:r>
        <w:rPr>
          <w:color w:val="auto"/>
          <w:highlight w:val="none"/>
        </w:rPr>
        <w:t>、分析判断相关情况</w:t>
      </w:r>
      <w:bookmarkEnd w:id="33"/>
    </w:p>
    <w:p>
      <w:pPr>
        <w:adjustRightInd w:val="0"/>
        <w:snapToGrid w:val="0"/>
        <w:ind w:firstLine="520"/>
        <w:rPr>
          <w:color w:val="auto"/>
          <w:szCs w:val="26"/>
          <w:highlight w:val="none"/>
        </w:rPr>
      </w:pPr>
      <w:r>
        <w:rPr>
          <w:color w:val="auto"/>
          <w:szCs w:val="26"/>
          <w:highlight w:val="none"/>
        </w:rPr>
        <w:t>（1）产业政策符合性判定</w:t>
      </w:r>
    </w:p>
    <w:p>
      <w:pPr>
        <w:adjustRightInd w:val="0"/>
        <w:snapToGrid w:val="0"/>
        <w:ind w:firstLine="520"/>
        <w:rPr>
          <w:color w:val="auto"/>
          <w:szCs w:val="26"/>
          <w:highlight w:val="none"/>
        </w:rPr>
      </w:pPr>
      <w:r>
        <w:rPr>
          <w:color w:val="auto"/>
          <w:highlight w:val="none"/>
        </w:rPr>
        <w:t>本项目属于《产业结构调整指导目录（20</w:t>
      </w:r>
      <w:r>
        <w:rPr>
          <w:rFonts w:hint="eastAsia"/>
          <w:color w:val="auto"/>
          <w:highlight w:val="none"/>
        </w:rPr>
        <w:t>24</w:t>
      </w:r>
      <w:r>
        <w:rPr>
          <w:color w:val="auto"/>
          <w:highlight w:val="none"/>
        </w:rPr>
        <w:t>年本）》中</w:t>
      </w:r>
      <w:r>
        <w:rPr>
          <w:rFonts w:hint="eastAsia"/>
          <w:color w:val="auto"/>
          <w:highlight w:val="none"/>
          <w:lang w:eastAsia="zh-CN"/>
        </w:rPr>
        <w:t>“</w:t>
      </w:r>
      <w:r>
        <w:rPr>
          <w:color w:val="auto"/>
          <w:highlight w:val="none"/>
        </w:rPr>
        <w:t>第一类 鼓励类</w:t>
      </w:r>
      <w:r>
        <w:rPr>
          <w:rFonts w:hint="eastAsia"/>
          <w:color w:val="auto"/>
          <w:highlight w:val="none"/>
          <w:lang w:eastAsia="zh-CN"/>
        </w:rPr>
        <w:t>”——</w:t>
      </w:r>
      <w:r>
        <w:rPr>
          <w:rFonts w:ascii="宋体" w:hAnsi="宋体"/>
          <w:color w:val="auto"/>
          <w:highlight w:val="none"/>
        </w:rPr>
        <w:t>“</w:t>
      </w:r>
      <w:r>
        <w:rPr>
          <w:rFonts w:hint="eastAsia" w:ascii="宋体" w:hAnsi="宋体"/>
          <w:color w:val="auto"/>
          <w:highlight w:val="none"/>
        </w:rPr>
        <w:t>二十五、水运</w:t>
      </w:r>
      <w:r>
        <w:rPr>
          <w:rFonts w:ascii="宋体" w:hAnsi="宋体"/>
          <w:color w:val="auto"/>
          <w:highlight w:val="none"/>
        </w:rPr>
        <w:t>”中“</w:t>
      </w:r>
      <w:r>
        <w:rPr>
          <w:rFonts w:hint="eastAsia"/>
          <w:color w:val="auto"/>
          <w:highlight w:val="none"/>
        </w:rPr>
        <w:t>1．高等级航道建设：通航建筑物</w:t>
      </w:r>
      <w:r>
        <w:rPr>
          <w:rFonts w:ascii="宋体" w:hAnsi="宋体"/>
          <w:color w:val="auto"/>
          <w:highlight w:val="none"/>
        </w:rPr>
        <w:t>”，</w:t>
      </w:r>
      <w:r>
        <w:rPr>
          <w:color w:val="auto"/>
          <w:highlight w:val="none"/>
        </w:rPr>
        <w:t>符合《重庆市产业投资准入工作手册》等国家及地方产业政策。</w:t>
      </w:r>
    </w:p>
    <w:p>
      <w:pPr>
        <w:adjustRightInd w:val="0"/>
        <w:snapToGrid w:val="0"/>
        <w:ind w:firstLine="520"/>
        <w:rPr>
          <w:color w:val="auto"/>
          <w:szCs w:val="26"/>
          <w:highlight w:val="none"/>
        </w:rPr>
      </w:pPr>
      <w:r>
        <w:rPr>
          <w:color w:val="auto"/>
          <w:szCs w:val="26"/>
          <w:highlight w:val="none"/>
        </w:rPr>
        <w:t>（2）规划、政策符合性判定</w:t>
      </w:r>
    </w:p>
    <w:p>
      <w:pPr>
        <w:adjustRightInd w:val="0"/>
        <w:snapToGrid w:val="0"/>
        <w:ind w:firstLine="520"/>
        <w:rPr>
          <w:color w:val="auto"/>
          <w:szCs w:val="26"/>
          <w:highlight w:val="none"/>
        </w:rPr>
      </w:pPr>
      <w:r>
        <w:rPr>
          <w:rFonts w:hint="eastAsia"/>
          <w:color w:val="auto"/>
          <w:szCs w:val="26"/>
          <w:highlight w:val="none"/>
          <w:lang w:eastAsia="zh-CN"/>
        </w:rPr>
        <w:t>本项目为</w:t>
      </w:r>
      <w:r>
        <w:rPr>
          <w:rFonts w:hint="eastAsia"/>
          <w:color w:val="auto"/>
          <w:szCs w:val="26"/>
          <w:highlight w:val="none"/>
          <w:shd w:val="clear" w:color="auto" w:fill="FFFFFF"/>
        </w:rPr>
        <w:t>《水运“十四五”发展规划》</w:t>
      </w:r>
      <w:r>
        <w:rPr>
          <w:rFonts w:hint="eastAsia"/>
          <w:color w:val="auto"/>
          <w:szCs w:val="26"/>
          <w:highlight w:val="none"/>
          <w:lang w:eastAsia="zh-CN"/>
        </w:rPr>
        <w:t>《共建长江上游航运中心实施方案》《重庆市综合交通运输“十四五”规划（2021—2025 年）》《重庆市航道规划（2035 年）》中规划的重点项目，项目建设符合有关规划要求。由于项目选址相对确定，项目不可避免占用了生态保护红线、重庆合川三江国家湿地公园、永久基本农田等</w:t>
      </w:r>
      <w:r>
        <w:rPr>
          <w:rFonts w:hint="eastAsia"/>
          <w:color w:val="auto"/>
          <w:szCs w:val="26"/>
          <w:highlight w:val="none"/>
        </w:rPr>
        <w:t>生态</w:t>
      </w:r>
      <w:r>
        <w:rPr>
          <w:color w:val="auto"/>
          <w:szCs w:val="26"/>
          <w:highlight w:val="none"/>
        </w:rPr>
        <w:t>环境敏感区</w:t>
      </w:r>
      <w:r>
        <w:rPr>
          <w:rFonts w:hint="eastAsia"/>
          <w:color w:val="auto"/>
          <w:szCs w:val="26"/>
          <w:highlight w:val="none"/>
        </w:rPr>
        <w:t>，</w:t>
      </w:r>
      <w:r>
        <w:rPr>
          <w:rFonts w:hint="eastAsia"/>
          <w:color w:val="auto"/>
          <w:szCs w:val="26"/>
          <w:highlight w:val="none"/>
          <w:lang w:eastAsia="zh-CN"/>
        </w:rPr>
        <w:t>正在开展生态红线不可避让论证工作和湿地公园专题影响评价工作，符合生态保护红线、国家湿地公园有关规定</w:t>
      </w:r>
      <w:r>
        <w:rPr>
          <w:rFonts w:hint="eastAsia"/>
          <w:color w:val="auto"/>
          <w:szCs w:val="26"/>
          <w:highlight w:val="none"/>
        </w:rPr>
        <w:t>，按照</w:t>
      </w:r>
      <w:r>
        <w:rPr>
          <w:rFonts w:hint="eastAsia"/>
          <w:color w:val="auto"/>
          <w:szCs w:val="26"/>
          <w:highlight w:val="none"/>
          <w:lang w:eastAsia="zh-CN"/>
        </w:rPr>
        <w:t>永久基本农田</w:t>
      </w:r>
      <w:r>
        <w:rPr>
          <w:rFonts w:hint="eastAsia"/>
          <w:bCs/>
          <w:color w:val="auto"/>
          <w:highlight w:val="none"/>
        </w:rPr>
        <w:t>相关要求办理用地手续后，</w:t>
      </w:r>
      <w:r>
        <w:rPr>
          <w:bCs/>
          <w:color w:val="auto"/>
          <w:highlight w:val="none"/>
        </w:rPr>
        <w:t>与</w:t>
      </w:r>
      <w:r>
        <w:rPr>
          <w:rFonts w:hint="eastAsia"/>
          <w:bCs/>
          <w:color w:val="auto"/>
          <w:highlight w:val="none"/>
        </w:rPr>
        <w:t>永久</w:t>
      </w:r>
      <w:r>
        <w:rPr>
          <w:bCs/>
          <w:color w:val="auto"/>
          <w:highlight w:val="none"/>
        </w:rPr>
        <w:t>基本</w:t>
      </w:r>
      <w:r>
        <w:rPr>
          <w:rFonts w:hint="eastAsia"/>
          <w:bCs/>
          <w:color w:val="auto"/>
          <w:highlight w:val="none"/>
        </w:rPr>
        <w:t>农田</w:t>
      </w:r>
      <w:r>
        <w:rPr>
          <w:bCs/>
          <w:color w:val="auto"/>
          <w:highlight w:val="none"/>
        </w:rPr>
        <w:t>保护要求不冲突</w:t>
      </w:r>
      <w:r>
        <w:rPr>
          <w:color w:val="auto"/>
          <w:szCs w:val="26"/>
          <w:highlight w:val="none"/>
        </w:rPr>
        <w:t>。</w:t>
      </w:r>
    </w:p>
    <w:p>
      <w:pPr>
        <w:adjustRightInd w:val="0"/>
        <w:snapToGrid w:val="0"/>
        <w:ind w:firstLine="520"/>
        <w:rPr>
          <w:bCs/>
          <w:color w:val="auto"/>
          <w:szCs w:val="26"/>
          <w:highlight w:val="none"/>
        </w:rPr>
      </w:pPr>
      <w:r>
        <w:rPr>
          <w:rFonts w:hint="eastAsia"/>
          <w:bCs/>
          <w:color w:val="auto"/>
          <w:szCs w:val="26"/>
          <w:highlight w:val="none"/>
        </w:rPr>
        <w:t>（3）</w:t>
      </w:r>
      <w:r>
        <w:rPr>
          <w:rFonts w:hint="eastAsia"/>
          <w:bCs/>
          <w:color w:val="auto"/>
          <w:szCs w:val="26"/>
          <w:highlight w:val="none"/>
          <w:shd w:val="clear" w:fill="FFFFFF"/>
          <w:lang w:eastAsia="zh-CN"/>
        </w:rPr>
        <w:t>“三线一单”</w:t>
      </w:r>
      <w:r>
        <w:rPr>
          <w:bCs/>
          <w:color w:val="auto"/>
          <w:szCs w:val="26"/>
          <w:highlight w:val="none"/>
        </w:rPr>
        <w:t>符合性分析</w:t>
      </w:r>
    </w:p>
    <w:p>
      <w:pPr>
        <w:adjustRightInd w:val="0"/>
        <w:snapToGrid w:val="0"/>
        <w:ind w:firstLine="520"/>
        <w:rPr>
          <w:color w:val="auto"/>
          <w:szCs w:val="26"/>
          <w:highlight w:val="none"/>
        </w:rPr>
      </w:pPr>
      <w:r>
        <w:rPr>
          <w:rFonts w:hint="eastAsia"/>
          <w:color w:val="auto"/>
          <w:szCs w:val="26"/>
          <w:highlight w:val="none"/>
        </w:rPr>
        <w:t>本项目涉及</w:t>
      </w:r>
      <w:r>
        <w:rPr>
          <w:rFonts w:hint="eastAsia"/>
          <w:color w:val="auto"/>
          <w:szCs w:val="26"/>
          <w:highlight w:val="none"/>
          <w:lang w:eastAsia="zh-CN"/>
        </w:rPr>
        <w:t>优先保护单元</w:t>
      </w:r>
      <w:r>
        <w:rPr>
          <w:rFonts w:hint="eastAsia"/>
          <w:color w:val="auto"/>
          <w:szCs w:val="26"/>
          <w:highlight w:val="none"/>
          <w:lang w:val="en-US" w:eastAsia="zh-CN"/>
        </w:rPr>
        <w:t>2个（</w:t>
      </w:r>
      <w:r>
        <w:rPr>
          <w:rFonts w:hint="eastAsia"/>
          <w:color w:val="auto"/>
          <w:szCs w:val="26"/>
          <w:highlight w:val="none"/>
        </w:rPr>
        <w:t>重庆合川三江国家湿地公园</w:t>
      </w:r>
      <w:r>
        <w:rPr>
          <w:rFonts w:hint="eastAsia"/>
          <w:color w:val="auto"/>
          <w:szCs w:val="26"/>
          <w:highlight w:val="none"/>
          <w:lang w:eastAsia="zh-CN"/>
        </w:rPr>
        <w:t>、</w:t>
      </w:r>
      <w:r>
        <w:rPr>
          <w:rFonts w:hint="eastAsia"/>
          <w:color w:val="auto"/>
          <w:szCs w:val="26"/>
          <w:highlight w:val="none"/>
        </w:rPr>
        <w:t>合川区生态保护红线</w:t>
      </w:r>
      <w:r>
        <w:rPr>
          <w:rFonts w:hint="eastAsia"/>
          <w:color w:val="auto"/>
          <w:szCs w:val="26"/>
          <w:highlight w:val="none"/>
          <w:lang w:val="en-US" w:eastAsia="zh-CN"/>
        </w:rPr>
        <w:t>）</w:t>
      </w:r>
      <w:r>
        <w:rPr>
          <w:rFonts w:hint="eastAsia"/>
          <w:color w:val="auto"/>
          <w:szCs w:val="26"/>
          <w:highlight w:val="none"/>
        </w:rPr>
        <w:t>、</w:t>
      </w:r>
      <w:r>
        <w:rPr>
          <w:rFonts w:hint="eastAsia"/>
          <w:color w:val="auto"/>
          <w:szCs w:val="26"/>
          <w:highlight w:val="none"/>
          <w:lang w:eastAsia="zh-CN"/>
        </w:rPr>
        <w:t>重点管控单元</w:t>
      </w:r>
      <w:r>
        <w:rPr>
          <w:rFonts w:hint="eastAsia"/>
          <w:color w:val="auto"/>
          <w:szCs w:val="26"/>
          <w:highlight w:val="none"/>
          <w:lang w:val="en-US" w:eastAsia="zh-CN"/>
        </w:rPr>
        <w:t>1个（</w:t>
      </w:r>
      <w:r>
        <w:rPr>
          <w:rFonts w:hint="eastAsia"/>
          <w:color w:val="auto"/>
          <w:szCs w:val="26"/>
          <w:highlight w:val="none"/>
        </w:rPr>
        <w:t>合川区工业城镇重点管控单元-其他镇域片区</w:t>
      </w:r>
      <w:r>
        <w:rPr>
          <w:rFonts w:hint="eastAsia"/>
          <w:color w:val="auto"/>
          <w:szCs w:val="26"/>
          <w:highlight w:val="none"/>
          <w:lang w:val="en-US" w:eastAsia="zh-CN"/>
        </w:rPr>
        <w:t>）</w:t>
      </w:r>
      <w:r>
        <w:rPr>
          <w:rFonts w:hint="eastAsia"/>
          <w:color w:val="auto"/>
          <w:szCs w:val="26"/>
          <w:highlight w:val="none"/>
        </w:rPr>
        <w:t>、</w:t>
      </w:r>
      <w:r>
        <w:rPr>
          <w:rFonts w:hint="eastAsia"/>
          <w:color w:val="auto"/>
          <w:szCs w:val="26"/>
          <w:highlight w:val="none"/>
          <w:lang w:eastAsia="zh-CN"/>
        </w:rPr>
        <w:t>一般管控单元</w:t>
      </w:r>
      <w:r>
        <w:rPr>
          <w:rFonts w:hint="eastAsia"/>
          <w:color w:val="auto"/>
          <w:szCs w:val="26"/>
          <w:highlight w:val="none"/>
          <w:lang w:val="en-US" w:eastAsia="zh-CN"/>
        </w:rPr>
        <w:t>1个（</w:t>
      </w:r>
      <w:r>
        <w:rPr>
          <w:rFonts w:hint="eastAsia"/>
          <w:color w:val="auto"/>
          <w:szCs w:val="26"/>
          <w:highlight w:val="none"/>
        </w:rPr>
        <w:t>合川区一般管控单元-涪江合川上游段</w:t>
      </w:r>
      <w:r>
        <w:rPr>
          <w:rFonts w:hint="eastAsia"/>
          <w:color w:val="auto"/>
          <w:szCs w:val="26"/>
          <w:highlight w:val="none"/>
          <w:lang w:val="en-US" w:eastAsia="zh-CN"/>
        </w:rPr>
        <w:t>），</w:t>
      </w:r>
      <w:r>
        <w:rPr>
          <w:rFonts w:hint="eastAsia"/>
          <w:color w:val="auto"/>
          <w:szCs w:val="26"/>
          <w:highlight w:val="none"/>
          <w:lang w:eastAsia="zh-CN"/>
        </w:rPr>
        <w:t>根据分析</w:t>
      </w:r>
      <w:r>
        <w:rPr>
          <w:color w:val="auto"/>
          <w:szCs w:val="26"/>
          <w:highlight w:val="none"/>
        </w:rPr>
        <w:t>，</w:t>
      </w:r>
      <w:r>
        <w:rPr>
          <w:rFonts w:hint="eastAsia"/>
          <w:color w:val="auto"/>
          <w:szCs w:val="26"/>
          <w:highlight w:val="none"/>
          <w:lang w:eastAsia="zh-CN"/>
        </w:rPr>
        <w:t>项目为</w:t>
      </w:r>
      <w:r>
        <w:rPr>
          <w:rFonts w:hint="eastAsia"/>
          <w:color w:val="auto"/>
          <w:highlight w:val="none"/>
        </w:rPr>
        <w:t>通航建筑物</w:t>
      </w:r>
      <w:r>
        <w:rPr>
          <w:rFonts w:hint="eastAsia"/>
          <w:color w:val="auto"/>
          <w:highlight w:val="none"/>
          <w:lang w:eastAsia="zh-CN"/>
        </w:rPr>
        <w:t>，</w:t>
      </w:r>
      <w:r>
        <w:rPr>
          <w:bCs/>
          <w:color w:val="auto"/>
          <w:szCs w:val="26"/>
          <w:highlight w:val="none"/>
        </w:rPr>
        <w:t>不属于生态环境准入清单管控要求中禁止建设项目，</w:t>
      </w:r>
      <w:r>
        <w:rPr>
          <w:rFonts w:hint="eastAsia"/>
          <w:bCs/>
          <w:color w:val="auto"/>
          <w:szCs w:val="26"/>
          <w:highlight w:val="none"/>
          <w:lang w:eastAsia="zh-CN"/>
        </w:rPr>
        <w:t>与</w:t>
      </w:r>
      <w:r>
        <w:rPr>
          <w:rFonts w:asciiTheme="minorEastAsia" w:hAnsiTheme="minorEastAsia" w:eastAsiaTheme="minorEastAsia"/>
          <w:bCs/>
          <w:color w:val="auto"/>
          <w:szCs w:val="26"/>
          <w:highlight w:val="none"/>
        </w:rPr>
        <w:t>“</w:t>
      </w:r>
      <w:r>
        <w:rPr>
          <w:rFonts w:hint="eastAsia" w:asciiTheme="minorEastAsia" w:hAnsiTheme="minorEastAsia" w:eastAsiaTheme="minorEastAsia"/>
          <w:bCs/>
          <w:color w:val="auto"/>
          <w:szCs w:val="26"/>
          <w:highlight w:val="none"/>
        </w:rPr>
        <w:t>三线一单</w:t>
      </w:r>
      <w:r>
        <w:rPr>
          <w:rFonts w:asciiTheme="minorEastAsia" w:hAnsiTheme="minorEastAsia" w:eastAsiaTheme="minorEastAsia"/>
          <w:bCs/>
          <w:color w:val="auto"/>
          <w:szCs w:val="26"/>
          <w:highlight w:val="none"/>
        </w:rPr>
        <w:t>”</w:t>
      </w:r>
      <w:r>
        <w:rPr>
          <w:rFonts w:hint="eastAsia" w:asciiTheme="minorEastAsia" w:hAnsiTheme="minorEastAsia" w:eastAsiaTheme="minorEastAsia"/>
          <w:bCs/>
          <w:color w:val="auto"/>
          <w:szCs w:val="26"/>
          <w:highlight w:val="none"/>
          <w:lang w:eastAsia="zh-CN"/>
        </w:rPr>
        <w:t>生态环境分区</w:t>
      </w:r>
      <w:r>
        <w:rPr>
          <w:rFonts w:hint="eastAsia" w:asciiTheme="minorEastAsia" w:hAnsiTheme="minorEastAsia" w:eastAsiaTheme="minorEastAsia"/>
          <w:bCs/>
          <w:color w:val="auto"/>
          <w:szCs w:val="26"/>
          <w:highlight w:val="none"/>
        </w:rPr>
        <w:t>管控</w:t>
      </w:r>
      <w:r>
        <w:rPr>
          <w:rFonts w:asciiTheme="minorEastAsia" w:hAnsiTheme="minorEastAsia" w:eastAsiaTheme="minorEastAsia"/>
          <w:bCs/>
          <w:color w:val="auto"/>
          <w:szCs w:val="26"/>
          <w:highlight w:val="none"/>
        </w:rPr>
        <w:t>要</w:t>
      </w:r>
      <w:r>
        <w:rPr>
          <w:bCs/>
          <w:color w:val="auto"/>
          <w:szCs w:val="26"/>
          <w:highlight w:val="none"/>
        </w:rPr>
        <w:t>求不冲突</w:t>
      </w:r>
      <w:r>
        <w:rPr>
          <w:rFonts w:hint="eastAsia"/>
          <w:bCs/>
          <w:color w:val="auto"/>
          <w:szCs w:val="26"/>
          <w:highlight w:val="none"/>
        </w:rPr>
        <w:t>。</w:t>
      </w:r>
    </w:p>
    <w:p>
      <w:pPr>
        <w:pStyle w:val="4"/>
        <w:numPr>
          <w:ilvl w:val="0"/>
          <w:numId w:val="0"/>
        </w:numPr>
        <w:ind w:left="522"/>
        <w:rPr>
          <w:color w:val="auto"/>
          <w:highlight w:val="none"/>
        </w:rPr>
      </w:pPr>
      <w:bookmarkStart w:id="34" w:name="_Toc89291953"/>
      <w:bookmarkStart w:id="35" w:name="_Toc498031543"/>
      <w:bookmarkStart w:id="36" w:name="_Toc13038"/>
      <w:r>
        <w:rPr>
          <w:rFonts w:hint="eastAsia"/>
          <w:color w:val="auto"/>
          <w:highlight w:val="none"/>
        </w:rPr>
        <w:t>五</w:t>
      </w:r>
      <w:r>
        <w:rPr>
          <w:color w:val="auto"/>
          <w:highlight w:val="none"/>
        </w:rPr>
        <w:t>、关注的主要环境问题</w:t>
      </w:r>
      <w:bookmarkEnd w:id="34"/>
      <w:bookmarkEnd w:id="35"/>
      <w:r>
        <w:rPr>
          <w:rFonts w:hint="eastAsia"/>
          <w:color w:val="auto"/>
          <w:highlight w:val="none"/>
        </w:rPr>
        <w:t>及</w:t>
      </w:r>
      <w:r>
        <w:rPr>
          <w:color w:val="auto"/>
          <w:highlight w:val="none"/>
        </w:rPr>
        <w:t>环境影响</w:t>
      </w:r>
      <w:bookmarkEnd w:id="36"/>
    </w:p>
    <w:p>
      <w:pPr>
        <w:adjustRightInd w:val="0"/>
        <w:snapToGrid w:val="0"/>
        <w:ind w:firstLine="520"/>
        <w:rPr>
          <w:rFonts w:hint="eastAsia"/>
          <w:color w:val="auto"/>
          <w:szCs w:val="26"/>
          <w:highlight w:val="none"/>
        </w:rPr>
      </w:pPr>
      <w:r>
        <w:rPr>
          <w:rFonts w:hint="eastAsia"/>
          <w:color w:val="auto"/>
          <w:szCs w:val="26"/>
          <w:highlight w:val="none"/>
          <w:lang w:eastAsia="zh-CN"/>
        </w:rPr>
        <w:t>本项目为船闸扩能升级改造工程，涉及生态保护红线、重庆合川三江国家湿地公园，</w:t>
      </w:r>
      <w:r>
        <w:rPr>
          <w:rFonts w:hint="eastAsia"/>
          <w:color w:val="auto"/>
          <w:szCs w:val="26"/>
          <w:highlight w:val="none"/>
        </w:rPr>
        <w:t>根据</w:t>
      </w:r>
      <w:r>
        <w:rPr>
          <w:rFonts w:hint="eastAsia"/>
          <w:color w:val="auto"/>
          <w:szCs w:val="26"/>
          <w:highlight w:val="none"/>
          <w:lang w:eastAsia="zh-CN"/>
        </w:rPr>
        <w:t>拟建</w:t>
      </w:r>
      <w:r>
        <w:rPr>
          <w:rFonts w:hint="eastAsia"/>
          <w:color w:val="auto"/>
          <w:szCs w:val="26"/>
          <w:highlight w:val="none"/>
        </w:rPr>
        <w:t>项目的特点，本工程重点关注项目</w:t>
      </w:r>
      <w:r>
        <w:rPr>
          <w:rFonts w:hint="eastAsia"/>
          <w:color w:val="auto"/>
          <w:szCs w:val="26"/>
          <w:highlight w:val="none"/>
          <w:lang w:eastAsia="zh-CN"/>
        </w:rPr>
        <w:t>对</w:t>
      </w:r>
      <w:r>
        <w:rPr>
          <w:rFonts w:hint="eastAsia"/>
          <w:color w:val="auto"/>
          <w:szCs w:val="26"/>
          <w:highlight w:val="none"/>
        </w:rPr>
        <w:t>生态环境敏感区</w:t>
      </w:r>
      <w:r>
        <w:rPr>
          <w:rFonts w:hint="eastAsia"/>
          <w:color w:val="auto"/>
          <w:szCs w:val="26"/>
          <w:highlight w:val="none"/>
          <w:lang w:eastAsia="zh-CN"/>
        </w:rPr>
        <w:t>、水生生态、水文情势环境</w:t>
      </w:r>
      <w:r>
        <w:rPr>
          <w:rFonts w:hint="eastAsia"/>
          <w:color w:val="auto"/>
          <w:szCs w:val="26"/>
          <w:highlight w:val="none"/>
        </w:rPr>
        <w:t>影响及保护对策措施：</w:t>
      </w:r>
    </w:p>
    <w:p>
      <w:pPr>
        <w:adjustRightInd w:val="0"/>
        <w:snapToGrid w:val="0"/>
        <w:ind w:firstLine="520"/>
        <w:rPr>
          <w:rFonts w:hint="eastAsia" w:eastAsia="宋体"/>
          <w:color w:val="auto"/>
          <w:szCs w:val="26"/>
          <w:highlight w:val="none"/>
          <w:lang w:val="en-US" w:eastAsia="zh-CN"/>
        </w:rPr>
      </w:pPr>
      <w:r>
        <w:rPr>
          <w:rFonts w:hint="eastAsia"/>
          <w:color w:val="auto"/>
          <w:szCs w:val="26"/>
          <w:highlight w:val="none"/>
        </w:rPr>
        <w:t>（1）</w:t>
      </w:r>
      <w:r>
        <w:rPr>
          <w:rFonts w:hint="default" w:ascii="Times New Roman" w:hAnsi="Times New Roman" w:cs="Times New Roman"/>
          <w:color w:val="auto"/>
          <w:sz w:val="26"/>
          <w:szCs w:val="26"/>
          <w:highlight w:val="none"/>
        </w:rPr>
        <w:t>渭沱</w:t>
      </w:r>
      <w:r>
        <w:rPr>
          <w:rFonts w:hint="eastAsia" w:ascii="Times New Roman" w:hAnsi="Times New Roman" w:cs="Times New Roman"/>
          <w:color w:val="auto"/>
          <w:sz w:val="26"/>
          <w:szCs w:val="26"/>
          <w:highlight w:val="none"/>
          <w:lang w:eastAsia="zh-CN"/>
        </w:rPr>
        <w:t>枢纽工程</w:t>
      </w:r>
      <w:r>
        <w:rPr>
          <w:rFonts w:hint="default" w:ascii="Times New Roman" w:hAnsi="Times New Roman" w:cs="Times New Roman"/>
          <w:color w:val="auto"/>
          <w:sz w:val="26"/>
          <w:szCs w:val="26"/>
          <w:highlight w:val="none"/>
        </w:rPr>
        <w:t>坝址为重庆合川三江国家湿地公园边界，</w:t>
      </w:r>
      <w:r>
        <w:rPr>
          <w:rFonts w:hint="eastAsia" w:ascii="Times New Roman" w:hAnsi="Times New Roman" w:cs="Times New Roman"/>
          <w:color w:val="auto"/>
          <w:sz w:val="26"/>
          <w:szCs w:val="26"/>
          <w:highlight w:val="none"/>
          <w:lang w:eastAsia="zh-CN"/>
        </w:rPr>
        <w:t>现有</w:t>
      </w:r>
      <w:r>
        <w:rPr>
          <w:rFonts w:hint="default" w:ascii="Times New Roman" w:hAnsi="Times New Roman" w:cs="Times New Roman"/>
          <w:color w:val="auto"/>
          <w:sz w:val="26"/>
          <w:szCs w:val="26"/>
          <w:highlight w:val="none"/>
        </w:rPr>
        <w:t>坝下船闸、尾水渠位于湿地公园内</w:t>
      </w:r>
      <w:r>
        <w:rPr>
          <w:rFonts w:hint="eastAsia"/>
          <w:color w:val="auto"/>
          <w:szCs w:val="26"/>
          <w:highlight w:val="none"/>
          <w:lang w:eastAsia="zh-CN"/>
        </w:rPr>
        <w:t>，</w:t>
      </w:r>
      <w:r>
        <w:rPr>
          <w:rFonts w:hint="eastAsia"/>
          <w:color w:val="auto"/>
          <w:szCs w:val="26"/>
          <w:highlight w:val="none"/>
        </w:rPr>
        <w:t>受现有船闸</w:t>
      </w:r>
      <w:r>
        <w:rPr>
          <w:rFonts w:hint="eastAsia"/>
          <w:color w:val="auto"/>
          <w:szCs w:val="26"/>
          <w:highlight w:val="none"/>
          <w:lang w:eastAsia="zh-CN"/>
        </w:rPr>
        <w:t>及枢纽的</w:t>
      </w:r>
      <w:r>
        <w:rPr>
          <w:rFonts w:hint="eastAsia"/>
          <w:color w:val="auto"/>
          <w:szCs w:val="26"/>
          <w:highlight w:val="none"/>
        </w:rPr>
        <w:t>位置限制，</w:t>
      </w:r>
      <w:r>
        <w:rPr>
          <w:rFonts w:hint="eastAsia"/>
          <w:color w:val="auto"/>
          <w:szCs w:val="26"/>
          <w:highlight w:val="none"/>
          <w:lang w:eastAsia="zh-CN"/>
        </w:rPr>
        <w:t>本次项目</w:t>
      </w:r>
      <w:r>
        <w:rPr>
          <w:rFonts w:hint="eastAsia"/>
          <w:color w:val="auto"/>
          <w:szCs w:val="26"/>
          <w:highlight w:val="none"/>
        </w:rPr>
        <w:t>选址具有唯一性</w:t>
      </w:r>
      <w:r>
        <w:rPr>
          <w:rFonts w:hint="eastAsia"/>
          <w:color w:val="auto"/>
          <w:szCs w:val="26"/>
          <w:highlight w:val="none"/>
          <w:lang w:eastAsia="zh-CN"/>
        </w:rPr>
        <w:t>，项目不可避免涉及重庆合川三江国家湿地公园、生态保护红线，需重点</w:t>
      </w:r>
      <w:r>
        <w:rPr>
          <w:rFonts w:hint="eastAsia"/>
          <w:color w:val="auto"/>
          <w:szCs w:val="26"/>
          <w:highlight w:val="none"/>
        </w:rPr>
        <w:t>关注</w:t>
      </w:r>
      <w:r>
        <w:rPr>
          <w:rFonts w:hint="eastAsia"/>
          <w:color w:val="auto"/>
          <w:szCs w:val="26"/>
          <w:highlight w:val="none"/>
          <w:lang w:eastAsia="zh-CN"/>
        </w:rPr>
        <w:t>项目对上述生态敏感区的影响</w:t>
      </w:r>
      <w:r>
        <w:rPr>
          <w:rFonts w:hint="eastAsia"/>
          <w:color w:val="auto"/>
          <w:szCs w:val="26"/>
          <w:highlight w:val="none"/>
        </w:rPr>
        <w:t>。</w:t>
      </w:r>
      <w:r>
        <w:rPr>
          <w:rFonts w:hint="eastAsia"/>
          <w:color w:val="auto"/>
          <w:szCs w:val="26"/>
          <w:highlight w:val="none"/>
          <w:lang w:eastAsia="zh-CN"/>
        </w:rPr>
        <w:t>项目正在按照有关规定开展生态红线不可避让论证以及湿地公园影响专题报告</w:t>
      </w:r>
      <w:r>
        <w:rPr>
          <w:rFonts w:hint="eastAsia"/>
          <w:snapToGrid w:val="0"/>
          <w:color w:val="auto"/>
          <w:highlight w:val="none"/>
          <w:lang w:eastAsia="zh-CN"/>
        </w:rPr>
        <w:t>，根据湿地公园生态影响评价报告：</w:t>
      </w:r>
      <w:r>
        <w:rPr>
          <w:rFonts w:hint="eastAsia"/>
          <w:color w:val="auto"/>
          <w:highlight w:val="none"/>
        </w:rPr>
        <w:t>本项目区域是受人类干扰较为严重的区域，工程对湿地资源的影响主要体现在施工期对湿地公园的占用和影响，但工程不占用鱼类重要生境，施工完成后干扰基本消失，影响较小</w:t>
      </w:r>
      <w:r>
        <w:rPr>
          <w:rFonts w:hint="eastAsia"/>
          <w:color w:val="auto"/>
          <w:highlight w:val="none"/>
          <w:lang w:eastAsia="zh-CN"/>
        </w:rPr>
        <w:t>，</w:t>
      </w:r>
      <w:r>
        <w:rPr>
          <w:rFonts w:hint="eastAsia"/>
          <w:color w:val="auto"/>
          <w:highlight w:val="none"/>
        </w:rPr>
        <w:t>在严格落实专题评价提出的各种生态保护对策和措施后，从生态环境保护的角度来讲，项目建设是可行的</w:t>
      </w:r>
      <w:r>
        <w:rPr>
          <w:rFonts w:hint="eastAsia"/>
          <w:color w:val="auto"/>
          <w:highlight w:val="none"/>
          <w:lang w:eastAsia="zh-CN"/>
        </w:rPr>
        <w:t>。根据</w:t>
      </w:r>
      <w:r>
        <w:rPr>
          <w:rFonts w:hint="eastAsia"/>
          <w:color w:val="auto"/>
          <w:szCs w:val="26"/>
          <w:highlight w:val="none"/>
          <w:lang w:eastAsia="zh-CN"/>
        </w:rPr>
        <w:t>生态红线不可避让论证报告：</w:t>
      </w:r>
      <w:r>
        <w:rPr>
          <w:rFonts w:hint="eastAsia"/>
          <w:color w:val="auto"/>
          <w:highlight w:val="none"/>
        </w:rPr>
        <w:t>本项目已纳入《全国港口与航道布局规划</w:t>
      </w:r>
      <w:r>
        <w:rPr>
          <w:rFonts w:hint="eastAsia"/>
          <w:color w:val="auto"/>
          <w:highlight w:val="none"/>
          <w:shd w:val="clear" w:fill="FFFFFF"/>
        </w:rPr>
        <w:t>》《</w:t>
      </w:r>
      <w:r>
        <w:rPr>
          <w:rFonts w:hint="eastAsia"/>
          <w:color w:val="auto"/>
          <w:highlight w:val="none"/>
        </w:rPr>
        <w:t>水运“十四五”发展规划》等国家相关规划，属于国家重大项目</w:t>
      </w:r>
      <w:r>
        <w:rPr>
          <w:rFonts w:hint="eastAsia"/>
          <w:color w:val="auto"/>
          <w:highlight w:val="none"/>
          <w:lang w:eastAsia="zh-CN"/>
        </w:rPr>
        <w:t>，符合生态保护红线有关要求，项目对环境及生态保护红线的不利影响在采取相应措施后可降低到最低程度，工程建设可行。</w:t>
      </w:r>
    </w:p>
    <w:p>
      <w:pPr>
        <w:adjustRightInd w:val="0"/>
        <w:snapToGrid w:val="0"/>
        <w:ind w:firstLine="520"/>
        <w:rPr>
          <w:rFonts w:hint="eastAsia" w:eastAsia="宋体"/>
          <w:color w:val="auto"/>
          <w:szCs w:val="26"/>
          <w:highlight w:val="none"/>
          <w:lang w:val="en-US" w:eastAsia="zh-CN"/>
        </w:rPr>
      </w:pPr>
      <w:r>
        <w:rPr>
          <w:rFonts w:hint="eastAsia"/>
          <w:color w:val="auto"/>
          <w:szCs w:val="26"/>
          <w:highlight w:val="none"/>
          <w:lang w:eastAsia="zh-CN"/>
        </w:rPr>
        <w:t>（</w:t>
      </w:r>
      <w:r>
        <w:rPr>
          <w:rFonts w:hint="eastAsia"/>
          <w:color w:val="auto"/>
          <w:szCs w:val="26"/>
          <w:highlight w:val="none"/>
          <w:lang w:val="en-US" w:eastAsia="zh-CN"/>
        </w:rPr>
        <w:t>2）</w:t>
      </w:r>
      <w:r>
        <w:rPr>
          <w:rFonts w:hint="eastAsia"/>
          <w:color w:val="auto"/>
          <w:szCs w:val="26"/>
          <w:highlight w:val="none"/>
        </w:rPr>
        <w:t>项目所在江段内分布</w:t>
      </w:r>
      <w:r>
        <w:rPr>
          <w:rFonts w:hint="eastAsia"/>
          <w:color w:val="auto"/>
          <w:szCs w:val="26"/>
          <w:highlight w:val="none"/>
          <w:lang w:eastAsia="zh-CN"/>
        </w:rPr>
        <w:t>有</w:t>
      </w:r>
      <w:r>
        <w:rPr>
          <w:rFonts w:hint="eastAsia"/>
          <w:color w:val="auto"/>
          <w:szCs w:val="26"/>
          <w:highlight w:val="none"/>
        </w:rPr>
        <w:t>国家和重庆市重点保护鱼类、长江上游特有鱼类、受威胁物种及特有种等重要物种</w:t>
      </w:r>
      <w:r>
        <w:rPr>
          <w:rFonts w:hint="eastAsia"/>
          <w:color w:val="auto"/>
          <w:szCs w:val="26"/>
          <w:highlight w:val="none"/>
          <w:lang w:eastAsia="zh-CN"/>
        </w:rPr>
        <w:t>，</w:t>
      </w:r>
      <w:r>
        <w:rPr>
          <w:rFonts w:hint="eastAsia"/>
          <w:color w:val="auto"/>
          <w:szCs w:val="26"/>
          <w:highlight w:val="none"/>
        </w:rPr>
        <w:t>涉水施工可能对水生生态环境造成影响</w:t>
      </w:r>
      <w:r>
        <w:rPr>
          <w:rFonts w:hint="eastAsia"/>
          <w:color w:val="auto"/>
          <w:szCs w:val="26"/>
          <w:highlight w:val="none"/>
          <w:lang w:eastAsia="zh-CN"/>
        </w:rPr>
        <w:t>。</w:t>
      </w:r>
      <w:r>
        <w:rPr>
          <w:rFonts w:hint="default"/>
          <w:bCs/>
          <w:color w:val="auto"/>
          <w:szCs w:val="26"/>
          <w:highlight w:val="none"/>
          <w:lang w:val="en-US" w:eastAsia="zh-CN"/>
        </w:rPr>
        <w:t>对比该江段整体水域来看，本工程作业范围</w:t>
      </w:r>
      <w:r>
        <w:rPr>
          <w:rFonts w:hint="eastAsia"/>
          <w:bCs/>
          <w:color w:val="auto"/>
          <w:szCs w:val="26"/>
          <w:highlight w:val="none"/>
          <w:lang w:val="en-US" w:eastAsia="zh-CN"/>
        </w:rPr>
        <w:t>有限</w:t>
      </w:r>
      <w:r>
        <w:rPr>
          <w:rFonts w:hint="default"/>
          <w:bCs/>
          <w:color w:val="auto"/>
          <w:szCs w:val="26"/>
          <w:highlight w:val="none"/>
          <w:lang w:val="en-US" w:eastAsia="zh-CN"/>
        </w:rPr>
        <w:t>，整体上不会导致该江段水生生物栖息环境的剧烈变化，不会对该江段鱼类等水生生物多样性以及水生生态系统结构产生明显影响。</w:t>
      </w:r>
      <w:r>
        <w:rPr>
          <w:rFonts w:hint="eastAsia"/>
          <w:bCs/>
          <w:color w:val="auto"/>
          <w:szCs w:val="26"/>
          <w:highlight w:val="none"/>
          <w:lang w:val="en-US" w:eastAsia="zh-CN"/>
        </w:rPr>
        <w:t>且上述</w:t>
      </w:r>
      <w:r>
        <w:rPr>
          <w:rFonts w:hint="default"/>
          <w:bCs/>
          <w:color w:val="auto"/>
          <w:szCs w:val="26"/>
          <w:highlight w:val="none"/>
          <w:lang w:val="en-US" w:eastAsia="zh-CN"/>
        </w:rPr>
        <w:t>影响主要集中在施工期，工程施工结束后基本消除。在保护和生态补偿措施到位，加强监管的条件下，工程建设对水生态的影响将进一步减低，</w:t>
      </w:r>
      <w:r>
        <w:rPr>
          <w:rFonts w:hint="eastAsia"/>
          <w:bCs/>
          <w:color w:val="auto"/>
          <w:szCs w:val="26"/>
          <w:highlight w:val="none"/>
          <w:lang w:val="en-US" w:eastAsia="zh-CN"/>
        </w:rPr>
        <w:t>对水生生态的影响是</w:t>
      </w:r>
      <w:r>
        <w:rPr>
          <w:rFonts w:hint="default"/>
          <w:bCs/>
          <w:color w:val="auto"/>
          <w:szCs w:val="26"/>
          <w:highlight w:val="none"/>
          <w:lang w:val="en-US" w:eastAsia="zh-CN"/>
        </w:rPr>
        <w:t>可接受的。</w:t>
      </w:r>
      <w:r>
        <w:rPr>
          <w:rFonts w:hint="eastAsia"/>
          <w:bCs/>
          <w:color w:val="auto"/>
          <w:szCs w:val="26"/>
          <w:highlight w:val="none"/>
          <w:lang w:val="en-US" w:eastAsia="zh-CN"/>
        </w:rPr>
        <w:t>同时，通过本次新建鱼道工程，对于涪江水生生态改善具有积极作用。</w:t>
      </w:r>
    </w:p>
    <w:p>
      <w:pPr>
        <w:adjustRightInd w:val="0"/>
        <w:snapToGrid w:val="0"/>
        <w:ind w:firstLine="520"/>
        <w:rPr>
          <w:rFonts w:hint="eastAsia" w:eastAsia="宋体"/>
          <w:color w:val="auto"/>
          <w:szCs w:val="26"/>
          <w:highlight w:val="none"/>
          <w:lang w:eastAsia="zh-CN"/>
        </w:rPr>
      </w:pPr>
      <w:r>
        <w:rPr>
          <w:rFonts w:hint="eastAsia"/>
          <w:color w:val="auto"/>
          <w:szCs w:val="26"/>
          <w:highlight w:val="none"/>
          <w:lang w:val="en-US" w:eastAsia="zh-CN"/>
        </w:rPr>
        <w:t>（3）</w:t>
      </w:r>
      <w:r>
        <w:rPr>
          <w:rFonts w:hint="eastAsia"/>
          <w:color w:val="auto"/>
          <w:szCs w:val="26"/>
          <w:highlight w:val="none"/>
          <w:lang w:eastAsia="zh-CN"/>
        </w:rPr>
        <w:t>项目属于涪江干流船闸工程，需重点关注项目施工期、运营期对水文情势的影响。</w:t>
      </w:r>
      <w:r>
        <w:rPr>
          <w:rFonts w:hint="eastAsia"/>
          <w:color w:val="auto"/>
          <w:highlight w:val="none"/>
          <w:lang w:val="en-US" w:eastAsia="zh-CN"/>
        </w:rPr>
        <w:t>本次船闸升级改造工程主要在现有船闸东侧陆域范围内进行建设，项目</w:t>
      </w:r>
      <w:r>
        <w:rPr>
          <w:rFonts w:hint="default"/>
          <w:color w:val="auto"/>
          <w:highlight w:val="none"/>
          <w:lang w:val="en-US" w:eastAsia="zh-CN"/>
        </w:rPr>
        <w:t>船闸主围堰采用滩地开挖料填筑土围堰，</w:t>
      </w:r>
      <w:r>
        <w:rPr>
          <w:rFonts w:hint="eastAsia"/>
          <w:color w:val="auto"/>
          <w:highlight w:val="none"/>
          <w:lang w:val="en-US" w:eastAsia="zh-CN"/>
        </w:rPr>
        <w:t>主体工程施工在围堰内进行，</w:t>
      </w:r>
      <w:r>
        <w:rPr>
          <w:rFonts w:hint="default"/>
          <w:color w:val="auto"/>
          <w:highlight w:val="none"/>
          <w:lang w:val="en-US" w:eastAsia="zh-CN"/>
        </w:rPr>
        <w:t>在正常水文条件下，</w:t>
      </w:r>
      <w:r>
        <w:rPr>
          <w:rFonts w:hint="eastAsia"/>
          <w:color w:val="auto"/>
          <w:highlight w:val="none"/>
          <w:lang w:val="en-US" w:eastAsia="zh-CN"/>
        </w:rPr>
        <w:t>涪江</w:t>
      </w:r>
      <w:r>
        <w:rPr>
          <w:rFonts w:hint="default"/>
          <w:color w:val="auto"/>
          <w:highlight w:val="none"/>
          <w:lang w:val="en-US" w:eastAsia="zh-CN"/>
        </w:rPr>
        <w:t>水位不会上涨至工程范围内，而工程河段流量是由</w:t>
      </w:r>
      <w:r>
        <w:rPr>
          <w:rFonts w:hint="eastAsia"/>
          <w:color w:val="auto"/>
          <w:highlight w:val="none"/>
          <w:lang w:val="en-US" w:eastAsia="zh-CN"/>
        </w:rPr>
        <w:t>渭沱枢纽</w:t>
      </w:r>
      <w:r>
        <w:rPr>
          <w:rFonts w:hint="default"/>
          <w:color w:val="auto"/>
          <w:highlight w:val="none"/>
          <w:lang w:val="en-US" w:eastAsia="zh-CN"/>
        </w:rPr>
        <w:t>泄水闸来调度下泄，</w:t>
      </w:r>
      <w:r>
        <w:rPr>
          <w:rFonts w:hint="eastAsia"/>
          <w:color w:val="auto"/>
          <w:highlight w:val="none"/>
          <w:lang w:val="en-US" w:eastAsia="zh-CN"/>
        </w:rPr>
        <w:t>施工期</w:t>
      </w:r>
      <w:r>
        <w:rPr>
          <w:rFonts w:hint="default"/>
          <w:color w:val="auto"/>
          <w:highlight w:val="none"/>
          <w:lang w:val="en-US" w:eastAsia="zh-CN"/>
        </w:rPr>
        <w:t>不会对</w:t>
      </w:r>
      <w:r>
        <w:rPr>
          <w:rFonts w:hint="eastAsia"/>
          <w:color w:val="auto"/>
          <w:highlight w:val="none"/>
          <w:lang w:val="en-US" w:eastAsia="zh-CN"/>
        </w:rPr>
        <w:t>涪江干流水文情势</w:t>
      </w:r>
      <w:r>
        <w:rPr>
          <w:rFonts w:hint="default"/>
          <w:color w:val="auto"/>
          <w:highlight w:val="none"/>
          <w:lang w:val="en-US" w:eastAsia="zh-CN"/>
        </w:rPr>
        <w:t>造成</w:t>
      </w:r>
      <w:r>
        <w:rPr>
          <w:rFonts w:hint="eastAsia"/>
          <w:color w:val="auto"/>
          <w:highlight w:val="none"/>
          <w:lang w:val="en-US" w:eastAsia="zh-CN"/>
        </w:rPr>
        <w:t>较大</w:t>
      </w:r>
      <w:r>
        <w:rPr>
          <w:rFonts w:hint="default"/>
          <w:color w:val="auto"/>
          <w:highlight w:val="none"/>
          <w:lang w:val="en-US" w:eastAsia="zh-CN"/>
        </w:rPr>
        <w:t>影响</w:t>
      </w:r>
      <w:r>
        <w:rPr>
          <w:rFonts w:hint="eastAsia"/>
          <w:color w:val="auto"/>
          <w:highlight w:val="none"/>
          <w:lang w:val="en-US" w:eastAsia="zh-CN"/>
        </w:rPr>
        <w:t>；</w:t>
      </w:r>
      <w:r>
        <w:rPr>
          <w:rFonts w:hint="eastAsia"/>
          <w:color w:val="auto"/>
          <w:szCs w:val="26"/>
          <w:highlight w:val="none"/>
          <w:lang w:eastAsia="zh-CN"/>
        </w:rPr>
        <w:t>项目</w:t>
      </w:r>
      <w:r>
        <w:rPr>
          <w:rFonts w:hint="eastAsia"/>
          <w:color w:val="auto"/>
          <w:kern w:val="0"/>
          <w:szCs w:val="26"/>
          <w:highlight w:val="none"/>
          <w:lang w:eastAsia="zh-CN"/>
        </w:rPr>
        <w:t>不对现有渭沱枢纽主体建设内容进行改造，不改变枢纽调度运行方式及工程特性，故建成运行后也不会对涪江水位情势造成进一步影响。</w:t>
      </w:r>
    </w:p>
    <w:p>
      <w:pPr>
        <w:pStyle w:val="4"/>
        <w:numPr>
          <w:ilvl w:val="0"/>
          <w:numId w:val="0"/>
        </w:numPr>
        <w:ind w:left="522"/>
        <w:rPr>
          <w:color w:val="auto"/>
          <w:szCs w:val="26"/>
          <w:highlight w:val="none"/>
        </w:rPr>
      </w:pPr>
      <w:bookmarkStart w:id="37" w:name="_Toc680"/>
      <w:bookmarkStart w:id="38" w:name="_Toc498031544"/>
      <w:bookmarkStart w:id="39" w:name="_Toc89291954"/>
      <w:r>
        <w:rPr>
          <w:rFonts w:hint="eastAsia"/>
          <w:color w:val="auto"/>
          <w:szCs w:val="26"/>
          <w:highlight w:val="none"/>
        </w:rPr>
        <w:t>六</w:t>
      </w:r>
      <w:r>
        <w:rPr>
          <w:color w:val="auto"/>
          <w:szCs w:val="26"/>
          <w:highlight w:val="none"/>
        </w:rPr>
        <w:t>、环境影响报告书的主要结论</w:t>
      </w:r>
      <w:bookmarkEnd w:id="37"/>
      <w:bookmarkEnd w:id="38"/>
      <w:bookmarkEnd w:id="39"/>
    </w:p>
    <w:p>
      <w:pPr>
        <w:ind w:firstLine="520"/>
        <w:rPr>
          <w:color w:val="auto"/>
          <w:szCs w:val="26"/>
          <w:highlight w:val="none"/>
        </w:rPr>
      </w:pPr>
      <w:r>
        <w:rPr>
          <w:rFonts w:hint="eastAsia" w:ascii="宋体" w:hAnsi="宋体" w:eastAsia="宋体" w:cs="宋体"/>
          <w:color w:val="auto"/>
          <w:szCs w:val="26"/>
          <w:highlight w:val="none"/>
        </w:rPr>
        <w:t>“涪江干流渭沱电厂船闸扩能升级改造工程”</w:t>
      </w:r>
      <w:r>
        <w:rPr>
          <w:rFonts w:hint="eastAsia"/>
          <w:color w:val="auto"/>
          <w:szCs w:val="26"/>
          <w:highlight w:val="none"/>
        </w:rPr>
        <w:t>建设符合国家产业政策及相关规划，</w:t>
      </w:r>
      <w:r>
        <w:rPr>
          <w:rFonts w:hint="eastAsia"/>
          <w:color w:val="auto"/>
          <w:szCs w:val="26"/>
          <w:highlight w:val="none"/>
          <w:lang w:eastAsia="zh-CN"/>
        </w:rPr>
        <w:t>与区域生态环境分区管控要求不冲突，对提升</w:t>
      </w:r>
      <w:r>
        <w:rPr>
          <w:rFonts w:hint="eastAsia"/>
          <w:color w:val="auto"/>
          <w:szCs w:val="26"/>
          <w:highlight w:val="none"/>
        </w:rPr>
        <w:t>涪江</w:t>
      </w:r>
      <w:r>
        <w:rPr>
          <w:rFonts w:hint="eastAsia"/>
          <w:color w:val="auto"/>
          <w:szCs w:val="26"/>
          <w:highlight w:val="none"/>
          <w:lang w:eastAsia="zh-CN"/>
        </w:rPr>
        <w:t>航道通航能力具有重要意义，</w:t>
      </w:r>
      <w:r>
        <w:rPr>
          <w:rFonts w:hint="eastAsia"/>
          <w:color w:val="auto"/>
          <w:szCs w:val="26"/>
          <w:highlight w:val="none"/>
        </w:rPr>
        <w:t>工程的选址选线从环保角度分析合理可行，满足相关法律法规要求。工程的实施将对环境造成一定的影响，但在采取严格的生态保护及污染防治措施后，对环境的不利影响</w:t>
      </w:r>
      <w:r>
        <w:rPr>
          <w:rFonts w:hint="eastAsia"/>
          <w:color w:val="auto"/>
          <w:szCs w:val="26"/>
          <w:highlight w:val="none"/>
          <w:shd w:val="clear" w:fill="FFFFFF"/>
          <w:lang w:eastAsia="zh-CN"/>
        </w:rPr>
        <w:t>可以</w:t>
      </w:r>
      <w:r>
        <w:rPr>
          <w:rFonts w:hint="eastAsia"/>
          <w:color w:val="auto"/>
          <w:szCs w:val="26"/>
          <w:highlight w:val="none"/>
        </w:rPr>
        <w:t>得到有效控制和缓解，环境影响有限，因此，从环境保护的角度看，本项目建设是可行的。</w:t>
      </w:r>
    </w:p>
    <w:p>
      <w:pPr>
        <w:pStyle w:val="3"/>
        <w:ind w:firstLine="643"/>
        <w:rPr>
          <w:color w:val="auto"/>
          <w:highlight w:val="none"/>
        </w:rPr>
        <w:sectPr>
          <w:pgSz w:w="11907" w:h="16840"/>
          <w:pgMar w:top="1701" w:right="1588" w:bottom="1588" w:left="1588" w:header="1304" w:footer="1247" w:gutter="0"/>
          <w:cols w:space="720" w:num="1"/>
          <w:docGrid w:linePitch="354" w:charSpace="0"/>
        </w:sectPr>
      </w:pPr>
    </w:p>
    <w:p>
      <w:pPr>
        <w:spacing w:line="240" w:lineRule="auto"/>
        <w:ind w:firstLine="520"/>
        <w:rPr>
          <w:color w:val="auto"/>
          <w:highlight w:val="none"/>
        </w:rPr>
      </w:pPr>
    </w:p>
    <w:p>
      <w:pPr>
        <w:keepNext/>
        <w:keepLines/>
        <w:numPr>
          <w:ilvl w:val="0"/>
          <w:numId w:val="1"/>
        </w:numPr>
        <w:ind w:left="0" w:firstLine="0" w:firstLineChars="0"/>
        <w:jc w:val="center"/>
        <w:outlineLvl w:val="0"/>
        <w:rPr>
          <w:b/>
          <w:bCs/>
          <w:color w:val="auto"/>
          <w:kern w:val="44"/>
          <w:sz w:val="32"/>
          <w:szCs w:val="32"/>
          <w:highlight w:val="none"/>
        </w:rPr>
      </w:pPr>
      <w:bookmarkStart w:id="40" w:name="_Toc12204"/>
      <w:r>
        <w:rPr>
          <w:rFonts w:hint="eastAsia"/>
          <w:b/>
          <w:bCs/>
          <w:color w:val="auto"/>
          <w:kern w:val="44"/>
          <w:sz w:val="32"/>
          <w:szCs w:val="32"/>
          <w:highlight w:val="none"/>
        </w:rPr>
        <w:t xml:space="preserve">总  </w:t>
      </w:r>
      <w:bookmarkEnd w:id="14"/>
      <w:bookmarkEnd w:id="18"/>
      <w:bookmarkEnd w:id="19"/>
      <w:bookmarkEnd w:id="20"/>
      <w:r>
        <w:rPr>
          <w:rFonts w:hint="eastAsia"/>
          <w:b/>
          <w:bCs/>
          <w:color w:val="auto"/>
          <w:kern w:val="44"/>
          <w:sz w:val="32"/>
          <w:szCs w:val="32"/>
          <w:highlight w:val="none"/>
        </w:rPr>
        <w:t>则</w:t>
      </w:r>
      <w:bookmarkEnd w:id="40"/>
    </w:p>
    <w:p>
      <w:pPr>
        <w:spacing w:line="240" w:lineRule="auto"/>
        <w:ind w:firstLine="480"/>
        <w:jc w:val="center"/>
        <w:rPr>
          <w:color w:val="auto"/>
          <w:sz w:val="24"/>
          <w:highlight w:val="none"/>
        </w:rPr>
      </w:pPr>
    </w:p>
    <w:p>
      <w:pPr>
        <w:pStyle w:val="4"/>
        <w:rPr>
          <w:color w:val="auto"/>
          <w:highlight w:val="none"/>
        </w:rPr>
      </w:pPr>
      <w:bookmarkStart w:id="41" w:name="_Toc552"/>
      <w:bookmarkStart w:id="42" w:name="_Toc211698645"/>
      <w:bookmarkStart w:id="43" w:name="_Toc211699129"/>
      <w:bookmarkStart w:id="44" w:name="_Toc118803404"/>
      <w:bookmarkStart w:id="45" w:name="_Toc226170863"/>
      <w:r>
        <w:rPr>
          <w:rFonts w:hint="eastAsia"/>
          <w:color w:val="auto"/>
          <w:highlight w:val="none"/>
        </w:rPr>
        <w:t>编制依据</w:t>
      </w:r>
      <w:bookmarkEnd w:id="41"/>
      <w:bookmarkEnd w:id="42"/>
      <w:bookmarkEnd w:id="43"/>
      <w:bookmarkEnd w:id="44"/>
      <w:bookmarkEnd w:id="45"/>
    </w:p>
    <w:p>
      <w:pPr>
        <w:pStyle w:val="5"/>
        <w:ind w:firstLine="522"/>
        <w:rPr>
          <w:color w:val="auto"/>
          <w:highlight w:val="none"/>
        </w:rPr>
      </w:pPr>
      <w:r>
        <w:rPr>
          <w:rFonts w:hint="eastAsia"/>
          <w:color w:val="auto"/>
          <w:highlight w:val="none"/>
        </w:rPr>
        <w:t>环境</w:t>
      </w:r>
      <w:r>
        <w:rPr>
          <w:color w:val="auto"/>
          <w:highlight w:val="none"/>
        </w:rPr>
        <w:t>保护相关法律</w:t>
      </w:r>
    </w:p>
    <w:p>
      <w:pPr>
        <w:numPr>
          <w:ilvl w:val="0"/>
          <w:numId w:val="3"/>
        </w:numPr>
        <w:ind w:left="0" w:firstLine="520"/>
        <w:rPr>
          <w:color w:val="auto"/>
          <w:szCs w:val="26"/>
          <w:highlight w:val="none"/>
        </w:rPr>
      </w:pPr>
      <w:r>
        <w:rPr>
          <w:color w:val="auto"/>
          <w:szCs w:val="26"/>
          <w:highlight w:val="none"/>
        </w:rPr>
        <w:t>《中华人民共和国环境保护法》（2015年1月1日起实施）；</w:t>
      </w:r>
    </w:p>
    <w:p>
      <w:pPr>
        <w:numPr>
          <w:ilvl w:val="0"/>
          <w:numId w:val="3"/>
        </w:numPr>
        <w:ind w:left="0" w:firstLine="520"/>
        <w:rPr>
          <w:color w:val="auto"/>
          <w:szCs w:val="26"/>
          <w:highlight w:val="none"/>
        </w:rPr>
      </w:pPr>
      <w:r>
        <w:rPr>
          <w:color w:val="auto"/>
          <w:szCs w:val="26"/>
          <w:highlight w:val="none"/>
        </w:rPr>
        <w:t>《中华人民共和国环境影响评价法》（2018年修订版）；</w:t>
      </w:r>
    </w:p>
    <w:p>
      <w:pPr>
        <w:numPr>
          <w:ilvl w:val="0"/>
          <w:numId w:val="3"/>
        </w:numPr>
        <w:ind w:left="0" w:firstLine="520"/>
        <w:rPr>
          <w:color w:val="auto"/>
          <w:szCs w:val="26"/>
          <w:highlight w:val="none"/>
        </w:rPr>
      </w:pPr>
      <w:r>
        <w:rPr>
          <w:color w:val="auto"/>
          <w:szCs w:val="26"/>
          <w:highlight w:val="none"/>
        </w:rPr>
        <w:t>《中华人民共和国水污染防治法》（2018年1月1日）；</w:t>
      </w:r>
    </w:p>
    <w:p>
      <w:pPr>
        <w:numPr>
          <w:ilvl w:val="0"/>
          <w:numId w:val="3"/>
        </w:numPr>
        <w:ind w:left="0" w:firstLine="520"/>
        <w:rPr>
          <w:color w:val="auto"/>
          <w:szCs w:val="26"/>
          <w:highlight w:val="none"/>
        </w:rPr>
      </w:pPr>
      <w:r>
        <w:rPr>
          <w:color w:val="auto"/>
          <w:szCs w:val="26"/>
          <w:highlight w:val="none"/>
        </w:rPr>
        <w:t>《中华人民共和国大气污染防治法》（2018年修订）；</w:t>
      </w:r>
    </w:p>
    <w:p>
      <w:pPr>
        <w:numPr>
          <w:ilvl w:val="0"/>
          <w:numId w:val="3"/>
        </w:numPr>
        <w:ind w:left="0" w:firstLine="520"/>
        <w:rPr>
          <w:color w:val="auto"/>
          <w:szCs w:val="26"/>
          <w:highlight w:val="none"/>
        </w:rPr>
      </w:pPr>
      <w:r>
        <w:rPr>
          <w:rFonts w:hint="eastAsia"/>
          <w:color w:val="auto"/>
          <w:szCs w:val="26"/>
          <w:highlight w:val="none"/>
        </w:rPr>
        <w:t>《中华</w:t>
      </w:r>
      <w:r>
        <w:rPr>
          <w:color w:val="auto"/>
          <w:szCs w:val="26"/>
          <w:highlight w:val="none"/>
        </w:rPr>
        <w:t>人民共和国噪声污染防治法</w:t>
      </w:r>
      <w:r>
        <w:rPr>
          <w:rFonts w:hint="eastAsia"/>
          <w:color w:val="auto"/>
          <w:szCs w:val="26"/>
          <w:highlight w:val="none"/>
        </w:rPr>
        <w:t>》（2022年6月5日起施行）；</w:t>
      </w:r>
    </w:p>
    <w:p>
      <w:pPr>
        <w:numPr>
          <w:ilvl w:val="0"/>
          <w:numId w:val="3"/>
        </w:numPr>
        <w:ind w:left="0" w:firstLine="520"/>
        <w:rPr>
          <w:color w:val="auto"/>
          <w:szCs w:val="26"/>
          <w:highlight w:val="none"/>
        </w:rPr>
      </w:pPr>
      <w:r>
        <w:rPr>
          <w:color w:val="auto"/>
          <w:szCs w:val="26"/>
          <w:highlight w:val="none"/>
        </w:rPr>
        <w:t>《中华人民共和国固体废物污染环境防治法》（2020年4月29日修订）；</w:t>
      </w:r>
    </w:p>
    <w:p>
      <w:pPr>
        <w:numPr>
          <w:ilvl w:val="0"/>
          <w:numId w:val="3"/>
        </w:numPr>
        <w:ind w:left="0" w:firstLine="520"/>
        <w:rPr>
          <w:color w:val="auto"/>
          <w:szCs w:val="26"/>
          <w:highlight w:val="none"/>
        </w:rPr>
      </w:pPr>
      <w:r>
        <w:rPr>
          <w:color w:val="auto"/>
          <w:szCs w:val="26"/>
          <w:highlight w:val="none"/>
        </w:rPr>
        <w:t>《中华人民共和国水法》（2016年7月2日修订）；</w:t>
      </w:r>
    </w:p>
    <w:p>
      <w:pPr>
        <w:numPr>
          <w:ilvl w:val="0"/>
          <w:numId w:val="3"/>
        </w:numPr>
        <w:ind w:left="0" w:firstLine="520"/>
        <w:rPr>
          <w:color w:val="auto"/>
          <w:szCs w:val="26"/>
          <w:highlight w:val="none"/>
        </w:rPr>
      </w:pPr>
      <w:r>
        <w:rPr>
          <w:rFonts w:hint="eastAsia"/>
          <w:color w:val="auto"/>
          <w:szCs w:val="26"/>
          <w:highlight w:val="none"/>
        </w:rPr>
        <w:t>《中华人民共和国水土保持法》（2010年12月25日修订）；</w:t>
      </w:r>
    </w:p>
    <w:p>
      <w:pPr>
        <w:numPr>
          <w:ilvl w:val="0"/>
          <w:numId w:val="3"/>
        </w:numPr>
        <w:ind w:left="0" w:firstLine="520"/>
        <w:rPr>
          <w:color w:val="auto"/>
          <w:szCs w:val="26"/>
          <w:highlight w:val="none"/>
        </w:rPr>
      </w:pPr>
      <w:r>
        <w:rPr>
          <w:color w:val="auto"/>
          <w:szCs w:val="26"/>
          <w:highlight w:val="none"/>
        </w:rPr>
        <w:t>《中华人民共和国土地管理法》（2019年8月26日修正）；</w:t>
      </w:r>
    </w:p>
    <w:p>
      <w:pPr>
        <w:numPr>
          <w:ilvl w:val="0"/>
          <w:numId w:val="3"/>
        </w:numPr>
        <w:ind w:left="0" w:firstLine="520"/>
        <w:rPr>
          <w:color w:val="auto"/>
          <w:szCs w:val="26"/>
          <w:highlight w:val="none"/>
        </w:rPr>
      </w:pPr>
      <w:r>
        <w:rPr>
          <w:color w:val="auto"/>
          <w:szCs w:val="26"/>
          <w:highlight w:val="none"/>
        </w:rPr>
        <w:t>《中华人民共和国长江保护法》（2021年3月1日起施行）</w:t>
      </w:r>
      <w:r>
        <w:rPr>
          <w:rFonts w:hint="eastAsia"/>
          <w:color w:val="auto"/>
          <w:szCs w:val="26"/>
          <w:highlight w:val="none"/>
        </w:rPr>
        <w:t>；</w:t>
      </w:r>
    </w:p>
    <w:p>
      <w:pPr>
        <w:numPr>
          <w:ilvl w:val="0"/>
          <w:numId w:val="3"/>
        </w:numPr>
        <w:ind w:left="0" w:firstLine="520"/>
        <w:rPr>
          <w:color w:val="auto"/>
          <w:highlight w:val="none"/>
        </w:rPr>
      </w:pPr>
      <w:r>
        <w:rPr>
          <w:rFonts w:hint="eastAsia"/>
          <w:color w:val="auto"/>
          <w:highlight w:val="none"/>
        </w:rPr>
        <w:t>《中华人民共和国湿地保护法》（2022年6月1日起施行）；</w:t>
      </w:r>
    </w:p>
    <w:p>
      <w:pPr>
        <w:numPr>
          <w:ilvl w:val="0"/>
          <w:numId w:val="3"/>
        </w:numPr>
        <w:ind w:left="0" w:firstLine="520"/>
        <w:rPr>
          <w:color w:val="auto"/>
          <w:highlight w:val="none"/>
        </w:rPr>
      </w:pPr>
      <w:r>
        <w:rPr>
          <w:color w:val="auto"/>
          <w:highlight w:val="none"/>
        </w:rPr>
        <w:t>《中华人民共和国防洪法》</w:t>
      </w:r>
      <w:r>
        <w:rPr>
          <w:rFonts w:hint="eastAsia"/>
          <w:color w:val="auto"/>
          <w:highlight w:val="none"/>
        </w:rPr>
        <w:t>（2016年7月2日第三次修正）</w:t>
      </w:r>
      <w:r>
        <w:rPr>
          <w:color w:val="auto"/>
          <w:highlight w:val="none"/>
        </w:rPr>
        <w:t>；</w:t>
      </w:r>
    </w:p>
    <w:p>
      <w:pPr>
        <w:numPr>
          <w:ilvl w:val="0"/>
          <w:numId w:val="3"/>
        </w:numPr>
        <w:ind w:left="0" w:firstLine="520"/>
        <w:rPr>
          <w:color w:val="auto"/>
          <w:szCs w:val="26"/>
          <w:highlight w:val="none"/>
        </w:rPr>
      </w:pPr>
      <w:r>
        <w:rPr>
          <w:color w:val="auto"/>
          <w:highlight w:val="none"/>
        </w:rPr>
        <w:t>《中华人民共和国航道法》（</w:t>
      </w:r>
      <w:r>
        <w:rPr>
          <w:rFonts w:hint="eastAsia"/>
          <w:color w:val="auto"/>
          <w:highlight w:val="none"/>
        </w:rPr>
        <w:t>2016年7月2日修正</w:t>
      </w:r>
      <w:r>
        <w:rPr>
          <w:color w:val="auto"/>
          <w:highlight w:val="none"/>
        </w:rPr>
        <w:t>）</w:t>
      </w:r>
      <w:r>
        <w:rPr>
          <w:rFonts w:hint="eastAsia"/>
          <w:color w:val="auto"/>
          <w:szCs w:val="26"/>
          <w:highlight w:val="none"/>
        </w:rPr>
        <w:t>；</w:t>
      </w:r>
    </w:p>
    <w:p>
      <w:pPr>
        <w:numPr>
          <w:ilvl w:val="0"/>
          <w:numId w:val="3"/>
        </w:numPr>
        <w:ind w:left="0" w:firstLine="520"/>
        <w:rPr>
          <w:color w:val="auto"/>
          <w:szCs w:val="26"/>
          <w:highlight w:val="none"/>
        </w:rPr>
      </w:pPr>
      <w:r>
        <w:rPr>
          <w:color w:val="auto"/>
          <w:highlight w:val="none"/>
        </w:rPr>
        <w:t>《中华人民共和国渔业法》</w:t>
      </w:r>
      <w:r>
        <w:rPr>
          <w:rFonts w:hint="eastAsia"/>
          <w:color w:val="auto"/>
          <w:highlight w:val="none"/>
        </w:rPr>
        <w:t>（2013年12月28日第四次修正）</w:t>
      </w:r>
      <w:r>
        <w:rPr>
          <w:rFonts w:hint="eastAsia"/>
          <w:color w:val="auto"/>
          <w:szCs w:val="26"/>
          <w:highlight w:val="none"/>
        </w:rPr>
        <w:t>；</w:t>
      </w:r>
    </w:p>
    <w:p>
      <w:pPr>
        <w:numPr>
          <w:ilvl w:val="0"/>
          <w:numId w:val="3"/>
        </w:numPr>
        <w:ind w:left="0" w:firstLine="520"/>
        <w:rPr>
          <w:color w:val="auto"/>
          <w:szCs w:val="26"/>
          <w:highlight w:val="none"/>
        </w:rPr>
      </w:pPr>
      <w:r>
        <w:rPr>
          <w:rFonts w:hint="eastAsia"/>
          <w:color w:val="auto"/>
          <w:szCs w:val="26"/>
          <w:highlight w:val="none"/>
        </w:rPr>
        <w:t>《</w:t>
      </w:r>
      <w:r>
        <w:rPr>
          <w:color w:val="auto"/>
          <w:highlight w:val="none"/>
        </w:rPr>
        <w:t>中华人民共和国野生动物保护法</w:t>
      </w:r>
      <w:r>
        <w:rPr>
          <w:rFonts w:hint="eastAsia"/>
          <w:color w:val="auto"/>
          <w:szCs w:val="26"/>
          <w:highlight w:val="none"/>
        </w:rPr>
        <w:t>》（2022年12月30日修订）。</w:t>
      </w:r>
    </w:p>
    <w:p>
      <w:pPr>
        <w:pStyle w:val="5"/>
        <w:ind w:firstLine="522"/>
        <w:rPr>
          <w:color w:val="auto"/>
          <w:highlight w:val="none"/>
        </w:rPr>
      </w:pPr>
      <w:r>
        <w:rPr>
          <w:rFonts w:hint="eastAsia"/>
          <w:color w:val="auto"/>
          <w:highlight w:val="none"/>
        </w:rPr>
        <w:t>行政</w:t>
      </w:r>
      <w:r>
        <w:rPr>
          <w:color w:val="auto"/>
          <w:highlight w:val="none"/>
        </w:rPr>
        <w:t>法规</w:t>
      </w:r>
      <w:r>
        <w:rPr>
          <w:rFonts w:hint="eastAsia"/>
          <w:color w:val="auto"/>
          <w:highlight w:val="none"/>
        </w:rPr>
        <w:t>及规范性文件</w:t>
      </w:r>
    </w:p>
    <w:p>
      <w:pPr>
        <w:numPr>
          <w:ilvl w:val="0"/>
          <w:numId w:val="4"/>
        </w:numPr>
        <w:adjustRightInd w:val="0"/>
        <w:snapToGrid w:val="0"/>
        <w:ind w:firstLine="520"/>
        <w:rPr>
          <w:color w:val="auto"/>
          <w:kern w:val="0"/>
          <w:szCs w:val="26"/>
          <w:highlight w:val="none"/>
        </w:rPr>
      </w:pPr>
      <w:r>
        <w:rPr>
          <w:rFonts w:hint="eastAsia"/>
          <w:color w:val="auto"/>
          <w:kern w:val="0"/>
          <w:szCs w:val="26"/>
          <w:highlight w:val="none"/>
        </w:rPr>
        <w:t>《全国主体功能区规划》（国发〔2010〕46号）；</w:t>
      </w:r>
    </w:p>
    <w:p>
      <w:pPr>
        <w:numPr>
          <w:ilvl w:val="0"/>
          <w:numId w:val="4"/>
        </w:numPr>
        <w:adjustRightInd w:val="0"/>
        <w:snapToGrid w:val="0"/>
        <w:ind w:firstLine="520"/>
        <w:rPr>
          <w:color w:val="auto"/>
          <w:kern w:val="0"/>
          <w:szCs w:val="26"/>
          <w:highlight w:val="none"/>
        </w:rPr>
      </w:pPr>
      <w:r>
        <w:rPr>
          <w:rFonts w:hint="eastAsia"/>
          <w:color w:val="auto"/>
          <w:kern w:val="0"/>
          <w:szCs w:val="26"/>
          <w:highlight w:val="none"/>
        </w:rPr>
        <w:t>《中共中央办公厅 国务院办公厅关于加强生态环境分区管控的意见》（2024年3月6日）；</w:t>
      </w:r>
    </w:p>
    <w:p>
      <w:pPr>
        <w:numPr>
          <w:ilvl w:val="0"/>
          <w:numId w:val="4"/>
        </w:numPr>
        <w:adjustRightInd w:val="0"/>
        <w:snapToGrid w:val="0"/>
        <w:ind w:firstLine="520"/>
        <w:rPr>
          <w:color w:val="auto"/>
          <w:kern w:val="0"/>
          <w:szCs w:val="26"/>
          <w:highlight w:val="none"/>
        </w:rPr>
      </w:pPr>
      <w:r>
        <w:rPr>
          <w:rFonts w:hint="eastAsia"/>
          <w:color w:val="auto"/>
          <w:kern w:val="0"/>
          <w:szCs w:val="26"/>
          <w:highlight w:val="none"/>
        </w:rPr>
        <w:t>《中共中央 国务院关于全面推进美丽中国建设的意见》（2023年12月27日）；</w:t>
      </w:r>
    </w:p>
    <w:p>
      <w:pPr>
        <w:numPr>
          <w:ilvl w:val="0"/>
          <w:numId w:val="4"/>
        </w:numPr>
        <w:adjustRightInd w:val="0"/>
        <w:snapToGrid w:val="0"/>
        <w:ind w:firstLine="520"/>
        <w:rPr>
          <w:color w:val="auto"/>
          <w:kern w:val="0"/>
          <w:szCs w:val="26"/>
          <w:highlight w:val="none"/>
        </w:rPr>
      </w:pPr>
      <w:r>
        <w:rPr>
          <w:rFonts w:hint="eastAsia"/>
          <w:color w:val="auto"/>
          <w:szCs w:val="26"/>
          <w:highlight w:val="none"/>
        </w:rPr>
        <w:t>《中共中央 国务院关于深入打好污染防治攻坚战的意见》（2021年11月2日）；</w:t>
      </w:r>
    </w:p>
    <w:p>
      <w:pPr>
        <w:numPr>
          <w:ilvl w:val="0"/>
          <w:numId w:val="4"/>
        </w:numPr>
        <w:adjustRightInd w:val="0"/>
        <w:snapToGrid w:val="0"/>
        <w:ind w:firstLine="520"/>
        <w:rPr>
          <w:color w:val="auto"/>
          <w:kern w:val="0"/>
          <w:szCs w:val="26"/>
          <w:highlight w:val="none"/>
        </w:rPr>
      </w:pPr>
      <w:r>
        <w:rPr>
          <w:rFonts w:hint="eastAsia"/>
          <w:color w:val="auto"/>
          <w:kern w:val="0"/>
          <w:szCs w:val="26"/>
          <w:highlight w:val="none"/>
        </w:rPr>
        <w:t>《交通强国建设纲要》（2019年9月19日）；</w:t>
      </w:r>
    </w:p>
    <w:p>
      <w:pPr>
        <w:numPr>
          <w:ilvl w:val="0"/>
          <w:numId w:val="4"/>
        </w:numPr>
        <w:adjustRightInd w:val="0"/>
        <w:snapToGrid w:val="0"/>
        <w:ind w:firstLine="520"/>
        <w:rPr>
          <w:color w:val="auto"/>
          <w:kern w:val="0"/>
          <w:szCs w:val="26"/>
          <w:highlight w:val="none"/>
        </w:rPr>
      </w:pPr>
      <w:r>
        <w:rPr>
          <w:rFonts w:hint="eastAsia"/>
          <w:color w:val="auto"/>
          <w:kern w:val="0"/>
          <w:szCs w:val="26"/>
          <w:highlight w:val="none"/>
        </w:rPr>
        <w:t>《“十四五”现代综合交通运输体系发展规划》（国发〔2021〕27 号）；</w:t>
      </w:r>
    </w:p>
    <w:p>
      <w:pPr>
        <w:numPr>
          <w:ilvl w:val="0"/>
          <w:numId w:val="4"/>
        </w:numPr>
        <w:adjustRightInd w:val="0"/>
        <w:snapToGrid w:val="0"/>
        <w:ind w:firstLine="520"/>
        <w:rPr>
          <w:color w:val="auto"/>
          <w:kern w:val="0"/>
          <w:szCs w:val="26"/>
          <w:highlight w:val="none"/>
        </w:rPr>
      </w:pPr>
      <w:r>
        <w:rPr>
          <w:color w:val="auto"/>
          <w:kern w:val="0"/>
          <w:szCs w:val="26"/>
          <w:highlight w:val="none"/>
        </w:rPr>
        <w:t>《建设项目环境保护管理条例》（国务院令682号）；</w:t>
      </w:r>
    </w:p>
    <w:p>
      <w:pPr>
        <w:numPr>
          <w:ilvl w:val="0"/>
          <w:numId w:val="4"/>
        </w:numPr>
        <w:adjustRightInd w:val="0"/>
        <w:snapToGrid w:val="0"/>
        <w:ind w:firstLine="520"/>
        <w:rPr>
          <w:color w:val="auto"/>
          <w:kern w:val="0"/>
          <w:szCs w:val="26"/>
          <w:highlight w:val="none"/>
        </w:rPr>
      </w:pPr>
      <w:r>
        <w:rPr>
          <w:color w:val="auto"/>
          <w:highlight w:val="none"/>
        </w:rPr>
        <w:t>《排污许可管理条例》（国务院令第736号）</w:t>
      </w:r>
      <w:r>
        <w:rPr>
          <w:rFonts w:hint="eastAsia"/>
          <w:color w:val="auto"/>
          <w:highlight w:val="none"/>
        </w:rPr>
        <w:t>；</w:t>
      </w:r>
    </w:p>
    <w:p>
      <w:pPr>
        <w:numPr>
          <w:ilvl w:val="0"/>
          <w:numId w:val="4"/>
        </w:numPr>
        <w:adjustRightInd w:val="0"/>
        <w:snapToGrid w:val="0"/>
        <w:ind w:firstLine="520"/>
        <w:rPr>
          <w:color w:val="auto"/>
          <w:kern w:val="0"/>
          <w:szCs w:val="26"/>
          <w:highlight w:val="none"/>
        </w:rPr>
      </w:pPr>
      <w:r>
        <w:rPr>
          <w:color w:val="auto"/>
          <w:kern w:val="0"/>
          <w:szCs w:val="26"/>
          <w:highlight w:val="none"/>
        </w:rPr>
        <w:t>《全国生态环境保护纲要》（国发〔2000〕38号）；</w:t>
      </w:r>
    </w:p>
    <w:p>
      <w:pPr>
        <w:numPr>
          <w:ilvl w:val="0"/>
          <w:numId w:val="4"/>
        </w:numPr>
        <w:adjustRightInd w:val="0"/>
        <w:snapToGrid w:val="0"/>
        <w:ind w:firstLine="520"/>
        <w:rPr>
          <w:color w:val="auto"/>
          <w:kern w:val="0"/>
          <w:szCs w:val="26"/>
          <w:highlight w:val="none"/>
        </w:rPr>
      </w:pPr>
      <w:r>
        <w:rPr>
          <w:color w:val="auto"/>
          <w:kern w:val="0"/>
          <w:szCs w:val="26"/>
          <w:highlight w:val="none"/>
        </w:rPr>
        <w:t>《基本农田保护条例》（2011.1.8修订）；</w:t>
      </w:r>
    </w:p>
    <w:p>
      <w:pPr>
        <w:numPr>
          <w:ilvl w:val="0"/>
          <w:numId w:val="4"/>
        </w:numPr>
        <w:adjustRightInd w:val="0"/>
        <w:snapToGrid w:val="0"/>
        <w:ind w:firstLine="520"/>
        <w:rPr>
          <w:color w:val="auto"/>
          <w:kern w:val="0"/>
          <w:szCs w:val="26"/>
          <w:highlight w:val="none"/>
        </w:rPr>
      </w:pPr>
      <w:r>
        <w:rPr>
          <w:color w:val="auto"/>
          <w:kern w:val="0"/>
          <w:szCs w:val="26"/>
          <w:highlight w:val="none"/>
        </w:rPr>
        <w:t>《土地复垦条例》（国务院令592号）；</w:t>
      </w:r>
    </w:p>
    <w:p>
      <w:pPr>
        <w:numPr>
          <w:ilvl w:val="0"/>
          <w:numId w:val="4"/>
        </w:numPr>
        <w:adjustRightInd w:val="0"/>
        <w:snapToGrid w:val="0"/>
        <w:ind w:firstLine="520"/>
        <w:rPr>
          <w:color w:val="auto"/>
          <w:kern w:val="0"/>
          <w:szCs w:val="26"/>
          <w:highlight w:val="none"/>
        </w:rPr>
      </w:pPr>
      <w:r>
        <w:rPr>
          <w:rFonts w:hint="eastAsia"/>
          <w:color w:val="auto"/>
          <w:highlight w:val="none"/>
        </w:rPr>
        <w:t>《空气质量持续改善行动计划》（国发〔2023〕24号）</w:t>
      </w:r>
      <w:r>
        <w:rPr>
          <w:color w:val="auto"/>
          <w:kern w:val="0"/>
          <w:szCs w:val="26"/>
          <w:highlight w:val="none"/>
        </w:rPr>
        <w:t>；</w:t>
      </w:r>
    </w:p>
    <w:p>
      <w:pPr>
        <w:numPr>
          <w:ilvl w:val="0"/>
          <w:numId w:val="4"/>
        </w:numPr>
        <w:adjustRightInd w:val="0"/>
        <w:snapToGrid w:val="0"/>
        <w:ind w:firstLine="520"/>
        <w:rPr>
          <w:color w:val="auto"/>
          <w:kern w:val="0"/>
          <w:szCs w:val="26"/>
          <w:highlight w:val="none"/>
        </w:rPr>
      </w:pPr>
      <w:r>
        <w:rPr>
          <w:color w:val="auto"/>
          <w:kern w:val="0"/>
          <w:szCs w:val="26"/>
          <w:highlight w:val="none"/>
        </w:rPr>
        <w:t>《中华人民共和国陆生野生动物保护实施条例》（2016</w:t>
      </w:r>
      <w:r>
        <w:rPr>
          <w:rFonts w:hint="eastAsia"/>
          <w:color w:val="auto"/>
          <w:kern w:val="0"/>
          <w:szCs w:val="26"/>
          <w:highlight w:val="none"/>
        </w:rPr>
        <w:t>年</w:t>
      </w:r>
      <w:r>
        <w:rPr>
          <w:color w:val="auto"/>
          <w:kern w:val="0"/>
          <w:szCs w:val="26"/>
          <w:highlight w:val="none"/>
        </w:rPr>
        <w:t>2</w:t>
      </w:r>
      <w:r>
        <w:rPr>
          <w:rFonts w:hint="eastAsia"/>
          <w:color w:val="auto"/>
          <w:kern w:val="0"/>
          <w:szCs w:val="26"/>
          <w:highlight w:val="none"/>
        </w:rPr>
        <w:t>月</w:t>
      </w:r>
      <w:r>
        <w:rPr>
          <w:color w:val="auto"/>
          <w:kern w:val="0"/>
          <w:szCs w:val="26"/>
          <w:highlight w:val="none"/>
        </w:rPr>
        <w:t>6</w:t>
      </w:r>
      <w:r>
        <w:rPr>
          <w:rFonts w:hint="eastAsia"/>
          <w:color w:val="auto"/>
          <w:kern w:val="0"/>
          <w:szCs w:val="26"/>
          <w:highlight w:val="none"/>
        </w:rPr>
        <w:t>日</w:t>
      </w:r>
      <w:r>
        <w:rPr>
          <w:color w:val="auto"/>
          <w:kern w:val="0"/>
          <w:szCs w:val="26"/>
          <w:highlight w:val="none"/>
        </w:rPr>
        <w:t>修订）；</w:t>
      </w:r>
    </w:p>
    <w:p>
      <w:pPr>
        <w:numPr>
          <w:ilvl w:val="0"/>
          <w:numId w:val="4"/>
        </w:numPr>
        <w:adjustRightInd w:val="0"/>
        <w:snapToGrid w:val="0"/>
        <w:ind w:firstLine="520"/>
        <w:rPr>
          <w:color w:val="auto"/>
          <w:kern w:val="0"/>
          <w:szCs w:val="26"/>
          <w:highlight w:val="none"/>
        </w:rPr>
      </w:pPr>
      <w:r>
        <w:rPr>
          <w:color w:val="auto"/>
          <w:kern w:val="0"/>
          <w:szCs w:val="26"/>
          <w:highlight w:val="none"/>
        </w:rPr>
        <w:t>《中华人民共和国野生植物保护条例》（2017年10月7</w:t>
      </w:r>
      <w:r>
        <w:rPr>
          <w:rFonts w:hint="eastAsia"/>
          <w:color w:val="auto"/>
          <w:kern w:val="0"/>
          <w:szCs w:val="26"/>
          <w:highlight w:val="none"/>
        </w:rPr>
        <w:t>日</w:t>
      </w:r>
      <w:r>
        <w:rPr>
          <w:color w:val="auto"/>
          <w:kern w:val="0"/>
          <w:szCs w:val="26"/>
          <w:highlight w:val="none"/>
        </w:rPr>
        <w:t>修订）；</w:t>
      </w:r>
    </w:p>
    <w:p>
      <w:pPr>
        <w:numPr>
          <w:ilvl w:val="0"/>
          <w:numId w:val="4"/>
        </w:numPr>
        <w:adjustRightInd w:val="0"/>
        <w:snapToGrid w:val="0"/>
        <w:ind w:firstLine="520"/>
        <w:rPr>
          <w:color w:val="auto"/>
          <w:kern w:val="0"/>
          <w:szCs w:val="26"/>
          <w:highlight w:val="none"/>
        </w:rPr>
      </w:pPr>
      <w:r>
        <w:rPr>
          <w:color w:val="auto"/>
          <w:kern w:val="0"/>
          <w:szCs w:val="26"/>
          <w:highlight w:val="none"/>
        </w:rPr>
        <w:t>《中华人民共和国河道管理条例》</w:t>
      </w:r>
      <w:r>
        <w:rPr>
          <w:rFonts w:hint="eastAsia"/>
          <w:color w:val="auto"/>
          <w:kern w:val="0"/>
          <w:szCs w:val="26"/>
          <w:highlight w:val="none"/>
        </w:rPr>
        <w:t>（</w:t>
      </w:r>
      <w:r>
        <w:rPr>
          <w:color w:val="auto"/>
          <w:kern w:val="0"/>
          <w:szCs w:val="26"/>
          <w:highlight w:val="none"/>
        </w:rPr>
        <w:t>2017年10月1日修订</w:t>
      </w:r>
      <w:r>
        <w:rPr>
          <w:rFonts w:hint="eastAsia"/>
          <w:color w:val="auto"/>
          <w:kern w:val="0"/>
          <w:szCs w:val="26"/>
          <w:highlight w:val="none"/>
        </w:rPr>
        <w:t>）；</w:t>
      </w:r>
    </w:p>
    <w:p>
      <w:pPr>
        <w:numPr>
          <w:ilvl w:val="0"/>
          <w:numId w:val="4"/>
        </w:numPr>
        <w:adjustRightInd w:val="0"/>
        <w:snapToGrid w:val="0"/>
        <w:ind w:firstLine="520"/>
        <w:rPr>
          <w:color w:val="auto"/>
          <w:kern w:val="0"/>
          <w:szCs w:val="26"/>
          <w:highlight w:val="none"/>
        </w:rPr>
      </w:pPr>
      <w:r>
        <w:rPr>
          <w:rFonts w:hint="eastAsia"/>
          <w:color w:val="auto"/>
          <w:kern w:val="0"/>
          <w:szCs w:val="26"/>
          <w:highlight w:val="none"/>
        </w:rPr>
        <w:t>《中华人民共和国航道管理条例》（2008年12月27日修订）</w:t>
      </w:r>
      <w:r>
        <w:rPr>
          <w:color w:val="auto"/>
          <w:kern w:val="0"/>
          <w:szCs w:val="26"/>
          <w:highlight w:val="none"/>
        </w:rPr>
        <w:t>；</w:t>
      </w:r>
    </w:p>
    <w:p>
      <w:pPr>
        <w:numPr>
          <w:ilvl w:val="0"/>
          <w:numId w:val="4"/>
        </w:numPr>
        <w:adjustRightInd w:val="0"/>
        <w:snapToGrid w:val="0"/>
        <w:ind w:firstLine="520"/>
        <w:rPr>
          <w:color w:val="auto"/>
          <w:kern w:val="0"/>
          <w:szCs w:val="26"/>
          <w:highlight w:val="none"/>
        </w:rPr>
      </w:pPr>
      <w:r>
        <w:rPr>
          <w:rFonts w:hint="eastAsia"/>
          <w:color w:val="auto"/>
          <w:szCs w:val="26"/>
          <w:highlight w:val="none"/>
        </w:rPr>
        <w:t>《中华</w:t>
      </w:r>
      <w:r>
        <w:rPr>
          <w:color w:val="auto"/>
          <w:szCs w:val="26"/>
          <w:highlight w:val="none"/>
        </w:rPr>
        <w:t>人民共和国土地管理法实施条例</w:t>
      </w:r>
      <w:r>
        <w:rPr>
          <w:rFonts w:hint="eastAsia"/>
          <w:color w:val="auto"/>
          <w:szCs w:val="26"/>
          <w:highlight w:val="none"/>
        </w:rPr>
        <w:t>》（</w:t>
      </w:r>
      <w:r>
        <w:rPr>
          <w:color w:val="auto"/>
          <w:szCs w:val="26"/>
          <w:highlight w:val="none"/>
        </w:rPr>
        <w:t>2021年7月2日中华人民共和国国务院令第743号第三次修订</w:t>
      </w:r>
      <w:r>
        <w:rPr>
          <w:rFonts w:hint="eastAsia"/>
          <w:color w:val="auto"/>
          <w:szCs w:val="26"/>
          <w:highlight w:val="none"/>
        </w:rPr>
        <w:t>）；</w:t>
      </w:r>
    </w:p>
    <w:p>
      <w:pPr>
        <w:pStyle w:val="5"/>
        <w:snapToGrid w:val="0"/>
        <w:ind w:firstLine="522"/>
        <w:rPr>
          <w:color w:val="auto"/>
          <w:highlight w:val="none"/>
        </w:rPr>
      </w:pPr>
      <w:r>
        <w:rPr>
          <w:rFonts w:hint="eastAsia"/>
          <w:color w:val="auto"/>
          <w:highlight w:val="none"/>
        </w:rPr>
        <w:t>部门规章</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rPr>
        <w:t>《关于印发成渝地区双城经济圈生态环境保护规划的通知》（环综合〔2022〕12号）；</w:t>
      </w:r>
    </w:p>
    <w:p>
      <w:pPr>
        <w:numPr>
          <w:ilvl w:val="0"/>
          <w:numId w:val="5"/>
        </w:numPr>
        <w:adjustRightInd w:val="0"/>
        <w:snapToGrid w:val="0"/>
        <w:ind w:left="0" w:firstLine="520"/>
        <w:rPr>
          <w:color w:val="auto"/>
          <w:kern w:val="0"/>
          <w:szCs w:val="26"/>
          <w:highlight w:val="none"/>
        </w:rPr>
      </w:pPr>
      <w:r>
        <w:rPr>
          <w:rFonts w:hint="eastAsia"/>
          <w:color w:val="auto"/>
          <w:highlight w:val="none"/>
        </w:rPr>
        <w:t>《</w:t>
      </w:r>
      <w:r>
        <w:rPr>
          <w:rFonts w:hint="eastAsia" w:ascii="宋体" w:hAnsi="宋体" w:cs="宋体"/>
          <w:color w:val="auto"/>
          <w:highlight w:val="none"/>
        </w:rPr>
        <w:t>“十四五”</w:t>
      </w:r>
      <w:r>
        <w:rPr>
          <w:rFonts w:hint="eastAsia"/>
          <w:color w:val="auto"/>
          <w:highlight w:val="none"/>
        </w:rPr>
        <w:t>噪声污染防治行动计划》（环大气〔2023〕1号）；</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rPr>
        <w:t>《关于印发“十四五”土壤、地下水和农村生态环境保护规划的通知》（环土壤〔2021〕120号）；</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lang w:eastAsia="zh-CN"/>
        </w:rPr>
        <w:t>《全国港口与航道布局规划》（发改基础</w:t>
      </w:r>
      <w:r>
        <w:rPr>
          <w:rFonts w:hint="eastAsia"/>
          <w:color w:val="auto"/>
          <w:kern w:val="0"/>
          <w:szCs w:val="26"/>
          <w:highlight w:val="none"/>
        </w:rPr>
        <w:t>〔202</w:t>
      </w:r>
      <w:r>
        <w:rPr>
          <w:rFonts w:hint="eastAsia"/>
          <w:color w:val="auto"/>
          <w:kern w:val="0"/>
          <w:szCs w:val="26"/>
          <w:highlight w:val="none"/>
          <w:lang w:val="en-US" w:eastAsia="zh-CN"/>
        </w:rPr>
        <w:t>3</w:t>
      </w:r>
      <w:r>
        <w:rPr>
          <w:rFonts w:hint="eastAsia"/>
          <w:color w:val="auto"/>
          <w:kern w:val="0"/>
          <w:szCs w:val="26"/>
          <w:highlight w:val="none"/>
        </w:rPr>
        <w:t>〕</w:t>
      </w:r>
      <w:r>
        <w:rPr>
          <w:rFonts w:hint="eastAsia"/>
          <w:color w:val="auto"/>
          <w:kern w:val="0"/>
          <w:szCs w:val="26"/>
          <w:highlight w:val="none"/>
          <w:lang w:val="en-US" w:eastAsia="zh-CN"/>
        </w:rPr>
        <w:t>1026</w:t>
      </w:r>
      <w:r>
        <w:rPr>
          <w:rFonts w:hint="eastAsia"/>
          <w:color w:val="auto"/>
          <w:kern w:val="0"/>
          <w:szCs w:val="26"/>
          <w:highlight w:val="none"/>
        </w:rPr>
        <w:t>号</w:t>
      </w:r>
      <w:r>
        <w:rPr>
          <w:rFonts w:hint="eastAsia"/>
          <w:color w:val="auto"/>
          <w:kern w:val="0"/>
          <w:szCs w:val="26"/>
          <w:highlight w:val="none"/>
          <w:lang w:eastAsia="zh-CN"/>
        </w:rPr>
        <w:t>）；</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rPr>
        <w:t>《水运“十四五”发展规划》（交规划发〔2022〕99号）；</w:t>
      </w:r>
    </w:p>
    <w:p>
      <w:pPr>
        <w:numPr>
          <w:ilvl w:val="0"/>
          <w:numId w:val="5"/>
        </w:numPr>
        <w:adjustRightInd w:val="0"/>
        <w:snapToGrid w:val="0"/>
        <w:ind w:left="0" w:firstLine="520"/>
        <w:rPr>
          <w:color w:val="auto"/>
          <w:kern w:val="0"/>
          <w:szCs w:val="26"/>
          <w:highlight w:val="none"/>
        </w:rPr>
      </w:pPr>
      <w:r>
        <w:rPr>
          <w:color w:val="auto"/>
          <w:kern w:val="0"/>
          <w:szCs w:val="26"/>
          <w:highlight w:val="none"/>
        </w:rPr>
        <w:t>《环境影响评价公众参与办法》（</w:t>
      </w:r>
      <w:r>
        <w:rPr>
          <w:rFonts w:eastAsiaTheme="minorEastAsia"/>
          <w:color w:val="auto"/>
          <w:szCs w:val="26"/>
          <w:highlight w:val="none"/>
        </w:rPr>
        <w:t>生态环境部令 第4号</w:t>
      </w:r>
      <w:r>
        <w:rPr>
          <w:color w:val="auto"/>
          <w:kern w:val="0"/>
          <w:szCs w:val="26"/>
          <w:highlight w:val="none"/>
        </w:rPr>
        <w:t>）；</w:t>
      </w:r>
    </w:p>
    <w:p>
      <w:pPr>
        <w:numPr>
          <w:ilvl w:val="0"/>
          <w:numId w:val="5"/>
        </w:numPr>
        <w:adjustRightInd w:val="0"/>
        <w:snapToGrid w:val="0"/>
        <w:ind w:left="0" w:firstLine="520"/>
        <w:rPr>
          <w:color w:val="auto"/>
          <w:kern w:val="0"/>
          <w:szCs w:val="26"/>
          <w:highlight w:val="none"/>
        </w:rPr>
      </w:pPr>
      <w:r>
        <w:rPr>
          <w:rFonts w:eastAsiaTheme="minorEastAsia"/>
          <w:color w:val="auto"/>
          <w:szCs w:val="26"/>
          <w:highlight w:val="none"/>
        </w:rPr>
        <w:t>《关于发布&lt;环境影响评价公众参与办法&gt;配套文件的公告》（生态环境部公告2018年第48号）；</w:t>
      </w:r>
    </w:p>
    <w:p>
      <w:pPr>
        <w:numPr>
          <w:ilvl w:val="0"/>
          <w:numId w:val="5"/>
        </w:numPr>
        <w:adjustRightInd w:val="0"/>
        <w:snapToGrid w:val="0"/>
        <w:ind w:left="0" w:firstLine="520"/>
        <w:rPr>
          <w:color w:val="auto"/>
          <w:kern w:val="0"/>
          <w:szCs w:val="26"/>
          <w:highlight w:val="none"/>
        </w:rPr>
      </w:pPr>
      <w:r>
        <w:rPr>
          <w:rFonts w:hint="eastAsia"/>
          <w:color w:val="auto"/>
          <w:szCs w:val="26"/>
          <w:highlight w:val="none"/>
        </w:rPr>
        <w:t>《关于进一</w:t>
      </w:r>
      <w:r>
        <w:rPr>
          <w:color w:val="auto"/>
          <w:szCs w:val="26"/>
          <w:highlight w:val="none"/>
        </w:rPr>
        <w:t>步优化环境影响评价工作的意见》（环环评〔2023〕52</w:t>
      </w:r>
      <w:r>
        <w:rPr>
          <w:rFonts w:hint="eastAsia"/>
          <w:color w:val="auto"/>
          <w:szCs w:val="26"/>
          <w:highlight w:val="none"/>
        </w:rPr>
        <w:t xml:space="preserve"> </w:t>
      </w:r>
      <w:r>
        <w:rPr>
          <w:color w:val="auto"/>
          <w:szCs w:val="26"/>
          <w:highlight w:val="none"/>
        </w:rPr>
        <w:t>号）</w:t>
      </w:r>
      <w:r>
        <w:rPr>
          <w:rFonts w:hint="eastAsia"/>
          <w:color w:val="auto"/>
          <w:szCs w:val="26"/>
          <w:highlight w:val="none"/>
        </w:rPr>
        <w:t>；</w:t>
      </w:r>
    </w:p>
    <w:p>
      <w:pPr>
        <w:numPr>
          <w:ilvl w:val="0"/>
          <w:numId w:val="5"/>
        </w:numPr>
        <w:adjustRightInd w:val="0"/>
        <w:snapToGrid w:val="0"/>
        <w:ind w:left="0" w:firstLine="520"/>
        <w:rPr>
          <w:color w:val="auto"/>
          <w:kern w:val="0"/>
          <w:szCs w:val="26"/>
          <w:highlight w:val="none"/>
        </w:rPr>
      </w:pPr>
      <w:r>
        <w:rPr>
          <w:color w:val="auto"/>
          <w:szCs w:val="26"/>
          <w:highlight w:val="none"/>
        </w:rPr>
        <w:t>《关于进一步加强水生生物资源保护 严格环境影响评价管理的通知》</w:t>
      </w:r>
      <w:r>
        <w:rPr>
          <w:rFonts w:hint="eastAsia"/>
          <w:color w:val="auto"/>
          <w:szCs w:val="26"/>
          <w:highlight w:val="none"/>
        </w:rPr>
        <w:t>（</w:t>
      </w:r>
      <w:r>
        <w:rPr>
          <w:color w:val="auto"/>
          <w:szCs w:val="26"/>
          <w:highlight w:val="none"/>
        </w:rPr>
        <w:t>环发</w:t>
      </w:r>
      <w:r>
        <w:rPr>
          <w:rFonts w:hint="eastAsia"/>
          <w:color w:val="auto"/>
          <w:kern w:val="0"/>
          <w:szCs w:val="26"/>
          <w:highlight w:val="none"/>
        </w:rPr>
        <w:t>〔2013〕</w:t>
      </w:r>
      <w:r>
        <w:rPr>
          <w:color w:val="auto"/>
          <w:szCs w:val="26"/>
          <w:highlight w:val="none"/>
        </w:rPr>
        <w:t>86号</w:t>
      </w:r>
      <w:r>
        <w:rPr>
          <w:rFonts w:hint="eastAsia"/>
          <w:color w:val="auto"/>
          <w:szCs w:val="26"/>
          <w:highlight w:val="none"/>
        </w:rPr>
        <w:t>）</w:t>
      </w:r>
      <w:r>
        <w:rPr>
          <w:color w:val="auto"/>
          <w:szCs w:val="26"/>
          <w:highlight w:val="none"/>
        </w:rPr>
        <w:t>；</w:t>
      </w:r>
    </w:p>
    <w:p>
      <w:pPr>
        <w:numPr>
          <w:ilvl w:val="0"/>
          <w:numId w:val="5"/>
        </w:numPr>
        <w:adjustRightInd w:val="0"/>
        <w:snapToGrid w:val="0"/>
        <w:ind w:left="0" w:firstLine="520"/>
        <w:rPr>
          <w:color w:val="auto"/>
          <w:kern w:val="0"/>
          <w:szCs w:val="26"/>
          <w:highlight w:val="none"/>
        </w:rPr>
      </w:pPr>
      <w:r>
        <w:rPr>
          <w:color w:val="auto"/>
          <w:kern w:val="0"/>
          <w:szCs w:val="26"/>
          <w:highlight w:val="none"/>
        </w:rPr>
        <w:t>《突发环境事件应急管理办法》（环境保护部令第34号）；</w:t>
      </w:r>
    </w:p>
    <w:p>
      <w:pPr>
        <w:numPr>
          <w:ilvl w:val="0"/>
          <w:numId w:val="5"/>
        </w:numPr>
        <w:adjustRightInd w:val="0"/>
        <w:snapToGrid w:val="0"/>
        <w:ind w:left="0" w:firstLine="520"/>
        <w:rPr>
          <w:color w:val="auto"/>
          <w:kern w:val="0"/>
          <w:szCs w:val="26"/>
          <w:highlight w:val="none"/>
        </w:rPr>
      </w:pPr>
      <w:r>
        <w:rPr>
          <w:color w:val="auto"/>
          <w:kern w:val="0"/>
          <w:szCs w:val="26"/>
          <w:highlight w:val="none"/>
        </w:rPr>
        <w:t>《关于进一步加强环境影响评价管理防范环境风险的通知》（环发〔2012〕77号）；</w:t>
      </w:r>
    </w:p>
    <w:p>
      <w:pPr>
        <w:numPr>
          <w:ilvl w:val="0"/>
          <w:numId w:val="5"/>
        </w:numPr>
        <w:adjustRightInd w:val="0"/>
        <w:snapToGrid w:val="0"/>
        <w:ind w:left="0" w:firstLine="520"/>
        <w:rPr>
          <w:color w:val="auto"/>
          <w:kern w:val="0"/>
          <w:szCs w:val="26"/>
          <w:highlight w:val="none"/>
        </w:rPr>
      </w:pPr>
      <w:r>
        <w:rPr>
          <w:color w:val="auto"/>
          <w:kern w:val="0"/>
          <w:szCs w:val="26"/>
          <w:highlight w:val="none"/>
        </w:rPr>
        <w:t>《关于切实加强风险防范严格环境影响评价管理的通知》（环发〔2012〕98号）；</w:t>
      </w:r>
    </w:p>
    <w:p>
      <w:pPr>
        <w:numPr>
          <w:ilvl w:val="0"/>
          <w:numId w:val="5"/>
        </w:numPr>
        <w:adjustRightInd w:val="0"/>
        <w:snapToGrid w:val="0"/>
        <w:ind w:left="0" w:firstLine="520"/>
        <w:rPr>
          <w:color w:val="auto"/>
          <w:kern w:val="0"/>
          <w:szCs w:val="26"/>
          <w:highlight w:val="none"/>
        </w:rPr>
      </w:pPr>
      <w:r>
        <w:rPr>
          <w:rFonts w:hint="eastAsia"/>
          <w:color w:val="auto"/>
          <w:szCs w:val="26"/>
          <w:highlight w:val="none"/>
        </w:rPr>
        <w:t>《</w:t>
      </w:r>
      <w:r>
        <w:rPr>
          <w:color w:val="auto"/>
          <w:szCs w:val="26"/>
          <w:highlight w:val="none"/>
        </w:rPr>
        <w:t>关于进一步深化环境影响评价改革的通知》（环环评〔20</w:t>
      </w:r>
      <w:r>
        <w:rPr>
          <w:rFonts w:hint="eastAsia"/>
          <w:color w:val="auto"/>
          <w:szCs w:val="26"/>
          <w:highlight w:val="none"/>
        </w:rPr>
        <w:t>24</w:t>
      </w:r>
      <w:r>
        <w:rPr>
          <w:color w:val="auto"/>
          <w:szCs w:val="26"/>
          <w:highlight w:val="none"/>
        </w:rPr>
        <w:t>〕65</w:t>
      </w:r>
      <w:r>
        <w:rPr>
          <w:rFonts w:hint="eastAsia"/>
          <w:color w:val="auto"/>
          <w:szCs w:val="26"/>
          <w:highlight w:val="none"/>
          <w:lang w:val="en-US" w:eastAsia="zh-CN"/>
        </w:rPr>
        <w:t xml:space="preserve">  </w:t>
      </w:r>
      <w:r>
        <w:rPr>
          <w:color w:val="auto"/>
          <w:szCs w:val="26"/>
          <w:highlight w:val="none"/>
        </w:rPr>
        <w:t>号）</w:t>
      </w:r>
      <w:r>
        <w:rPr>
          <w:rFonts w:hint="eastAsia"/>
          <w:color w:val="auto"/>
          <w:szCs w:val="26"/>
          <w:highlight w:val="none"/>
        </w:rPr>
        <w:t>；</w:t>
      </w:r>
    </w:p>
    <w:p>
      <w:pPr>
        <w:numPr>
          <w:ilvl w:val="0"/>
          <w:numId w:val="5"/>
        </w:numPr>
        <w:adjustRightInd w:val="0"/>
        <w:snapToGrid w:val="0"/>
        <w:ind w:left="0" w:firstLine="520"/>
        <w:rPr>
          <w:color w:val="auto"/>
          <w:kern w:val="0"/>
          <w:szCs w:val="26"/>
          <w:highlight w:val="none"/>
        </w:rPr>
      </w:pPr>
      <w:r>
        <w:rPr>
          <w:color w:val="auto"/>
          <w:szCs w:val="26"/>
          <w:highlight w:val="none"/>
        </w:rPr>
        <w:t>《生态环境分区管控管理暂行规定》（环环评〔20</w:t>
      </w:r>
      <w:r>
        <w:rPr>
          <w:rFonts w:hint="eastAsia"/>
          <w:color w:val="auto"/>
          <w:szCs w:val="26"/>
          <w:highlight w:val="none"/>
        </w:rPr>
        <w:t>24</w:t>
      </w:r>
      <w:r>
        <w:rPr>
          <w:color w:val="auto"/>
          <w:szCs w:val="26"/>
          <w:highlight w:val="none"/>
        </w:rPr>
        <w:t>〕41号）；</w:t>
      </w:r>
    </w:p>
    <w:p>
      <w:pPr>
        <w:numPr>
          <w:ilvl w:val="0"/>
          <w:numId w:val="5"/>
        </w:numPr>
        <w:adjustRightInd w:val="0"/>
        <w:snapToGrid w:val="0"/>
        <w:ind w:left="0" w:firstLine="520"/>
        <w:rPr>
          <w:color w:val="auto"/>
          <w:kern w:val="0"/>
          <w:szCs w:val="26"/>
          <w:highlight w:val="none"/>
        </w:rPr>
      </w:pPr>
      <w:r>
        <w:rPr>
          <w:color w:val="auto"/>
          <w:szCs w:val="26"/>
          <w:highlight w:val="none"/>
        </w:rPr>
        <w:t>《关于进一步加强危险废物环境治理 严密防控环境风险的指导意见》（环固体〔20</w:t>
      </w:r>
      <w:r>
        <w:rPr>
          <w:rFonts w:hint="eastAsia"/>
          <w:color w:val="auto"/>
          <w:szCs w:val="26"/>
          <w:highlight w:val="none"/>
        </w:rPr>
        <w:t>25</w:t>
      </w:r>
      <w:r>
        <w:rPr>
          <w:color w:val="auto"/>
          <w:szCs w:val="26"/>
          <w:highlight w:val="none"/>
        </w:rPr>
        <w:t>〕10号）；</w:t>
      </w:r>
    </w:p>
    <w:p>
      <w:pPr>
        <w:numPr>
          <w:ilvl w:val="0"/>
          <w:numId w:val="5"/>
        </w:numPr>
        <w:adjustRightInd w:val="0"/>
        <w:snapToGrid w:val="0"/>
        <w:ind w:left="0" w:firstLine="520"/>
        <w:rPr>
          <w:color w:val="auto"/>
          <w:kern w:val="0"/>
          <w:szCs w:val="26"/>
          <w:highlight w:val="none"/>
        </w:rPr>
      </w:pPr>
      <w:r>
        <w:rPr>
          <w:color w:val="auto"/>
          <w:kern w:val="0"/>
          <w:szCs w:val="26"/>
          <w:highlight w:val="none"/>
        </w:rPr>
        <w:t>《产业结构调整指导目录》（</w:t>
      </w:r>
      <w:r>
        <w:rPr>
          <w:rFonts w:hint="eastAsia"/>
          <w:color w:val="auto"/>
          <w:kern w:val="0"/>
          <w:szCs w:val="26"/>
          <w:highlight w:val="none"/>
        </w:rPr>
        <w:t>2024年</w:t>
      </w:r>
      <w:r>
        <w:rPr>
          <w:color w:val="auto"/>
          <w:kern w:val="0"/>
          <w:szCs w:val="26"/>
          <w:highlight w:val="none"/>
        </w:rPr>
        <w:t>本）</w:t>
      </w:r>
      <w:r>
        <w:rPr>
          <w:color w:val="auto"/>
          <w:kern w:val="0"/>
          <w:szCs w:val="26"/>
          <w:highlight w:val="none"/>
          <w:shd w:val="clear" w:fill="FFFFFF"/>
        </w:rPr>
        <w:t>》</w:t>
      </w:r>
      <w:r>
        <w:rPr>
          <w:color w:val="auto"/>
          <w:kern w:val="0"/>
          <w:szCs w:val="26"/>
          <w:highlight w:val="none"/>
        </w:rPr>
        <w:t>（</w:t>
      </w:r>
      <w:r>
        <w:rPr>
          <w:rFonts w:hint="eastAsia"/>
          <w:color w:val="auto"/>
          <w:kern w:val="0"/>
          <w:szCs w:val="26"/>
          <w:highlight w:val="none"/>
        </w:rPr>
        <w:t>2024年2月1日起正式施行</w:t>
      </w:r>
      <w:r>
        <w:rPr>
          <w:color w:val="auto"/>
          <w:kern w:val="0"/>
          <w:szCs w:val="26"/>
          <w:highlight w:val="none"/>
        </w:rPr>
        <w:t>）；</w:t>
      </w:r>
    </w:p>
    <w:p>
      <w:pPr>
        <w:numPr>
          <w:ilvl w:val="0"/>
          <w:numId w:val="5"/>
        </w:numPr>
        <w:adjustRightInd w:val="0"/>
        <w:snapToGrid w:val="0"/>
        <w:ind w:left="0" w:firstLine="520"/>
        <w:rPr>
          <w:color w:val="auto"/>
          <w:kern w:val="0"/>
          <w:szCs w:val="26"/>
          <w:highlight w:val="none"/>
        </w:rPr>
      </w:pPr>
      <w:r>
        <w:rPr>
          <w:color w:val="auto"/>
          <w:kern w:val="0"/>
          <w:szCs w:val="26"/>
          <w:highlight w:val="none"/>
        </w:rPr>
        <w:t>《建设项目环境影响评价分类管理名录》（生态环境部令第16号）；</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rPr>
        <w:t>《国家危险废物名录》（2025年版）</w:t>
      </w:r>
      <w:r>
        <w:rPr>
          <w:color w:val="auto"/>
          <w:kern w:val="0"/>
          <w:szCs w:val="26"/>
          <w:highlight w:val="none"/>
        </w:rPr>
        <w:t>；</w:t>
      </w:r>
    </w:p>
    <w:p>
      <w:pPr>
        <w:numPr>
          <w:ilvl w:val="0"/>
          <w:numId w:val="5"/>
        </w:numPr>
        <w:adjustRightInd w:val="0"/>
        <w:snapToGrid w:val="0"/>
        <w:ind w:left="0" w:firstLine="520"/>
        <w:rPr>
          <w:color w:val="auto"/>
          <w:kern w:val="0"/>
          <w:szCs w:val="26"/>
          <w:highlight w:val="none"/>
        </w:rPr>
      </w:pPr>
      <w:r>
        <w:rPr>
          <w:color w:val="auto"/>
          <w:kern w:val="0"/>
          <w:szCs w:val="26"/>
          <w:highlight w:val="none"/>
        </w:rPr>
        <w:t>《</w:t>
      </w:r>
      <w:bookmarkStart w:id="46" w:name="OLE_LINK23"/>
      <w:r>
        <w:rPr>
          <w:color w:val="auto"/>
          <w:kern w:val="0"/>
          <w:szCs w:val="26"/>
          <w:highlight w:val="none"/>
        </w:rPr>
        <w:t>国家重点生态功能保护区规划纲要</w:t>
      </w:r>
      <w:bookmarkEnd w:id="46"/>
      <w:r>
        <w:rPr>
          <w:color w:val="auto"/>
          <w:kern w:val="0"/>
          <w:szCs w:val="26"/>
          <w:highlight w:val="none"/>
        </w:rPr>
        <w:t>》（环发〔2007〕165号）；</w:t>
      </w:r>
    </w:p>
    <w:p>
      <w:pPr>
        <w:numPr>
          <w:ilvl w:val="0"/>
          <w:numId w:val="5"/>
        </w:numPr>
        <w:adjustRightInd w:val="0"/>
        <w:snapToGrid w:val="0"/>
        <w:ind w:left="0" w:firstLine="520"/>
        <w:rPr>
          <w:color w:val="auto"/>
          <w:kern w:val="0"/>
          <w:szCs w:val="26"/>
          <w:highlight w:val="none"/>
        </w:rPr>
      </w:pPr>
      <w:r>
        <w:rPr>
          <w:color w:val="auto"/>
          <w:kern w:val="0"/>
          <w:szCs w:val="26"/>
          <w:highlight w:val="none"/>
        </w:rPr>
        <w:t>《全国生态功能区划（修编版）》</w:t>
      </w:r>
      <w:r>
        <w:rPr>
          <w:rFonts w:hint="eastAsia"/>
          <w:color w:val="auto"/>
          <w:kern w:val="0"/>
          <w:szCs w:val="26"/>
          <w:highlight w:val="none"/>
        </w:rPr>
        <w:t>（</w:t>
      </w:r>
      <w:r>
        <w:rPr>
          <w:color w:val="auto"/>
          <w:kern w:val="0"/>
          <w:szCs w:val="26"/>
          <w:highlight w:val="none"/>
        </w:rPr>
        <w:t>环境保护部、中国科学院公告2015年第61号</w:t>
      </w:r>
      <w:r>
        <w:rPr>
          <w:rFonts w:hint="eastAsia"/>
          <w:color w:val="auto"/>
          <w:kern w:val="0"/>
          <w:szCs w:val="26"/>
          <w:highlight w:val="none"/>
        </w:rPr>
        <w:t>）</w:t>
      </w:r>
      <w:r>
        <w:rPr>
          <w:color w:val="auto"/>
          <w:kern w:val="0"/>
          <w:szCs w:val="26"/>
          <w:highlight w:val="none"/>
        </w:rPr>
        <w:t>；</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rPr>
        <w:t>《自然资源部 生态环境部 国家林业和草原局关于加强生态保护红线管理的通知（试行）》（自然资发〔2022〕142号）</w:t>
      </w:r>
      <w:r>
        <w:rPr>
          <w:rFonts w:hint="eastAsia"/>
          <w:color w:val="auto"/>
          <w:kern w:val="0"/>
          <w:szCs w:val="26"/>
          <w:highlight w:val="none"/>
          <w:lang w:eastAsia="zh-CN"/>
        </w:rPr>
        <w:t>；</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rPr>
        <w:t>《永久基本农田保护红线管理办法》</w:t>
      </w:r>
      <w:r>
        <w:rPr>
          <w:rFonts w:hint="eastAsia"/>
          <w:color w:val="auto"/>
          <w:kern w:val="0"/>
          <w:szCs w:val="26"/>
          <w:highlight w:val="none"/>
          <w:lang w:eastAsia="zh-CN"/>
        </w:rPr>
        <w:t>（2025年10月1日起施行）</w:t>
      </w:r>
      <w:r>
        <w:rPr>
          <w:rFonts w:hint="eastAsia"/>
          <w:color w:val="auto"/>
          <w:kern w:val="0"/>
          <w:szCs w:val="26"/>
          <w:highlight w:val="none"/>
        </w:rPr>
        <w:t>；</w:t>
      </w:r>
    </w:p>
    <w:p>
      <w:pPr>
        <w:numPr>
          <w:ilvl w:val="0"/>
          <w:numId w:val="5"/>
        </w:numPr>
        <w:adjustRightInd w:val="0"/>
        <w:snapToGrid w:val="0"/>
        <w:ind w:left="0" w:firstLine="520"/>
        <w:rPr>
          <w:color w:val="auto"/>
          <w:kern w:val="0"/>
          <w:szCs w:val="26"/>
          <w:highlight w:val="none"/>
        </w:rPr>
      </w:pPr>
      <w:r>
        <w:rPr>
          <w:color w:val="auto"/>
          <w:kern w:val="0"/>
          <w:szCs w:val="26"/>
          <w:highlight w:val="none"/>
        </w:rPr>
        <w:t>《关于规范临时用地管理的通知》（自然资规〔2021〕2号）；</w:t>
      </w:r>
    </w:p>
    <w:p>
      <w:pPr>
        <w:numPr>
          <w:ilvl w:val="0"/>
          <w:numId w:val="5"/>
        </w:numPr>
        <w:adjustRightInd w:val="0"/>
        <w:snapToGrid w:val="0"/>
        <w:ind w:left="0" w:firstLine="520"/>
        <w:rPr>
          <w:color w:val="auto"/>
          <w:kern w:val="0"/>
          <w:szCs w:val="26"/>
          <w:highlight w:val="none"/>
        </w:rPr>
      </w:pPr>
      <w:r>
        <w:rPr>
          <w:color w:val="auto"/>
          <w:kern w:val="0"/>
          <w:szCs w:val="26"/>
          <w:highlight w:val="none"/>
        </w:rPr>
        <w:t>《自然资源部关于进一步做好用地用海要素保障的通知》（自然资发〔2023〕89号）；</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lang w:eastAsia="zh-CN"/>
        </w:rPr>
        <w:t>《自然资源部关于进一步改进优化能源、交通、水利等重大建设项目用地组卷报批工作的通知》（自然资发〔2024〕36号）；</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rPr>
        <w:t>《中华人民共和国防治船舶污染内河水域环境管理规定》（2022年9月26日</w:t>
      </w:r>
      <w:r>
        <w:rPr>
          <w:rFonts w:hint="eastAsia"/>
          <w:color w:val="auto"/>
          <w:kern w:val="0"/>
          <w:szCs w:val="26"/>
          <w:highlight w:val="none"/>
          <w:lang w:eastAsia="zh-CN"/>
        </w:rPr>
        <w:t>修正</w:t>
      </w:r>
      <w:r>
        <w:rPr>
          <w:rFonts w:hint="eastAsia"/>
          <w:color w:val="auto"/>
          <w:kern w:val="0"/>
          <w:szCs w:val="26"/>
          <w:highlight w:val="none"/>
        </w:rPr>
        <w:t>）；</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rPr>
        <w:t>《关于推进长江经济带绿色航运发展的指导意见》（交水发〔2017〕114号）</w:t>
      </w:r>
      <w:r>
        <w:rPr>
          <w:rFonts w:hint="eastAsia"/>
          <w:color w:val="auto"/>
          <w:kern w:val="0"/>
          <w:szCs w:val="26"/>
          <w:highlight w:val="none"/>
          <w:lang w:eastAsia="zh-CN"/>
        </w:rPr>
        <w:t>；</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lang w:eastAsia="zh-CN"/>
        </w:rPr>
        <w:t>《</w:t>
      </w:r>
      <w:r>
        <w:rPr>
          <w:rFonts w:hint="eastAsia"/>
          <w:color w:val="auto"/>
          <w:kern w:val="0"/>
          <w:szCs w:val="26"/>
          <w:highlight w:val="none"/>
          <w:shd w:val="clear" w:fill="FFFFFF"/>
          <w:lang w:eastAsia="zh-CN"/>
        </w:rPr>
        <w:t>关于印发〈</w:t>
      </w:r>
      <w:r>
        <w:rPr>
          <w:rFonts w:hint="eastAsia"/>
          <w:color w:val="auto"/>
          <w:kern w:val="0"/>
          <w:szCs w:val="26"/>
          <w:highlight w:val="none"/>
        </w:rPr>
        <w:t>深入打好长江保护修复攻坚战行动方案</w:t>
      </w:r>
      <w:r>
        <w:rPr>
          <w:rFonts w:hint="eastAsia"/>
          <w:color w:val="auto"/>
          <w:kern w:val="0"/>
          <w:szCs w:val="26"/>
          <w:highlight w:val="none"/>
          <w:shd w:val="clear" w:fill="FFFFFF"/>
          <w:lang w:val="en-US" w:eastAsia="zh-CN"/>
        </w:rPr>
        <w:t>〉的通知》</w:t>
      </w:r>
      <w:r>
        <w:rPr>
          <w:rFonts w:hint="eastAsia"/>
          <w:color w:val="auto"/>
          <w:kern w:val="0"/>
          <w:szCs w:val="26"/>
          <w:highlight w:val="none"/>
          <w:lang w:eastAsia="zh-CN"/>
        </w:rPr>
        <w:t>（环水体〔2022〕55号）</w:t>
      </w:r>
      <w:r>
        <w:rPr>
          <w:rFonts w:hint="eastAsia"/>
          <w:color w:val="auto"/>
          <w:kern w:val="0"/>
          <w:szCs w:val="26"/>
          <w:highlight w:val="none"/>
        </w:rPr>
        <w:t>；</w:t>
      </w:r>
    </w:p>
    <w:p>
      <w:pPr>
        <w:numPr>
          <w:ilvl w:val="0"/>
          <w:numId w:val="5"/>
        </w:numPr>
        <w:adjustRightInd w:val="0"/>
        <w:snapToGrid w:val="0"/>
        <w:ind w:left="0" w:firstLine="520"/>
        <w:rPr>
          <w:color w:val="auto"/>
          <w:kern w:val="0"/>
          <w:szCs w:val="26"/>
          <w:highlight w:val="none"/>
        </w:rPr>
      </w:pPr>
      <w:r>
        <w:rPr>
          <w:rFonts w:hint="eastAsia"/>
          <w:color w:val="auto"/>
          <w:highlight w:val="none"/>
        </w:rPr>
        <w:t>《农业农村部关于做好“十四五”水生生物增殖放流工作的指导意见》（农渔发〔2022〕1号）；</w:t>
      </w:r>
    </w:p>
    <w:p>
      <w:pPr>
        <w:numPr>
          <w:ilvl w:val="0"/>
          <w:numId w:val="5"/>
        </w:numPr>
        <w:adjustRightInd w:val="0"/>
        <w:snapToGrid w:val="0"/>
        <w:ind w:left="0" w:firstLine="520"/>
        <w:rPr>
          <w:color w:val="auto"/>
          <w:kern w:val="0"/>
          <w:szCs w:val="26"/>
          <w:highlight w:val="none"/>
        </w:rPr>
      </w:pPr>
      <w:r>
        <w:rPr>
          <w:rFonts w:hint="eastAsia"/>
          <w:color w:val="auto"/>
          <w:highlight w:val="none"/>
        </w:rPr>
        <w:t>《农业农村部办公厅关于进一步做好水生生物增殖放流工作的通知》（农办渔〔2024〕5号）；</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rPr>
        <w:t>《国家级自然公园管理办法（试行）》（林保规〔2023〕4号）；</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rPr>
        <w:t>《湿地保护管理规定》（2017年12月5日修改）</w:t>
      </w:r>
      <w:r>
        <w:rPr>
          <w:rFonts w:hint="eastAsia"/>
          <w:color w:val="auto"/>
          <w:kern w:val="0"/>
          <w:szCs w:val="26"/>
          <w:highlight w:val="none"/>
          <w:lang w:eastAsia="zh-CN"/>
        </w:rPr>
        <w:t>；</w:t>
      </w:r>
    </w:p>
    <w:p>
      <w:pPr>
        <w:numPr>
          <w:ilvl w:val="0"/>
          <w:numId w:val="5"/>
        </w:numPr>
        <w:adjustRightInd w:val="0"/>
        <w:snapToGrid w:val="0"/>
        <w:ind w:left="0" w:firstLine="520"/>
        <w:rPr>
          <w:color w:val="auto"/>
          <w:kern w:val="0"/>
          <w:szCs w:val="26"/>
          <w:highlight w:val="none"/>
        </w:rPr>
      </w:pPr>
      <w:r>
        <w:rPr>
          <w:color w:val="auto"/>
          <w:kern w:val="0"/>
          <w:szCs w:val="26"/>
          <w:highlight w:val="none"/>
        </w:rPr>
        <w:t>《国家重点保护野生动物名录》（2021</w:t>
      </w:r>
      <w:r>
        <w:rPr>
          <w:rFonts w:hint="eastAsia"/>
          <w:color w:val="auto"/>
          <w:kern w:val="0"/>
          <w:szCs w:val="26"/>
          <w:highlight w:val="none"/>
        </w:rPr>
        <w:t>年</w:t>
      </w:r>
      <w:r>
        <w:rPr>
          <w:color w:val="auto"/>
          <w:kern w:val="0"/>
          <w:szCs w:val="26"/>
          <w:highlight w:val="none"/>
        </w:rPr>
        <w:t>2</w:t>
      </w:r>
      <w:r>
        <w:rPr>
          <w:rFonts w:hint="eastAsia"/>
          <w:color w:val="auto"/>
          <w:kern w:val="0"/>
          <w:szCs w:val="26"/>
          <w:highlight w:val="none"/>
        </w:rPr>
        <w:t>月</w:t>
      </w:r>
      <w:r>
        <w:rPr>
          <w:color w:val="auto"/>
          <w:kern w:val="0"/>
          <w:szCs w:val="26"/>
          <w:highlight w:val="none"/>
        </w:rPr>
        <w:t>5</w:t>
      </w:r>
      <w:r>
        <w:rPr>
          <w:rFonts w:hint="eastAsia"/>
          <w:color w:val="auto"/>
          <w:kern w:val="0"/>
          <w:szCs w:val="26"/>
          <w:highlight w:val="none"/>
        </w:rPr>
        <w:t>日</w:t>
      </w:r>
      <w:r>
        <w:rPr>
          <w:color w:val="auto"/>
          <w:kern w:val="0"/>
          <w:szCs w:val="26"/>
          <w:highlight w:val="none"/>
        </w:rPr>
        <w:t>）</w:t>
      </w:r>
      <w:r>
        <w:rPr>
          <w:rFonts w:hint="eastAsia"/>
          <w:color w:val="auto"/>
          <w:kern w:val="0"/>
          <w:szCs w:val="26"/>
          <w:highlight w:val="none"/>
        </w:rPr>
        <w:t>；</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rPr>
        <w:t>《国家重点保护野生植物名录》（国家林业和草原局 农业农村部公告 2021年第15号）；</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lang w:eastAsia="zh-CN"/>
        </w:rPr>
        <w:t>《</w:t>
      </w:r>
      <w:r>
        <w:rPr>
          <w:rFonts w:hint="eastAsia"/>
          <w:color w:val="auto"/>
          <w:kern w:val="0"/>
          <w:szCs w:val="26"/>
          <w:highlight w:val="none"/>
          <w:shd w:val="clear" w:fill="FFFFFF"/>
          <w:lang w:eastAsia="zh-CN"/>
        </w:rPr>
        <w:t>国家林业局</w:t>
      </w:r>
      <w:r>
        <w:rPr>
          <w:rFonts w:hint="eastAsia"/>
          <w:color w:val="auto"/>
          <w:kern w:val="0"/>
          <w:szCs w:val="26"/>
          <w:highlight w:val="none"/>
          <w:lang w:eastAsia="zh-CN"/>
        </w:rPr>
        <w:t>关于严格保护天然林的通知》（林资发〔2015〕181</w:t>
      </w:r>
      <w:r>
        <w:rPr>
          <w:rFonts w:hint="eastAsia"/>
          <w:color w:val="auto"/>
          <w:kern w:val="0"/>
          <w:szCs w:val="26"/>
          <w:highlight w:val="none"/>
          <w:lang w:val="en-US" w:eastAsia="zh-CN"/>
        </w:rPr>
        <w:t xml:space="preserve"> </w:t>
      </w:r>
      <w:r>
        <w:rPr>
          <w:rFonts w:hint="eastAsia"/>
          <w:color w:val="auto"/>
          <w:kern w:val="0"/>
          <w:szCs w:val="26"/>
          <w:highlight w:val="none"/>
          <w:lang w:eastAsia="zh-CN"/>
        </w:rPr>
        <w:t>号）；</w:t>
      </w:r>
    </w:p>
    <w:p>
      <w:pPr>
        <w:pageBreakBefore w:val="0"/>
        <w:widowControl w:val="0"/>
        <w:numPr>
          <w:ilvl w:val="0"/>
          <w:numId w:val="5"/>
        </w:numPr>
        <w:kinsoku/>
        <w:wordWrap/>
        <w:overflowPunct/>
        <w:topLinePunct w:val="0"/>
        <w:autoSpaceDE/>
        <w:autoSpaceDN/>
        <w:bidi w:val="0"/>
        <w:adjustRightInd w:val="0"/>
        <w:snapToGrid w:val="0"/>
        <w:spacing w:line="480" w:lineRule="exact"/>
        <w:ind w:left="0" w:firstLine="520"/>
        <w:textAlignment w:val="auto"/>
        <w:rPr>
          <w:color w:val="auto"/>
          <w:kern w:val="0"/>
          <w:szCs w:val="26"/>
          <w:highlight w:val="none"/>
        </w:rPr>
      </w:pPr>
      <w:r>
        <w:rPr>
          <w:rFonts w:hint="eastAsia"/>
          <w:color w:val="auto"/>
          <w:kern w:val="0"/>
          <w:szCs w:val="26"/>
          <w:highlight w:val="none"/>
        </w:rPr>
        <w:t>《</w:t>
      </w:r>
      <w:r>
        <w:rPr>
          <w:rFonts w:hint="eastAsia"/>
          <w:color w:val="auto"/>
          <w:kern w:val="0"/>
          <w:szCs w:val="26"/>
          <w:highlight w:val="none"/>
          <w:shd w:val="clear" w:fill="FFFFFF"/>
        </w:rPr>
        <w:t>中共中央办公厅</w:t>
      </w:r>
      <w:r>
        <w:rPr>
          <w:rFonts w:hint="eastAsia"/>
          <w:color w:val="auto"/>
          <w:kern w:val="0"/>
          <w:szCs w:val="26"/>
          <w:highlight w:val="none"/>
          <w:shd w:val="clear" w:fill="FFFFFF"/>
          <w:lang w:val="en-US" w:eastAsia="zh-CN"/>
        </w:rPr>
        <w:t xml:space="preserve"> </w:t>
      </w:r>
      <w:r>
        <w:rPr>
          <w:rFonts w:hint="eastAsia"/>
          <w:color w:val="auto"/>
          <w:kern w:val="0"/>
          <w:szCs w:val="26"/>
          <w:highlight w:val="none"/>
          <w:shd w:val="clear" w:fill="FFFFFF"/>
        </w:rPr>
        <w:t>国务院办公厅</w:t>
      </w:r>
      <w:r>
        <w:rPr>
          <w:rFonts w:hint="eastAsia"/>
          <w:color w:val="auto"/>
          <w:kern w:val="0"/>
          <w:szCs w:val="26"/>
          <w:highlight w:val="none"/>
        </w:rPr>
        <w:t>关于印发〈天然林保护修复制度方案〉的通知》（厅</w:t>
      </w:r>
      <w:r>
        <w:rPr>
          <w:color w:val="auto"/>
          <w:kern w:val="0"/>
          <w:szCs w:val="26"/>
          <w:highlight w:val="none"/>
        </w:rPr>
        <w:t>字〔2019〕39号</w:t>
      </w:r>
      <w:r>
        <w:rPr>
          <w:rFonts w:hint="eastAsia"/>
          <w:color w:val="auto"/>
          <w:kern w:val="0"/>
          <w:szCs w:val="26"/>
          <w:highlight w:val="none"/>
        </w:rPr>
        <w:t>）；</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rPr>
        <w:t>《</w:t>
      </w:r>
      <w:r>
        <w:rPr>
          <w:rFonts w:hint="eastAsia"/>
          <w:color w:val="auto"/>
          <w:szCs w:val="26"/>
          <w:highlight w:val="none"/>
          <w:shd w:val="clear" w:fill="FFFFFF"/>
        </w:rPr>
        <w:t>国家林业局</w:t>
      </w:r>
      <w:r>
        <w:rPr>
          <w:rFonts w:hint="eastAsia"/>
          <w:color w:val="auto"/>
          <w:szCs w:val="26"/>
          <w:highlight w:val="none"/>
        </w:rPr>
        <w:t>关于严格保护天然林的通知</w:t>
      </w:r>
      <w:r>
        <w:rPr>
          <w:rFonts w:hint="eastAsia"/>
          <w:color w:val="auto"/>
          <w:kern w:val="0"/>
          <w:szCs w:val="26"/>
          <w:highlight w:val="none"/>
        </w:rPr>
        <w:t>》（</w:t>
      </w:r>
      <w:r>
        <w:rPr>
          <w:rFonts w:hint="eastAsia"/>
          <w:color w:val="auto"/>
          <w:szCs w:val="26"/>
          <w:highlight w:val="none"/>
        </w:rPr>
        <w:t>林资发〔2015〕181</w:t>
      </w:r>
      <w:r>
        <w:rPr>
          <w:rFonts w:hint="eastAsia"/>
          <w:color w:val="auto"/>
          <w:szCs w:val="26"/>
          <w:highlight w:val="none"/>
          <w:lang w:val="en-US" w:eastAsia="zh-CN"/>
        </w:rPr>
        <w:t xml:space="preserve"> </w:t>
      </w:r>
      <w:r>
        <w:rPr>
          <w:rFonts w:hint="eastAsia"/>
          <w:color w:val="auto"/>
          <w:szCs w:val="26"/>
          <w:highlight w:val="none"/>
        </w:rPr>
        <w:t>号</w:t>
      </w:r>
      <w:r>
        <w:rPr>
          <w:rFonts w:hint="eastAsia"/>
          <w:color w:val="auto"/>
          <w:kern w:val="0"/>
          <w:szCs w:val="26"/>
          <w:highlight w:val="none"/>
        </w:rPr>
        <w:t>）</w:t>
      </w:r>
      <w:r>
        <w:rPr>
          <w:rFonts w:hint="eastAsia"/>
          <w:color w:val="auto"/>
          <w:kern w:val="0"/>
          <w:szCs w:val="26"/>
          <w:highlight w:val="none"/>
          <w:lang w:eastAsia="zh-CN"/>
        </w:rPr>
        <w:t>；</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rPr>
        <w:t>《关于进一步加强生物多样性保护的意见》（中共中央办公厅、国务院办公厅）；</w:t>
      </w:r>
    </w:p>
    <w:p>
      <w:pPr>
        <w:numPr>
          <w:ilvl w:val="0"/>
          <w:numId w:val="5"/>
        </w:numPr>
        <w:adjustRightInd w:val="0"/>
        <w:snapToGrid w:val="0"/>
        <w:ind w:left="0" w:firstLine="520"/>
        <w:rPr>
          <w:color w:val="auto"/>
          <w:kern w:val="0"/>
          <w:szCs w:val="26"/>
          <w:highlight w:val="none"/>
        </w:rPr>
      </w:pPr>
      <w:r>
        <w:rPr>
          <w:rFonts w:hint="eastAsia"/>
          <w:color w:val="auto"/>
          <w:kern w:val="0"/>
          <w:szCs w:val="26"/>
          <w:highlight w:val="none"/>
        </w:rPr>
        <w:t>《长江水生生物保护管理规定》（中华人民共和国农业农村部令 2021年第5号）；</w:t>
      </w:r>
    </w:p>
    <w:p>
      <w:pPr>
        <w:numPr>
          <w:ilvl w:val="0"/>
          <w:numId w:val="5"/>
        </w:numPr>
        <w:adjustRightInd w:val="0"/>
        <w:snapToGrid w:val="0"/>
        <w:ind w:left="0" w:firstLine="520"/>
        <w:rPr>
          <w:color w:val="auto"/>
          <w:kern w:val="0"/>
          <w:szCs w:val="26"/>
          <w:highlight w:val="none"/>
        </w:rPr>
      </w:pPr>
      <w:r>
        <w:rPr>
          <w:bCs/>
          <w:color w:val="auto"/>
          <w:szCs w:val="26"/>
          <w:highlight w:val="none"/>
        </w:rPr>
        <w:t>《</w:t>
      </w:r>
      <w:r>
        <w:rPr>
          <w:rFonts w:hint="eastAsia"/>
          <w:bCs/>
          <w:color w:val="auto"/>
          <w:szCs w:val="26"/>
          <w:highlight w:val="none"/>
        </w:rPr>
        <w:t>长江经济带发展负面清单指南（试行，2</w:t>
      </w:r>
      <w:r>
        <w:rPr>
          <w:bCs/>
          <w:color w:val="auto"/>
          <w:szCs w:val="26"/>
          <w:highlight w:val="none"/>
        </w:rPr>
        <w:t>022</w:t>
      </w:r>
      <w:r>
        <w:rPr>
          <w:rFonts w:hint="eastAsia"/>
          <w:bCs/>
          <w:color w:val="auto"/>
          <w:szCs w:val="26"/>
          <w:highlight w:val="none"/>
        </w:rPr>
        <w:t>年版）</w:t>
      </w:r>
      <w:r>
        <w:rPr>
          <w:bCs/>
          <w:color w:val="auto"/>
          <w:szCs w:val="26"/>
          <w:highlight w:val="none"/>
        </w:rPr>
        <w:t>》（长江办</w:t>
      </w:r>
      <w:r>
        <w:rPr>
          <w:rFonts w:hint="eastAsia"/>
          <w:color w:val="auto"/>
          <w:szCs w:val="26"/>
          <w:highlight w:val="none"/>
        </w:rPr>
        <w:t>〔20</w:t>
      </w:r>
      <w:r>
        <w:rPr>
          <w:color w:val="auto"/>
          <w:szCs w:val="26"/>
          <w:highlight w:val="none"/>
        </w:rPr>
        <w:t>22</w:t>
      </w:r>
      <w:r>
        <w:rPr>
          <w:rFonts w:hint="eastAsia"/>
          <w:color w:val="auto"/>
          <w:szCs w:val="26"/>
          <w:highlight w:val="none"/>
        </w:rPr>
        <w:t>〕</w:t>
      </w:r>
      <w:r>
        <w:rPr>
          <w:color w:val="auto"/>
          <w:szCs w:val="26"/>
          <w:highlight w:val="none"/>
        </w:rPr>
        <w:t>7</w:t>
      </w:r>
      <w:r>
        <w:rPr>
          <w:rFonts w:hint="eastAsia"/>
          <w:color w:val="auto"/>
          <w:szCs w:val="26"/>
          <w:highlight w:val="none"/>
        </w:rPr>
        <w:t>号</w:t>
      </w:r>
      <w:r>
        <w:rPr>
          <w:rFonts w:hint="eastAsia"/>
          <w:bCs/>
          <w:color w:val="auto"/>
          <w:szCs w:val="26"/>
          <w:highlight w:val="none"/>
        </w:rPr>
        <w:t>）；</w:t>
      </w:r>
    </w:p>
    <w:p>
      <w:pPr>
        <w:numPr>
          <w:ilvl w:val="0"/>
          <w:numId w:val="5"/>
        </w:numPr>
        <w:adjustRightInd w:val="0"/>
        <w:snapToGrid w:val="0"/>
        <w:ind w:left="0" w:firstLine="520"/>
        <w:rPr>
          <w:color w:val="auto"/>
          <w:kern w:val="0"/>
          <w:szCs w:val="26"/>
          <w:highlight w:val="none"/>
        </w:rPr>
      </w:pPr>
      <w:r>
        <w:rPr>
          <w:rFonts w:hint="eastAsia"/>
          <w:bCs/>
          <w:color w:val="auto"/>
          <w:szCs w:val="26"/>
          <w:highlight w:val="none"/>
        </w:rPr>
        <w:t>《河湖生态流量管理办法（试行）》（2025年6月18日）。</w:t>
      </w:r>
    </w:p>
    <w:p>
      <w:pPr>
        <w:pStyle w:val="5"/>
        <w:snapToGrid w:val="0"/>
        <w:ind w:firstLine="522"/>
        <w:rPr>
          <w:color w:val="auto"/>
          <w:highlight w:val="none"/>
        </w:rPr>
      </w:pPr>
      <w:r>
        <w:rPr>
          <w:rFonts w:hint="eastAsia"/>
          <w:color w:val="auto"/>
          <w:highlight w:val="none"/>
          <w:shd w:val="clear" w:fill="FFFFFF"/>
        </w:rPr>
        <w:t>地方法规</w:t>
      </w:r>
      <w:r>
        <w:rPr>
          <w:rFonts w:hint="eastAsia"/>
          <w:color w:val="auto"/>
          <w:highlight w:val="none"/>
        </w:rPr>
        <w:t>、行政规章、规范性文件</w:t>
      </w:r>
    </w:p>
    <w:p>
      <w:pPr>
        <w:numPr>
          <w:ilvl w:val="0"/>
          <w:numId w:val="6"/>
        </w:numPr>
        <w:snapToGrid w:val="0"/>
        <w:ind w:firstLine="520"/>
        <w:rPr>
          <w:color w:val="auto"/>
          <w:highlight w:val="none"/>
        </w:rPr>
      </w:pPr>
      <w:r>
        <w:rPr>
          <w:color w:val="auto"/>
          <w:highlight w:val="none"/>
        </w:rPr>
        <w:t>《重庆市环境保护条例》（</w:t>
      </w:r>
      <w:r>
        <w:rPr>
          <w:rFonts w:hint="eastAsia"/>
          <w:color w:val="auto"/>
          <w:szCs w:val="26"/>
          <w:highlight w:val="none"/>
        </w:rPr>
        <w:t>2025年7月31日</w:t>
      </w:r>
      <w:r>
        <w:rPr>
          <w:color w:val="auto"/>
          <w:szCs w:val="26"/>
          <w:highlight w:val="none"/>
        </w:rPr>
        <w:t>第</w:t>
      </w:r>
      <w:r>
        <w:rPr>
          <w:rFonts w:hint="eastAsia"/>
          <w:color w:val="auto"/>
          <w:szCs w:val="26"/>
          <w:highlight w:val="none"/>
          <w:lang w:eastAsia="zh-CN"/>
        </w:rPr>
        <w:t>四</w:t>
      </w:r>
      <w:r>
        <w:rPr>
          <w:color w:val="auto"/>
          <w:szCs w:val="26"/>
          <w:highlight w:val="none"/>
        </w:rPr>
        <w:t>次修正</w:t>
      </w:r>
      <w:r>
        <w:rPr>
          <w:color w:val="auto"/>
          <w:highlight w:val="none"/>
        </w:rPr>
        <w:t>）；</w:t>
      </w:r>
    </w:p>
    <w:p>
      <w:pPr>
        <w:numPr>
          <w:ilvl w:val="0"/>
          <w:numId w:val="6"/>
        </w:numPr>
        <w:snapToGrid w:val="0"/>
        <w:ind w:firstLine="520"/>
        <w:rPr>
          <w:color w:val="auto"/>
          <w:highlight w:val="none"/>
        </w:rPr>
      </w:pPr>
      <w:r>
        <w:rPr>
          <w:color w:val="auto"/>
          <w:szCs w:val="26"/>
          <w:highlight w:val="none"/>
        </w:rPr>
        <w:t>《重庆市水污染防治条例》（2020年10月1日起施行）；</w:t>
      </w:r>
    </w:p>
    <w:p>
      <w:pPr>
        <w:numPr>
          <w:ilvl w:val="0"/>
          <w:numId w:val="6"/>
        </w:numPr>
        <w:snapToGrid w:val="0"/>
        <w:ind w:firstLine="520"/>
        <w:rPr>
          <w:color w:val="auto"/>
          <w:highlight w:val="none"/>
        </w:rPr>
      </w:pPr>
      <w:r>
        <w:rPr>
          <w:color w:val="auto"/>
          <w:szCs w:val="26"/>
          <w:highlight w:val="none"/>
        </w:rPr>
        <w:t>《重庆市大气污染防治条例》（2021年5月27日第二次修正）；</w:t>
      </w:r>
    </w:p>
    <w:p>
      <w:pPr>
        <w:numPr>
          <w:ilvl w:val="0"/>
          <w:numId w:val="6"/>
        </w:numPr>
        <w:snapToGrid w:val="0"/>
        <w:ind w:firstLine="520"/>
        <w:rPr>
          <w:color w:val="auto"/>
          <w:highlight w:val="none"/>
        </w:rPr>
      </w:pPr>
      <w:r>
        <w:rPr>
          <w:color w:val="auto"/>
          <w:szCs w:val="26"/>
          <w:highlight w:val="none"/>
        </w:rPr>
        <w:t>《重庆市土地管理条例》（2025年1月1日起施行）；</w:t>
      </w:r>
    </w:p>
    <w:p>
      <w:pPr>
        <w:numPr>
          <w:ilvl w:val="0"/>
          <w:numId w:val="6"/>
        </w:numPr>
        <w:snapToGrid w:val="0"/>
        <w:ind w:firstLine="520"/>
        <w:rPr>
          <w:color w:val="auto"/>
          <w:highlight w:val="none"/>
        </w:rPr>
      </w:pPr>
      <w:r>
        <w:rPr>
          <w:rFonts w:hint="eastAsia"/>
          <w:color w:val="auto"/>
          <w:highlight w:val="none"/>
        </w:rPr>
        <w:t>《重庆市船舶污染防治条例》（2025年1月1日起施行）；</w:t>
      </w:r>
    </w:p>
    <w:p>
      <w:pPr>
        <w:numPr>
          <w:ilvl w:val="0"/>
          <w:numId w:val="6"/>
        </w:numPr>
        <w:snapToGrid w:val="0"/>
        <w:ind w:firstLine="520"/>
        <w:rPr>
          <w:color w:val="auto"/>
          <w:highlight w:val="none"/>
        </w:rPr>
      </w:pPr>
      <w:r>
        <w:rPr>
          <w:rFonts w:hint="eastAsia"/>
          <w:color w:val="auto"/>
          <w:highlight w:val="none"/>
        </w:rPr>
        <w:t>《</w:t>
      </w:r>
      <w:r>
        <w:rPr>
          <w:color w:val="auto"/>
          <w:highlight w:val="none"/>
        </w:rPr>
        <w:t>重庆市河道管理条例</w:t>
      </w:r>
      <w:r>
        <w:rPr>
          <w:rFonts w:hint="eastAsia"/>
          <w:color w:val="auto"/>
          <w:highlight w:val="none"/>
        </w:rPr>
        <w:t>》（2018年7月26日第五次修正）；</w:t>
      </w:r>
    </w:p>
    <w:p>
      <w:pPr>
        <w:numPr>
          <w:ilvl w:val="0"/>
          <w:numId w:val="6"/>
        </w:numPr>
        <w:snapToGrid w:val="0"/>
        <w:ind w:firstLine="520"/>
        <w:rPr>
          <w:color w:val="auto"/>
          <w:highlight w:val="none"/>
        </w:rPr>
      </w:pPr>
      <w:r>
        <w:rPr>
          <w:rFonts w:hint="eastAsia"/>
          <w:color w:val="auto"/>
          <w:highlight w:val="none"/>
        </w:rPr>
        <w:t>《重庆市湿地保护条例》（2019年12月1日起施行）；</w:t>
      </w:r>
    </w:p>
    <w:p>
      <w:pPr>
        <w:numPr>
          <w:ilvl w:val="0"/>
          <w:numId w:val="6"/>
        </w:numPr>
        <w:snapToGrid w:val="0"/>
        <w:ind w:firstLine="520"/>
        <w:rPr>
          <w:color w:val="auto"/>
          <w:highlight w:val="none"/>
        </w:rPr>
      </w:pPr>
      <w:r>
        <w:rPr>
          <w:color w:val="auto"/>
          <w:szCs w:val="26"/>
          <w:highlight w:val="none"/>
        </w:rPr>
        <w:t>《重庆市噪声污染防治办法》（重庆市人民政府令第363号）；</w:t>
      </w:r>
    </w:p>
    <w:p>
      <w:pPr>
        <w:numPr>
          <w:ilvl w:val="0"/>
          <w:numId w:val="6"/>
        </w:numPr>
        <w:snapToGrid w:val="0"/>
        <w:ind w:firstLine="520"/>
        <w:rPr>
          <w:color w:val="auto"/>
          <w:highlight w:val="none"/>
        </w:rPr>
      </w:pPr>
      <w:r>
        <w:rPr>
          <w:rFonts w:hint="eastAsia"/>
          <w:color w:val="auto"/>
          <w:highlight w:val="none"/>
        </w:rPr>
        <w:t>《重庆市人民政府关于印发重庆市国民经济和社会发展第十四个五年规划和二〇三五年远景目标纲要的通知》（渝府发〔2021〕6号）；</w:t>
      </w:r>
    </w:p>
    <w:p>
      <w:pPr>
        <w:numPr>
          <w:ilvl w:val="0"/>
          <w:numId w:val="6"/>
        </w:numPr>
        <w:snapToGrid w:val="0"/>
        <w:ind w:firstLine="520"/>
        <w:rPr>
          <w:color w:val="auto"/>
          <w:highlight w:val="none"/>
        </w:rPr>
      </w:pPr>
      <w:r>
        <w:rPr>
          <w:rFonts w:hint="eastAsia"/>
          <w:color w:val="auto"/>
          <w:highlight w:val="none"/>
        </w:rPr>
        <w:t>《</w:t>
      </w:r>
      <w:r>
        <w:rPr>
          <w:color w:val="auto"/>
          <w:highlight w:val="none"/>
        </w:rPr>
        <w:t>重庆市人民政府关于印发重庆市生态环境保护“十四五”规划（2021—2025 年）的通知》（渝府发〔2022〕11号）；</w:t>
      </w:r>
    </w:p>
    <w:p>
      <w:pPr>
        <w:numPr>
          <w:ilvl w:val="0"/>
          <w:numId w:val="6"/>
        </w:numPr>
        <w:snapToGrid w:val="0"/>
        <w:ind w:firstLine="520"/>
        <w:rPr>
          <w:color w:val="auto"/>
          <w:highlight w:val="none"/>
        </w:rPr>
      </w:pPr>
      <w:r>
        <w:rPr>
          <w:bCs/>
          <w:color w:val="auto"/>
          <w:szCs w:val="26"/>
          <w:highlight w:val="none"/>
        </w:rPr>
        <w:t>《重庆市人民政府关于落实生态保护红线、环境质量底线、资源利用上线制定生态环境准入清单实施生态环境分区管控的实施意见》（渝府发〔2020〕11号）；</w:t>
      </w:r>
    </w:p>
    <w:p>
      <w:pPr>
        <w:numPr>
          <w:ilvl w:val="0"/>
          <w:numId w:val="6"/>
        </w:numPr>
        <w:snapToGrid w:val="0"/>
        <w:ind w:firstLine="520"/>
        <w:rPr>
          <w:color w:val="auto"/>
          <w:highlight w:val="none"/>
        </w:rPr>
      </w:pPr>
      <w:r>
        <w:rPr>
          <w:bCs/>
          <w:color w:val="auto"/>
          <w:szCs w:val="26"/>
          <w:highlight w:val="none"/>
        </w:rPr>
        <w:t>《重庆市</w:t>
      </w:r>
      <w:r>
        <w:rPr>
          <w:rFonts w:hint="eastAsia" w:ascii="宋体" w:hAnsi="宋体" w:cs="宋体"/>
          <w:bCs/>
          <w:color w:val="auto"/>
          <w:szCs w:val="26"/>
          <w:highlight w:val="none"/>
        </w:rPr>
        <w:t>“三线一单”生</w:t>
      </w:r>
      <w:r>
        <w:rPr>
          <w:bCs/>
          <w:color w:val="auto"/>
          <w:szCs w:val="26"/>
          <w:highlight w:val="none"/>
        </w:rPr>
        <w:t>态环境分区管控调整方案（2023年）》（渝环规〔2024〕2号）；</w:t>
      </w:r>
    </w:p>
    <w:p>
      <w:pPr>
        <w:numPr>
          <w:ilvl w:val="0"/>
          <w:numId w:val="6"/>
        </w:numPr>
        <w:snapToGrid w:val="0"/>
        <w:ind w:firstLine="520"/>
        <w:rPr>
          <w:color w:val="auto"/>
          <w:highlight w:val="none"/>
        </w:rPr>
      </w:pPr>
      <w:r>
        <w:rPr>
          <w:bCs/>
          <w:color w:val="auto"/>
          <w:szCs w:val="22"/>
          <w:highlight w:val="none"/>
        </w:rPr>
        <w:t>《四川省、重庆市长江经济带发展负面清单实施细则（试行，2022年版）》</w:t>
      </w:r>
      <w:r>
        <w:rPr>
          <w:rFonts w:hint="eastAsia"/>
          <w:bCs/>
          <w:color w:val="auto"/>
          <w:szCs w:val="22"/>
          <w:highlight w:val="none"/>
        </w:rPr>
        <w:t>；</w:t>
      </w:r>
    </w:p>
    <w:p>
      <w:pPr>
        <w:numPr>
          <w:ilvl w:val="0"/>
          <w:numId w:val="6"/>
        </w:numPr>
        <w:snapToGrid w:val="0"/>
        <w:ind w:firstLine="520"/>
        <w:rPr>
          <w:color w:val="auto"/>
          <w:highlight w:val="none"/>
        </w:rPr>
      </w:pPr>
      <w:r>
        <w:rPr>
          <w:rFonts w:hint="eastAsia"/>
          <w:color w:val="auto"/>
          <w:szCs w:val="26"/>
          <w:highlight w:val="none"/>
        </w:rPr>
        <w:t>《共建长江上游航运中心实施方案》（渝府办发〔2022〕82号）</w:t>
      </w:r>
      <w:r>
        <w:rPr>
          <w:color w:val="auto"/>
          <w:szCs w:val="26"/>
          <w:highlight w:val="none"/>
        </w:rPr>
        <w:t>；</w:t>
      </w:r>
    </w:p>
    <w:p>
      <w:pPr>
        <w:numPr>
          <w:ilvl w:val="0"/>
          <w:numId w:val="6"/>
        </w:numPr>
        <w:snapToGrid w:val="0"/>
        <w:ind w:firstLine="520"/>
        <w:rPr>
          <w:color w:val="auto"/>
          <w:highlight w:val="none"/>
        </w:rPr>
      </w:pPr>
      <w:r>
        <w:rPr>
          <w:color w:val="auto"/>
          <w:szCs w:val="26"/>
          <w:highlight w:val="none"/>
        </w:rPr>
        <w:t>《重庆市人民政府关于印发重庆市筑牢长江上游重要生态屏障“十四五”建设规划（2021—2025年）的通知》（渝府发〔2021〕12号）；</w:t>
      </w:r>
    </w:p>
    <w:p>
      <w:pPr>
        <w:numPr>
          <w:ilvl w:val="0"/>
          <w:numId w:val="6"/>
        </w:numPr>
        <w:snapToGrid w:val="0"/>
        <w:ind w:firstLine="520"/>
        <w:rPr>
          <w:color w:val="auto"/>
          <w:highlight w:val="none"/>
        </w:rPr>
      </w:pPr>
      <w:r>
        <w:rPr>
          <w:color w:val="auto"/>
          <w:highlight w:val="none"/>
        </w:rPr>
        <w:t>《重庆市生态功能区划（修编）》（渝府〔2008〕133号）；</w:t>
      </w:r>
    </w:p>
    <w:p>
      <w:pPr>
        <w:numPr>
          <w:ilvl w:val="0"/>
          <w:numId w:val="6"/>
        </w:numPr>
        <w:snapToGrid w:val="0"/>
        <w:ind w:firstLine="520"/>
        <w:rPr>
          <w:color w:val="auto"/>
          <w:highlight w:val="none"/>
        </w:rPr>
      </w:pPr>
      <w:r>
        <w:rPr>
          <w:color w:val="auto"/>
          <w:szCs w:val="26"/>
          <w:highlight w:val="none"/>
        </w:rPr>
        <w:t>《重庆市人民政府办公厅关于公布水土流失重点预防区和重点治理区复核划分成果的通知》（渝府办发〔2015〕197号）；</w:t>
      </w:r>
    </w:p>
    <w:p>
      <w:pPr>
        <w:numPr>
          <w:ilvl w:val="0"/>
          <w:numId w:val="6"/>
        </w:numPr>
        <w:snapToGrid w:val="0"/>
        <w:ind w:firstLine="520"/>
        <w:rPr>
          <w:color w:val="auto"/>
          <w:highlight w:val="none"/>
        </w:rPr>
      </w:pPr>
      <w:r>
        <w:rPr>
          <w:color w:val="auto"/>
          <w:highlight w:val="none"/>
        </w:rPr>
        <w:t>《重庆市水土保</w:t>
      </w:r>
      <w:r>
        <w:rPr>
          <w:rFonts w:hint="eastAsia" w:ascii="宋体" w:hAnsi="宋体" w:cs="宋体"/>
          <w:color w:val="auto"/>
          <w:highlight w:val="none"/>
        </w:rPr>
        <w:t>持“十四五”规</w:t>
      </w:r>
      <w:r>
        <w:rPr>
          <w:color w:val="auto"/>
          <w:highlight w:val="none"/>
        </w:rPr>
        <w:t>划（2021-2025年）》；</w:t>
      </w:r>
    </w:p>
    <w:p>
      <w:pPr>
        <w:numPr>
          <w:ilvl w:val="0"/>
          <w:numId w:val="6"/>
        </w:numPr>
        <w:snapToGrid w:val="0"/>
        <w:ind w:firstLine="520"/>
        <w:rPr>
          <w:color w:val="auto"/>
          <w:highlight w:val="none"/>
        </w:rPr>
      </w:pPr>
      <w:r>
        <w:rPr>
          <w:color w:val="auto"/>
          <w:highlight w:val="none"/>
        </w:rPr>
        <w:t>《重庆市人民政府关于印发重庆市自然资源保护和利用“十四五”规划（2021—2025年）的通知》（渝府发〔2021〕44号）；</w:t>
      </w:r>
    </w:p>
    <w:p>
      <w:pPr>
        <w:numPr>
          <w:ilvl w:val="0"/>
          <w:numId w:val="6"/>
        </w:numPr>
        <w:snapToGrid w:val="0"/>
        <w:ind w:firstLine="520"/>
        <w:rPr>
          <w:color w:val="auto"/>
          <w:highlight w:val="none"/>
        </w:rPr>
      </w:pPr>
      <w:r>
        <w:rPr>
          <w:color w:val="auto"/>
          <w:highlight w:val="none"/>
        </w:rPr>
        <w:t>《重庆市水生态环境保护“十四五”规划（2021—2025年）》；</w:t>
      </w:r>
    </w:p>
    <w:p>
      <w:pPr>
        <w:numPr>
          <w:ilvl w:val="0"/>
          <w:numId w:val="6"/>
        </w:numPr>
        <w:snapToGrid w:val="0"/>
        <w:ind w:firstLine="520"/>
        <w:rPr>
          <w:color w:val="auto"/>
          <w:highlight w:val="none"/>
        </w:rPr>
      </w:pPr>
      <w:r>
        <w:rPr>
          <w:color w:val="auto"/>
          <w:highlight w:val="none"/>
        </w:rPr>
        <w:t>《重庆市大气环境保护“十四五”规划（2021—2025年）》；</w:t>
      </w:r>
    </w:p>
    <w:p>
      <w:pPr>
        <w:numPr>
          <w:ilvl w:val="0"/>
          <w:numId w:val="6"/>
        </w:numPr>
        <w:snapToGrid w:val="0"/>
        <w:ind w:firstLine="520"/>
        <w:rPr>
          <w:color w:val="auto"/>
          <w:highlight w:val="none"/>
        </w:rPr>
      </w:pPr>
      <w:r>
        <w:rPr>
          <w:color w:val="auto"/>
          <w:highlight w:val="none"/>
        </w:rPr>
        <w:t>《重庆市应对气候变化“十四五”规划（2021—2025年）》；</w:t>
      </w:r>
    </w:p>
    <w:p>
      <w:pPr>
        <w:numPr>
          <w:ilvl w:val="0"/>
          <w:numId w:val="6"/>
        </w:numPr>
        <w:snapToGrid w:val="0"/>
        <w:ind w:firstLine="520"/>
        <w:rPr>
          <w:color w:val="auto"/>
          <w:highlight w:val="none"/>
        </w:rPr>
      </w:pPr>
      <w:r>
        <w:rPr>
          <w:color w:val="auto"/>
          <w:highlight w:val="none"/>
        </w:rPr>
        <w:t>《重庆市推动交通强国建设试点实施方案（2021—2025年）》</w:t>
      </w:r>
      <w:r>
        <w:rPr>
          <w:rFonts w:hint="eastAsia"/>
          <w:color w:val="auto"/>
          <w:highlight w:val="none"/>
        </w:rPr>
        <w:t>（渝府发〔2021〕4号）；</w:t>
      </w:r>
    </w:p>
    <w:p>
      <w:pPr>
        <w:numPr>
          <w:ilvl w:val="0"/>
          <w:numId w:val="6"/>
        </w:numPr>
        <w:snapToGrid w:val="0"/>
        <w:ind w:firstLine="520"/>
        <w:rPr>
          <w:color w:val="auto"/>
          <w:highlight w:val="none"/>
        </w:rPr>
      </w:pPr>
      <w:r>
        <w:rPr>
          <w:color w:val="auto"/>
          <w:highlight w:val="none"/>
        </w:rPr>
        <w:t>《重庆市综合交通运输“十四五”规划（2021—2025年）》</w:t>
      </w:r>
      <w:r>
        <w:rPr>
          <w:rFonts w:hint="eastAsia"/>
          <w:color w:val="auto"/>
          <w:highlight w:val="none"/>
        </w:rPr>
        <w:t>（渝府发〔2021〕30号）；</w:t>
      </w:r>
    </w:p>
    <w:p>
      <w:pPr>
        <w:numPr>
          <w:ilvl w:val="0"/>
          <w:numId w:val="6"/>
        </w:numPr>
        <w:snapToGrid w:val="0"/>
        <w:ind w:firstLine="520"/>
        <w:rPr>
          <w:color w:val="auto"/>
          <w:highlight w:val="none"/>
        </w:rPr>
      </w:pPr>
      <w:r>
        <w:rPr>
          <w:rFonts w:hint="eastAsia"/>
          <w:color w:val="auto"/>
          <w:highlight w:val="none"/>
        </w:rPr>
        <w:t>《重庆市航道规划（2035年）》（渝府〔2024〕80号）；</w:t>
      </w:r>
    </w:p>
    <w:p>
      <w:pPr>
        <w:numPr>
          <w:ilvl w:val="0"/>
          <w:numId w:val="6"/>
        </w:numPr>
        <w:snapToGrid w:val="0"/>
        <w:ind w:firstLine="520"/>
        <w:rPr>
          <w:color w:val="auto"/>
          <w:highlight w:val="none"/>
        </w:rPr>
      </w:pPr>
      <w:r>
        <w:rPr>
          <w:rFonts w:hint="eastAsia"/>
          <w:color w:val="auto"/>
          <w:highlight w:val="none"/>
        </w:rPr>
        <w:t>《重庆港总体规划（2035年）》；</w:t>
      </w:r>
    </w:p>
    <w:p>
      <w:pPr>
        <w:numPr>
          <w:ilvl w:val="0"/>
          <w:numId w:val="6"/>
        </w:numPr>
        <w:snapToGrid w:val="0"/>
        <w:ind w:firstLine="520"/>
        <w:rPr>
          <w:color w:val="auto"/>
          <w:highlight w:val="none"/>
        </w:rPr>
      </w:pPr>
      <w:r>
        <w:rPr>
          <w:color w:val="auto"/>
          <w:szCs w:val="26"/>
          <w:highlight w:val="none"/>
        </w:rPr>
        <w:t>《重庆市环境空气质量功能区划分规定》（渝府发〔2016〕19号）；</w:t>
      </w:r>
    </w:p>
    <w:p>
      <w:pPr>
        <w:numPr>
          <w:ilvl w:val="0"/>
          <w:numId w:val="6"/>
        </w:numPr>
        <w:snapToGrid w:val="0"/>
        <w:ind w:firstLine="520"/>
        <w:rPr>
          <w:color w:val="auto"/>
          <w:highlight w:val="none"/>
        </w:rPr>
      </w:pPr>
      <w:r>
        <w:rPr>
          <w:color w:val="auto"/>
          <w:highlight w:val="none"/>
        </w:rPr>
        <w:t>《重庆市空气质量持续改善行动实施方案》（渝府发〔2024〕15 号）；</w:t>
      </w:r>
    </w:p>
    <w:p>
      <w:pPr>
        <w:numPr>
          <w:ilvl w:val="0"/>
          <w:numId w:val="6"/>
        </w:numPr>
        <w:snapToGrid w:val="0"/>
        <w:ind w:firstLine="520"/>
        <w:rPr>
          <w:color w:val="auto"/>
          <w:highlight w:val="none"/>
        </w:rPr>
      </w:pPr>
      <w:r>
        <w:rPr>
          <w:color w:val="auto"/>
          <w:szCs w:val="26"/>
          <w:highlight w:val="none"/>
        </w:rPr>
        <w:t>《重庆市突发环境事件应急预案》（渝府办发〔2023〕112号）；</w:t>
      </w:r>
    </w:p>
    <w:p>
      <w:pPr>
        <w:numPr>
          <w:ilvl w:val="0"/>
          <w:numId w:val="6"/>
        </w:numPr>
        <w:snapToGrid w:val="0"/>
        <w:ind w:firstLine="520"/>
        <w:rPr>
          <w:color w:val="auto"/>
          <w:highlight w:val="none"/>
        </w:rPr>
      </w:pPr>
      <w:r>
        <w:rPr>
          <w:color w:val="auto"/>
          <w:szCs w:val="26"/>
          <w:highlight w:val="none"/>
        </w:rPr>
        <w:t>《重庆市人民政府转批重庆市地表水环境功能类别调整方案的通知》（渝府发〔2012〕4号）；</w:t>
      </w:r>
    </w:p>
    <w:p>
      <w:pPr>
        <w:numPr>
          <w:ilvl w:val="0"/>
          <w:numId w:val="6"/>
        </w:numPr>
        <w:snapToGrid w:val="0"/>
        <w:ind w:firstLine="520"/>
        <w:rPr>
          <w:color w:val="auto"/>
          <w:highlight w:val="none"/>
        </w:rPr>
      </w:pPr>
      <w:r>
        <w:rPr>
          <w:color w:val="auto"/>
          <w:szCs w:val="26"/>
          <w:highlight w:val="none"/>
        </w:rPr>
        <w:t>《重庆市人民政府关于批转重庆市地表水环境功能类别局部调整方案的通知》（渝府〔2016〕43号）；</w:t>
      </w:r>
    </w:p>
    <w:p>
      <w:pPr>
        <w:numPr>
          <w:ilvl w:val="0"/>
          <w:numId w:val="6"/>
        </w:numPr>
        <w:snapToGrid w:val="0"/>
        <w:ind w:firstLine="520"/>
        <w:rPr>
          <w:color w:val="auto"/>
          <w:highlight w:val="none"/>
        </w:rPr>
      </w:pPr>
      <w:r>
        <w:rPr>
          <w:color w:val="auto"/>
          <w:highlight w:val="none"/>
        </w:rPr>
        <w:t>《重庆市人民政府办公厅关于调整万州区等31个区县（自治县）集中式饮用水源保护区的通知》（渝府办〔2013〕40号）；</w:t>
      </w:r>
    </w:p>
    <w:p>
      <w:pPr>
        <w:numPr>
          <w:ilvl w:val="0"/>
          <w:numId w:val="6"/>
        </w:numPr>
        <w:snapToGrid w:val="0"/>
        <w:ind w:firstLine="520"/>
        <w:rPr>
          <w:color w:val="auto"/>
          <w:highlight w:val="none"/>
        </w:rPr>
      </w:pPr>
      <w:r>
        <w:rPr>
          <w:color w:val="auto"/>
          <w:highlight w:val="none"/>
        </w:rPr>
        <w:t>《重庆市人民政府办公厅关于调整万州区等36个区县（自治县）集中式饮用水水源保护区的通知》（渝府办发〔2016〕19号）；</w:t>
      </w:r>
    </w:p>
    <w:p>
      <w:pPr>
        <w:numPr>
          <w:ilvl w:val="0"/>
          <w:numId w:val="6"/>
        </w:numPr>
        <w:snapToGrid w:val="0"/>
        <w:ind w:firstLine="520"/>
        <w:rPr>
          <w:color w:val="auto"/>
          <w:highlight w:val="none"/>
        </w:rPr>
      </w:pPr>
      <w:r>
        <w:rPr>
          <w:color w:val="auto"/>
          <w:highlight w:val="none"/>
        </w:rPr>
        <w:t>《重庆市人民政府办公厅关于印发万州区等18个区县（开发区）集中式饮用水水源地保护区划分及调整方案的通知》（渝府办〔2017〕21号）</w:t>
      </w:r>
    </w:p>
    <w:p>
      <w:pPr>
        <w:numPr>
          <w:ilvl w:val="0"/>
          <w:numId w:val="6"/>
        </w:numPr>
        <w:snapToGrid w:val="0"/>
        <w:ind w:firstLine="520"/>
        <w:rPr>
          <w:color w:val="auto"/>
          <w:highlight w:val="none"/>
        </w:rPr>
      </w:pPr>
      <w:r>
        <w:rPr>
          <w:color w:val="auto"/>
          <w:highlight w:val="none"/>
        </w:rPr>
        <w:t>《重庆市人民政府办公厅关于印发万州区等区县（开发区）集中式饮用水水源地保护区划分及调整方案的通知》（渝府办〔2018〕7号）；</w:t>
      </w:r>
    </w:p>
    <w:p>
      <w:pPr>
        <w:numPr>
          <w:ilvl w:val="0"/>
          <w:numId w:val="6"/>
        </w:numPr>
        <w:snapToGrid w:val="0"/>
        <w:ind w:firstLine="520"/>
        <w:rPr>
          <w:color w:val="auto"/>
          <w:highlight w:val="none"/>
        </w:rPr>
      </w:pPr>
      <w:r>
        <w:rPr>
          <w:color w:val="auto"/>
          <w:highlight w:val="none"/>
        </w:rPr>
        <w:t>《重庆市人民政府办公厅关于印发璧山区等区县（开发区）集中式饮用水水源地保护区调整及撤销方案的通知》（渝府办〔2019〕6号）；</w:t>
      </w:r>
    </w:p>
    <w:p>
      <w:pPr>
        <w:numPr>
          <w:ilvl w:val="0"/>
          <w:numId w:val="6"/>
        </w:numPr>
        <w:snapToGrid w:val="0"/>
        <w:ind w:firstLine="520"/>
        <w:rPr>
          <w:color w:val="auto"/>
          <w:highlight w:val="none"/>
        </w:rPr>
      </w:pPr>
      <w:r>
        <w:rPr>
          <w:color w:val="auto"/>
          <w:highlight w:val="none"/>
        </w:rPr>
        <w:t>《重庆市生态环境局关于公布实施渝北等区县集中式饮用水水源地保护区的函》（渝环函〔2024〕496号）</w:t>
      </w:r>
      <w:r>
        <w:rPr>
          <w:rFonts w:hint="eastAsia"/>
          <w:color w:val="auto"/>
          <w:highlight w:val="none"/>
        </w:rPr>
        <w:t>；</w:t>
      </w:r>
    </w:p>
    <w:p>
      <w:pPr>
        <w:numPr>
          <w:ilvl w:val="0"/>
          <w:numId w:val="6"/>
        </w:numPr>
        <w:snapToGrid w:val="0"/>
        <w:ind w:firstLine="520"/>
        <w:rPr>
          <w:color w:val="auto"/>
          <w:highlight w:val="none"/>
        </w:rPr>
      </w:pPr>
      <w:r>
        <w:rPr>
          <w:rFonts w:hint="eastAsia"/>
          <w:color w:val="auto"/>
          <w:highlight w:val="none"/>
        </w:rPr>
        <w:t>《重庆市生态环境局关于公布实施万州等区县集中式饮用水水源地保护区的函》（ 渝环函〔2025〕27号）</w:t>
      </w:r>
      <w:r>
        <w:rPr>
          <w:color w:val="auto"/>
          <w:highlight w:val="none"/>
        </w:rPr>
        <w:t>；</w:t>
      </w:r>
    </w:p>
    <w:p>
      <w:pPr>
        <w:numPr>
          <w:ilvl w:val="0"/>
          <w:numId w:val="6"/>
        </w:numPr>
        <w:snapToGrid w:val="0"/>
        <w:ind w:firstLine="520"/>
        <w:rPr>
          <w:color w:val="auto"/>
          <w:highlight w:val="none"/>
        </w:rPr>
      </w:pPr>
      <w:r>
        <w:rPr>
          <w:color w:val="auto"/>
          <w:highlight w:val="none"/>
        </w:rPr>
        <w:t>《重庆市规划和自然资源局关于规范临时用地管理的通知》（渝规资规范〔2022〕1号）；</w:t>
      </w:r>
    </w:p>
    <w:p>
      <w:pPr>
        <w:numPr>
          <w:ilvl w:val="0"/>
          <w:numId w:val="6"/>
        </w:numPr>
        <w:snapToGrid w:val="0"/>
        <w:ind w:firstLine="520"/>
        <w:rPr>
          <w:color w:val="auto"/>
          <w:highlight w:val="none"/>
        </w:rPr>
      </w:pPr>
      <w:r>
        <w:rPr>
          <w:color w:val="auto"/>
          <w:szCs w:val="26"/>
          <w:highlight w:val="none"/>
        </w:rPr>
        <w:t>《重庆市临时用地和设施农业用地土地复垦管理办法》（渝规资规范〔2024〕3号）</w:t>
      </w:r>
      <w:r>
        <w:rPr>
          <w:color w:val="auto"/>
          <w:highlight w:val="none"/>
        </w:rPr>
        <w:t>；</w:t>
      </w:r>
    </w:p>
    <w:p>
      <w:pPr>
        <w:numPr>
          <w:ilvl w:val="0"/>
          <w:numId w:val="6"/>
        </w:numPr>
        <w:snapToGrid w:val="0"/>
        <w:ind w:firstLine="520"/>
        <w:rPr>
          <w:color w:val="auto"/>
          <w:highlight w:val="none"/>
        </w:rPr>
      </w:pPr>
      <w:r>
        <w:rPr>
          <w:color w:val="auto"/>
          <w:szCs w:val="26"/>
          <w:highlight w:val="none"/>
        </w:rPr>
        <w:t>《重庆市野生植物管理办法（暂行）》（渝林规范〔2024〕2号）；</w:t>
      </w:r>
    </w:p>
    <w:p>
      <w:pPr>
        <w:numPr>
          <w:ilvl w:val="0"/>
          <w:numId w:val="6"/>
        </w:numPr>
        <w:snapToGrid w:val="0"/>
        <w:ind w:firstLine="520"/>
        <w:rPr>
          <w:color w:val="auto"/>
          <w:highlight w:val="none"/>
        </w:rPr>
      </w:pPr>
      <w:r>
        <w:rPr>
          <w:color w:val="auto"/>
          <w:szCs w:val="26"/>
          <w:highlight w:val="none"/>
        </w:rPr>
        <w:t>《</w:t>
      </w:r>
      <w:r>
        <w:rPr>
          <w:rFonts w:hint="eastAsia"/>
          <w:color w:val="auto"/>
          <w:szCs w:val="26"/>
          <w:highlight w:val="none"/>
          <w:shd w:val="clear" w:fill="FFFFFF"/>
          <w:lang w:eastAsia="zh-CN"/>
        </w:rPr>
        <w:t>关于印发〈</w:t>
      </w:r>
      <w:r>
        <w:rPr>
          <w:color w:val="auto"/>
          <w:szCs w:val="26"/>
          <w:highlight w:val="none"/>
        </w:rPr>
        <w:t>重庆市重点保护野生动物名录&gt;和&lt;重庆市重点保护野生植物名录</w:t>
      </w:r>
      <w:r>
        <w:rPr>
          <w:rFonts w:hint="eastAsia"/>
          <w:color w:val="auto"/>
          <w:szCs w:val="26"/>
          <w:highlight w:val="none"/>
          <w:shd w:val="clear" w:fill="FFFFFF"/>
          <w:lang w:eastAsia="zh-CN"/>
        </w:rPr>
        <w:t>〉的通知》</w:t>
      </w:r>
      <w:r>
        <w:rPr>
          <w:color w:val="auto"/>
          <w:szCs w:val="26"/>
          <w:highlight w:val="none"/>
        </w:rPr>
        <w:t>（渝林规范〔2023〕2号）</w:t>
      </w:r>
      <w:r>
        <w:rPr>
          <w:rFonts w:hint="eastAsia"/>
          <w:color w:val="auto"/>
          <w:szCs w:val="26"/>
          <w:highlight w:val="none"/>
        </w:rPr>
        <w:t>；</w:t>
      </w:r>
    </w:p>
    <w:p>
      <w:pPr>
        <w:numPr>
          <w:ilvl w:val="0"/>
          <w:numId w:val="6"/>
        </w:numPr>
        <w:snapToGrid w:val="0"/>
        <w:ind w:firstLine="520"/>
        <w:rPr>
          <w:color w:val="auto"/>
          <w:highlight w:val="none"/>
        </w:rPr>
      </w:pPr>
      <w:r>
        <w:rPr>
          <w:rFonts w:hint="eastAsia"/>
          <w:color w:val="auto"/>
          <w:highlight w:val="none"/>
        </w:rPr>
        <w:t>《重庆市人民政府办公厅关于印发重庆市天然林保护修复制度实施方案的通知》（渝府办发〔2020〕103号）；</w:t>
      </w:r>
    </w:p>
    <w:p>
      <w:pPr>
        <w:numPr>
          <w:ilvl w:val="0"/>
          <w:numId w:val="6"/>
        </w:numPr>
        <w:snapToGrid w:val="0"/>
        <w:ind w:firstLine="520"/>
        <w:rPr>
          <w:color w:val="auto"/>
          <w:highlight w:val="none"/>
        </w:rPr>
      </w:pPr>
      <w:r>
        <w:rPr>
          <w:rFonts w:hint="eastAsia"/>
          <w:color w:val="auto"/>
          <w:szCs w:val="26"/>
          <w:highlight w:val="none"/>
        </w:rPr>
        <w:t>《重庆市农业农村委员会关于重庆市水生生物重要栖息地名录(第一批)的公告》（重庆市农业农村委员会公告 2025年第6号）</w:t>
      </w:r>
      <w:r>
        <w:rPr>
          <w:color w:val="auto"/>
          <w:szCs w:val="26"/>
          <w:highlight w:val="none"/>
        </w:rPr>
        <w:t>；</w:t>
      </w:r>
    </w:p>
    <w:p>
      <w:pPr>
        <w:numPr>
          <w:ilvl w:val="0"/>
          <w:numId w:val="6"/>
        </w:numPr>
        <w:snapToGrid w:val="0"/>
        <w:ind w:firstLine="520"/>
        <w:rPr>
          <w:color w:val="auto"/>
          <w:highlight w:val="none"/>
        </w:rPr>
      </w:pPr>
      <w:r>
        <w:rPr>
          <w:rFonts w:hint="eastAsia"/>
          <w:color w:val="auto"/>
          <w:highlight w:val="none"/>
        </w:rPr>
        <w:t>《重庆市规划和自然资源局 重庆市农业农村委员会关于加强和改进永久基本农田保护工作的实施意见》（渝规资规范〔2020〕1号）；</w:t>
      </w:r>
    </w:p>
    <w:p>
      <w:pPr>
        <w:numPr>
          <w:ilvl w:val="0"/>
          <w:numId w:val="6"/>
        </w:numPr>
        <w:snapToGrid w:val="0"/>
        <w:ind w:firstLine="520"/>
        <w:rPr>
          <w:color w:val="auto"/>
          <w:highlight w:val="none"/>
        </w:rPr>
      </w:pPr>
      <w:r>
        <w:rPr>
          <w:rFonts w:hint="eastAsia"/>
          <w:color w:val="auto"/>
          <w:highlight w:val="none"/>
        </w:rPr>
        <w:t>《重庆市规划</w:t>
      </w:r>
      <w:r>
        <w:rPr>
          <w:color w:val="auto"/>
          <w:highlight w:val="none"/>
        </w:rPr>
        <w:t>和</w:t>
      </w:r>
      <w:r>
        <w:rPr>
          <w:rFonts w:hint="eastAsia"/>
          <w:color w:val="auto"/>
          <w:highlight w:val="none"/>
        </w:rPr>
        <w:t>自然</w:t>
      </w:r>
      <w:r>
        <w:rPr>
          <w:color w:val="auto"/>
          <w:highlight w:val="none"/>
        </w:rPr>
        <w:t>资源局</w:t>
      </w:r>
      <w:r>
        <w:rPr>
          <w:rFonts w:hint="eastAsia"/>
          <w:color w:val="auto"/>
          <w:highlight w:val="none"/>
        </w:rPr>
        <w:t>关于进一步</w:t>
      </w:r>
      <w:r>
        <w:rPr>
          <w:color w:val="auto"/>
          <w:highlight w:val="none"/>
        </w:rPr>
        <w:t>加强占用</w:t>
      </w:r>
      <w:r>
        <w:rPr>
          <w:rFonts w:hint="eastAsia"/>
          <w:color w:val="auto"/>
          <w:highlight w:val="none"/>
        </w:rPr>
        <w:t>永久</w:t>
      </w:r>
      <w:r>
        <w:rPr>
          <w:color w:val="auto"/>
          <w:highlight w:val="none"/>
        </w:rPr>
        <w:t>基本农田</w:t>
      </w:r>
      <w:r>
        <w:rPr>
          <w:rFonts w:hint="eastAsia"/>
          <w:color w:val="auto"/>
          <w:highlight w:val="none"/>
        </w:rPr>
        <w:t>管理</w:t>
      </w:r>
      <w:r>
        <w:rPr>
          <w:color w:val="auto"/>
          <w:highlight w:val="none"/>
        </w:rPr>
        <w:t>的通知</w:t>
      </w:r>
      <w:r>
        <w:rPr>
          <w:rFonts w:hint="eastAsia"/>
          <w:color w:val="auto"/>
          <w:highlight w:val="none"/>
        </w:rPr>
        <w:t>》（渝</w:t>
      </w:r>
      <w:r>
        <w:rPr>
          <w:color w:val="auto"/>
          <w:highlight w:val="none"/>
        </w:rPr>
        <w:t>规资</w:t>
      </w:r>
      <w:r>
        <w:rPr>
          <w:rFonts w:hint="eastAsia"/>
          <w:color w:val="auto"/>
          <w:highlight w:val="none"/>
        </w:rPr>
        <w:t>规范〔2020〕</w:t>
      </w:r>
      <w:r>
        <w:rPr>
          <w:color w:val="auto"/>
          <w:highlight w:val="none"/>
        </w:rPr>
        <w:t>9</w:t>
      </w:r>
      <w:r>
        <w:rPr>
          <w:rFonts w:hint="eastAsia"/>
          <w:color w:val="auto"/>
          <w:highlight w:val="none"/>
        </w:rPr>
        <w:t>号）；</w:t>
      </w:r>
    </w:p>
    <w:p>
      <w:pPr>
        <w:numPr>
          <w:ilvl w:val="0"/>
          <w:numId w:val="6"/>
        </w:numPr>
        <w:snapToGrid w:val="0"/>
        <w:ind w:firstLine="520"/>
        <w:rPr>
          <w:color w:val="auto"/>
          <w:highlight w:val="none"/>
        </w:rPr>
      </w:pPr>
      <w:r>
        <w:rPr>
          <w:rFonts w:hint="eastAsia"/>
          <w:color w:val="auto"/>
          <w:highlight w:val="none"/>
        </w:rPr>
        <w:t>《重庆市林业局关于进一步规范建设项目占用湿地管理的通知》（渝林规范〔2024〕9号）；</w:t>
      </w:r>
    </w:p>
    <w:p>
      <w:pPr>
        <w:numPr>
          <w:ilvl w:val="0"/>
          <w:numId w:val="6"/>
        </w:numPr>
        <w:snapToGrid w:val="0"/>
        <w:ind w:firstLine="520"/>
        <w:rPr>
          <w:color w:val="auto"/>
          <w:highlight w:val="none"/>
        </w:rPr>
      </w:pPr>
      <w:r>
        <w:rPr>
          <w:rFonts w:hint="eastAsia"/>
          <w:color w:val="auto"/>
          <w:highlight w:val="none"/>
        </w:rPr>
        <w:t>《重庆市规划和自然资源局</w:t>
      </w:r>
      <w:r>
        <w:rPr>
          <w:rFonts w:hint="eastAsia"/>
          <w:color w:val="auto"/>
          <w:highlight w:val="none"/>
          <w:lang w:val="en-US" w:eastAsia="zh-CN"/>
        </w:rPr>
        <w:t xml:space="preserve"> </w:t>
      </w:r>
      <w:r>
        <w:rPr>
          <w:rFonts w:hint="eastAsia"/>
          <w:color w:val="auto"/>
          <w:highlight w:val="none"/>
        </w:rPr>
        <w:t>重庆市生态环境局</w:t>
      </w:r>
      <w:r>
        <w:rPr>
          <w:rFonts w:hint="eastAsia"/>
          <w:color w:val="auto"/>
          <w:highlight w:val="none"/>
          <w:lang w:val="en-US" w:eastAsia="zh-CN"/>
        </w:rPr>
        <w:t xml:space="preserve"> </w:t>
      </w:r>
      <w:r>
        <w:rPr>
          <w:rFonts w:hint="eastAsia"/>
          <w:color w:val="auto"/>
          <w:highlight w:val="none"/>
        </w:rPr>
        <w:t>重庆市林业局关于加强生态保护红线实施管理的通知》（渝规资〔2023〕323号）；</w:t>
      </w:r>
    </w:p>
    <w:p>
      <w:pPr>
        <w:numPr>
          <w:ilvl w:val="0"/>
          <w:numId w:val="6"/>
        </w:numPr>
        <w:snapToGrid w:val="0"/>
        <w:ind w:firstLine="520"/>
        <w:rPr>
          <w:color w:val="auto"/>
          <w:highlight w:val="none"/>
        </w:rPr>
      </w:pPr>
      <w:r>
        <w:rPr>
          <w:rFonts w:hint="eastAsia"/>
          <w:color w:val="auto"/>
          <w:highlight w:val="none"/>
        </w:rPr>
        <w:t>《重庆市林地保护管理条例》（2018年7月26日第五次修正）；</w:t>
      </w:r>
    </w:p>
    <w:p>
      <w:pPr>
        <w:numPr>
          <w:ilvl w:val="0"/>
          <w:numId w:val="6"/>
        </w:numPr>
        <w:snapToGrid w:val="0"/>
        <w:ind w:firstLine="520"/>
        <w:rPr>
          <w:color w:val="auto"/>
          <w:highlight w:val="none"/>
        </w:rPr>
      </w:pPr>
      <w:r>
        <w:rPr>
          <w:color w:val="auto"/>
          <w:highlight w:val="none"/>
        </w:rPr>
        <w:t>《</w:t>
      </w:r>
      <w:bookmarkStart w:id="47" w:name="OLE_LINK27"/>
      <w:r>
        <w:rPr>
          <w:color w:val="auto"/>
          <w:highlight w:val="none"/>
        </w:rPr>
        <w:t>重庆市发展和改革委员会关于印发重庆市产业投资准入工作手册的通知</w:t>
      </w:r>
      <w:bookmarkEnd w:id="47"/>
      <w:r>
        <w:rPr>
          <w:color w:val="auto"/>
          <w:highlight w:val="none"/>
        </w:rPr>
        <w:t>》（</w:t>
      </w:r>
      <w:r>
        <w:rPr>
          <w:rFonts w:hint="eastAsia"/>
          <w:color w:val="auto"/>
          <w:highlight w:val="none"/>
        </w:rPr>
        <w:t>渝发改投资〔2022〕1436号</w:t>
      </w:r>
      <w:r>
        <w:rPr>
          <w:color w:val="auto"/>
          <w:highlight w:val="none"/>
        </w:rPr>
        <w:t>）；</w:t>
      </w:r>
    </w:p>
    <w:p>
      <w:pPr>
        <w:numPr>
          <w:ilvl w:val="0"/>
          <w:numId w:val="6"/>
        </w:numPr>
        <w:snapToGrid w:val="0"/>
        <w:ind w:firstLine="520"/>
        <w:rPr>
          <w:color w:val="auto"/>
          <w:szCs w:val="26"/>
          <w:highlight w:val="none"/>
        </w:rPr>
      </w:pPr>
      <w:r>
        <w:rPr>
          <w:rFonts w:hint="eastAsia"/>
          <w:color w:val="auto"/>
          <w:szCs w:val="26"/>
          <w:highlight w:val="none"/>
        </w:rPr>
        <w:t>《合川区国民经济和社会发展第十四个五年规划和二〇三五年远景目标纲要》（合川府发〔2021〕3号）；</w:t>
      </w:r>
    </w:p>
    <w:p>
      <w:pPr>
        <w:numPr>
          <w:ilvl w:val="0"/>
          <w:numId w:val="6"/>
        </w:numPr>
        <w:snapToGrid w:val="0"/>
        <w:ind w:firstLine="520"/>
        <w:rPr>
          <w:color w:val="auto"/>
          <w:szCs w:val="26"/>
          <w:highlight w:val="none"/>
        </w:rPr>
      </w:pPr>
      <w:r>
        <w:rPr>
          <w:rFonts w:hint="eastAsia"/>
          <w:color w:val="auto"/>
          <w:szCs w:val="26"/>
          <w:highlight w:val="none"/>
        </w:rPr>
        <w:t>《合川区生态环境保护“十四五”规划》（合川府发〔2022〕3号）；</w:t>
      </w:r>
    </w:p>
    <w:p>
      <w:pPr>
        <w:numPr>
          <w:ilvl w:val="0"/>
          <w:numId w:val="6"/>
        </w:numPr>
        <w:snapToGrid w:val="0"/>
        <w:ind w:firstLine="520"/>
        <w:rPr>
          <w:color w:val="auto"/>
          <w:szCs w:val="26"/>
          <w:highlight w:val="none"/>
        </w:rPr>
      </w:pPr>
      <w:r>
        <w:rPr>
          <w:rFonts w:hint="eastAsia"/>
          <w:color w:val="auto"/>
          <w:szCs w:val="26"/>
          <w:highlight w:val="none"/>
        </w:rPr>
        <w:t>《合川区“十四五”综合交通运输发展规划（2021—2025年）》（合川府发〔2023〕1号）；</w:t>
      </w:r>
    </w:p>
    <w:p>
      <w:pPr>
        <w:numPr>
          <w:ilvl w:val="0"/>
          <w:numId w:val="6"/>
        </w:numPr>
        <w:snapToGrid w:val="0"/>
        <w:ind w:firstLine="520"/>
        <w:rPr>
          <w:color w:val="auto"/>
          <w:szCs w:val="26"/>
          <w:highlight w:val="none"/>
        </w:rPr>
      </w:pPr>
      <w:r>
        <w:rPr>
          <w:rFonts w:hint="eastAsia"/>
          <w:color w:val="auto"/>
          <w:szCs w:val="26"/>
          <w:highlight w:val="none"/>
        </w:rPr>
        <w:t>《重庆市合川区“三线一单”生态环境分区管控调整方案（2023年）》（合川府发〔2024〕8号）；</w:t>
      </w:r>
    </w:p>
    <w:p>
      <w:pPr>
        <w:numPr>
          <w:ilvl w:val="0"/>
          <w:numId w:val="6"/>
        </w:numPr>
        <w:snapToGrid w:val="0"/>
        <w:ind w:firstLine="520"/>
        <w:rPr>
          <w:color w:val="auto"/>
          <w:szCs w:val="26"/>
          <w:highlight w:val="none"/>
        </w:rPr>
      </w:pPr>
      <w:r>
        <w:rPr>
          <w:rFonts w:hint="eastAsia" w:eastAsiaTheme="minorEastAsia"/>
          <w:color w:val="auto"/>
          <w:szCs w:val="26"/>
          <w:highlight w:val="none"/>
        </w:rPr>
        <w:t>《</w:t>
      </w:r>
      <w:r>
        <w:rPr>
          <w:rFonts w:hint="eastAsia" w:hAnsi="宋体"/>
          <w:color w:val="auto"/>
          <w:highlight w:val="none"/>
        </w:rPr>
        <w:t>合川区声环境功能区划分调整方案》（合川府办发〔2023〕56 号）；</w:t>
      </w:r>
    </w:p>
    <w:p>
      <w:pPr>
        <w:numPr>
          <w:ilvl w:val="0"/>
          <w:numId w:val="6"/>
        </w:numPr>
        <w:snapToGrid w:val="0"/>
        <w:ind w:firstLine="520"/>
        <w:rPr>
          <w:color w:val="auto"/>
          <w:szCs w:val="26"/>
          <w:highlight w:val="none"/>
        </w:rPr>
      </w:pPr>
      <w:r>
        <w:rPr>
          <w:rFonts w:hint="eastAsia" w:eastAsiaTheme="minorEastAsia"/>
          <w:color w:val="auto"/>
          <w:szCs w:val="26"/>
          <w:highlight w:val="none"/>
        </w:rPr>
        <w:t>《合川区空气质量持续改善行动实施方案》（合川府办发〔2024〕52号）。</w:t>
      </w:r>
    </w:p>
    <w:p>
      <w:pPr>
        <w:pStyle w:val="5"/>
        <w:snapToGrid w:val="0"/>
        <w:ind w:firstLine="522"/>
        <w:rPr>
          <w:color w:val="auto"/>
          <w:highlight w:val="none"/>
        </w:rPr>
      </w:pPr>
      <w:bookmarkStart w:id="48" w:name="_Toc45098307"/>
      <w:bookmarkStart w:id="49" w:name="_Toc151203670"/>
      <w:r>
        <w:rPr>
          <w:color w:val="auto"/>
          <w:highlight w:val="none"/>
        </w:rPr>
        <w:t>环境评价</w:t>
      </w:r>
      <w:bookmarkEnd w:id="48"/>
      <w:bookmarkEnd w:id="49"/>
      <w:r>
        <w:rPr>
          <w:rFonts w:hint="eastAsia"/>
          <w:color w:val="auto"/>
          <w:highlight w:val="none"/>
        </w:rPr>
        <w:t>技术规范</w:t>
      </w:r>
    </w:p>
    <w:p>
      <w:pPr>
        <w:numPr>
          <w:ilvl w:val="0"/>
          <w:numId w:val="7"/>
        </w:numPr>
        <w:snapToGrid w:val="0"/>
        <w:ind w:left="0" w:firstLine="520"/>
        <w:rPr>
          <w:color w:val="auto"/>
          <w:highlight w:val="none"/>
        </w:rPr>
      </w:pPr>
      <w:bookmarkStart w:id="50" w:name="_Toc45098308"/>
      <w:bookmarkStart w:id="51" w:name="_Toc151203671"/>
      <w:r>
        <w:rPr>
          <w:color w:val="auto"/>
          <w:highlight w:val="none"/>
        </w:rPr>
        <w:t>《建设项目环境影响评价技术导则 总纲》（HJ 2.1-2016）</w:t>
      </w:r>
      <w:r>
        <w:rPr>
          <w:rFonts w:hint="eastAsia"/>
          <w:color w:val="auto"/>
          <w:highlight w:val="none"/>
        </w:rPr>
        <w:t>；</w:t>
      </w:r>
    </w:p>
    <w:p>
      <w:pPr>
        <w:numPr>
          <w:ilvl w:val="0"/>
          <w:numId w:val="7"/>
        </w:numPr>
        <w:snapToGrid w:val="0"/>
        <w:ind w:left="0" w:firstLine="520"/>
        <w:rPr>
          <w:color w:val="auto"/>
          <w:highlight w:val="none"/>
        </w:rPr>
      </w:pPr>
      <w:r>
        <w:rPr>
          <w:color w:val="auto"/>
          <w:highlight w:val="none"/>
        </w:rPr>
        <w:t>《环境影响评价技术导则 大气环境》（HJ 2.2-2018）；</w:t>
      </w:r>
    </w:p>
    <w:p>
      <w:pPr>
        <w:numPr>
          <w:ilvl w:val="0"/>
          <w:numId w:val="7"/>
        </w:numPr>
        <w:snapToGrid w:val="0"/>
        <w:ind w:left="0" w:firstLine="520"/>
        <w:rPr>
          <w:color w:val="auto"/>
          <w:highlight w:val="none"/>
        </w:rPr>
      </w:pPr>
      <w:r>
        <w:rPr>
          <w:color w:val="auto"/>
          <w:highlight w:val="none"/>
        </w:rPr>
        <w:t>《环境影响评价技术导则 地表水环境》（HJ 2.3-2018）；</w:t>
      </w:r>
    </w:p>
    <w:p>
      <w:pPr>
        <w:numPr>
          <w:ilvl w:val="0"/>
          <w:numId w:val="7"/>
        </w:numPr>
        <w:snapToGrid w:val="0"/>
        <w:ind w:left="0" w:firstLine="520"/>
        <w:rPr>
          <w:color w:val="auto"/>
          <w:highlight w:val="none"/>
        </w:rPr>
      </w:pPr>
      <w:r>
        <w:rPr>
          <w:color w:val="auto"/>
          <w:highlight w:val="none"/>
        </w:rPr>
        <w:t>《环境影响评价技术导则 声环境》（HJ 2.4-2021）；</w:t>
      </w:r>
    </w:p>
    <w:p>
      <w:pPr>
        <w:numPr>
          <w:ilvl w:val="0"/>
          <w:numId w:val="7"/>
        </w:numPr>
        <w:snapToGrid w:val="0"/>
        <w:ind w:left="0" w:firstLine="520"/>
        <w:rPr>
          <w:color w:val="auto"/>
          <w:highlight w:val="none"/>
        </w:rPr>
      </w:pPr>
      <w:r>
        <w:rPr>
          <w:color w:val="auto"/>
          <w:highlight w:val="none"/>
        </w:rPr>
        <w:t>《环境影响评价技术导则 地下水环境》（HJ 610-2016）；</w:t>
      </w:r>
    </w:p>
    <w:p>
      <w:pPr>
        <w:numPr>
          <w:ilvl w:val="0"/>
          <w:numId w:val="7"/>
        </w:numPr>
        <w:ind w:left="0" w:firstLine="520"/>
        <w:rPr>
          <w:color w:val="auto"/>
          <w:highlight w:val="none"/>
        </w:rPr>
      </w:pPr>
      <w:r>
        <w:rPr>
          <w:color w:val="auto"/>
          <w:highlight w:val="none"/>
        </w:rPr>
        <w:t>《环境影响评价技术导则 生态影响》（HJ 19-2022）；</w:t>
      </w:r>
    </w:p>
    <w:p>
      <w:pPr>
        <w:numPr>
          <w:ilvl w:val="0"/>
          <w:numId w:val="7"/>
        </w:numPr>
        <w:ind w:left="0" w:firstLine="520"/>
        <w:rPr>
          <w:color w:val="auto"/>
          <w:highlight w:val="none"/>
        </w:rPr>
      </w:pPr>
      <w:r>
        <w:rPr>
          <w:color w:val="auto"/>
          <w:highlight w:val="none"/>
        </w:rPr>
        <w:t>《环境影响评价技术导则 土壤导则（试行）》（HJ 964-2018）；</w:t>
      </w:r>
    </w:p>
    <w:p>
      <w:pPr>
        <w:numPr>
          <w:ilvl w:val="0"/>
          <w:numId w:val="7"/>
        </w:numPr>
        <w:ind w:left="0" w:firstLine="520"/>
        <w:rPr>
          <w:color w:val="auto"/>
          <w:highlight w:val="none"/>
        </w:rPr>
      </w:pPr>
      <w:r>
        <w:rPr>
          <w:color w:val="auto"/>
          <w:highlight w:val="none"/>
        </w:rPr>
        <w:t>《建设项目环境风险评价技术导则》（HJ 169-2018）；</w:t>
      </w:r>
    </w:p>
    <w:p>
      <w:pPr>
        <w:numPr>
          <w:ilvl w:val="0"/>
          <w:numId w:val="7"/>
        </w:numPr>
        <w:ind w:left="0" w:firstLine="520"/>
        <w:rPr>
          <w:color w:val="auto"/>
          <w:highlight w:val="none"/>
        </w:rPr>
      </w:pPr>
      <w:r>
        <w:rPr>
          <w:rFonts w:hint="eastAsia"/>
          <w:color w:val="auto"/>
          <w:szCs w:val="26"/>
          <w:highlight w:val="none"/>
        </w:rPr>
        <w:t>《水运工程建设项目环境影响评价指南》（JTS/T 105-2021）。</w:t>
      </w:r>
    </w:p>
    <w:bookmarkEnd w:id="50"/>
    <w:bookmarkEnd w:id="51"/>
    <w:p>
      <w:pPr>
        <w:pStyle w:val="5"/>
        <w:adjustRightInd w:val="0"/>
        <w:snapToGrid w:val="0"/>
        <w:ind w:firstLine="522"/>
        <w:rPr>
          <w:color w:val="auto"/>
          <w:highlight w:val="none"/>
        </w:rPr>
      </w:pPr>
      <w:r>
        <w:rPr>
          <w:rFonts w:hint="eastAsia"/>
          <w:color w:val="auto"/>
          <w:highlight w:val="none"/>
        </w:rPr>
        <w:t>其他相关</w:t>
      </w:r>
      <w:r>
        <w:rPr>
          <w:color w:val="auto"/>
          <w:highlight w:val="none"/>
        </w:rPr>
        <w:t>技术资料</w:t>
      </w:r>
    </w:p>
    <w:p>
      <w:pPr>
        <w:numPr>
          <w:ilvl w:val="0"/>
          <w:numId w:val="8"/>
        </w:numPr>
        <w:tabs>
          <w:tab w:val="left" w:pos="7230"/>
        </w:tabs>
        <w:adjustRightInd w:val="0"/>
        <w:snapToGrid w:val="0"/>
        <w:ind w:left="0" w:firstLine="520"/>
        <w:rPr>
          <w:color w:val="auto"/>
          <w:kern w:val="0"/>
          <w:szCs w:val="26"/>
          <w:highlight w:val="none"/>
        </w:rPr>
      </w:pPr>
      <w:r>
        <w:rPr>
          <w:rFonts w:cs="Times New Roman"/>
          <w:snapToGrid w:val="0"/>
          <w:color w:val="auto"/>
          <w:highlight w:val="none"/>
        </w:rPr>
        <w:t>《长江流域综合规划</w:t>
      </w:r>
      <w:r>
        <w:rPr>
          <w:rFonts w:hint="eastAsia"/>
          <w:color w:val="auto"/>
          <w:highlight w:val="none"/>
          <w:lang w:eastAsia="zh-CN"/>
        </w:rPr>
        <w:t>（</w:t>
      </w:r>
      <w:r>
        <w:rPr>
          <w:rFonts w:hint="eastAsia"/>
          <w:color w:val="auto"/>
          <w:highlight w:val="none"/>
        </w:rPr>
        <w:t>2012</w:t>
      </w:r>
      <w:r>
        <w:rPr>
          <w:rFonts w:hint="eastAsia"/>
          <w:color w:val="auto"/>
          <w:highlight w:val="none"/>
          <w:shd w:val="clear" w:fill="FFFFFF"/>
          <w:lang w:eastAsia="zh-CN"/>
        </w:rPr>
        <w:t>—</w:t>
      </w:r>
      <w:r>
        <w:rPr>
          <w:rFonts w:hint="eastAsia"/>
          <w:color w:val="auto"/>
          <w:highlight w:val="none"/>
        </w:rPr>
        <w:t>2030年</w:t>
      </w:r>
      <w:r>
        <w:rPr>
          <w:rFonts w:hint="eastAsia"/>
          <w:color w:val="auto"/>
          <w:highlight w:val="none"/>
          <w:lang w:eastAsia="zh-CN"/>
        </w:rPr>
        <w:t>）</w:t>
      </w:r>
      <w:r>
        <w:rPr>
          <w:rFonts w:cs="Times New Roman"/>
          <w:snapToGrid w:val="0"/>
          <w:color w:val="auto"/>
          <w:highlight w:val="none"/>
        </w:rPr>
        <w:t>》</w:t>
      </w:r>
      <w:r>
        <w:rPr>
          <w:rFonts w:hint="eastAsia" w:cs="Times New Roman"/>
          <w:snapToGrid w:val="0"/>
          <w:color w:val="auto"/>
          <w:highlight w:val="none"/>
          <w:lang w:eastAsia="zh-CN"/>
        </w:rPr>
        <w:t>（国函</w:t>
      </w:r>
      <w:r>
        <w:rPr>
          <w:rFonts w:hint="eastAsia"/>
          <w:color w:val="auto"/>
          <w:highlight w:val="none"/>
          <w:lang w:val="en-US" w:eastAsia="zh-CN"/>
        </w:rPr>
        <w:t>〔2012〕</w:t>
      </w:r>
      <w:r>
        <w:rPr>
          <w:rFonts w:hint="eastAsia" w:cs="Times New Roman"/>
          <w:snapToGrid w:val="0"/>
          <w:color w:val="auto"/>
          <w:highlight w:val="none"/>
          <w:lang w:eastAsia="zh-CN"/>
        </w:rPr>
        <w:t>220号）；</w:t>
      </w:r>
    </w:p>
    <w:p>
      <w:pPr>
        <w:numPr>
          <w:ilvl w:val="0"/>
          <w:numId w:val="8"/>
        </w:numPr>
        <w:tabs>
          <w:tab w:val="left" w:pos="7230"/>
        </w:tabs>
        <w:adjustRightInd w:val="0"/>
        <w:snapToGrid w:val="0"/>
        <w:ind w:left="0" w:firstLine="520"/>
        <w:rPr>
          <w:color w:val="auto"/>
          <w:kern w:val="0"/>
          <w:szCs w:val="26"/>
          <w:highlight w:val="none"/>
        </w:rPr>
      </w:pPr>
      <w:r>
        <w:rPr>
          <w:rFonts w:hint="eastAsia"/>
          <w:color w:val="auto"/>
          <w:highlight w:val="none"/>
          <w:lang w:val="en-US" w:eastAsia="zh-CN"/>
        </w:rPr>
        <w:t>《嘉陵江流域综合规划》（水规计〔2024〕340 号）及规划环评（环审</w:t>
      </w:r>
      <w:r>
        <w:rPr>
          <w:rFonts w:hint="eastAsia"/>
          <w:color w:val="auto"/>
          <w:highlight w:val="none"/>
        </w:rPr>
        <w:t>〔2</w:t>
      </w:r>
      <w:r>
        <w:rPr>
          <w:rFonts w:hint="eastAsia"/>
          <w:color w:val="auto"/>
          <w:highlight w:val="none"/>
          <w:lang w:val="en-US" w:eastAsia="zh-CN"/>
        </w:rPr>
        <w:t>022</w:t>
      </w:r>
      <w:r>
        <w:rPr>
          <w:rFonts w:hint="eastAsia"/>
          <w:color w:val="auto"/>
          <w:highlight w:val="none"/>
        </w:rPr>
        <w:t>〕</w:t>
      </w:r>
      <w:r>
        <w:rPr>
          <w:rFonts w:hint="eastAsia"/>
          <w:color w:val="auto"/>
          <w:szCs w:val="26"/>
          <w:highlight w:val="none"/>
          <w:lang w:val="en-US" w:eastAsia="zh-CN"/>
        </w:rPr>
        <w:t>119</w:t>
      </w:r>
      <w:r>
        <w:rPr>
          <w:color w:val="auto"/>
          <w:szCs w:val="26"/>
          <w:highlight w:val="none"/>
        </w:rPr>
        <w:t>号</w:t>
      </w:r>
      <w:r>
        <w:rPr>
          <w:rFonts w:hint="eastAsia"/>
          <w:color w:val="auto"/>
          <w:highlight w:val="none"/>
          <w:lang w:val="en-US" w:eastAsia="zh-CN"/>
        </w:rPr>
        <w:t>）；</w:t>
      </w:r>
    </w:p>
    <w:p>
      <w:pPr>
        <w:numPr>
          <w:ilvl w:val="0"/>
          <w:numId w:val="8"/>
        </w:numPr>
        <w:tabs>
          <w:tab w:val="left" w:pos="7230"/>
        </w:tabs>
        <w:adjustRightInd w:val="0"/>
        <w:snapToGrid w:val="0"/>
        <w:ind w:left="0" w:firstLine="520"/>
        <w:rPr>
          <w:color w:val="auto"/>
          <w:kern w:val="0"/>
          <w:szCs w:val="26"/>
          <w:highlight w:val="none"/>
        </w:rPr>
      </w:pPr>
      <w:r>
        <w:rPr>
          <w:rFonts w:hint="eastAsia"/>
          <w:color w:val="auto"/>
          <w:highlight w:val="none"/>
        </w:rPr>
        <w:t>《涪江重庆段流域环境影响回顾性评价报告》及审查意见函（渝环函</w:t>
      </w:r>
      <w:r>
        <w:rPr>
          <w:rFonts w:hint="eastAsia" w:hAnsi="宋体"/>
          <w:color w:val="auto"/>
          <w:highlight w:val="none"/>
        </w:rPr>
        <w:t>〔2021〕</w:t>
      </w:r>
      <w:r>
        <w:rPr>
          <w:rFonts w:hint="eastAsia"/>
          <w:color w:val="auto"/>
          <w:highlight w:val="none"/>
        </w:rPr>
        <w:t>486号）</w:t>
      </w:r>
      <w:r>
        <w:rPr>
          <w:rFonts w:hint="eastAsia"/>
          <w:color w:val="auto"/>
          <w:kern w:val="0"/>
          <w:szCs w:val="26"/>
          <w:highlight w:val="none"/>
        </w:rPr>
        <w:t>；</w:t>
      </w:r>
    </w:p>
    <w:p>
      <w:pPr>
        <w:numPr>
          <w:ilvl w:val="0"/>
          <w:numId w:val="8"/>
        </w:numPr>
        <w:tabs>
          <w:tab w:val="left" w:pos="7230"/>
        </w:tabs>
        <w:adjustRightInd w:val="0"/>
        <w:snapToGrid w:val="0"/>
        <w:ind w:left="0" w:firstLine="520"/>
        <w:rPr>
          <w:color w:val="auto"/>
          <w:kern w:val="0"/>
          <w:szCs w:val="26"/>
          <w:highlight w:val="none"/>
        </w:rPr>
      </w:pPr>
      <w:r>
        <w:rPr>
          <w:rFonts w:hint="eastAsia"/>
          <w:color w:val="auto"/>
          <w:kern w:val="0"/>
          <w:szCs w:val="26"/>
          <w:highlight w:val="none"/>
        </w:rPr>
        <w:t>《涪江重庆段航道整治工程环境影响报告书》及批复</w:t>
      </w:r>
      <w:r>
        <w:rPr>
          <w:rFonts w:hint="eastAsia"/>
          <w:color w:val="auto"/>
          <w:kern w:val="0"/>
          <w:szCs w:val="26"/>
          <w:highlight w:val="none"/>
          <w:shd w:val="clear" w:fill="FFFFFF"/>
          <w:lang w:eastAsia="zh-CN"/>
        </w:rPr>
        <w:t>（</w:t>
      </w:r>
      <w:r>
        <w:rPr>
          <w:rFonts w:hint="eastAsia"/>
          <w:color w:val="auto"/>
          <w:kern w:val="0"/>
          <w:szCs w:val="26"/>
          <w:highlight w:val="none"/>
        </w:rPr>
        <w:t>渝(市</w:t>
      </w:r>
      <w:r>
        <w:rPr>
          <w:rFonts w:hint="eastAsia"/>
          <w:color w:val="auto"/>
          <w:kern w:val="0"/>
          <w:szCs w:val="26"/>
          <w:highlight w:val="none"/>
          <w:shd w:val="clear" w:fill="FFFFFF"/>
        </w:rPr>
        <w:t>)</w:t>
      </w:r>
      <w:r>
        <w:rPr>
          <w:rFonts w:hint="eastAsia"/>
          <w:color w:val="auto"/>
          <w:kern w:val="0"/>
          <w:szCs w:val="26"/>
          <w:highlight w:val="none"/>
        </w:rPr>
        <w:t>环准〔2024〕73号</w:t>
      </w:r>
      <w:r>
        <w:rPr>
          <w:rFonts w:hint="eastAsia"/>
          <w:color w:val="auto"/>
          <w:kern w:val="0"/>
          <w:szCs w:val="26"/>
          <w:highlight w:val="none"/>
          <w:shd w:val="clear" w:fill="FFFFFF"/>
        </w:rPr>
        <w:t>）</w:t>
      </w:r>
      <w:r>
        <w:rPr>
          <w:rFonts w:hint="eastAsia"/>
          <w:color w:val="auto"/>
          <w:kern w:val="0"/>
          <w:szCs w:val="26"/>
          <w:highlight w:val="none"/>
        </w:rPr>
        <w:t>；</w:t>
      </w:r>
    </w:p>
    <w:p>
      <w:pPr>
        <w:numPr>
          <w:ilvl w:val="0"/>
          <w:numId w:val="8"/>
        </w:numPr>
        <w:tabs>
          <w:tab w:val="left" w:pos="7230"/>
        </w:tabs>
        <w:adjustRightInd w:val="0"/>
        <w:snapToGrid w:val="0"/>
        <w:ind w:left="0" w:firstLine="520"/>
        <w:rPr>
          <w:color w:val="auto"/>
          <w:kern w:val="0"/>
          <w:szCs w:val="26"/>
          <w:highlight w:val="none"/>
        </w:rPr>
      </w:pPr>
      <w:r>
        <w:rPr>
          <w:rFonts w:hint="eastAsia"/>
          <w:color w:val="auto"/>
          <w:kern w:val="0"/>
          <w:szCs w:val="26"/>
          <w:highlight w:val="none"/>
        </w:rPr>
        <w:t>《涪江干流渭沱电厂船闸扩能升级改造工程可行性研究报告》及批复（渝发改交通〔2025〕314号）；</w:t>
      </w:r>
    </w:p>
    <w:p>
      <w:pPr>
        <w:numPr>
          <w:ilvl w:val="0"/>
          <w:numId w:val="8"/>
        </w:numPr>
        <w:tabs>
          <w:tab w:val="left" w:pos="7230"/>
        </w:tabs>
        <w:adjustRightInd w:val="0"/>
        <w:snapToGrid w:val="0"/>
        <w:ind w:left="0" w:firstLine="520"/>
        <w:rPr>
          <w:color w:val="auto"/>
          <w:kern w:val="0"/>
          <w:szCs w:val="26"/>
          <w:highlight w:val="none"/>
        </w:rPr>
      </w:pPr>
      <w:r>
        <w:rPr>
          <w:rFonts w:hint="eastAsia"/>
          <w:color w:val="auto"/>
          <w:kern w:val="0"/>
          <w:szCs w:val="26"/>
          <w:highlight w:val="none"/>
        </w:rPr>
        <w:t>《涪江干流渭沱电厂船闸扩能升级改造工程初步设计》（中交第二航务工程勘察设计院有限公司，2025年</w:t>
      </w:r>
      <w:r>
        <w:rPr>
          <w:rFonts w:hint="eastAsia"/>
          <w:color w:val="auto"/>
          <w:kern w:val="0"/>
          <w:szCs w:val="26"/>
          <w:highlight w:val="none"/>
          <w:lang w:val="en-US" w:eastAsia="zh-CN"/>
        </w:rPr>
        <w:t>9</w:t>
      </w:r>
      <w:r>
        <w:rPr>
          <w:rFonts w:hint="eastAsia"/>
          <w:color w:val="auto"/>
          <w:kern w:val="0"/>
          <w:szCs w:val="26"/>
          <w:highlight w:val="none"/>
        </w:rPr>
        <w:t>月）；</w:t>
      </w:r>
    </w:p>
    <w:p>
      <w:pPr>
        <w:numPr>
          <w:ilvl w:val="0"/>
          <w:numId w:val="8"/>
        </w:numPr>
        <w:tabs>
          <w:tab w:val="left" w:pos="7230"/>
        </w:tabs>
        <w:adjustRightInd w:val="0"/>
        <w:snapToGrid w:val="0"/>
        <w:ind w:left="0" w:firstLine="520"/>
        <w:rPr>
          <w:color w:val="auto"/>
          <w:kern w:val="0"/>
          <w:szCs w:val="26"/>
          <w:highlight w:val="none"/>
        </w:rPr>
      </w:pPr>
      <w:r>
        <w:rPr>
          <w:rFonts w:hint="eastAsia"/>
          <w:color w:val="auto"/>
          <w:kern w:val="0"/>
          <w:szCs w:val="26"/>
          <w:highlight w:val="none"/>
          <w:lang w:eastAsia="zh-CN"/>
        </w:rPr>
        <w:t>《涪江干流渭沱电厂船闸扩能升级改造工程鱼道模型试验研究报告》（重庆交通大学，</w:t>
      </w:r>
      <w:r>
        <w:rPr>
          <w:rFonts w:hint="eastAsia"/>
          <w:color w:val="auto"/>
          <w:kern w:val="0"/>
          <w:szCs w:val="26"/>
          <w:highlight w:val="none"/>
          <w:lang w:val="en-US" w:eastAsia="zh-CN"/>
        </w:rPr>
        <w:t>2025年10月</w:t>
      </w:r>
      <w:r>
        <w:rPr>
          <w:rFonts w:hint="eastAsia"/>
          <w:color w:val="auto"/>
          <w:kern w:val="0"/>
          <w:szCs w:val="26"/>
          <w:highlight w:val="none"/>
          <w:lang w:eastAsia="zh-CN"/>
        </w:rPr>
        <w:t>）；</w:t>
      </w:r>
    </w:p>
    <w:p>
      <w:pPr>
        <w:numPr>
          <w:ilvl w:val="0"/>
          <w:numId w:val="8"/>
        </w:numPr>
        <w:tabs>
          <w:tab w:val="left" w:pos="7230"/>
        </w:tabs>
        <w:adjustRightInd w:val="0"/>
        <w:snapToGrid w:val="0"/>
        <w:ind w:left="0" w:firstLine="520"/>
        <w:rPr>
          <w:color w:val="auto"/>
          <w:kern w:val="0"/>
          <w:szCs w:val="26"/>
          <w:highlight w:val="none"/>
        </w:rPr>
      </w:pPr>
      <w:r>
        <w:rPr>
          <w:rFonts w:hint="eastAsia"/>
          <w:color w:val="auto"/>
          <w:kern w:val="0"/>
          <w:szCs w:val="26"/>
          <w:highlight w:val="none"/>
          <w:lang w:eastAsia="zh-CN"/>
        </w:rPr>
        <w:t>《涪江渭沱枢纽船闸扩能升级改造工程水生生物影响专题论证报告》（重庆师范大学，</w:t>
      </w:r>
      <w:r>
        <w:rPr>
          <w:rFonts w:hint="eastAsia"/>
          <w:color w:val="auto"/>
          <w:kern w:val="0"/>
          <w:szCs w:val="26"/>
          <w:highlight w:val="none"/>
          <w:lang w:val="en-US" w:eastAsia="zh-CN"/>
        </w:rPr>
        <w:t>2023年11月</w:t>
      </w:r>
      <w:r>
        <w:rPr>
          <w:rFonts w:hint="eastAsia"/>
          <w:color w:val="auto"/>
          <w:kern w:val="0"/>
          <w:szCs w:val="26"/>
          <w:highlight w:val="none"/>
          <w:lang w:eastAsia="zh-CN"/>
        </w:rPr>
        <w:t>）；</w:t>
      </w:r>
    </w:p>
    <w:p>
      <w:pPr>
        <w:numPr>
          <w:ilvl w:val="0"/>
          <w:numId w:val="8"/>
        </w:numPr>
        <w:tabs>
          <w:tab w:val="left" w:pos="7230"/>
        </w:tabs>
        <w:adjustRightInd w:val="0"/>
        <w:snapToGrid w:val="0"/>
        <w:ind w:left="0" w:firstLine="520"/>
        <w:rPr>
          <w:color w:val="auto"/>
          <w:kern w:val="0"/>
          <w:szCs w:val="26"/>
          <w:highlight w:val="none"/>
        </w:rPr>
      </w:pPr>
      <w:r>
        <w:rPr>
          <w:rFonts w:hint="eastAsia"/>
          <w:color w:val="auto"/>
          <w:kern w:val="0"/>
          <w:szCs w:val="26"/>
          <w:highlight w:val="none"/>
          <w:lang w:eastAsia="zh-CN"/>
        </w:rPr>
        <w:t>《涪江干流渭沱电厂船闸扩能升级改造工程对重庆合川三江国家湿地公园生态影响专题评价报告》（中煤科工重庆设计研究院</w:t>
      </w:r>
      <w:r>
        <w:rPr>
          <w:rFonts w:hint="eastAsia"/>
          <w:color w:val="auto"/>
          <w:kern w:val="0"/>
          <w:szCs w:val="26"/>
          <w:highlight w:val="none"/>
          <w:shd w:val="clear" w:fill="FFFFFF"/>
          <w:lang w:eastAsia="zh-CN"/>
        </w:rPr>
        <w:t>（</w:t>
      </w:r>
      <w:r>
        <w:rPr>
          <w:rFonts w:hint="eastAsia"/>
          <w:color w:val="auto"/>
          <w:kern w:val="0"/>
          <w:szCs w:val="26"/>
          <w:highlight w:val="none"/>
          <w:lang w:eastAsia="zh-CN"/>
        </w:rPr>
        <w:t>集团</w:t>
      </w:r>
      <w:r>
        <w:rPr>
          <w:rFonts w:hint="eastAsia"/>
          <w:color w:val="auto"/>
          <w:kern w:val="0"/>
          <w:szCs w:val="26"/>
          <w:highlight w:val="none"/>
          <w:shd w:val="clear" w:fill="FFFFFF"/>
          <w:lang w:eastAsia="zh-CN"/>
        </w:rPr>
        <w:t>）</w:t>
      </w:r>
      <w:r>
        <w:rPr>
          <w:rFonts w:hint="eastAsia"/>
          <w:color w:val="auto"/>
          <w:kern w:val="0"/>
          <w:szCs w:val="26"/>
          <w:highlight w:val="none"/>
          <w:lang w:eastAsia="zh-CN"/>
        </w:rPr>
        <w:t>有限公司，</w:t>
      </w:r>
      <w:r>
        <w:rPr>
          <w:rFonts w:hint="eastAsia"/>
          <w:color w:val="auto"/>
          <w:kern w:val="0"/>
          <w:szCs w:val="26"/>
          <w:highlight w:val="none"/>
          <w:lang w:val="en-US" w:eastAsia="zh-CN"/>
        </w:rPr>
        <w:t>2025年10月</w:t>
      </w:r>
      <w:r>
        <w:rPr>
          <w:rFonts w:hint="eastAsia"/>
          <w:color w:val="auto"/>
          <w:kern w:val="0"/>
          <w:szCs w:val="26"/>
          <w:highlight w:val="none"/>
          <w:lang w:eastAsia="zh-CN"/>
        </w:rPr>
        <w:t>）；</w:t>
      </w:r>
    </w:p>
    <w:p>
      <w:pPr>
        <w:numPr>
          <w:ilvl w:val="0"/>
          <w:numId w:val="8"/>
        </w:numPr>
        <w:tabs>
          <w:tab w:val="left" w:pos="7230"/>
        </w:tabs>
        <w:adjustRightInd w:val="0"/>
        <w:snapToGrid w:val="0"/>
        <w:ind w:left="0" w:firstLine="520"/>
        <w:rPr>
          <w:color w:val="auto"/>
          <w:kern w:val="0"/>
          <w:szCs w:val="26"/>
          <w:highlight w:val="none"/>
        </w:rPr>
      </w:pPr>
      <w:r>
        <w:rPr>
          <w:rFonts w:hint="eastAsia"/>
          <w:color w:val="auto"/>
          <w:kern w:val="0"/>
          <w:szCs w:val="26"/>
          <w:highlight w:val="none"/>
        </w:rPr>
        <w:t>《涪江干流渭沱电厂船闸扩能升级改造工程不可避让生态保护红线论证报告》</w:t>
      </w:r>
      <w:r>
        <w:rPr>
          <w:rFonts w:hint="eastAsia"/>
          <w:color w:val="auto"/>
          <w:kern w:val="0"/>
          <w:szCs w:val="26"/>
          <w:highlight w:val="none"/>
          <w:lang w:eastAsia="zh-CN"/>
        </w:rPr>
        <w:t>（重庆永能勘测规划设计有限公司，</w:t>
      </w:r>
      <w:r>
        <w:rPr>
          <w:rFonts w:hint="eastAsia"/>
          <w:color w:val="auto"/>
          <w:kern w:val="0"/>
          <w:szCs w:val="26"/>
          <w:highlight w:val="none"/>
          <w:lang w:val="en-US" w:eastAsia="zh-CN"/>
        </w:rPr>
        <w:t>2025年10月</w:t>
      </w:r>
      <w:r>
        <w:rPr>
          <w:rFonts w:hint="eastAsia"/>
          <w:color w:val="auto"/>
          <w:kern w:val="0"/>
          <w:szCs w:val="26"/>
          <w:highlight w:val="none"/>
          <w:lang w:eastAsia="zh-CN"/>
        </w:rPr>
        <w:t>）；</w:t>
      </w:r>
    </w:p>
    <w:p>
      <w:pPr>
        <w:numPr>
          <w:ilvl w:val="0"/>
          <w:numId w:val="8"/>
        </w:numPr>
        <w:tabs>
          <w:tab w:val="left" w:pos="7230"/>
        </w:tabs>
        <w:adjustRightInd w:val="0"/>
        <w:snapToGrid w:val="0"/>
        <w:ind w:left="0" w:firstLine="520"/>
        <w:rPr>
          <w:color w:val="auto"/>
          <w:kern w:val="0"/>
          <w:szCs w:val="26"/>
          <w:highlight w:val="none"/>
        </w:rPr>
      </w:pPr>
      <w:r>
        <w:rPr>
          <w:rFonts w:hint="eastAsia"/>
          <w:color w:val="auto"/>
          <w:kern w:val="0"/>
          <w:szCs w:val="26"/>
          <w:highlight w:val="none"/>
          <w:lang w:eastAsia="zh-CN"/>
        </w:rPr>
        <w:t>《</w:t>
      </w:r>
      <w:r>
        <w:rPr>
          <w:rFonts w:hint="eastAsia" w:ascii="宋体" w:hAnsi="宋体" w:cs="Arial"/>
          <w:color w:val="auto"/>
          <w:highlight w:val="none"/>
          <w:lang w:eastAsia="zh-CN"/>
        </w:rPr>
        <w:t>涪江干流渭沱电厂船闸升级改造工程</w:t>
      </w:r>
      <w:r>
        <w:rPr>
          <w:rFonts w:hint="eastAsia" w:ascii="宋体" w:hAnsi="宋体" w:cs="Arial"/>
          <w:color w:val="auto"/>
          <w:highlight w:val="none"/>
        </w:rPr>
        <w:t>洪水影响评价报告</w:t>
      </w:r>
      <w:r>
        <w:rPr>
          <w:rFonts w:hint="eastAsia"/>
          <w:color w:val="auto"/>
          <w:kern w:val="0"/>
          <w:szCs w:val="26"/>
          <w:highlight w:val="none"/>
          <w:lang w:eastAsia="zh-CN"/>
        </w:rPr>
        <w:t>》（四川中壹达工程设计有限公司，</w:t>
      </w:r>
      <w:r>
        <w:rPr>
          <w:rFonts w:hint="eastAsia"/>
          <w:color w:val="auto"/>
          <w:kern w:val="0"/>
          <w:szCs w:val="26"/>
          <w:highlight w:val="none"/>
          <w:lang w:val="en-US" w:eastAsia="zh-CN"/>
        </w:rPr>
        <w:t>2025年10月</w:t>
      </w:r>
      <w:r>
        <w:rPr>
          <w:rFonts w:hint="eastAsia"/>
          <w:color w:val="auto"/>
          <w:kern w:val="0"/>
          <w:szCs w:val="26"/>
          <w:highlight w:val="none"/>
          <w:lang w:eastAsia="zh-CN"/>
        </w:rPr>
        <w:t>）；</w:t>
      </w:r>
    </w:p>
    <w:p>
      <w:pPr>
        <w:numPr>
          <w:ilvl w:val="0"/>
          <w:numId w:val="8"/>
        </w:numPr>
        <w:tabs>
          <w:tab w:val="left" w:pos="7230"/>
        </w:tabs>
        <w:adjustRightInd w:val="0"/>
        <w:snapToGrid w:val="0"/>
        <w:ind w:left="0" w:firstLine="520"/>
        <w:rPr>
          <w:color w:val="auto"/>
          <w:kern w:val="0"/>
          <w:szCs w:val="26"/>
          <w:highlight w:val="none"/>
        </w:rPr>
      </w:pPr>
      <w:r>
        <w:rPr>
          <w:rFonts w:hint="eastAsia" w:ascii="宋体" w:hAnsi="宋体"/>
          <w:color w:val="auto"/>
          <w:highlight w:val="none"/>
        </w:rPr>
        <w:t>环境质量现状</w:t>
      </w:r>
      <w:r>
        <w:rPr>
          <w:rFonts w:hint="eastAsia"/>
          <w:color w:val="auto"/>
          <w:highlight w:val="none"/>
        </w:rPr>
        <w:t>监测报告</w:t>
      </w:r>
      <w:r>
        <w:rPr>
          <w:rFonts w:hint="eastAsia"/>
          <w:color w:val="auto"/>
          <w:highlight w:val="none"/>
          <w:lang w:eastAsia="zh-CN"/>
        </w:rPr>
        <w:t>。</w:t>
      </w:r>
    </w:p>
    <w:p>
      <w:pPr>
        <w:pStyle w:val="4"/>
        <w:adjustRightInd w:val="0"/>
        <w:snapToGrid w:val="0"/>
        <w:rPr>
          <w:color w:val="auto"/>
          <w:highlight w:val="none"/>
        </w:rPr>
      </w:pPr>
      <w:bookmarkStart w:id="52" w:name="_Toc7278"/>
      <w:r>
        <w:rPr>
          <w:rFonts w:hint="eastAsia"/>
          <w:color w:val="auto"/>
          <w:highlight w:val="none"/>
        </w:rPr>
        <w:t>评价目的</w:t>
      </w:r>
      <w:bookmarkEnd w:id="52"/>
    </w:p>
    <w:p>
      <w:pPr>
        <w:adjustRightInd w:val="0"/>
        <w:snapToGrid w:val="0"/>
        <w:ind w:firstLine="520"/>
        <w:rPr>
          <w:color w:val="auto"/>
          <w:szCs w:val="26"/>
          <w:highlight w:val="none"/>
        </w:rPr>
      </w:pPr>
      <w:r>
        <w:rPr>
          <w:rFonts w:hint="eastAsia"/>
          <w:color w:val="auto"/>
          <w:szCs w:val="26"/>
          <w:highlight w:val="none"/>
        </w:rPr>
        <w:t>（1）通过工程建设及其影响区域环境现状调查，明确工程建设及其影响区域环境现状及发展趋势，提出存在的主要环境问题，确定环境保护目标。</w:t>
      </w:r>
    </w:p>
    <w:p>
      <w:pPr>
        <w:adjustRightInd w:val="0"/>
        <w:snapToGrid w:val="0"/>
        <w:ind w:firstLine="520"/>
        <w:rPr>
          <w:color w:val="auto"/>
          <w:szCs w:val="26"/>
          <w:highlight w:val="none"/>
        </w:rPr>
      </w:pPr>
      <w:r>
        <w:rPr>
          <w:rFonts w:hint="eastAsia"/>
          <w:color w:val="auto"/>
          <w:szCs w:val="26"/>
          <w:highlight w:val="none"/>
        </w:rPr>
        <w:t>（2）依据相关环境保护法律法规、技术规程规范的要求，结合拟定的工程施工、运行方案，全面系统地分析工程建设及运行对环境可能产生的影响。</w:t>
      </w:r>
    </w:p>
    <w:p>
      <w:pPr>
        <w:adjustRightInd w:val="0"/>
        <w:snapToGrid w:val="0"/>
        <w:ind w:firstLine="520"/>
        <w:rPr>
          <w:color w:val="auto"/>
          <w:szCs w:val="26"/>
          <w:highlight w:val="none"/>
        </w:rPr>
      </w:pPr>
      <w:r>
        <w:rPr>
          <w:rFonts w:hint="eastAsia"/>
          <w:color w:val="auto"/>
          <w:szCs w:val="26"/>
          <w:highlight w:val="none"/>
        </w:rPr>
        <w:t>（3）针对工程建设可能引发的不利环境影响，提出有针对性的环保措施，保证工程顺利施工和正常运行，维护工程附近地区生态环境质量与功能，充分发挥工程的经济效益、社会效益和环境效益。</w:t>
      </w:r>
    </w:p>
    <w:p>
      <w:pPr>
        <w:adjustRightInd w:val="0"/>
        <w:snapToGrid w:val="0"/>
        <w:ind w:firstLine="520"/>
        <w:rPr>
          <w:color w:val="auto"/>
          <w:szCs w:val="26"/>
          <w:highlight w:val="none"/>
        </w:rPr>
      </w:pPr>
      <w:r>
        <w:rPr>
          <w:rFonts w:hint="eastAsia"/>
          <w:color w:val="auto"/>
          <w:szCs w:val="26"/>
          <w:highlight w:val="none"/>
        </w:rPr>
        <w:t>（4）从环境保护角度出发，论证工程布置及建设规模的环境可行性、环境合理性，为项目决策和工程环境管理提供科学的依据。</w:t>
      </w:r>
    </w:p>
    <w:p>
      <w:pPr>
        <w:adjustRightInd w:val="0"/>
        <w:snapToGrid w:val="0"/>
        <w:ind w:firstLine="520"/>
        <w:rPr>
          <w:color w:val="auto"/>
          <w:szCs w:val="26"/>
          <w:highlight w:val="none"/>
        </w:rPr>
      </w:pPr>
      <w:r>
        <w:rPr>
          <w:rFonts w:hint="eastAsia"/>
          <w:color w:val="auto"/>
          <w:szCs w:val="26"/>
          <w:highlight w:val="none"/>
        </w:rPr>
        <w:t>（5）拟定环境管理计划，明确施工期及运行期建设、施工方环境保护职责与义务，为环境保护措施实施提供制度保证。</w:t>
      </w:r>
    </w:p>
    <w:p>
      <w:pPr>
        <w:pStyle w:val="4"/>
        <w:keepNext w:val="0"/>
        <w:keepLines w:val="0"/>
        <w:adjustRightInd w:val="0"/>
        <w:snapToGrid w:val="0"/>
        <w:rPr>
          <w:color w:val="auto"/>
          <w:highlight w:val="none"/>
        </w:rPr>
      </w:pPr>
      <w:bookmarkStart w:id="53" w:name="_Toc9498"/>
      <w:r>
        <w:rPr>
          <w:rFonts w:hint="eastAsia"/>
          <w:color w:val="auto"/>
          <w:highlight w:val="none"/>
        </w:rPr>
        <w:t>评价思路</w:t>
      </w:r>
      <w:r>
        <w:rPr>
          <w:color w:val="auto"/>
          <w:highlight w:val="none"/>
        </w:rPr>
        <w:t>、内容</w:t>
      </w:r>
      <w:r>
        <w:rPr>
          <w:rFonts w:hint="eastAsia"/>
          <w:color w:val="auto"/>
          <w:highlight w:val="none"/>
        </w:rPr>
        <w:t>及</w:t>
      </w:r>
      <w:r>
        <w:rPr>
          <w:color w:val="auto"/>
          <w:highlight w:val="none"/>
        </w:rPr>
        <w:t>重点</w:t>
      </w:r>
      <w:bookmarkEnd w:id="53"/>
    </w:p>
    <w:p>
      <w:pPr>
        <w:pStyle w:val="5"/>
        <w:keepNext w:val="0"/>
        <w:keepLines w:val="0"/>
        <w:adjustRightInd w:val="0"/>
        <w:snapToGrid w:val="0"/>
        <w:ind w:firstLine="522"/>
        <w:rPr>
          <w:color w:val="auto"/>
          <w:highlight w:val="none"/>
        </w:rPr>
      </w:pPr>
      <w:r>
        <w:rPr>
          <w:rFonts w:hint="eastAsia"/>
          <w:color w:val="auto"/>
          <w:highlight w:val="none"/>
        </w:rPr>
        <w:t>评价思路</w:t>
      </w:r>
    </w:p>
    <w:p>
      <w:pPr>
        <w:adjustRightInd w:val="0"/>
        <w:snapToGrid w:val="0"/>
        <w:ind w:firstLine="520"/>
        <w:rPr>
          <w:color w:val="auto"/>
          <w:szCs w:val="26"/>
          <w:highlight w:val="none"/>
        </w:rPr>
      </w:pPr>
      <w:r>
        <w:rPr>
          <w:color w:val="auto"/>
          <w:szCs w:val="26"/>
          <w:highlight w:val="none"/>
        </w:rPr>
        <w:t>（1）</w:t>
      </w:r>
      <w:r>
        <w:rPr>
          <w:rFonts w:hint="eastAsia"/>
          <w:color w:val="auto"/>
          <w:szCs w:val="26"/>
          <w:highlight w:val="none"/>
          <w:lang w:eastAsia="zh-CN"/>
        </w:rPr>
        <w:t>渭沱枢纽由于建成时间较早，未开展环境影响评价工作，故本次评价对整个渭沱枢纽污染防治措施进行现状调查及回顾性评价，识别出现状存在的问题及解决方案</w:t>
      </w:r>
      <w:r>
        <w:rPr>
          <w:rFonts w:hint="eastAsia"/>
          <w:color w:val="auto"/>
          <w:szCs w:val="26"/>
          <w:highlight w:val="none"/>
        </w:rPr>
        <w:t>。</w:t>
      </w:r>
    </w:p>
    <w:p>
      <w:pPr>
        <w:adjustRightInd w:val="0"/>
        <w:snapToGrid w:val="0"/>
        <w:ind w:firstLine="520"/>
        <w:rPr>
          <w:color w:val="auto"/>
          <w:szCs w:val="26"/>
          <w:highlight w:val="none"/>
        </w:rPr>
      </w:pPr>
      <w:r>
        <w:rPr>
          <w:color w:val="auto"/>
          <w:szCs w:val="26"/>
          <w:highlight w:val="none"/>
        </w:rPr>
        <w:t>（2）</w:t>
      </w:r>
      <w:r>
        <w:rPr>
          <w:rFonts w:hint="eastAsia"/>
          <w:color w:val="auto"/>
          <w:szCs w:val="26"/>
          <w:highlight w:val="none"/>
        </w:rPr>
        <w:t>本项目属于现有船闸改造升级，在既有船闸右侧新建船闸1座，</w:t>
      </w:r>
      <w:r>
        <w:rPr>
          <w:rFonts w:hint="eastAsia"/>
          <w:color w:val="auto"/>
          <w:szCs w:val="26"/>
          <w:highlight w:val="none"/>
          <w:lang w:eastAsia="zh-CN"/>
        </w:rPr>
        <w:t>对现有管理区拆除后重建，</w:t>
      </w:r>
      <w:r>
        <w:rPr>
          <w:rFonts w:hint="eastAsia"/>
          <w:color w:val="auto"/>
          <w:szCs w:val="26"/>
          <w:highlight w:val="none"/>
        </w:rPr>
        <w:t>不对现有渭沱枢纽主体</w:t>
      </w:r>
      <w:r>
        <w:rPr>
          <w:rFonts w:hint="eastAsia"/>
          <w:color w:val="auto"/>
          <w:szCs w:val="26"/>
          <w:highlight w:val="none"/>
          <w:lang w:eastAsia="zh-CN"/>
        </w:rPr>
        <w:t>工程</w:t>
      </w:r>
      <w:r>
        <w:rPr>
          <w:rFonts w:hint="eastAsia"/>
          <w:color w:val="auto"/>
          <w:szCs w:val="26"/>
          <w:highlight w:val="none"/>
        </w:rPr>
        <w:t>进行改造，不改变枢纽调度运行方式及工程特性</w:t>
      </w:r>
      <w:r>
        <w:rPr>
          <w:rFonts w:hint="eastAsia"/>
          <w:color w:val="auto"/>
          <w:szCs w:val="26"/>
          <w:highlight w:val="none"/>
          <w:lang w:eastAsia="zh-CN"/>
        </w:rPr>
        <w:t>，不增加发电机组规模，项目建成后对水文情势影响较小，故本次对水文情势影响分析主要以现有枢纽工程的回顾性评价为主，本次项目建设对水文情势的影响分析利用船闸初步设计方案及洪水评价有关内容</w:t>
      </w:r>
      <w:r>
        <w:rPr>
          <w:rFonts w:hint="eastAsia"/>
          <w:color w:val="auto"/>
          <w:szCs w:val="26"/>
          <w:highlight w:val="none"/>
        </w:rPr>
        <w:t>。</w:t>
      </w:r>
    </w:p>
    <w:p>
      <w:pPr>
        <w:adjustRightInd w:val="0"/>
        <w:snapToGrid w:val="0"/>
        <w:ind w:firstLine="520"/>
        <w:rPr>
          <w:color w:val="auto"/>
          <w:highlight w:val="none"/>
        </w:rPr>
      </w:pPr>
      <w:r>
        <w:rPr>
          <w:rFonts w:hint="eastAsia"/>
          <w:color w:val="auto"/>
          <w:szCs w:val="26"/>
          <w:highlight w:val="none"/>
        </w:rPr>
        <w:t>（3）</w:t>
      </w:r>
      <w:r>
        <w:rPr>
          <w:rFonts w:hint="eastAsia"/>
          <w:color w:val="auto"/>
          <w:szCs w:val="26"/>
          <w:highlight w:val="none"/>
          <w:lang w:eastAsia="zh-CN"/>
        </w:rPr>
        <w:t>由于项目选址具有较强的确定性，不可避免占用了生态保护红线、重庆三江国家湿地公园等</w:t>
      </w:r>
      <w:r>
        <w:rPr>
          <w:rFonts w:hint="eastAsia"/>
          <w:color w:val="auto"/>
          <w:szCs w:val="26"/>
          <w:highlight w:val="none"/>
        </w:rPr>
        <w:t>生态</w:t>
      </w:r>
      <w:r>
        <w:rPr>
          <w:color w:val="auto"/>
          <w:szCs w:val="26"/>
          <w:highlight w:val="none"/>
        </w:rPr>
        <w:t>环境敏感区</w:t>
      </w:r>
      <w:r>
        <w:rPr>
          <w:rFonts w:hint="eastAsia"/>
          <w:color w:val="auto"/>
          <w:szCs w:val="26"/>
          <w:highlight w:val="none"/>
          <w:lang w:eastAsia="zh-CN"/>
        </w:rPr>
        <w:t>，项目正在开展生态红线不可避让论证、湿地公园专题影响评价工作，本次评价引用专题报告结论</w:t>
      </w:r>
      <w:r>
        <w:rPr>
          <w:rFonts w:hint="eastAsia"/>
          <w:color w:val="auto"/>
          <w:szCs w:val="26"/>
          <w:highlight w:val="none"/>
        </w:rPr>
        <w:t>。</w:t>
      </w:r>
    </w:p>
    <w:p>
      <w:pPr>
        <w:pStyle w:val="5"/>
        <w:ind w:firstLine="522"/>
        <w:rPr>
          <w:color w:val="auto"/>
          <w:highlight w:val="none"/>
        </w:rPr>
      </w:pPr>
      <w:r>
        <w:rPr>
          <w:rFonts w:hint="eastAsia"/>
          <w:color w:val="auto"/>
          <w:highlight w:val="none"/>
        </w:rPr>
        <w:t>评价</w:t>
      </w:r>
      <w:r>
        <w:rPr>
          <w:color w:val="auto"/>
          <w:highlight w:val="none"/>
        </w:rPr>
        <w:t>内容及重点</w:t>
      </w:r>
    </w:p>
    <w:p>
      <w:pPr>
        <w:adjustRightInd w:val="0"/>
        <w:snapToGrid w:val="0"/>
        <w:ind w:firstLine="520"/>
        <w:rPr>
          <w:color w:val="auto"/>
          <w:szCs w:val="26"/>
          <w:highlight w:val="none"/>
        </w:rPr>
      </w:pPr>
      <w:r>
        <w:rPr>
          <w:rFonts w:hint="eastAsia"/>
          <w:color w:val="auto"/>
          <w:szCs w:val="26"/>
          <w:highlight w:val="none"/>
        </w:rPr>
        <w:t>根据建设项目的生态环境影响特点，结合项目所在区域环境特征，确定本项目的评价主要内容如下：生态环境评价、环境噪声评价、环境空气评价、水环境影响评价、固体废物影响评价、环境风险评价、生态保护及污染防治措施技术经济论证等。</w:t>
      </w:r>
    </w:p>
    <w:p>
      <w:pPr>
        <w:adjustRightInd w:val="0"/>
        <w:snapToGrid w:val="0"/>
        <w:ind w:firstLine="520"/>
        <w:rPr>
          <w:color w:val="auto"/>
          <w:highlight w:val="none"/>
        </w:rPr>
      </w:pPr>
      <w:r>
        <w:rPr>
          <w:rFonts w:hint="eastAsia"/>
          <w:color w:val="auto"/>
          <w:szCs w:val="26"/>
          <w:highlight w:val="none"/>
        </w:rPr>
        <w:t>根据环境影响因素的筛选结果，确定本评价重点应结合拟建项目施工期和运营期对环境的影响</w:t>
      </w:r>
      <w:r>
        <w:rPr>
          <w:rFonts w:hint="eastAsia"/>
          <w:color w:val="auto"/>
          <w:szCs w:val="26"/>
          <w:highlight w:val="none"/>
          <w:lang w:eastAsia="zh-CN"/>
        </w:rPr>
        <w:t>特点</w:t>
      </w:r>
      <w:r>
        <w:rPr>
          <w:rFonts w:hint="eastAsia"/>
          <w:color w:val="auto"/>
          <w:szCs w:val="26"/>
          <w:highlight w:val="none"/>
        </w:rPr>
        <w:t>，对地表水环境</w:t>
      </w:r>
      <w:r>
        <w:rPr>
          <w:rFonts w:hint="eastAsia"/>
          <w:color w:val="auto"/>
          <w:szCs w:val="26"/>
          <w:highlight w:val="none"/>
          <w:lang w:eastAsia="zh-CN"/>
        </w:rPr>
        <w:t>（水文情势、水污染）</w:t>
      </w:r>
      <w:r>
        <w:rPr>
          <w:rFonts w:hint="eastAsia"/>
          <w:color w:val="auto"/>
          <w:szCs w:val="26"/>
          <w:highlight w:val="none"/>
        </w:rPr>
        <w:t>、生态环境</w:t>
      </w:r>
      <w:r>
        <w:rPr>
          <w:rFonts w:hint="eastAsia"/>
          <w:color w:val="auto"/>
          <w:szCs w:val="26"/>
          <w:highlight w:val="none"/>
          <w:lang w:eastAsia="zh-CN"/>
        </w:rPr>
        <w:t>（水生生态、陆生生态）及对生态敏感区（生态保护红线、重庆合川三江国家湿地公园）的影响</w:t>
      </w:r>
      <w:r>
        <w:rPr>
          <w:rFonts w:hint="eastAsia"/>
          <w:color w:val="auto"/>
          <w:szCs w:val="26"/>
          <w:highlight w:val="none"/>
        </w:rPr>
        <w:t>进行重点分析论证。</w:t>
      </w:r>
    </w:p>
    <w:p>
      <w:pPr>
        <w:pStyle w:val="4"/>
        <w:adjustRightInd w:val="0"/>
        <w:snapToGrid w:val="0"/>
        <w:rPr>
          <w:color w:val="auto"/>
          <w:highlight w:val="none"/>
        </w:rPr>
      </w:pPr>
      <w:bookmarkStart w:id="54" w:name="_Toc20380867"/>
      <w:bookmarkStart w:id="55" w:name="_Toc7821"/>
      <w:r>
        <w:rPr>
          <w:color w:val="auto"/>
          <w:highlight w:val="none"/>
        </w:rPr>
        <w:t>环境影响识别及评价因子筛选</w:t>
      </w:r>
      <w:bookmarkEnd w:id="54"/>
      <w:bookmarkEnd w:id="55"/>
    </w:p>
    <w:p>
      <w:pPr>
        <w:pStyle w:val="5"/>
        <w:adjustRightInd w:val="0"/>
        <w:snapToGrid w:val="0"/>
        <w:ind w:firstLine="522"/>
        <w:rPr>
          <w:rFonts w:eastAsiaTheme="minorEastAsia"/>
          <w:color w:val="auto"/>
          <w:highlight w:val="none"/>
        </w:rPr>
      </w:pPr>
      <w:r>
        <w:rPr>
          <w:rFonts w:eastAsiaTheme="minorEastAsia"/>
          <w:color w:val="auto"/>
          <w:highlight w:val="none"/>
        </w:rPr>
        <w:t>环境影响识别</w:t>
      </w:r>
    </w:p>
    <w:p>
      <w:pPr>
        <w:pStyle w:val="197"/>
        <w:ind w:firstLine="520"/>
        <w:jc w:val="both"/>
        <w:rPr>
          <w:color w:val="auto"/>
          <w:highlight w:val="none"/>
        </w:rPr>
      </w:pPr>
      <w:r>
        <w:rPr>
          <w:rFonts w:hint="eastAsia"/>
          <w:color w:val="auto"/>
          <w:highlight w:val="none"/>
        </w:rPr>
        <w:t>在全面深入开展工程区环境现状调查、</w:t>
      </w:r>
      <w:r>
        <w:rPr>
          <w:rFonts w:hint="eastAsia"/>
          <w:color w:val="auto"/>
          <w:highlight w:val="none"/>
          <w:lang w:eastAsia="zh-CN"/>
        </w:rPr>
        <w:t>设计</w:t>
      </w:r>
      <w:r>
        <w:rPr>
          <w:rFonts w:hint="eastAsia"/>
          <w:color w:val="auto"/>
          <w:highlight w:val="none"/>
        </w:rPr>
        <w:t>资料搜集等工作基础上，根据工程区环境保护要求和保护目标特点，结合本工程的工程任务、影响范围以及开发方式等基本情况，并参考国内外同类项目环境影响及环境保护的实践经验，采用矩阵法对工程各环境因素可能产生的影响进行初步识别分析如下：</w:t>
      </w:r>
    </w:p>
    <w:p>
      <w:pPr>
        <w:spacing w:line="240" w:lineRule="auto"/>
        <w:ind w:firstLine="520"/>
        <w:rPr>
          <w:color w:val="auto"/>
          <w:highlight w:val="none"/>
        </w:rPr>
      </w:pPr>
    </w:p>
    <w:p>
      <w:pPr>
        <w:spacing w:line="240" w:lineRule="auto"/>
        <w:ind w:left="0" w:leftChars="0" w:firstLine="0" w:firstLineChars="0"/>
        <w:jc w:val="center"/>
        <w:rPr>
          <w:bCs/>
          <w:color w:val="auto"/>
          <w:highlight w:val="none"/>
        </w:rPr>
      </w:pPr>
      <w:r>
        <w:rPr>
          <w:bCs/>
          <w:color w:val="auto"/>
          <w:highlight w:val="none"/>
        </w:rPr>
        <w:t>表</w:t>
      </w:r>
      <w:r>
        <w:rPr>
          <w:rFonts w:hint="eastAsia"/>
          <w:bCs/>
          <w:color w:val="auto"/>
          <w:highlight w:val="none"/>
        </w:rPr>
        <w:t>1.</w:t>
      </w:r>
      <w:r>
        <w:rPr>
          <w:rFonts w:hint="eastAsia"/>
          <w:bCs/>
          <w:color w:val="auto"/>
          <w:highlight w:val="none"/>
          <w:lang w:val="en-US" w:eastAsia="zh-CN"/>
        </w:rPr>
        <w:t>4.1</w:t>
      </w:r>
      <w:r>
        <w:rPr>
          <w:rFonts w:hint="eastAsia"/>
          <w:bCs/>
          <w:color w:val="auto"/>
          <w:highlight w:val="none"/>
        </w:rPr>
        <w:t>-1</w:t>
      </w:r>
      <w:r>
        <w:rPr>
          <w:rFonts w:hint="eastAsia"/>
          <w:bCs/>
          <w:color w:val="auto"/>
          <w:highlight w:val="none"/>
          <w:lang w:val="en-US" w:eastAsia="zh-CN"/>
        </w:rPr>
        <w:t xml:space="preserve">  </w:t>
      </w:r>
      <w:r>
        <w:rPr>
          <w:bCs/>
          <w:color w:val="auto"/>
          <w:highlight w:val="none"/>
        </w:rPr>
        <w:t>工程环境影响评价因子筛选表</w:t>
      </w:r>
    </w:p>
    <w:tbl>
      <w:tblPr>
        <w:tblStyle w:val="28"/>
        <w:tblW w:w="485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829"/>
        <w:gridCol w:w="1051"/>
        <w:gridCol w:w="946"/>
        <w:gridCol w:w="946"/>
        <w:gridCol w:w="946"/>
        <w:gridCol w:w="946"/>
        <w:gridCol w:w="946"/>
        <w:gridCol w:w="946"/>
        <w:gridCol w:w="948"/>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83" w:hRule="atLeast"/>
          <w:jc w:val="center"/>
        </w:trPr>
        <w:tc>
          <w:tcPr>
            <w:tcW w:w="2011" w:type="dxa"/>
            <w:gridSpan w:val="2"/>
            <w:vMerge w:val="restart"/>
            <w:tcBorders>
              <w:top w:val="single" w:color="auto" w:sz="8" w:space="0"/>
              <w:bottom w:val="single" w:color="auto" w:sz="6" w:space="0"/>
              <w:tl2br w:val="single" w:color="auto" w:sz="8" w:space="0"/>
            </w:tcBorders>
            <w:tcMar>
              <w:top w:w="57" w:type="dxa"/>
              <w:left w:w="28" w:type="dxa"/>
              <w:bottom w:w="57" w:type="dxa"/>
              <w:right w:w="28" w:type="dxa"/>
            </w:tcMar>
            <w:vAlign w:val="center"/>
          </w:tcPr>
          <w:p>
            <w:pPr>
              <w:pStyle w:val="197"/>
              <w:adjustRightInd w:val="0"/>
              <w:snapToGrid w:val="0"/>
              <w:spacing w:line="240" w:lineRule="auto"/>
              <w:ind w:firstLine="0" w:firstLineChars="0"/>
              <w:jc w:val="right"/>
              <w:rPr>
                <w:color w:val="auto"/>
                <w:sz w:val="22"/>
                <w:szCs w:val="22"/>
                <w:highlight w:val="none"/>
              </w:rPr>
            </w:pPr>
            <w:r>
              <w:rPr>
                <w:rFonts w:hint="eastAsia"/>
                <w:color w:val="auto"/>
                <w:sz w:val="22"/>
                <w:szCs w:val="22"/>
                <w:highlight w:val="none"/>
              </w:rPr>
              <w:t xml:space="preserve">   环境要素</w:t>
            </w:r>
          </w:p>
          <w:p>
            <w:pPr>
              <w:pStyle w:val="197"/>
              <w:adjustRightInd w:val="0"/>
              <w:snapToGrid w:val="0"/>
              <w:spacing w:line="240" w:lineRule="auto"/>
              <w:ind w:firstLine="0" w:firstLineChars="0"/>
              <w:rPr>
                <w:b/>
                <w:color w:val="auto"/>
                <w:sz w:val="22"/>
                <w:szCs w:val="22"/>
                <w:highlight w:val="none"/>
              </w:rPr>
            </w:pPr>
          </w:p>
          <w:p>
            <w:pPr>
              <w:pStyle w:val="197"/>
              <w:adjustRightInd w:val="0"/>
              <w:snapToGrid w:val="0"/>
              <w:spacing w:line="240" w:lineRule="auto"/>
              <w:ind w:firstLine="0" w:firstLineChars="0"/>
              <w:jc w:val="both"/>
              <w:rPr>
                <w:color w:val="auto"/>
                <w:sz w:val="22"/>
                <w:szCs w:val="22"/>
                <w:highlight w:val="none"/>
              </w:rPr>
            </w:pPr>
            <w:r>
              <w:rPr>
                <w:rFonts w:hint="eastAsia"/>
                <w:color w:val="auto"/>
                <w:sz w:val="22"/>
                <w:szCs w:val="22"/>
                <w:highlight w:val="none"/>
              </w:rPr>
              <w:t>项目组成</w:t>
            </w:r>
          </w:p>
        </w:tc>
        <w:tc>
          <w:tcPr>
            <w:tcW w:w="2026" w:type="dxa"/>
            <w:gridSpan w:val="2"/>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生态环境</w:t>
            </w:r>
          </w:p>
        </w:tc>
        <w:tc>
          <w:tcPr>
            <w:tcW w:w="2026" w:type="dxa"/>
            <w:gridSpan w:val="2"/>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水环境</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声环境</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环境空气</w:t>
            </w:r>
          </w:p>
        </w:tc>
        <w:tc>
          <w:tcPr>
            <w:tcW w:w="1015"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固体废物</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83" w:hRule="atLeast"/>
          <w:jc w:val="center"/>
        </w:trPr>
        <w:tc>
          <w:tcPr>
            <w:tcW w:w="2011" w:type="dxa"/>
            <w:gridSpan w:val="2"/>
            <w:vMerge w:val="continue"/>
            <w:tcBorders>
              <w:top w:val="single" w:color="auto" w:sz="6" w:space="0"/>
              <w:bottom w:val="single" w:color="auto" w:sz="6" w:space="0"/>
              <w:tl2br w:val="single" w:color="auto" w:sz="8" w:space="0"/>
            </w:tcBorders>
            <w:vAlign w:val="center"/>
          </w:tcPr>
          <w:p>
            <w:pPr>
              <w:pStyle w:val="197"/>
              <w:adjustRightInd w:val="0"/>
              <w:snapToGrid w:val="0"/>
              <w:spacing w:line="240" w:lineRule="auto"/>
              <w:ind w:firstLine="0" w:firstLineChars="0"/>
              <w:rPr>
                <w:color w:val="auto"/>
                <w:sz w:val="22"/>
                <w:szCs w:val="22"/>
                <w:highlight w:val="none"/>
              </w:rPr>
            </w:pP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陆生生态</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水生生态</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水文情势</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水质</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噪声</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空气质量</w:t>
            </w:r>
          </w:p>
        </w:tc>
        <w:tc>
          <w:tcPr>
            <w:tcW w:w="1015"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固体废物</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83" w:hRule="atLeast"/>
          <w:jc w:val="center"/>
        </w:trPr>
        <w:tc>
          <w:tcPr>
            <w:tcW w:w="886" w:type="dxa"/>
            <w:vMerge w:val="restart"/>
            <w:tcBorders>
              <w:top w:val="single" w:color="auto" w:sz="6" w:space="0"/>
            </w:tcBorders>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施工期</w:t>
            </w:r>
          </w:p>
        </w:tc>
        <w:tc>
          <w:tcPr>
            <w:tcW w:w="1125" w:type="dxa"/>
            <w:tcBorders>
              <w:top w:val="single" w:color="auto" w:sz="6" w:space="0"/>
            </w:tcBorders>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工程施工</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c>
          <w:tcPr>
            <w:tcW w:w="1015"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83" w:hRule="atLeast"/>
          <w:jc w:val="center"/>
        </w:trPr>
        <w:tc>
          <w:tcPr>
            <w:tcW w:w="886" w:type="dxa"/>
            <w:vMerge w:val="continue"/>
            <w:vAlign w:val="center"/>
          </w:tcPr>
          <w:p>
            <w:pPr>
              <w:pStyle w:val="197"/>
              <w:adjustRightInd w:val="0"/>
              <w:snapToGrid w:val="0"/>
              <w:spacing w:line="240" w:lineRule="auto"/>
              <w:ind w:firstLine="0" w:firstLineChars="0"/>
              <w:rPr>
                <w:color w:val="auto"/>
                <w:sz w:val="22"/>
                <w:szCs w:val="22"/>
                <w:highlight w:val="none"/>
              </w:rPr>
            </w:pPr>
          </w:p>
        </w:tc>
        <w:tc>
          <w:tcPr>
            <w:tcW w:w="1125"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施工人员</w:t>
            </w:r>
          </w:p>
        </w:tc>
        <w:tc>
          <w:tcPr>
            <w:tcW w:w="1013" w:type="dxa"/>
            <w:vAlign w:val="center"/>
          </w:tcPr>
          <w:p>
            <w:pPr>
              <w:pStyle w:val="197"/>
              <w:adjustRightInd w:val="0"/>
              <w:snapToGrid w:val="0"/>
              <w:spacing w:line="240" w:lineRule="auto"/>
              <w:ind w:firstLine="0" w:firstLineChars="0"/>
              <w:rPr>
                <w:color w:val="auto"/>
                <w:sz w:val="22"/>
                <w:szCs w:val="22"/>
                <w:highlight w:val="none"/>
              </w:rPr>
            </w:pPr>
          </w:p>
        </w:tc>
        <w:tc>
          <w:tcPr>
            <w:tcW w:w="1013" w:type="dxa"/>
            <w:vAlign w:val="center"/>
          </w:tcPr>
          <w:p>
            <w:pPr>
              <w:pStyle w:val="197"/>
              <w:adjustRightInd w:val="0"/>
              <w:snapToGrid w:val="0"/>
              <w:spacing w:line="240" w:lineRule="auto"/>
              <w:ind w:firstLine="0" w:firstLineChars="0"/>
              <w:rPr>
                <w:color w:val="auto"/>
                <w:sz w:val="22"/>
                <w:szCs w:val="22"/>
                <w:highlight w:val="none"/>
              </w:rPr>
            </w:pPr>
          </w:p>
        </w:tc>
        <w:tc>
          <w:tcPr>
            <w:tcW w:w="1013" w:type="dxa"/>
            <w:vAlign w:val="center"/>
          </w:tcPr>
          <w:p>
            <w:pPr>
              <w:pStyle w:val="197"/>
              <w:adjustRightInd w:val="0"/>
              <w:snapToGrid w:val="0"/>
              <w:spacing w:line="240" w:lineRule="auto"/>
              <w:ind w:firstLine="0" w:firstLineChars="0"/>
              <w:rPr>
                <w:color w:val="auto"/>
                <w:sz w:val="22"/>
                <w:szCs w:val="22"/>
                <w:highlight w:val="none"/>
              </w:rPr>
            </w:pP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c>
          <w:tcPr>
            <w:tcW w:w="1013" w:type="dxa"/>
            <w:vAlign w:val="center"/>
          </w:tcPr>
          <w:p>
            <w:pPr>
              <w:pStyle w:val="197"/>
              <w:adjustRightInd w:val="0"/>
              <w:snapToGrid w:val="0"/>
              <w:spacing w:line="240" w:lineRule="auto"/>
              <w:ind w:firstLine="0" w:firstLineChars="0"/>
              <w:rPr>
                <w:color w:val="auto"/>
                <w:sz w:val="22"/>
                <w:szCs w:val="22"/>
                <w:highlight w:val="none"/>
              </w:rPr>
            </w:pPr>
          </w:p>
        </w:tc>
        <w:tc>
          <w:tcPr>
            <w:tcW w:w="1013" w:type="dxa"/>
            <w:vAlign w:val="center"/>
          </w:tcPr>
          <w:p>
            <w:pPr>
              <w:pStyle w:val="197"/>
              <w:adjustRightInd w:val="0"/>
              <w:snapToGrid w:val="0"/>
              <w:spacing w:line="240" w:lineRule="auto"/>
              <w:ind w:firstLine="0" w:firstLineChars="0"/>
              <w:rPr>
                <w:color w:val="auto"/>
                <w:sz w:val="22"/>
                <w:szCs w:val="22"/>
                <w:highlight w:val="none"/>
              </w:rPr>
            </w:pPr>
          </w:p>
        </w:tc>
        <w:tc>
          <w:tcPr>
            <w:tcW w:w="1015"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83" w:hRule="atLeast"/>
          <w:jc w:val="center"/>
        </w:trPr>
        <w:tc>
          <w:tcPr>
            <w:tcW w:w="886" w:type="dxa"/>
            <w:vMerge w:val="restart"/>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运营期</w:t>
            </w:r>
          </w:p>
        </w:tc>
        <w:tc>
          <w:tcPr>
            <w:tcW w:w="1125"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航行船舶</w:t>
            </w:r>
          </w:p>
        </w:tc>
        <w:tc>
          <w:tcPr>
            <w:tcW w:w="1013" w:type="dxa"/>
            <w:vAlign w:val="center"/>
          </w:tcPr>
          <w:p>
            <w:pPr>
              <w:pStyle w:val="197"/>
              <w:adjustRightInd w:val="0"/>
              <w:snapToGrid w:val="0"/>
              <w:spacing w:line="240" w:lineRule="auto"/>
              <w:ind w:firstLine="0" w:firstLineChars="0"/>
              <w:rPr>
                <w:color w:val="auto"/>
                <w:sz w:val="22"/>
                <w:szCs w:val="22"/>
                <w:highlight w:val="none"/>
              </w:rPr>
            </w:pP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c>
          <w:tcPr>
            <w:tcW w:w="1015"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83" w:hRule="atLeast"/>
          <w:jc w:val="center"/>
        </w:trPr>
        <w:tc>
          <w:tcPr>
            <w:tcW w:w="886" w:type="dxa"/>
            <w:vMerge w:val="continue"/>
            <w:vAlign w:val="center"/>
          </w:tcPr>
          <w:p>
            <w:pPr>
              <w:pStyle w:val="197"/>
              <w:adjustRightInd w:val="0"/>
              <w:snapToGrid w:val="0"/>
              <w:spacing w:line="240" w:lineRule="auto"/>
              <w:ind w:firstLine="0" w:firstLineChars="0"/>
              <w:rPr>
                <w:color w:val="auto"/>
                <w:sz w:val="22"/>
                <w:szCs w:val="22"/>
                <w:highlight w:val="none"/>
              </w:rPr>
            </w:pPr>
          </w:p>
        </w:tc>
        <w:tc>
          <w:tcPr>
            <w:tcW w:w="1125"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环境保护</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c>
          <w:tcPr>
            <w:tcW w:w="1013" w:type="dxa"/>
            <w:vAlign w:val="center"/>
          </w:tcPr>
          <w:p>
            <w:pPr>
              <w:pStyle w:val="197"/>
              <w:adjustRightInd w:val="0"/>
              <w:snapToGrid w:val="0"/>
              <w:spacing w:line="240" w:lineRule="auto"/>
              <w:ind w:firstLine="0" w:firstLineChars="0"/>
              <w:rPr>
                <w:color w:val="auto"/>
                <w:sz w:val="22"/>
                <w:szCs w:val="22"/>
                <w:highlight w:val="none"/>
              </w:rPr>
            </w:pPr>
          </w:p>
        </w:tc>
        <w:tc>
          <w:tcPr>
            <w:tcW w:w="1013"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c>
          <w:tcPr>
            <w:tcW w:w="1013" w:type="dxa"/>
            <w:vAlign w:val="center"/>
          </w:tcPr>
          <w:p>
            <w:pPr>
              <w:pStyle w:val="197"/>
              <w:adjustRightInd w:val="0"/>
              <w:snapToGrid w:val="0"/>
              <w:spacing w:line="240" w:lineRule="auto"/>
              <w:ind w:firstLine="0" w:firstLineChars="0"/>
              <w:rPr>
                <w:color w:val="auto"/>
                <w:sz w:val="22"/>
                <w:szCs w:val="22"/>
                <w:highlight w:val="none"/>
              </w:rPr>
            </w:pPr>
          </w:p>
        </w:tc>
        <w:tc>
          <w:tcPr>
            <w:tcW w:w="1013" w:type="dxa"/>
            <w:vAlign w:val="center"/>
          </w:tcPr>
          <w:p>
            <w:pPr>
              <w:pStyle w:val="197"/>
              <w:adjustRightInd w:val="0"/>
              <w:snapToGrid w:val="0"/>
              <w:spacing w:line="240" w:lineRule="auto"/>
              <w:ind w:firstLine="0" w:firstLineChars="0"/>
              <w:rPr>
                <w:color w:val="auto"/>
                <w:sz w:val="22"/>
                <w:szCs w:val="22"/>
                <w:highlight w:val="none"/>
              </w:rPr>
            </w:pPr>
          </w:p>
        </w:tc>
        <w:tc>
          <w:tcPr>
            <w:tcW w:w="1015" w:type="dxa"/>
            <w:vAlign w:val="center"/>
          </w:tcPr>
          <w:p>
            <w:pPr>
              <w:pStyle w:val="197"/>
              <w:adjustRightInd w:val="0"/>
              <w:snapToGrid w:val="0"/>
              <w:spacing w:line="240" w:lineRule="auto"/>
              <w:ind w:firstLine="0" w:firstLineChars="0"/>
              <w:rPr>
                <w:color w:val="auto"/>
                <w:sz w:val="22"/>
                <w:szCs w:val="22"/>
                <w:highlight w:val="none"/>
              </w:rPr>
            </w:pPr>
            <w:r>
              <w:rPr>
                <w:rFonts w:hint="eastAsia"/>
                <w:color w:val="auto"/>
                <w:sz w:val="22"/>
                <w:szCs w:val="22"/>
                <w:highlight w:val="none"/>
              </w:rPr>
              <w:t>+○</w:t>
            </w:r>
          </w:p>
        </w:tc>
      </w:tr>
    </w:tbl>
    <w:p>
      <w:pPr>
        <w:pStyle w:val="197"/>
        <w:spacing w:line="240" w:lineRule="auto"/>
        <w:ind w:firstLine="0" w:firstLineChars="0"/>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lang w:val="en-US" w:eastAsia="zh-CN"/>
        </w:rPr>
        <w:t xml:space="preserve">  </w:t>
      </w:r>
      <w:r>
        <w:rPr>
          <w:rFonts w:hint="default" w:ascii="Times New Roman" w:hAnsi="Times New Roman" w:cs="Times New Roman"/>
          <w:color w:val="auto"/>
          <w:sz w:val="22"/>
          <w:szCs w:val="22"/>
          <w:highlight w:val="none"/>
        </w:rPr>
        <w:t>注：“√”有显著影响；“○”有较小影响；“空白”无显著影响；“+”正影响。“-”负影响。</w:t>
      </w:r>
    </w:p>
    <w:p>
      <w:pPr>
        <w:keepNext w:val="0"/>
        <w:keepLines w:val="0"/>
        <w:pageBreakBefore w:val="0"/>
        <w:widowControl w:val="0"/>
        <w:kinsoku/>
        <w:wordWrap/>
        <w:overflowPunct/>
        <w:topLinePunct w:val="0"/>
        <w:autoSpaceDE/>
        <w:autoSpaceDN/>
        <w:bidi w:val="0"/>
        <w:adjustRightInd/>
        <w:snapToGrid w:val="0"/>
        <w:spacing w:line="240" w:lineRule="auto"/>
        <w:ind w:firstLine="520"/>
        <w:textAlignment w:val="auto"/>
        <w:rPr>
          <w:color w:val="auto"/>
          <w:highlight w:val="none"/>
        </w:rPr>
      </w:pPr>
    </w:p>
    <w:p>
      <w:pPr>
        <w:adjustRightInd w:val="0"/>
        <w:snapToGrid w:val="0"/>
        <w:ind w:firstLine="520"/>
        <w:rPr>
          <w:color w:val="auto"/>
          <w:highlight w:val="none"/>
        </w:rPr>
      </w:pPr>
      <w:r>
        <w:rPr>
          <w:rFonts w:hint="eastAsia"/>
          <w:color w:val="auto"/>
          <w:highlight w:val="none"/>
        </w:rPr>
        <w:t>由上表可见，经筛选、识别确定本项目的主要环境要素是水环境、生态环境</w:t>
      </w:r>
      <w:r>
        <w:rPr>
          <w:rFonts w:hint="eastAsia"/>
          <w:color w:val="auto"/>
          <w:highlight w:val="none"/>
          <w:lang w:eastAsia="zh-CN"/>
        </w:rPr>
        <w:t>、声环境</w:t>
      </w:r>
      <w:r>
        <w:rPr>
          <w:rFonts w:hint="eastAsia"/>
          <w:color w:val="auto"/>
          <w:highlight w:val="none"/>
        </w:rPr>
        <w:t>。其中主要环境影响因子是水文情势、水生生态</w:t>
      </w:r>
      <w:r>
        <w:rPr>
          <w:rFonts w:hint="eastAsia"/>
          <w:color w:val="auto"/>
          <w:highlight w:val="none"/>
          <w:lang w:eastAsia="zh-CN"/>
        </w:rPr>
        <w:t>、噪声等</w:t>
      </w:r>
      <w:r>
        <w:rPr>
          <w:rFonts w:hint="eastAsia"/>
          <w:color w:val="auto"/>
          <w:highlight w:val="none"/>
        </w:rPr>
        <w:t>；影响较小的环境因子主要是环境空气、陆生生态等。</w:t>
      </w:r>
    </w:p>
    <w:p>
      <w:pPr>
        <w:pStyle w:val="5"/>
        <w:ind w:firstLine="522"/>
        <w:rPr>
          <w:rFonts w:eastAsiaTheme="minorEastAsia"/>
          <w:color w:val="auto"/>
          <w:highlight w:val="none"/>
        </w:rPr>
      </w:pPr>
      <w:bookmarkStart w:id="56" w:name="_Toc492908809"/>
      <w:r>
        <w:rPr>
          <w:rFonts w:eastAsiaTheme="minorEastAsia"/>
          <w:color w:val="auto"/>
          <w:highlight w:val="none"/>
        </w:rPr>
        <w:t>评价因子</w:t>
      </w:r>
      <w:bookmarkEnd w:id="56"/>
      <w:r>
        <w:rPr>
          <w:rFonts w:eastAsiaTheme="minorEastAsia"/>
          <w:color w:val="auto"/>
          <w:highlight w:val="none"/>
        </w:rPr>
        <w:t>筛选</w:t>
      </w:r>
    </w:p>
    <w:p>
      <w:pPr>
        <w:ind w:firstLine="520"/>
        <w:rPr>
          <w:color w:val="auto"/>
          <w:highlight w:val="none"/>
        </w:rPr>
      </w:pPr>
      <w:r>
        <w:rPr>
          <w:color w:val="auto"/>
          <w:highlight w:val="none"/>
        </w:rPr>
        <w:t>根据环境影响评价因子识别结果，确定以对环境影响较大及较为敏感的环境因子作为评价因子。</w:t>
      </w:r>
    </w:p>
    <w:p>
      <w:pPr>
        <w:ind w:firstLine="520"/>
        <w:rPr>
          <w:color w:val="auto"/>
          <w:highlight w:val="none"/>
        </w:rPr>
      </w:pPr>
      <w:r>
        <w:rPr>
          <w:color w:val="auto"/>
          <w:highlight w:val="none"/>
        </w:rPr>
        <w:t>（1）施工期环境影响评价因子</w:t>
      </w:r>
    </w:p>
    <w:p>
      <w:pPr>
        <w:ind w:firstLine="520"/>
        <w:rPr>
          <w:color w:val="auto"/>
          <w:highlight w:val="none"/>
        </w:rPr>
      </w:pPr>
      <w:r>
        <w:rPr>
          <w:rFonts w:hint="eastAsia"/>
          <w:color w:val="auto"/>
          <w:highlight w:val="none"/>
        </w:rPr>
        <w:t>水环境：SS、COD、</w:t>
      </w:r>
      <w:r>
        <w:rPr>
          <w:color w:val="auto"/>
          <w:highlight w:val="none"/>
        </w:rPr>
        <w:t>BOD</w:t>
      </w:r>
      <w:r>
        <w:rPr>
          <w:color w:val="auto"/>
          <w:highlight w:val="none"/>
          <w:vertAlign w:val="subscript"/>
        </w:rPr>
        <w:t>5</w:t>
      </w:r>
      <w:r>
        <w:rPr>
          <w:rFonts w:hint="eastAsia"/>
          <w:color w:val="auto"/>
          <w:highlight w:val="none"/>
        </w:rPr>
        <w:t>、NH</w:t>
      </w:r>
      <w:r>
        <w:rPr>
          <w:rFonts w:hint="eastAsia"/>
          <w:color w:val="auto"/>
          <w:highlight w:val="none"/>
          <w:vertAlign w:val="subscript"/>
        </w:rPr>
        <w:t>3</w:t>
      </w:r>
      <w:r>
        <w:rPr>
          <w:rFonts w:hint="eastAsia"/>
          <w:color w:val="auto"/>
          <w:highlight w:val="none"/>
        </w:rPr>
        <w:t>-N、石油类</w:t>
      </w:r>
    </w:p>
    <w:p>
      <w:pPr>
        <w:ind w:firstLine="520"/>
        <w:rPr>
          <w:color w:val="auto"/>
          <w:highlight w:val="none"/>
        </w:rPr>
      </w:pPr>
      <w:r>
        <w:rPr>
          <w:rFonts w:hint="eastAsia"/>
          <w:color w:val="auto"/>
          <w:highlight w:val="none"/>
        </w:rPr>
        <w:t>环境空气：SO</w:t>
      </w:r>
      <w:r>
        <w:rPr>
          <w:rFonts w:hint="eastAsia"/>
          <w:color w:val="auto"/>
          <w:highlight w:val="none"/>
          <w:vertAlign w:val="subscript"/>
        </w:rPr>
        <w:t>2</w:t>
      </w:r>
      <w:r>
        <w:rPr>
          <w:rFonts w:hint="eastAsia"/>
          <w:color w:val="auto"/>
          <w:highlight w:val="none"/>
        </w:rPr>
        <w:t>、NO</w:t>
      </w:r>
      <w:r>
        <w:rPr>
          <w:rFonts w:hint="eastAsia"/>
          <w:color w:val="auto"/>
          <w:highlight w:val="none"/>
          <w:vertAlign w:val="subscript"/>
        </w:rPr>
        <w:t>X</w:t>
      </w:r>
      <w:r>
        <w:rPr>
          <w:rFonts w:hint="eastAsia"/>
          <w:color w:val="auto"/>
          <w:highlight w:val="none"/>
        </w:rPr>
        <w:t>、烃类化合物（施工</w:t>
      </w:r>
      <w:r>
        <w:rPr>
          <w:color w:val="auto"/>
          <w:highlight w:val="none"/>
        </w:rPr>
        <w:t>机械燃油废气</w:t>
      </w:r>
      <w:r>
        <w:rPr>
          <w:rFonts w:hint="eastAsia"/>
          <w:color w:val="auto"/>
          <w:highlight w:val="none"/>
        </w:rPr>
        <w:t>）</w:t>
      </w:r>
    </w:p>
    <w:p>
      <w:pPr>
        <w:ind w:firstLine="520"/>
        <w:rPr>
          <w:color w:val="auto"/>
          <w:highlight w:val="none"/>
        </w:rPr>
      </w:pPr>
      <w:r>
        <w:rPr>
          <w:rFonts w:hint="eastAsia"/>
          <w:color w:val="auto"/>
          <w:highlight w:val="none"/>
        </w:rPr>
        <w:t>声环境：等效连续A声级（施工船舶及施工机械噪声）</w:t>
      </w:r>
    </w:p>
    <w:p>
      <w:pPr>
        <w:ind w:firstLine="520"/>
        <w:rPr>
          <w:color w:val="auto"/>
          <w:highlight w:val="none"/>
        </w:rPr>
      </w:pPr>
      <w:r>
        <w:rPr>
          <w:rFonts w:hint="eastAsia"/>
          <w:color w:val="auto"/>
          <w:highlight w:val="none"/>
        </w:rPr>
        <w:t>固体废物：</w:t>
      </w:r>
      <w:r>
        <w:rPr>
          <w:color w:val="auto"/>
          <w:highlight w:val="none"/>
        </w:rPr>
        <w:t>弃渣、</w:t>
      </w:r>
      <w:r>
        <w:rPr>
          <w:rFonts w:hint="eastAsia"/>
          <w:color w:val="auto"/>
          <w:highlight w:val="none"/>
        </w:rPr>
        <w:t>施工人员生活垃圾</w:t>
      </w:r>
    </w:p>
    <w:p>
      <w:pPr>
        <w:ind w:firstLine="520"/>
        <w:rPr>
          <w:color w:val="auto"/>
          <w:highlight w:val="none"/>
        </w:rPr>
      </w:pPr>
      <w:r>
        <w:rPr>
          <w:rFonts w:hint="eastAsia"/>
          <w:color w:val="auto"/>
          <w:highlight w:val="none"/>
        </w:rPr>
        <w:t>环境风险：石油类（施工及运输船舶溢油事故）</w:t>
      </w:r>
    </w:p>
    <w:p>
      <w:pPr>
        <w:ind w:firstLine="520"/>
        <w:rPr>
          <w:color w:val="auto"/>
          <w:highlight w:val="none"/>
        </w:rPr>
      </w:pPr>
      <w:r>
        <w:rPr>
          <w:rFonts w:hint="eastAsia"/>
          <w:color w:val="auto"/>
          <w:highlight w:val="none"/>
        </w:rPr>
        <w:t>生态环境：见</w:t>
      </w:r>
      <w:r>
        <w:rPr>
          <w:color w:val="auto"/>
          <w:highlight w:val="none"/>
        </w:rPr>
        <w:t>表</w:t>
      </w:r>
      <w:r>
        <w:rPr>
          <w:rFonts w:hint="eastAsia"/>
          <w:color w:val="auto"/>
          <w:highlight w:val="none"/>
        </w:rPr>
        <w:t>1.4.2-1。</w:t>
      </w:r>
    </w:p>
    <w:p>
      <w:pPr>
        <w:spacing w:line="240" w:lineRule="auto"/>
        <w:ind w:firstLine="0" w:firstLineChars="0"/>
        <w:jc w:val="center"/>
        <w:rPr>
          <w:rFonts w:hint="eastAsia"/>
          <w:color w:val="auto"/>
          <w:highlight w:val="none"/>
        </w:rPr>
      </w:pPr>
    </w:p>
    <w:p>
      <w:pPr>
        <w:spacing w:line="240" w:lineRule="auto"/>
        <w:ind w:firstLine="0" w:firstLineChars="0"/>
        <w:jc w:val="center"/>
        <w:rPr>
          <w:color w:val="auto"/>
          <w:highlight w:val="none"/>
        </w:rPr>
      </w:pPr>
      <w:r>
        <w:rPr>
          <w:rFonts w:hint="eastAsia"/>
          <w:color w:val="auto"/>
          <w:highlight w:val="none"/>
        </w:rPr>
        <w:t>表1.4.2-1</w:t>
      </w:r>
      <w:r>
        <w:rPr>
          <w:color w:val="auto"/>
          <w:highlight w:val="none"/>
        </w:rPr>
        <w:t xml:space="preserve">  </w:t>
      </w:r>
      <w:r>
        <w:rPr>
          <w:rFonts w:hint="eastAsia"/>
          <w:color w:val="auto"/>
          <w:highlight w:val="none"/>
        </w:rPr>
        <w:t>生态影响评价因子筛选</w:t>
      </w:r>
    </w:p>
    <w:tbl>
      <w:tblPr>
        <w:tblStyle w:val="28"/>
        <w:tblW w:w="4904" w:type="pct"/>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fixed"/>
        <w:tblCellMar>
          <w:top w:w="0" w:type="dxa"/>
          <w:left w:w="0" w:type="dxa"/>
          <w:bottom w:w="0" w:type="dxa"/>
          <w:right w:w="0" w:type="dxa"/>
        </w:tblCellMar>
      </w:tblPr>
      <w:tblGrid>
        <w:gridCol w:w="760"/>
        <w:gridCol w:w="1713"/>
        <w:gridCol w:w="1582"/>
        <w:gridCol w:w="1617"/>
        <w:gridCol w:w="1870"/>
        <w:gridCol w:w="1041"/>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758" w:type="dxa"/>
            <w:vMerge w:val="restart"/>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sz w:val="22"/>
                <w:highlight w:val="none"/>
              </w:rPr>
              <w:t>受影响对象</w:t>
            </w:r>
          </w:p>
        </w:tc>
        <w:tc>
          <w:tcPr>
            <w:tcW w:w="1709" w:type="dxa"/>
            <w:vMerge w:val="restart"/>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评价因子</w:t>
            </w:r>
          </w:p>
        </w:tc>
        <w:tc>
          <w:tcPr>
            <w:tcW w:w="3191" w:type="dxa"/>
            <w:gridSpan w:val="2"/>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工程内容及影响方式</w:t>
            </w:r>
          </w:p>
        </w:tc>
        <w:tc>
          <w:tcPr>
            <w:tcW w:w="1866" w:type="dxa"/>
            <w:vMerge w:val="restart"/>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影响性质</w:t>
            </w:r>
          </w:p>
        </w:tc>
        <w:tc>
          <w:tcPr>
            <w:tcW w:w="1039" w:type="dxa"/>
            <w:vMerge w:val="restart"/>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影响程度</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758" w:type="dxa"/>
            <w:vMerge w:val="continue"/>
            <w:vAlign w:val="center"/>
          </w:tcPr>
          <w:p>
            <w:pPr>
              <w:widowControl/>
              <w:adjustRightInd w:val="0"/>
              <w:snapToGrid w:val="0"/>
              <w:spacing w:line="240" w:lineRule="auto"/>
              <w:ind w:firstLine="0" w:firstLineChars="0"/>
              <w:jc w:val="center"/>
              <w:rPr>
                <w:color w:val="auto"/>
                <w:kern w:val="0"/>
                <w:sz w:val="22"/>
                <w:szCs w:val="22"/>
                <w:highlight w:val="none"/>
              </w:rPr>
            </w:pPr>
          </w:p>
        </w:tc>
        <w:tc>
          <w:tcPr>
            <w:tcW w:w="1709" w:type="dxa"/>
            <w:vMerge w:val="continue"/>
            <w:vAlign w:val="center"/>
          </w:tcPr>
          <w:p>
            <w:pPr>
              <w:widowControl/>
              <w:adjustRightInd w:val="0"/>
              <w:snapToGrid w:val="0"/>
              <w:spacing w:line="240" w:lineRule="auto"/>
              <w:ind w:firstLine="0" w:firstLineChars="0"/>
              <w:jc w:val="center"/>
              <w:rPr>
                <w:color w:val="auto"/>
                <w:sz w:val="22"/>
                <w:highlight w:val="none"/>
              </w:rPr>
            </w:pPr>
          </w:p>
        </w:tc>
        <w:tc>
          <w:tcPr>
            <w:tcW w:w="1578"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工程内容</w:t>
            </w:r>
          </w:p>
        </w:tc>
        <w:tc>
          <w:tcPr>
            <w:tcW w:w="1613"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影响方式</w:t>
            </w:r>
          </w:p>
        </w:tc>
        <w:tc>
          <w:tcPr>
            <w:tcW w:w="1866" w:type="dxa"/>
            <w:vMerge w:val="continue"/>
            <w:vAlign w:val="center"/>
          </w:tcPr>
          <w:p>
            <w:pPr>
              <w:widowControl/>
              <w:adjustRightInd w:val="0"/>
              <w:snapToGrid w:val="0"/>
              <w:spacing w:line="240" w:lineRule="auto"/>
              <w:ind w:firstLine="0" w:firstLineChars="0"/>
              <w:jc w:val="center"/>
              <w:rPr>
                <w:color w:val="auto"/>
                <w:sz w:val="22"/>
                <w:highlight w:val="none"/>
              </w:rPr>
            </w:pPr>
          </w:p>
        </w:tc>
        <w:tc>
          <w:tcPr>
            <w:tcW w:w="1039" w:type="dxa"/>
            <w:vMerge w:val="continue"/>
            <w:vAlign w:val="center"/>
          </w:tcPr>
          <w:p>
            <w:pPr>
              <w:widowControl/>
              <w:adjustRightInd w:val="0"/>
              <w:snapToGrid w:val="0"/>
              <w:spacing w:line="240" w:lineRule="auto"/>
              <w:ind w:firstLine="0" w:firstLineChars="0"/>
              <w:jc w:val="center"/>
              <w:rPr>
                <w:color w:val="auto"/>
                <w:sz w:val="22"/>
                <w:highlight w:val="none"/>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758"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物种</w:t>
            </w:r>
          </w:p>
        </w:tc>
        <w:tc>
          <w:tcPr>
            <w:tcW w:w="1709"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分布范围、种群数量、种群结构等</w:t>
            </w:r>
          </w:p>
        </w:tc>
        <w:tc>
          <w:tcPr>
            <w:tcW w:w="1578"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水工建筑、配套建筑、疏浚等</w:t>
            </w:r>
          </w:p>
        </w:tc>
        <w:tc>
          <w:tcPr>
            <w:tcW w:w="1613" w:type="dxa"/>
            <w:vAlign w:val="center"/>
          </w:tcPr>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直接影响</w:t>
            </w:r>
          </w:p>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直接影响</w:t>
            </w:r>
          </w:p>
        </w:tc>
        <w:tc>
          <w:tcPr>
            <w:tcW w:w="1866" w:type="dxa"/>
            <w:vAlign w:val="center"/>
          </w:tcPr>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短期、可逆</w:t>
            </w:r>
          </w:p>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短期、可逆</w:t>
            </w:r>
          </w:p>
        </w:tc>
        <w:tc>
          <w:tcPr>
            <w:tcW w:w="1039"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陆生：弱</w:t>
            </w:r>
          </w:p>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水生：弱</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758"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生境</w:t>
            </w:r>
          </w:p>
        </w:tc>
        <w:tc>
          <w:tcPr>
            <w:tcW w:w="1709"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生境面积、质量、连通性等</w:t>
            </w:r>
          </w:p>
        </w:tc>
        <w:tc>
          <w:tcPr>
            <w:tcW w:w="1578" w:type="dxa"/>
            <w:vAlign w:val="center"/>
          </w:tcPr>
          <w:p>
            <w:pPr>
              <w:widowControl/>
              <w:autoSpaceDE w:val="0"/>
              <w:autoSpaceDN w:val="0"/>
              <w:adjustRightInd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水工建筑、配套建筑、疏浚等</w:t>
            </w:r>
          </w:p>
        </w:tc>
        <w:tc>
          <w:tcPr>
            <w:tcW w:w="1613" w:type="dxa"/>
            <w:vAlign w:val="center"/>
          </w:tcPr>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间接影响</w:t>
            </w:r>
          </w:p>
          <w:p>
            <w:pPr>
              <w:widowControl/>
              <w:autoSpaceDE w:val="0"/>
              <w:autoSpaceDN w:val="0"/>
              <w:adjustRightInd w:val="0"/>
              <w:snapToGrid w:val="0"/>
              <w:spacing w:line="240" w:lineRule="auto"/>
              <w:ind w:firstLine="0" w:firstLineChars="0"/>
              <w:jc w:val="center"/>
              <w:rPr>
                <w:rFonts w:eastAsia="Times New Roman"/>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直接影响</w:t>
            </w:r>
          </w:p>
        </w:tc>
        <w:tc>
          <w:tcPr>
            <w:tcW w:w="1866" w:type="dxa"/>
            <w:vAlign w:val="center"/>
          </w:tcPr>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短期、可逆</w:t>
            </w:r>
          </w:p>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长期、不可逆</w:t>
            </w:r>
          </w:p>
        </w:tc>
        <w:tc>
          <w:tcPr>
            <w:tcW w:w="1039"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陆生：弱</w:t>
            </w:r>
          </w:p>
          <w:p>
            <w:pPr>
              <w:widowControl/>
              <w:autoSpaceDE w:val="0"/>
              <w:autoSpaceDN w:val="0"/>
              <w:adjustRightInd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水生：弱</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542" w:hRule="atLeast"/>
          <w:jc w:val="center"/>
        </w:trPr>
        <w:tc>
          <w:tcPr>
            <w:tcW w:w="758"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生物</w:t>
            </w:r>
          </w:p>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群落</w:t>
            </w:r>
          </w:p>
        </w:tc>
        <w:tc>
          <w:tcPr>
            <w:tcW w:w="1709"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物种组成、群落结构等</w:t>
            </w:r>
          </w:p>
        </w:tc>
        <w:tc>
          <w:tcPr>
            <w:tcW w:w="1578" w:type="dxa"/>
            <w:vAlign w:val="center"/>
          </w:tcPr>
          <w:p>
            <w:pPr>
              <w:widowControl/>
              <w:autoSpaceDE w:val="0"/>
              <w:autoSpaceDN w:val="0"/>
              <w:adjustRightInd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水工建筑、配套建筑、疏浚等</w:t>
            </w:r>
          </w:p>
        </w:tc>
        <w:tc>
          <w:tcPr>
            <w:tcW w:w="1613" w:type="dxa"/>
            <w:vAlign w:val="center"/>
          </w:tcPr>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直接影响</w:t>
            </w:r>
          </w:p>
          <w:p>
            <w:pPr>
              <w:widowControl/>
              <w:autoSpaceDE w:val="0"/>
              <w:autoSpaceDN w:val="0"/>
              <w:adjustRightInd w:val="0"/>
              <w:snapToGrid w:val="0"/>
              <w:spacing w:line="240" w:lineRule="auto"/>
              <w:ind w:firstLine="0" w:firstLineChars="0"/>
              <w:jc w:val="center"/>
              <w:rPr>
                <w:rFonts w:eastAsia="Times New Roman"/>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直接影响</w:t>
            </w:r>
          </w:p>
        </w:tc>
        <w:tc>
          <w:tcPr>
            <w:tcW w:w="1866" w:type="dxa"/>
            <w:vAlign w:val="center"/>
          </w:tcPr>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短期、可逆</w:t>
            </w:r>
          </w:p>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短期、可逆</w:t>
            </w:r>
          </w:p>
        </w:tc>
        <w:tc>
          <w:tcPr>
            <w:tcW w:w="1039"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陆生：弱</w:t>
            </w:r>
          </w:p>
          <w:p>
            <w:pPr>
              <w:widowControl/>
              <w:autoSpaceDE w:val="0"/>
              <w:autoSpaceDN w:val="0"/>
              <w:adjustRightInd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水生：弱</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758"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生态</w:t>
            </w:r>
          </w:p>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系统</w:t>
            </w:r>
          </w:p>
        </w:tc>
        <w:tc>
          <w:tcPr>
            <w:tcW w:w="1709"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植被覆盖度、生产力、生物量、生态系统功能等</w:t>
            </w:r>
          </w:p>
        </w:tc>
        <w:tc>
          <w:tcPr>
            <w:tcW w:w="1578" w:type="dxa"/>
            <w:vAlign w:val="center"/>
          </w:tcPr>
          <w:p>
            <w:pPr>
              <w:widowControl/>
              <w:autoSpaceDE w:val="0"/>
              <w:autoSpaceDN w:val="0"/>
              <w:adjustRightInd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水工建筑、配套建筑、疏浚等</w:t>
            </w:r>
          </w:p>
        </w:tc>
        <w:tc>
          <w:tcPr>
            <w:tcW w:w="1613" w:type="dxa"/>
            <w:vAlign w:val="center"/>
          </w:tcPr>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间接影响</w:t>
            </w:r>
          </w:p>
          <w:p>
            <w:pPr>
              <w:widowControl/>
              <w:autoSpaceDE w:val="0"/>
              <w:autoSpaceDN w:val="0"/>
              <w:adjustRightInd w:val="0"/>
              <w:snapToGrid w:val="0"/>
              <w:spacing w:line="240" w:lineRule="auto"/>
              <w:ind w:firstLine="0" w:firstLineChars="0"/>
              <w:jc w:val="center"/>
              <w:rPr>
                <w:rFonts w:eastAsia="Times New Roman"/>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直接影响</w:t>
            </w:r>
          </w:p>
        </w:tc>
        <w:tc>
          <w:tcPr>
            <w:tcW w:w="1866" w:type="dxa"/>
            <w:vAlign w:val="center"/>
          </w:tcPr>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短期、可逆</w:t>
            </w:r>
          </w:p>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长期、不可逆</w:t>
            </w:r>
          </w:p>
        </w:tc>
        <w:tc>
          <w:tcPr>
            <w:tcW w:w="1039"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陆生：弱</w:t>
            </w:r>
          </w:p>
          <w:p>
            <w:pPr>
              <w:widowControl/>
              <w:autoSpaceDE w:val="0"/>
              <w:autoSpaceDN w:val="0"/>
              <w:adjustRightInd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水生：弱</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758"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生物多样性</w:t>
            </w:r>
          </w:p>
        </w:tc>
        <w:tc>
          <w:tcPr>
            <w:tcW w:w="1709"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物种丰富度、均匀度、优势度等</w:t>
            </w:r>
          </w:p>
        </w:tc>
        <w:tc>
          <w:tcPr>
            <w:tcW w:w="1578" w:type="dxa"/>
            <w:vAlign w:val="center"/>
          </w:tcPr>
          <w:p>
            <w:pPr>
              <w:widowControl/>
              <w:autoSpaceDE w:val="0"/>
              <w:autoSpaceDN w:val="0"/>
              <w:adjustRightInd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水工建筑、配套建筑、疏浚等</w:t>
            </w:r>
          </w:p>
        </w:tc>
        <w:tc>
          <w:tcPr>
            <w:tcW w:w="1613" w:type="dxa"/>
            <w:vAlign w:val="center"/>
          </w:tcPr>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间接影响</w:t>
            </w:r>
          </w:p>
          <w:p>
            <w:pPr>
              <w:widowControl/>
              <w:autoSpaceDE w:val="0"/>
              <w:autoSpaceDN w:val="0"/>
              <w:adjustRightInd w:val="0"/>
              <w:snapToGrid w:val="0"/>
              <w:spacing w:line="240" w:lineRule="auto"/>
              <w:ind w:firstLine="0" w:firstLineChars="0"/>
              <w:jc w:val="center"/>
              <w:rPr>
                <w:rFonts w:eastAsia="Times New Roman"/>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直接影响</w:t>
            </w:r>
          </w:p>
        </w:tc>
        <w:tc>
          <w:tcPr>
            <w:tcW w:w="1866" w:type="dxa"/>
            <w:vAlign w:val="center"/>
          </w:tcPr>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短期、可逆</w:t>
            </w:r>
          </w:p>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短期、可逆</w:t>
            </w:r>
          </w:p>
        </w:tc>
        <w:tc>
          <w:tcPr>
            <w:tcW w:w="1039"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陆生：弱</w:t>
            </w:r>
          </w:p>
          <w:p>
            <w:pPr>
              <w:widowControl/>
              <w:autoSpaceDE w:val="0"/>
              <w:autoSpaceDN w:val="0"/>
              <w:adjustRightInd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水生：弱</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758"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生态敏感区</w:t>
            </w:r>
          </w:p>
        </w:tc>
        <w:tc>
          <w:tcPr>
            <w:tcW w:w="1709"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主要保护对象、生态功能等</w:t>
            </w:r>
          </w:p>
        </w:tc>
        <w:tc>
          <w:tcPr>
            <w:tcW w:w="1578" w:type="dxa"/>
            <w:vAlign w:val="center"/>
          </w:tcPr>
          <w:p>
            <w:pPr>
              <w:widowControl/>
              <w:autoSpaceDE w:val="0"/>
              <w:autoSpaceDN w:val="0"/>
              <w:adjustRightInd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水工建筑、配套建筑、疏浚等</w:t>
            </w:r>
          </w:p>
        </w:tc>
        <w:tc>
          <w:tcPr>
            <w:tcW w:w="1613" w:type="dxa"/>
            <w:vAlign w:val="center"/>
          </w:tcPr>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间接影响</w:t>
            </w:r>
          </w:p>
          <w:p>
            <w:pPr>
              <w:widowControl/>
              <w:autoSpaceDE w:val="0"/>
              <w:autoSpaceDN w:val="0"/>
              <w:adjustRightInd w:val="0"/>
              <w:snapToGrid w:val="0"/>
              <w:spacing w:line="240" w:lineRule="auto"/>
              <w:ind w:firstLine="0" w:firstLineChars="0"/>
              <w:jc w:val="center"/>
              <w:rPr>
                <w:rFonts w:eastAsia="Times New Roman"/>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直接影响</w:t>
            </w:r>
          </w:p>
        </w:tc>
        <w:tc>
          <w:tcPr>
            <w:tcW w:w="1866" w:type="dxa"/>
            <w:vAlign w:val="center"/>
          </w:tcPr>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短期、可逆</w:t>
            </w:r>
          </w:p>
          <w:p>
            <w:pPr>
              <w:widowControl/>
              <w:adjustRightInd w:val="0"/>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长期、不可逆</w:t>
            </w:r>
          </w:p>
        </w:tc>
        <w:tc>
          <w:tcPr>
            <w:tcW w:w="1039" w:type="dxa"/>
            <w:vAlign w:val="center"/>
          </w:tcPr>
          <w:p>
            <w:pPr>
              <w:widowControl/>
              <w:adjustRightInd w:val="0"/>
              <w:snapToGrid w:val="0"/>
              <w:spacing w:line="240" w:lineRule="auto"/>
              <w:ind w:firstLine="0" w:firstLineChars="0"/>
              <w:jc w:val="center"/>
              <w:rPr>
                <w:color w:val="auto"/>
                <w:sz w:val="22"/>
                <w:highlight w:val="none"/>
              </w:rPr>
            </w:pPr>
            <w:r>
              <w:rPr>
                <w:rFonts w:hint="eastAsia"/>
                <w:color w:val="auto"/>
                <w:sz w:val="22"/>
                <w:highlight w:val="none"/>
              </w:rPr>
              <w:t>陆生：弱</w:t>
            </w:r>
          </w:p>
          <w:p>
            <w:pPr>
              <w:widowControl/>
              <w:autoSpaceDE w:val="0"/>
              <w:autoSpaceDN w:val="0"/>
              <w:adjustRightInd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水生：弱</w:t>
            </w:r>
          </w:p>
        </w:tc>
      </w:tr>
    </w:tbl>
    <w:p>
      <w:pPr>
        <w:spacing w:line="240" w:lineRule="auto"/>
        <w:ind w:firstLine="520"/>
        <w:rPr>
          <w:color w:val="auto"/>
          <w:highlight w:val="none"/>
        </w:rPr>
      </w:pPr>
    </w:p>
    <w:p>
      <w:pPr>
        <w:spacing w:line="240" w:lineRule="auto"/>
        <w:ind w:firstLine="520"/>
        <w:rPr>
          <w:color w:val="auto"/>
          <w:highlight w:val="none"/>
        </w:rPr>
      </w:pPr>
      <w:r>
        <w:rPr>
          <w:color w:val="auto"/>
          <w:highlight w:val="none"/>
        </w:rPr>
        <w:t>（2）运行期环境影响评价因子</w:t>
      </w:r>
    </w:p>
    <w:p>
      <w:pPr>
        <w:ind w:firstLine="520"/>
        <w:rPr>
          <w:color w:val="auto"/>
          <w:highlight w:val="none"/>
        </w:rPr>
      </w:pPr>
      <w:r>
        <w:rPr>
          <w:rFonts w:hint="eastAsia"/>
          <w:color w:val="auto"/>
          <w:highlight w:val="none"/>
        </w:rPr>
        <w:t>水环境：流速、</w:t>
      </w:r>
      <w:r>
        <w:rPr>
          <w:color w:val="auto"/>
          <w:highlight w:val="none"/>
        </w:rPr>
        <w:t>水位</w:t>
      </w:r>
      <w:r>
        <w:rPr>
          <w:rFonts w:hint="eastAsia"/>
          <w:color w:val="auto"/>
          <w:highlight w:val="none"/>
        </w:rPr>
        <w:t>、COD、</w:t>
      </w:r>
      <w:r>
        <w:rPr>
          <w:color w:val="auto"/>
          <w:highlight w:val="none"/>
        </w:rPr>
        <w:t>BOD</w:t>
      </w:r>
      <w:r>
        <w:rPr>
          <w:color w:val="auto"/>
          <w:highlight w:val="none"/>
          <w:vertAlign w:val="subscript"/>
        </w:rPr>
        <w:t>5</w:t>
      </w:r>
      <w:r>
        <w:rPr>
          <w:rFonts w:hint="eastAsia"/>
          <w:color w:val="auto"/>
          <w:highlight w:val="none"/>
        </w:rPr>
        <w:t>、NH</w:t>
      </w:r>
      <w:r>
        <w:rPr>
          <w:rFonts w:hint="eastAsia"/>
          <w:color w:val="auto"/>
          <w:highlight w:val="none"/>
          <w:vertAlign w:val="subscript"/>
        </w:rPr>
        <w:t>3</w:t>
      </w:r>
      <w:r>
        <w:rPr>
          <w:rFonts w:hint="eastAsia"/>
          <w:color w:val="auto"/>
          <w:highlight w:val="none"/>
        </w:rPr>
        <w:t>-N、石油类</w:t>
      </w:r>
    </w:p>
    <w:p>
      <w:pPr>
        <w:ind w:firstLine="520"/>
        <w:rPr>
          <w:rFonts w:hint="eastAsia" w:eastAsia="宋体"/>
          <w:color w:val="auto"/>
          <w:highlight w:val="none"/>
          <w:lang w:eastAsia="zh-CN"/>
        </w:rPr>
      </w:pPr>
      <w:r>
        <w:rPr>
          <w:rFonts w:hint="eastAsia"/>
          <w:color w:val="auto"/>
          <w:highlight w:val="none"/>
        </w:rPr>
        <w:t>环境空气：SO</w:t>
      </w:r>
      <w:r>
        <w:rPr>
          <w:rFonts w:hint="eastAsia"/>
          <w:color w:val="auto"/>
          <w:highlight w:val="none"/>
          <w:vertAlign w:val="subscript"/>
        </w:rPr>
        <w:t>2</w:t>
      </w:r>
      <w:r>
        <w:rPr>
          <w:rFonts w:hint="eastAsia"/>
          <w:color w:val="auto"/>
          <w:highlight w:val="none"/>
        </w:rPr>
        <w:t>、NO</w:t>
      </w:r>
      <w:r>
        <w:rPr>
          <w:rFonts w:hint="eastAsia"/>
          <w:color w:val="auto"/>
          <w:highlight w:val="none"/>
          <w:vertAlign w:val="subscript"/>
        </w:rPr>
        <w:t>X</w:t>
      </w:r>
      <w:r>
        <w:rPr>
          <w:rFonts w:hint="eastAsia"/>
          <w:color w:val="auto"/>
          <w:highlight w:val="none"/>
        </w:rPr>
        <w:t>、烃类化合物（航行船舶</w:t>
      </w:r>
      <w:r>
        <w:rPr>
          <w:color w:val="auto"/>
          <w:highlight w:val="none"/>
        </w:rPr>
        <w:t>废气</w:t>
      </w:r>
      <w:r>
        <w:rPr>
          <w:rFonts w:hint="eastAsia"/>
          <w:color w:val="auto"/>
          <w:highlight w:val="none"/>
        </w:rPr>
        <w:t>）</w:t>
      </w:r>
      <w:r>
        <w:rPr>
          <w:rFonts w:hint="eastAsia"/>
          <w:color w:val="auto"/>
          <w:highlight w:val="none"/>
          <w:lang w:eastAsia="zh-CN"/>
        </w:rPr>
        <w:t>、油烟</w:t>
      </w:r>
    </w:p>
    <w:p>
      <w:pPr>
        <w:ind w:firstLine="520"/>
        <w:rPr>
          <w:color w:val="auto"/>
          <w:highlight w:val="none"/>
        </w:rPr>
      </w:pPr>
      <w:r>
        <w:rPr>
          <w:rFonts w:hint="eastAsia"/>
          <w:color w:val="auto"/>
          <w:highlight w:val="none"/>
        </w:rPr>
        <w:t>声环境：等效连续A声级 (航行船舶</w:t>
      </w:r>
      <w:r>
        <w:rPr>
          <w:color w:val="auto"/>
          <w:highlight w:val="none"/>
        </w:rPr>
        <w:t>交通噪声</w:t>
      </w:r>
      <w:r>
        <w:rPr>
          <w:rFonts w:hint="eastAsia"/>
          <w:color w:val="auto"/>
          <w:highlight w:val="none"/>
        </w:rPr>
        <w:t>)</w:t>
      </w:r>
    </w:p>
    <w:p>
      <w:pPr>
        <w:ind w:firstLine="520"/>
        <w:rPr>
          <w:rFonts w:hint="eastAsia" w:eastAsia="宋体"/>
          <w:color w:val="auto"/>
          <w:highlight w:val="none"/>
          <w:lang w:eastAsia="zh-CN"/>
        </w:rPr>
      </w:pPr>
      <w:r>
        <w:rPr>
          <w:rFonts w:hint="eastAsia"/>
          <w:color w:val="auto"/>
          <w:highlight w:val="none"/>
        </w:rPr>
        <w:t>固体废物：生活垃圾</w:t>
      </w:r>
      <w:r>
        <w:rPr>
          <w:rFonts w:hint="eastAsia"/>
          <w:color w:val="auto"/>
          <w:highlight w:val="none"/>
          <w:lang w:eastAsia="zh-CN"/>
        </w:rPr>
        <w:t>、危险废物</w:t>
      </w:r>
    </w:p>
    <w:p>
      <w:pPr>
        <w:ind w:firstLine="520"/>
        <w:rPr>
          <w:color w:val="auto"/>
          <w:highlight w:val="none"/>
        </w:rPr>
      </w:pPr>
      <w:r>
        <w:rPr>
          <w:rFonts w:hint="eastAsia"/>
          <w:color w:val="auto"/>
          <w:highlight w:val="none"/>
        </w:rPr>
        <w:t>环境风险：石油类（</w:t>
      </w:r>
      <w:r>
        <w:rPr>
          <w:rFonts w:hint="eastAsia"/>
          <w:color w:val="auto"/>
          <w:highlight w:val="none"/>
          <w:lang w:eastAsia="zh-CN"/>
        </w:rPr>
        <w:t>过闸</w:t>
      </w:r>
      <w:r>
        <w:rPr>
          <w:rFonts w:hint="eastAsia"/>
          <w:color w:val="auto"/>
          <w:highlight w:val="none"/>
        </w:rPr>
        <w:t>船舶溢油事故）</w:t>
      </w:r>
    </w:p>
    <w:p>
      <w:pPr>
        <w:ind w:firstLine="520"/>
        <w:rPr>
          <w:color w:val="auto"/>
          <w:highlight w:val="none"/>
        </w:rPr>
      </w:pPr>
      <w:r>
        <w:rPr>
          <w:rFonts w:hint="eastAsia"/>
          <w:color w:val="auto"/>
          <w:highlight w:val="none"/>
        </w:rPr>
        <w:t>生态环境：见表1.4.2-2。</w:t>
      </w:r>
    </w:p>
    <w:p>
      <w:pPr>
        <w:spacing w:line="240" w:lineRule="auto"/>
        <w:ind w:firstLine="0" w:firstLineChars="0"/>
        <w:jc w:val="center"/>
        <w:rPr>
          <w:rFonts w:hint="eastAsia"/>
          <w:color w:val="auto"/>
          <w:highlight w:val="none"/>
        </w:rPr>
      </w:pPr>
    </w:p>
    <w:p>
      <w:pPr>
        <w:spacing w:line="240" w:lineRule="auto"/>
        <w:ind w:firstLine="0" w:firstLineChars="0"/>
        <w:jc w:val="center"/>
        <w:rPr>
          <w:color w:val="auto"/>
          <w:highlight w:val="none"/>
        </w:rPr>
      </w:pPr>
      <w:r>
        <w:rPr>
          <w:rFonts w:hint="eastAsia"/>
          <w:color w:val="auto"/>
          <w:highlight w:val="none"/>
        </w:rPr>
        <w:t>表1.4.2-2  运营期生态影响评价因子筛选</w:t>
      </w:r>
    </w:p>
    <w:tbl>
      <w:tblPr>
        <w:tblStyle w:val="28"/>
        <w:tblW w:w="49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14"/>
        <w:gridCol w:w="2492"/>
        <w:gridCol w:w="929"/>
        <w:gridCol w:w="1621"/>
        <w:gridCol w:w="1968"/>
        <w:gridCol w:w="9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3" w:type="dxa"/>
            <w:vMerge w:val="restart"/>
            <w:vAlign w:val="center"/>
          </w:tcPr>
          <w:p>
            <w:pPr>
              <w:widowControl/>
              <w:snapToGrid w:val="0"/>
              <w:spacing w:line="240" w:lineRule="auto"/>
              <w:ind w:firstLine="0" w:firstLineChars="0"/>
              <w:jc w:val="center"/>
              <w:rPr>
                <w:color w:val="auto"/>
                <w:kern w:val="0"/>
                <w:sz w:val="22"/>
                <w:szCs w:val="22"/>
                <w:highlight w:val="none"/>
              </w:rPr>
            </w:pPr>
            <w:r>
              <w:rPr>
                <w:rFonts w:hint="eastAsia"/>
                <w:color w:val="auto"/>
                <w:sz w:val="22"/>
                <w:highlight w:val="none"/>
              </w:rPr>
              <w:t>受影响对象</w:t>
            </w:r>
          </w:p>
        </w:tc>
        <w:tc>
          <w:tcPr>
            <w:tcW w:w="2489" w:type="dxa"/>
            <w:vMerge w:val="restart"/>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评价因子</w:t>
            </w:r>
          </w:p>
        </w:tc>
        <w:tc>
          <w:tcPr>
            <w:tcW w:w="2547" w:type="dxa"/>
            <w:gridSpan w:val="2"/>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工程内容及影响方式</w:t>
            </w:r>
          </w:p>
        </w:tc>
        <w:tc>
          <w:tcPr>
            <w:tcW w:w="1966" w:type="dxa"/>
            <w:vMerge w:val="restart"/>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影响性质</w:t>
            </w:r>
          </w:p>
        </w:tc>
        <w:tc>
          <w:tcPr>
            <w:tcW w:w="995" w:type="dxa"/>
            <w:vMerge w:val="restart"/>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影响程度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3" w:type="dxa"/>
            <w:vMerge w:val="continue"/>
            <w:vAlign w:val="center"/>
          </w:tcPr>
          <w:p>
            <w:pPr>
              <w:widowControl/>
              <w:spacing w:line="240" w:lineRule="auto"/>
              <w:ind w:firstLine="0" w:firstLineChars="0"/>
              <w:jc w:val="center"/>
              <w:rPr>
                <w:color w:val="auto"/>
                <w:kern w:val="0"/>
                <w:sz w:val="22"/>
                <w:szCs w:val="22"/>
                <w:highlight w:val="none"/>
              </w:rPr>
            </w:pPr>
          </w:p>
        </w:tc>
        <w:tc>
          <w:tcPr>
            <w:tcW w:w="2489" w:type="dxa"/>
            <w:vMerge w:val="continue"/>
            <w:vAlign w:val="center"/>
          </w:tcPr>
          <w:p>
            <w:pPr>
              <w:widowControl/>
              <w:spacing w:line="240" w:lineRule="auto"/>
              <w:ind w:firstLine="0" w:firstLineChars="0"/>
              <w:jc w:val="center"/>
              <w:rPr>
                <w:color w:val="auto"/>
                <w:sz w:val="22"/>
                <w:highlight w:val="none"/>
              </w:rPr>
            </w:pPr>
          </w:p>
        </w:tc>
        <w:tc>
          <w:tcPr>
            <w:tcW w:w="928"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工程内容</w:t>
            </w:r>
          </w:p>
        </w:tc>
        <w:tc>
          <w:tcPr>
            <w:tcW w:w="1619"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影响方式</w:t>
            </w:r>
          </w:p>
        </w:tc>
        <w:tc>
          <w:tcPr>
            <w:tcW w:w="1966" w:type="dxa"/>
            <w:vMerge w:val="continue"/>
            <w:vAlign w:val="center"/>
          </w:tcPr>
          <w:p>
            <w:pPr>
              <w:widowControl/>
              <w:spacing w:line="240" w:lineRule="auto"/>
              <w:ind w:firstLine="0" w:firstLineChars="0"/>
              <w:jc w:val="center"/>
              <w:rPr>
                <w:color w:val="auto"/>
                <w:sz w:val="22"/>
                <w:highlight w:val="none"/>
              </w:rPr>
            </w:pPr>
          </w:p>
        </w:tc>
        <w:tc>
          <w:tcPr>
            <w:tcW w:w="995" w:type="dxa"/>
            <w:vMerge w:val="continue"/>
            <w:vAlign w:val="center"/>
          </w:tcPr>
          <w:p>
            <w:pPr>
              <w:widowControl/>
              <w:spacing w:line="240" w:lineRule="auto"/>
              <w:ind w:firstLine="0" w:firstLineChars="0"/>
              <w:jc w:val="center"/>
              <w:rPr>
                <w:color w:val="auto"/>
                <w:sz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3"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物种</w:t>
            </w:r>
          </w:p>
        </w:tc>
        <w:tc>
          <w:tcPr>
            <w:tcW w:w="2489"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分布范围、种群数量、种群结构等</w:t>
            </w:r>
          </w:p>
        </w:tc>
        <w:tc>
          <w:tcPr>
            <w:tcW w:w="928"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船舶航行</w:t>
            </w:r>
          </w:p>
        </w:tc>
        <w:tc>
          <w:tcPr>
            <w:tcW w:w="1619" w:type="dxa"/>
            <w:vAlign w:val="center"/>
          </w:tcPr>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间接影响</w:t>
            </w:r>
          </w:p>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直接影响</w:t>
            </w:r>
          </w:p>
        </w:tc>
        <w:tc>
          <w:tcPr>
            <w:tcW w:w="1966" w:type="dxa"/>
            <w:vAlign w:val="center"/>
          </w:tcPr>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长期、可逆</w:t>
            </w:r>
          </w:p>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长期、可逆</w:t>
            </w:r>
          </w:p>
        </w:tc>
        <w:tc>
          <w:tcPr>
            <w:tcW w:w="995"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陆生：无</w:t>
            </w:r>
          </w:p>
          <w:p>
            <w:pPr>
              <w:widowControl/>
              <w:snapToGrid w:val="0"/>
              <w:spacing w:line="240" w:lineRule="auto"/>
              <w:ind w:firstLine="0" w:firstLineChars="0"/>
              <w:jc w:val="center"/>
              <w:rPr>
                <w:color w:val="auto"/>
                <w:sz w:val="22"/>
                <w:highlight w:val="none"/>
              </w:rPr>
            </w:pPr>
            <w:r>
              <w:rPr>
                <w:rFonts w:hint="eastAsia"/>
                <w:color w:val="auto"/>
                <w:sz w:val="22"/>
                <w:highlight w:val="none"/>
              </w:rPr>
              <w:t>水生：弱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3"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生境</w:t>
            </w:r>
          </w:p>
        </w:tc>
        <w:tc>
          <w:tcPr>
            <w:tcW w:w="2489"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生境面积、质量、连通性等</w:t>
            </w:r>
          </w:p>
        </w:tc>
        <w:tc>
          <w:tcPr>
            <w:tcW w:w="928" w:type="dxa"/>
            <w:vAlign w:val="center"/>
          </w:tcPr>
          <w:p>
            <w:pPr>
              <w:widowControl/>
              <w:autoSpaceDE w:val="0"/>
              <w:autoSpaceDN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船舶航行</w:t>
            </w:r>
          </w:p>
        </w:tc>
        <w:tc>
          <w:tcPr>
            <w:tcW w:w="1619" w:type="dxa"/>
            <w:vAlign w:val="center"/>
          </w:tcPr>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间接影响</w:t>
            </w:r>
          </w:p>
          <w:p>
            <w:pPr>
              <w:widowControl/>
              <w:autoSpaceDE w:val="0"/>
              <w:autoSpaceDN w:val="0"/>
              <w:snapToGrid w:val="0"/>
              <w:spacing w:line="240" w:lineRule="auto"/>
              <w:ind w:firstLine="0" w:firstLineChars="0"/>
              <w:jc w:val="center"/>
              <w:rPr>
                <w:rFonts w:eastAsia="Times New Roman"/>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直接影响</w:t>
            </w:r>
          </w:p>
        </w:tc>
        <w:tc>
          <w:tcPr>
            <w:tcW w:w="1966" w:type="dxa"/>
            <w:vAlign w:val="center"/>
          </w:tcPr>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长期、可逆</w:t>
            </w:r>
          </w:p>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长期、可逆</w:t>
            </w:r>
          </w:p>
        </w:tc>
        <w:tc>
          <w:tcPr>
            <w:tcW w:w="995"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陆生：无</w:t>
            </w:r>
          </w:p>
          <w:p>
            <w:pPr>
              <w:widowControl/>
              <w:autoSpaceDE w:val="0"/>
              <w:autoSpaceDN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水生：弱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3"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生物</w:t>
            </w:r>
          </w:p>
          <w:p>
            <w:pPr>
              <w:widowControl/>
              <w:snapToGrid w:val="0"/>
              <w:spacing w:line="240" w:lineRule="auto"/>
              <w:ind w:firstLine="0" w:firstLineChars="0"/>
              <w:jc w:val="center"/>
              <w:rPr>
                <w:color w:val="auto"/>
                <w:sz w:val="22"/>
                <w:highlight w:val="none"/>
              </w:rPr>
            </w:pPr>
            <w:r>
              <w:rPr>
                <w:rFonts w:hint="eastAsia"/>
                <w:color w:val="auto"/>
                <w:sz w:val="22"/>
                <w:highlight w:val="none"/>
              </w:rPr>
              <w:t>群落</w:t>
            </w:r>
          </w:p>
        </w:tc>
        <w:tc>
          <w:tcPr>
            <w:tcW w:w="2489"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物种组成、群落结构等</w:t>
            </w:r>
          </w:p>
        </w:tc>
        <w:tc>
          <w:tcPr>
            <w:tcW w:w="928" w:type="dxa"/>
            <w:vAlign w:val="center"/>
          </w:tcPr>
          <w:p>
            <w:pPr>
              <w:widowControl/>
              <w:autoSpaceDE w:val="0"/>
              <w:autoSpaceDN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船舶航行</w:t>
            </w:r>
          </w:p>
        </w:tc>
        <w:tc>
          <w:tcPr>
            <w:tcW w:w="1619" w:type="dxa"/>
            <w:vAlign w:val="center"/>
          </w:tcPr>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间接影响</w:t>
            </w:r>
          </w:p>
          <w:p>
            <w:pPr>
              <w:widowControl/>
              <w:autoSpaceDE w:val="0"/>
              <w:autoSpaceDN w:val="0"/>
              <w:snapToGrid w:val="0"/>
              <w:spacing w:line="240" w:lineRule="auto"/>
              <w:ind w:firstLine="0" w:firstLineChars="0"/>
              <w:jc w:val="center"/>
              <w:rPr>
                <w:rFonts w:eastAsia="Times New Roman"/>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直接影响</w:t>
            </w:r>
          </w:p>
        </w:tc>
        <w:tc>
          <w:tcPr>
            <w:tcW w:w="1966" w:type="dxa"/>
            <w:vAlign w:val="center"/>
          </w:tcPr>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长期、可逆</w:t>
            </w:r>
          </w:p>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长期、可逆</w:t>
            </w:r>
          </w:p>
        </w:tc>
        <w:tc>
          <w:tcPr>
            <w:tcW w:w="995"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陆生：无</w:t>
            </w:r>
          </w:p>
          <w:p>
            <w:pPr>
              <w:widowControl/>
              <w:autoSpaceDE w:val="0"/>
              <w:autoSpaceDN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水生：弱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3"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生态</w:t>
            </w:r>
          </w:p>
          <w:p>
            <w:pPr>
              <w:widowControl/>
              <w:snapToGrid w:val="0"/>
              <w:spacing w:line="240" w:lineRule="auto"/>
              <w:ind w:firstLine="0" w:firstLineChars="0"/>
              <w:jc w:val="center"/>
              <w:rPr>
                <w:color w:val="auto"/>
                <w:sz w:val="22"/>
                <w:highlight w:val="none"/>
              </w:rPr>
            </w:pPr>
            <w:r>
              <w:rPr>
                <w:rFonts w:hint="eastAsia"/>
                <w:color w:val="auto"/>
                <w:sz w:val="22"/>
                <w:highlight w:val="none"/>
              </w:rPr>
              <w:t>系统</w:t>
            </w:r>
          </w:p>
        </w:tc>
        <w:tc>
          <w:tcPr>
            <w:tcW w:w="2489"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植被覆盖度、生产力、生物量、生态系统功能等</w:t>
            </w:r>
          </w:p>
        </w:tc>
        <w:tc>
          <w:tcPr>
            <w:tcW w:w="928" w:type="dxa"/>
            <w:vAlign w:val="center"/>
          </w:tcPr>
          <w:p>
            <w:pPr>
              <w:widowControl/>
              <w:autoSpaceDE w:val="0"/>
              <w:autoSpaceDN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船舶航行</w:t>
            </w:r>
          </w:p>
        </w:tc>
        <w:tc>
          <w:tcPr>
            <w:tcW w:w="1619" w:type="dxa"/>
            <w:vAlign w:val="center"/>
          </w:tcPr>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间接影响</w:t>
            </w:r>
          </w:p>
          <w:p>
            <w:pPr>
              <w:widowControl/>
              <w:autoSpaceDE w:val="0"/>
              <w:autoSpaceDN w:val="0"/>
              <w:snapToGrid w:val="0"/>
              <w:spacing w:line="240" w:lineRule="auto"/>
              <w:ind w:firstLine="0" w:firstLineChars="0"/>
              <w:jc w:val="center"/>
              <w:rPr>
                <w:rFonts w:eastAsia="Times New Roman"/>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直接影响</w:t>
            </w:r>
          </w:p>
        </w:tc>
        <w:tc>
          <w:tcPr>
            <w:tcW w:w="1966" w:type="dxa"/>
            <w:vAlign w:val="center"/>
          </w:tcPr>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长期、可逆</w:t>
            </w:r>
          </w:p>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长期、可逆</w:t>
            </w:r>
          </w:p>
        </w:tc>
        <w:tc>
          <w:tcPr>
            <w:tcW w:w="995"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陆生：无</w:t>
            </w:r>
          </w:p>
          <w:p>
            <w:pPr>
              <w:widowControl/>
              <w:autoSpaceDE w:val="0"/>
              <w:autoSpaceDN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水生：弱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3"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生物多样性</w:t>
            </w:r>
          </w:p>
        </w:tc>
        <w:tc>
          <w:tcPr>
            <w:tcW w:w="2489"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物种丰富度、均匀度、优势度等</w:t>
            </w:r>
          </w:p>
        </w:tc>
        <w:tc>
          <w:tcPr>
            <w:tcW w:w="928" w:type="dxa"/>
            <w:vAlign w:val="center"/>
          </w:tcPr>
          <w:p>
            <w:pPr>
              <w:widowControl/>
              <w:autoSpaceDE w:val="0"/>
              <w:autoSpaceDN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船舶航行</w:t>
            </w:r>
          </w:p>
        </w:tc>
        <w:tc>
          <w:tcPr>
            <w:tcW w:w="1619" w:type="dxa"/>
            <w:vAlign w:val="center"/>
          </w:tcPr>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间接影响</w:t>
            </w:r>
          </w:p>
          <w:p>
            <w:pPr>
              <w:widowControl/>
              <w:autoSpaceDE w:val="0"/>
              <w:autoSpaceDN w:val="0"/>
              <w:snapToGrid w:val="0"/>
              <w:spacing w:line="240" w:lineRule="auto"/>
              <w:ind w:firstLine="0" w:firstLineChars="0"/>
              <w:jc w:val="center"/>
              <w:rPr>
                <w:rFonts w:eastAsia="Times New Roman"/>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直接影响</w:t>
            </w:r>
          </w:p>
        </w:tc>
        <w:tc>
          <w:tcPr>
            <w:tcW w:w="1966" w:type="dxa"/>
            <w:vAlign w:val="center"/>
          </w:tcPr>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长期、可逆</w:t>
            </w:r>
          </w:p>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长期、可逆</w:t>
            </w:r>
          </w:p>
        </w:tc>
        <w:tc>
          <w:tcPr>
            <w:tcW w:w="995"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陆生：无</w:t>
            </w:r>
          </w:p>
          <w:p>
            <w:pPr>
              <w:widowControl/>
              <w:autoSpaceDE w:val="0"/>
              <w:autoSpaceDN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水生：弱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3"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生态敏感区</w:t>
            </w:r>
          </w:p>
        </w:tc>
        <w:tc>
          <w:tcPr>
            <w:tcW w:w="2489"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主要保护对象、生态功能等</w:t>
            </w:r>
          </w:p>
        </w:tc>
        <w:tc>
          <w:tcPr>
            <w:tcW w:w="928" w:type="dxa"/>
            <w:vAlign w:val="center"/>
          </w:tcPr>
          <w:p>
            <w:pPr>
              <w:widowControl/>
              <w:autoSpaceDE w:val="0"/>
              <w:autoSpaceDN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船舶航行</w:t>
            </w:r>
          </w:p>
        </w:tc>
        <w:tc>
          <w:tcPr>
            <w:tcW w:w="1619" w:type="dxa"/>
            <w:vAlign w:val="center"/>
          </w:tcPr>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间接影响</w:t>
            </w:r>
          </w:p>
          <w:p>
            <w:pPr>
              <w:widowControl/>
              <w:autoSpaceDE w:val="0"/>
              <w:autoSpaceDN w:val="0"/>
              <w:snapToGrid w:val="0"/>
              <w:spacing w:line="240" w:lineRule="auto"/>
              <w:ind w:firstLine="0" w:firstLineChars="0"/>
              <w:jc w:val="center"/>
              <w:rPr>
                <w:rFonts w:eastAsia="Times New Roman"/>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直接影响</w:t>
            </w:r>
          </w:p>
        </w:tc>
        <w:tc>
          <w:tcPr>
            <w:tcW w:w="1966" w:type="dxa"/>
            <w:vAlign w:val="center"/>
          </w:tcPr>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陆生</w:t>
            </w:r>
            <w:r>
              <w:rPr>
                <w:color w:val="auto"/>
                <w:sz w:val="22"/>
                <w:highlight w:val="none"/>
              </w:rPr>
              <w:t>)</w:t>
            </w:r>
            <w:r>
              <w:rPr>
                <w:rFonts w:hint="eastAsia"/>
                <w:color w:val="auto"/>
                <w:sz w:val="22"/>
                <w:highlight w:val="none"/>
              </w:rPr>
              <w:t>长期、可逆</w:t>
            </w:r>
          </w:p>
          <w:p>
            <w:pPr>
              <w:widowControl/>
              <w:snapToGrid w:val="0"/>
              <w:spacing w:line="240" w:lineRule="auto"/>
              <w:ind w:firstLine="0" w:firstLineChars="0"/>
              <w:jc w:val="center"/>
              <w:rPr>
                <w:color w:val="auto"/>
                <w:sz w:val="22"/>
                <w:highlight w:val="none"/>
              </w:rPr>
            </w:pPr>
            <w:r>
              <w:rPr>
                <w:color w:val="auto"/>
                <w:sz w:val="22"/>
                <w:highlight w:val="none"/>
              </w:rPr>
              <w:t>(</w:t>
            </w:r>
            <w:r>
              <w:rPr>
                <w:rFonts w:hint="eastAsia"/>
                <w:color w:val="auto"/>
                <w:sz w:val="22"/>
                <w:highlight w:val="none"/>
              </w:rPr>
              <w:t>水生</w:t>
            </w:r>
            <w:r>
              <w:rPr>
                <w:color w:val="auto"/>
                <w:sz w:val="22"/>
                <w:highlight w:val="none"/>
              </w:rPr>
              <w:t>)</w:t>
            </w:r>
            <w:r>
              <w:rPr>
                <w:rFonts w:hint="eastAsia"/>
                <w:color w:val="auto"/>
                <w:sz w:val="22"/>
                <w:highlight w:val="none"/>
              </w:rPr>
              <w:t>长期、可逆</w:t>
            </w:r>
          </w:p>
        </w:tc>
        <w:tc>
          <w:tcPr>
            <w:tcW w:w="995" w:type="dxa"/>
            <w:vAlign w:val="center"/>
          </w:tcPr>
          <w:p>
            <w:pPr>
              <w:widowControl/>
              <w:snapToGrid w:val="0"/>
              <w:spacing w:line="240" w:lineRule="auto"/>
              <w:ind w:firstLine="0" w:firstLineChars="0"/>
              <w:jc w:val="center"/>
              <w:rPr>
                <w:color w:val="auto"/>
                <w:sz w:val="22"/>
                <w:highlight w:val="none"/>
              </w:rPr>
            </w:pPr>
            <w:r>
              <w:rPr>
                <w:rFonts w:hint="eastAsia"/>
                <w:color w:val="auto"/>
                <w:sz w:val="22"/>
                <w:highlight w:val="none"/>
              </w:rPr>
              <w:t>陆生：无</w:t>
            </w:r>
          </w:p>
          <w:p>
            <w:pPr>
              <w:widowControl/>
              <w:autoSpaceDE w:val="0"/>
              <w:autoSpaceDN w:val="0"/>
              <w:snapToGrid w:val="0"/>
              <w:spacing w:line="240" w:lineRule="auto"/>
              <w:ind w:firstLine="0" w:firstLineChars="0"/>
              <w:jc w:val="center"/>
              <w:rPr>
                <w:rFonts w:eastAsia="Times New Roman"/>
                <w:color w:val="auto"/>
                <w:sz w:val="22"/>
                <w:highlight w:val="none"/>
              </w:rPr>
            </w:pPr>
            <w:r>
              <w:rPr>
                <w:rFonts w:hint="eastAsia"/>
                <w:color w:val="auto"/>
                <w:sz w:val="22"/>
                <w:highlight w:val="none"/>
              </w:rPr>
              <w:t>水生：弱</w:t>
            </w:r>
          </w:p>
        </w:tc>
      </w:tr>
    </w:tbl>
    <w:p>
      <w:pPr>
        <w:adjustRightInd w:val="0"/>
        <w:snapToGrid w:val="0"/>
        <w:spacing w:line="240" w:lineRule="auto"/>
        <w:ind w:firstLine="520"/>
        <w:rPr>
          <w:color w:val="auto"/>
          <w:szCs w:val="26"/>
          <w:highlight w:val="none"/>
        </w:rPr>
      </w:pPr>
    </w:p>
    <w:p>
      <w:pPr>
        <w:pStyle w:val="4"/>
        <w:keepNext w:val="0"/>
        <w:keepLines w:val="0"/>
        <w:snapToGrid w:val="0"/>
        <w:rPr>
          <w:color w:val="auto"/>
          <w:highlight w:val="none"/>
        </w:rPr>
      </w:pPr>
      <w:bookmarkStart w:id="57" w:name="_Toc27136"/>
      <w:bookmarkStart w:id="58" w:name="_Toc85235727"/>
      <w:r>
        <w:rPr>
          <w:color w:val="auto"/>
          <w:highlight w:val="none"/>
        </w:rPr>
        <w:t>评价工作等级</w:t>
      </w:r>
      <w:bookmarkEnd w:id="57"/>
      <w:bookmarkEnd w:id="58"/>
    </w:p>
    <w:p>
      <w:pPr>
        <w:pStyle w:val="5"/>
        <w:ind w:firstLine="522"/>
        <w:rPr>
          <w:color w:val="auto"/>
          <w:highlight w:val="none"/>
        </w:rPr>
      </w:pPr>
      <w:r>
        <w:rPr>
          <w:color w:val="auto"/>
          <w:highlight w:val="none"/>
        </w:rPr>
        <w:t>地表水环境</w:t>
      </w:r>
    </w:p>
    <w:p>
      <w:pPr>
        <w:adjustRightInd w:val="0"/>
        <w:snapToGrid w:val="0"/>
        <w:spacing w:line="460" w:lineRule="exact"/>
        <w:ind w:firstLine="520"/>
        <w:rPr>
          <w:bCs/>
          <w:color w:val="auto"/>
          <w:highlight w:val="none"/>
        </w:rPr>
      </w:pPr>
      <w:r>
        <w:rPr>
          <w:bCs/>
          <w:color w:val="auto"/>
          <w:highlight w:val="none"/>
        </w:rPr>
        <w:t>（1）评价工作等级</w:t>
      </w:r>
    </w:p>
    <w:p>
      <w:pPr>
        <w:adjustRightInd w:val="0"/>
        <w:snapToGrid w:val="0"/>
        <w:spacing w:line="460" w:lineRule="exact"/>
        <w:ind w:firstLine="520"/>
        <w:rPr>
          <w:bCs/>
          <w:snapToGrid w:val="0"/>
          <w:color w:val="auto"/>
          <w:kern w:val="0"/>
          <w:highlight w:val="none"/>
        </w:rPr>
      </w:pPr>
      <w:r>
        <w:rPr>
          <w:rFonts w:hint="eastAsia"/>
          <w:bCs/>
          <w:snapToGrid w:val="0"/>
          <w:color w:val="auto"/>
          <w:kern w:val="0"/>
          <w:highlight w:val="none"/>
        </w:rPr>
        <w:t>根据工程特点，拟建项目地表水环境影响类型为水污染影响型和水文要素影响型，为复合影响型。根据《环境影响评价技术导则 地表水环境》（HJ 2.3-2018）的有关规定，水污染影响型项目地表水评价工作等级的划分是由建设项目的废水排放方式、排放量和水污染物当量数进行确定。水文要素影响型建设项目评价等级划分主要根据</w:t>
      </w:r>
      <w:r>
        <w:rPr>
          <w:rFonts w:hint="eastAsia"/>
          <w:bCs/>
          <w:snapToGrid w:val="0"/>
          <w:color w:val="auto"/>
          <w:kern w:val="0"/>
          <w:highlight w:val="none"/>
          <w:shd w:val="clear" w:fill="FFFFFF"/>
          <w:lang w:eastAsia="zh-CN"/>
        </w:rPr>
        <w:t>水文</w:t>
      </w:r>
      <w:r>
        <w:rPr>
          <w:rFonts w:hint="eastAsia"/>
          <w:bCs/>
          <w:snapToGrid w:val="0"/>
          <w:color w:val="auto"/>
          <w:kern w:val="0"/>
          <w:highlight w:val="none"/>
        </w:rPr>
        <w:t>、径流与受影响地表水域等三类水文要素的影响程度进行判定。详见下表：</w:t>
      </w:r>
    </w:p>
    <w:p>
      <w:pPr>
        <w:adjustRightInd w:val="0"/>
        <w:snapToGrid w:val="0"/>
        <w:spacing w:line="240" w:lineRule="auto"/>
        <w:ind w:firstLine="520"/>
        <w:rPr>
          <w:bCs/>
          <w:snapToGrid w:val="0"/>
          <w:color w:val="auto"/>
          <w:kern w:val="0"/>
          <w:highlight w:val="none"/>
        </w:rPr>
      </w:pPr>
    </w:p>
    <w:p>
      <w:pPr>
        <w:adjustRightInd w:val="0"/>
        <w:snapToGrid w:val="0"/>
        <w:spacing w:line="240" w:lineRule="auto"/>
        <w:ind w:firstLine="0" w:firstLineChars="0"/>
        <w:jc w:val="center"/>
        <w:rPr>
          <w:bCs/>
          <w:snapToGrid w:val="0"/>
          <w:color w:val="auto"/>
          <w:kern w:val="0"/>
          <w:highlight w:val="none"/>
        </w:rPr>
      </w:pPr>
      <w:r>
        <w:rPr>
          <w:rFonts w:hint="eastAsia"/>
          <w:bCs/>
          <w:snapToGrid w:val="0"/>
          <w:color w:val="auto"/>
          <w:kern w:val="0"/>
          <w:highlight w:val="none"/>
        </w:rPr>
        <w:t>表1.5.1-1  水污染影响型建设项目评价等级判定表</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3"/>
        <w:gridCol w:w="1466"/>
        <w:gridCol w:w="54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3" w:type="dxa"/>
            <w:vMerge w:val="restart"/>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评价等级</w:t>
            </w:r>
          </w:p>
        </w:tc>
        <w:tc>
          <w:tcPr>
            <w:tcW w:w="6895" w:type="dxa"/>
            <w:gridSpan w:val="2"/>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color w:val="auto"/>
                <w:sz w:val="22"/>
                <w:szCs w:val="22"/>
                <w:highlight w:val="none"/>
              </w:rPr>
              <w:t xml:space="preserve">判定依据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3" w:type="dxa"/>
            <w:vMerge w:val="continue"/>
            <w:vAlign w:val="center"/>
          </w:tcPr>
          <w:p>
            <w:pPr>
              <w:adjustRightInd w:val="0"/>
              <w:snapToGrid w:val="0"/>
              <w:spacing w:line="240" w:lineRule="auto"/>
              <w:ind w:firstLine="0" w:firstLineChars="0"/>
              <w:jc w:val="center"/>
              <w:rPr>
                <w:bCs/>
                <w:snapToGrid w:val="0"/>
                <w:color w:val="auto"/>
                <w:kern w:val="0"/>
                <w:sz w:val="22"/>
                <w:szCs w:val="22"/>
                <w:highlight w:val="none"/>
              </w:rPr>
            </w:pPr>
          </w:p>
        </w:tc>
        <w:tc>
          <w:tcPr>
            <w:tcW w:w="1466"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排放方式</w:t>
            </w:r>
          </w:p>
        </w:tc>
        <w:tc>
          <w:tcPr>
            <w:tcW w:w="5429"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废水排放量</w:t>
            </w:r>
            <w:r>
              <w:rPr>
                <w:rFonts w:hint="eastAsia"/>
                <w:bCs/>
                <w:i/>
                <w:iCs/>
                <w:snapToGrid w:val="0"/>
                <w:color w:val="auto"/>
                <w:kern w:val="0"/>
                <w:sz w:val="22"/>
                <w:szCs w:val="22"/>
                <w:highlight w:val="none"/>
              </w:rPr>
              <w:t>Q</w:t>
            </w:r>
            <w:r>
              <w:rPr>
                <w:rFonts w:hint="eastAsia"/>
                <w:bCs/>
                <w:snapToGrid w:val="0"/>
                <w:color w:val="auto"/>
                <w:kern w:val="0"/>
                <w:sz w:val="22"/>
                <w:szCs w:val="22"/>
                <w:highlight w:val="none"/>
              </w:rPr>
              <w:t>（m³/d）；水污染物当量数</w:t>
            </w:r>
            <w:r>
              <w:rPr>
                <w:rFonts w:hint="eastAsia"/>
                <w:bCs/>
                <w:i/>
                <w:iCs/>
                <w:snapToGrid w:val="0"/>
                <w:color w:val="auto"/>
                <w:kern w:val="0"/>
                <w:sz w:val="22"/>
                <w:szCs w:val="22"/>
                <w:highlight w:val="none"/>
              </w:rPr>
              <w:t>W</w:t>
            </w:r>
            <w:r>
              <w:rPr>
                <w:rFonts w:hint="eastAsia"/>
                <w:bCs/>
                <w:snapToGrid w:val="0"/>
                <w:color w:val="auto"/>
                <w:kern w:val="0"/>
                <w:sz w:val="22"/>
                <w:szCs w:val="22"/>
                <w:highlight w:val="none"/>
              </w:rPr>
              <w:t>/（量纲一</w:t>
            </w:r>
            <w:r>
              <w:rPr>
                <w:rFonts w:hint="eastAsia"/>
                <w:bCs/>
                <w:snapToGrid w:val="0"/>
                <w:color w:val="auto"/>
                <w:kern w:val="0"/>
                <w:sz w:val="22"/>
                <w:szCs w:val="22"/>
                <w:highlight w:val="none"/>
                <w:shd w:val="clear"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3"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一级</w:t>
            </w:r>
          </w:p>
        </w:tc>
        <w:tc>
          <w:tcPr>
            <w:tcW w:w="1466"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直接排放</w:t>
            </w:r>
          </w:p>
        </w:tc>
        <w:tc>
          <w:tcPr>
            <w:tcW w:w="5429"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i/>
                <w:iCs/>
                <w:snapToGrid w:val="0"/>
                <w:color w:val="auto"/>
                <w:kern w:val="0"/>
                <w:sz w:val="22"/>
                <w:szCs w:val="22"/>
                <w:highlight w:val="none"/>
              </w:rPr>
              <w:t>Q</w:t>
            </w:r>
            <w:r>
              <w:rPr>
                <w:rFonts w:hint="eastAsia"/>
                <w:bCs/>
                <w:snapToGrid w:val="0"/>
                <w:color w:val="auto"/>
                <w:kern w:val="0"/>
                <w:sz w:val="22"/>
                <w:szCs w:val="22"/>
                <w:highlight w:val="none"/>
              </w:rPr>
              <w:t>≥20000或</w:t>
            </w:r>
            <w:r>
              <w:rPr>
                <w:rFonts w:hint="eastAsia"/>
                <w:bCs/>
                <w:i/>
                <w:iCs/>
                <w:snapToGrid w:val="0"/>
                <w:color w:val="auto"/>
                <w:kern w:val="0"/>
                <w:sz w:val="22"/>
                <w:szCs w:val="22"/>
                <w:highlight w:val="none"/>
              </w:rPr>
              <w:t>W</w:t>
            </w:r>
            <w:r>
              <w:rPr>
                <w:rFonts w:hint="eastAsia"/>
                <w:bCs/>
                <w:snapToGrid w:val="0"/>
                <w:color w:val="auto"/>
                <w:kern w:val="0"/>
                <w:sz w:val="22"/>
                <w:szCs w:val="22"/>
                <w:highlight w:val="none"/>
              </w:rPr>
              <w:t xml:space="preserve">≥600000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3"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二级</w:t>
            </w:r>
          </w:p>
        </w:tc>
        <w:tc>
          <w:tcPr>
            <w:tcW w:w="1466"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直接排放</w:t>
            </w:r>
          </w:p>
        </w:tc>
        <w:tc>
          <w:tcPr>
            <w:tcW w:w="5429"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3"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三级A</w:t>
            </w:r>
          </w:p>
        </w:tc>
        <w:tc>
          <w:tcPr>
            <w:tcW w:w="1466"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直接排放</w:t>
            </w:r>
          </w:p>
        </w:tc>
        <w:tc>
          <w:tcPr>
            <w:tcW w:w="5429"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i/>
                <w:iCs/>
                <w:snapToGrid w:val="0"/>
                <w:color w:val="auto"/>
                <w:kern w:val="0"/>
                <w:sz w:val="22"/>
                <w:szCs w:val="22"/>
                <w:highlight w:val="none"/>
              </w:rPr>
              <w:t>Q</w:t>
            </w:r>
            <w:r>
              <w:rPr>
                <w:rFonts w:hint="eastAsia"/>
                <w:bCs/>
                <w:snapToGrid w:val="0"/>
                <w:color w:val="auto"/>
                <w:kern w:val="0"/>
                <w:sz w:val="22"/>
                <w:szCs w:val="22"/>
                <w:highlight w:val="none"/>
              </w:rPr>
              <w:t>＜200且</w:t>
            </w:r>
            <w:r>
              <w:rPr>
                <w:rFonts w:hint="eastAsia"/>
                <w:bCs/>
                <w:i/>
                <w:iCs/>
                <w:snapToGrid w:val="0"/>
                <w:color w:val="auto"/>
                <w:kern w:val="0"/>
                <w:sz w:val="22"/>
                <w:szCs w:val="22"/>
                <w:highlight w:val="none"/>
              </w:rPr>
              <w:t>W</w:t>
            </w:r>
            <w:r>
              <w:rPr>
                <w:rFonts w:hint="eastAsia"/>
                <w:bCs/>
                <w:snapToGrid w:val="0"/>
                <w:color w:val="auto"/>
                <w:kern w:val="0"/>
                <w:sz w:val="22"/>
                <w:szCs w:val="22"/>
                <w:highlight w:val="none"/>
              </w:rPr>
              <w:t xml:space="preserve">＜6 000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3"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三级B</w:t>
            </w:r>
          </w:p>
        </w:tc>
        <w:tc>
          <w:tcPr>
            <w:tcW w:w="1466"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间接排放</w:t>
            </w:r>
          </w:p>
        </w:tc>
        <w:tc>
          <w:tcPr>
            <w:tcW w:w="5429"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8" w:type="dxa"/>
            <w:gridSpan w:val="3"/>
            <w:vAlign w:val="center"/>
          </w:tcPr>
          <w:p>
            <w:pPr>
              <w:adjustRightInd w:val="0"/>
              <w:snapToGrid w:val="0"/>
              <w:spacing w:line="240" w:lineRule="auto"/>
              <w:ind w:firstLine="0" w:firstLineChars="0"/>
              <w:rPr>
                <w:bCs/>
                <w:snapToGrid w:val="0"/>
                <w:color w:val="auto"/>
                <w:kern w:val="0"/>
                <w:sz w:val="22"/>
                <w:szCs w:val="22"/>
                <w:highlight w:val="none"/>
              </w:rPr>
            </w:pPr>
            <w:r>
              <w:rPr>
                <w:rFonts w:hint="eastAsia"/>
                <w:bCs/>
                <w:snapToGrid w:val="0"/>
                <w:color w:val="auto"/>
                <w:kern w:val="0"/>
                <w:sz w:val="22"/>
                <w:szCs w:val="22"/>
                <w:highlight w:val="none"/>
              </w:rPr>
              <w:t xml:space="preserve">注9：依托现有排放口，且对外环境未新增排放污染物的直接排放建设项目，评价等级参照间接排放，定为三级B。 </w:t>
            </w:r>
          </w:p>
          <w:p>
            <w:pPr>
              <w:adjustRightInd w:val="0"/>
              <w:snapToGrid w:val="0"/>
              <w:spacing w:line="240" w:lineRule="auto"/>
              <w:ind w:firstLine="0" w:firstLineChars="0"/>
              <w:rPr>
                <w:bCs/>
                <w:snapToGrid w:val="0"/>
                <w:color w:val="auto"/>
                <w:kern w:val="0"/>
                <w:sz w:val="22"/>
                <w:szCs w:val="22"/>
                <w:highlight w:val="none"/>
              </w:rPr>
            </w:pPr>
            <w:r>
              <w:rPr>
                <w:rFonts w:hint="eastAsia"/>
                <w:bCs/>
                <w:snapToGrid w:val="0"/>
                <w:color w:val="auto"/>
                <w:kern w:val="0"/>
                <w:sz w:val="22"/>
                <w:szCs w:val="22"/>
                <w:highlight w:val="none"/>
              </w:rPr>
              <w:t xml:space="preserve">注10：建设项目生产工艺中有废水产生，但作为回水利用，不排放到外环境的，按三级B评价。 </w:t>
            </w:r>
          </w:p>
        </w:tc>
      </w:tr>
    </w:tbl>
    <w:p>
      <w:pPr>
        <w:adjustRightInd w:val="0"/>
        <w:snapToGrid w:val="0"/>
        <w:spacing w:line="240" w:lineRule="auto"/>
        <w:ind w:firstLine="0" w:firstLineChars="0"/>
        <w:jc w:val="center"/>
        <w:rPr>
          <w:rFonts w:hint="eastAsia"/>
          <w:bCs/>
          <w:snapToGrid w:val="0"/>
          <w:color w:val="auto"/>
          <w:kern w:val="0"/>
          <w:highlight w:val="none"/>
        </w:rPr>
      </w:pPr>
    </w:p>
    <w:p>
      <w:pPr>
        <w:adjustRightInd w:val="0"/>
        <w:snapToGrid w:val="0"/>
        <w:spacing w:line="240" w:lineRule="auto"/>
        <w:ind w:firstLine="0" w:firstLineChars="0"/>
        <w:jc w:val="center"/>
        <w:rPr>
          <w:bCs/>
          <w:snapToGrid w:val="0"/>
          <w:color w:val="auto"/>
          <w:kern w:val="0"/>
          <w:highlight w:val="none"/>
        </w:rPr>
      </w:pPr>
      <w:r>
        <w:rPr>
          <w:rFonts w:hint="eastAsia"/>
          <w:bCs/>
          <w:snapToGrid w:val="0"/>
          <w:color w:val="auto"/>
          <w:kern w:val="0"/>
          <w:highlight w:val="none"/>
        </w:rPr>
        <w:t>表1.5.1-2  水文要素影响型建设项目评价等级判定表</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5"/>
        <w:gridCol w:w="1227"/>
        <w:gridCol w:w="1376"/>
        <w:gridCol w:w="834"/>
        <w:gridCol w:w="1661"/>
        <w:gridCol w:w="1715"/>
        <w:gridCol w:w="1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dxa"/>
            <w:vMerge w:val="restart"/>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评价等级</w:t>
            </w:r>
          </w:p>
        </w:tc>
        <w:tc>
          <w:tcPr>
            <w:tcW w:w="1227"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水温</w:t>
            </w:r>
          </w:p>
        </w:tc>
        <w:tc>
          <w:tcPr>
            <w:tcW w:w="2209" w:type="dxa"/>
            <w:gridSpan w:val="2"/>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径流</w:t>
            </w:r>
          </w:p>
        </w:tc>
        <w:tc>
          <w:tcPr>
            <w:tcW w:w="4834" w:type="dxa"/>
            <w:gridSpan w:val="3"/>
            <w:vAlign w:val="center"/>
          </w:tcPr>
          <w:p>
            <w:pPr>
              <w:adjustRightInd w:val="0"/>
              <w:snapToGrid w:val="0"/>
              <w:spacing w:line="240" w:lineRule="auto"/>
              <w:ind w:firstLine="0" w:firstLineChars="0"/>
              <w:jc w:val="center"/>
              <w:rPr>
                <w:bCs/>
                <w:snapToGrid w:val="0"/>
                <w:color w:val="auto"/>
                <w:kern w:val="0"/>
                <w:sz w:val="20"/>
                <w:szCs w:val="20"/>
                <w:highlight w:val="none"/>
              </w:rPr>
            </w:pPr>
            <w:r>
              <w:rPr>
                <w:color w:val="auto"/>
                <w:sz w:val="20"/>
                <w:szCs w:val="20"/>
                <w:highlight w:val="none"/>
              </w:rPr>
              <w:t>受影响地表水域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dxa"/>
            <w:vMerge w:val="continue"/>
            <w:vAlign w:val="center"/>
          </w:tcPr>
          <w:p>
            <w:pPr>
              <w:adjustRightInd w:val="0"/>
              <w:snapToGrid w:val="0"/>
              <w:spacing w:line="240" w:lineRule="auto"/>
              <w:ind w:firstLine="0" w:firstLineChars="0"/>
              <w:jc w:val="center"/>
              <w:rPr>
                <w:bCs/>
                <w:snapToGrid w:val="0"/>
                <w:color w:val="auto"/>
                <w:kern w:val="0"/>
                <w:sz w:val="20"/>
                <w:szCs w:val="20"/>
                <w:highlight w:val="none"/>
              </w:rPr>
            </w:pPr>
          </w:p>
        </w:tc>
        <w:tc>
          <w:tcPr>
            <w:tcW w:w="1227" w:type="dxa"/>
            <w:vMerge w:val="restart"/>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年径流量与总库容之比</w:t>
            </w:r>
            <w:r>
              <w:rPr>
                <w:bCs/>
                <w:i/>
                <w:iCs/>
                <w:snapToGrid w:val="0"/>
                <w:color w:val="auto"/>
                <w:kern w:val="0"/>
                <w:sz w:val="20"/>
                <w:szCs w:val="20"/>
                <w:highlight w:val="none"/>
              </w:rPr>
              <w:t>α</w:t>
            </w:r>
          </w:p>
        </w:tc>
        <w:tc>
          <w:tcPr>
            <w:tcW w:w="1377" w:type="dxa"/>
            <w:vMerge w:val="restart"/>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兴利库容占年径流量百分比</w:t>
            </w:r>
            <w:r>
              <w:rPr>
                <w:bCs/>
                <w:i/>
                <w:iCs/>
                <w:snapToGrid w:val="0"/>
                <w:color w:val="auto"/>
                <w:kern w:val="0"/>
                <w:sz w:val="20"/>
                <w:szCs w:val="20"/>
                <w:highlight w:val="none"/>
              </w:rPr>
              <w:t>β</w:t>
            </w:r>
            <w:r>
              <w:rPr>
                <w:bCs/>
                <w:snapToGrid w:val="0"/>
                <w:color w:val="auto"/>
                <w:kern w:val="0"/>
                <w:sz w:val="20"/>
                <w:szCs w:val="20"/>
                <w:highlight w:val="none"/>
              </w:rPr>
              <w:t>/%</w:t>
            </w:r>
          </w:p>
        </w:tc>
        <w:tc>
          <w:tcPr>
            <w:tcW w:w="832" w:type="dxa"/>
            <w:vMerge w:val="restart"/>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取水量占多年平均径流量百分比</w:t>
            </w:r>
            <w:r>
              <w:rPr>
                <w:bCs/>
                <w:i/>
                <w:iCs/>
                <w:snapToGrid w:val="0"/>
                <w:color w:val="auto"/>
                <w:kern w:val="0"/>
                <w:sz w:val="20"/>
                <w:szCs w:val="20"/>
                <w:highlight w:val="none"/>
              </w:rPr>
              <w:t>γ</w:t>
            </w:r>
            <w:r>
              <w:rPr>
                <w:bCs/>
                <w:snapToGrid w:val="0"/>
                <w:color w:val="auto"/>
                <w:kern w:val="0"/>
                <w:sz w:val="20"/>
                <w:szCs w:val="20"/>
                <w:highlight w:val="none"/>
              </w:rPr>
              <w:t>/%</w:t>
            </w:r>
          </w:p>
        </w:tc>
        <w:tc>
          <w:tcPr>
            <w:tcW w:w="3382" w:type="dxa"/>
            <w:gridSpan w:val="2"/>
            <w:vAlign w:val="center"/>
          </w:tcPr>
          <w:p>
            <w:pPr>
              <w:adjustRightInd w:val="0"/>
              <w:snapToGrid w:val="0"/>
              <w:spacing w:line="240" w:lineRule="auto"/>
              <w:ind w:firstLine="0" w:firstLineChars="0"/>
              <w:jc w:val="center"/>
              <w:rPr>
                <w:bCs/>
                <w:snapToGrid w:val="0"/>
                <w:color w:val="auto"/>
                <w:kern w:val="0"/>
                <w:sz w:val="20"/>
                <w:szCs w:val="20"/>
                <w:highlight w:val="none"/>
              </w:rPr>
            </w:pPr>
            <w:r>
              <w:rPr>
                <w:rFonts w:hint="eastAsia"/>
                <w:bCs/>
                <w:snapToGrid w:val="0"/>
                <w:color w:val="auto"/>
                <w:kern w:val="0"/>
                <w:sz w:val="20"/>
                <w:szCs w:val="20"/>
                <w:highlight w:val="none"/>
              </w:rPr>
              <w:t>工</w:t>
            </w:r>
            <w:r>
              <w:rPr>
                <w:bCs/>
                <w:snapToGrid w:val="0"/>
                <w:color w:val="auto"/>
                <w:kern w:val="0"/>
                <w:sz w:val="20"/>
                <w:szCs w:val="20"/>
                <w:highlight w:val="none"/>
              </w:rPr>
              <w:t>程垂直投影面积及外扩范围</w:t>
            </w:r>
            <w:r>
              <w:rPr>
                <w:bCs/>
                <w:i/>
                <w:iCs/>
                <w:snapToGrid w:val="0"/>
                <w:color w:val="auto"/>
                <w:kern w:val="0"/>
                <w:sz w:val="20"/>
                <w:szCs w:val="20"/>
                <w:highlight w:val="none"/>
              </w:rPr>
              <w:t>A</w:t>
            </w:r>
            <w:r>
              <w:rPr>
                <w:bCs/>
                <w:i/>
                <w:iCs/>
                <w:snapToGrid w:val="0"/>
                <w:color w:val="auto"/>
                <w:kern w:val="0"/>
                <w:sz w:val="20"/>
                <w:szCs w:val="20"/>
                <w:highlight w:val="none"/>
                <w:vertAlign w:val="subscript"/>
              </w:rPr>
              <w:t>1</w:t>
            </w:r>
            <w:r>
              <w:rPr>
                <w:bCs/>
                <w:snapToGrid w:val="0"/>
                <w:color w:val="auto"/>
                <w:kern w:val="0"/>
                <w:sz w:val="20"/>
                <w:szCs w:val="20"/>
                <w:highlight w:val="none"/>
              </w:rPr>
              <w:t>/km</w:t>
            </w:r>
            <w:r>
              <w:rPr>
                <w:bCs/>
                <w:snapToGrid w:val="0"/>
                <w:color w:val="auto"/>
                <w:kern w:val="0"/>
                <w:sz w:val="20"/>
                <w:szCs w:val="20"/>
                <w:highlight w:val="none"/>
                <w:vertAlign w:val="superscript"/>
              </w:rPr>
              <w:t>2</w:t>
            </w:r>
            <w:r>
              <w:rPr>
                <w:bCs/>
                <w:snapToGrid w:val="0"/>
                <w:color w:val="auto"/>
                <w:kern w:val="0"/>
                <w:sz w:val="20"/>
                <w:szCs w:val="20"/>
                <w:highlight w:val="none"/>
              </w:rPr>
              <w:t>；工程扰动水底面积</w:t>
            </w:r>
            <w:r>
              <w:rPr>
                <w:bCs/>
                <w:i/>
                <w:iCs/>
                <w:snapToGrid w:val="0"/>
                <w:color w:val="auto"/>
                <w:kern w:val="0"/>
                <w:sz w:val="20"/>
                <w:szCs w:val="20"/>
                <w:highlight w:val="none"/>
              </w:rPr>
              <w:t>A</w:t>
            </w:r>
            <w:r>
              <w:rPr>
                <w:bCs/>
                <w:i/>
                <w:iCs/>
                <w:snapToGrid w:val="0"/>
                <w:color w:val="auto"/>
                <w:kern w:val="0"/>
                <w:sz w:val="20"/>
                <w:szCs w:val="20"/>
                <w:highlight w:val="none"/>
                <w:vertAlign w:val="subscript"/>
              </w:rPr>
              <w:t>2</w:t>
            </w:r>
            <w:r>
              <w:rPr>
                <w:bCs/>
                <w:snapToGrid w:val="0"/>
                <w:color w:val="auto"/>
                <w:kern w:val="0"/>
                <w:sz w:val="20"/>
                <w:szCs w:val="20"/>
                <w:highlight w:val="none"/>
              </w:rPr>
              <w:t>/km</w:t>
            </w:r>
            <w:r>
              <w:rPr>
                <w:bCs/>
                <w:snapToGrid w:val="0"/>
                <w:color w:val="auto"/>
                <w:kern w:val="0"/>
                <w:sz w:val="20"/>
                <w:szCs w:val="20"/>
                <w:highlight w:val="none"/>
                <w:vertAlign w:val="superscript"/>
              </w:rPr>
              <w:t>2</w:t>
            </w:r>
            <w:r>
              <w:rPr>
                <w:bCs/>
                <w:snapToGrid w:val="0"/>
                <w:color w:val="auto"/>
                <w:kern w:val="0"/>
                <w:sz w:val="20"/>
                <w:szCs w:val="20"/>
                <w:highlight w:val="none"/>
              </w:rPr>
              <w:t>；过水断面宽度占用比例或占用水域面积比例</w:t>
            </w:r>
            <w:r>
              <w:rPr>
                <w:bCs/>
                <w:i/>
                <w:iCs/>
                <w:snapToGrid w:val="0"/>
                <w:color w:val="auto"/>
                <w:kern w:val="0"/>
                <w:sz w:val="20"/>
                <w:szCs w:val="20"/>
                <w:highlight w:val="none"/>
              </w:rPr>
              <w:t>R</w:t>
            </w:r>
            <w:r>
              <w:rPr>
                <w:bCs/>
                <w:snapToGrid w:val="0"/>
                <w:color w:val="auto"/>
                <w:kern w:val="0"/>
                <w:sz w:val="20"/>
                <w:szCs w:val="20"/>
                <w:highlight w:val="none"/>
              </w:rPr>
              <w:t>/%</w:t>
            </w:r>
          </w:p>
        </w:tc>
        <w:tc>
          <w:tcPr>
            <w:tcW w:w="1452"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工程垂直投影面积及外扩范围</w:t>
            </w:r>
            <w:r>
              <w:rPr>
                <w:bCs/>
                <w:i/>
                <w:iCs/>
                <w:snapToGrid w:val="0"/>
                <w:color w:val="auto"/>
                <w:kern w:val="0"/>
                <w:sz w:val="20"/>
                <w:szCs w:val="20"/>
                <w:highlight w:val="none"/>
              </w:rPr>
              <w:t>A</w:t>
            </w:r>
            <w:r>
              <w:rPr>
                <w:bCs/>
                <w:i/>
                <w:iCs/>
                <w:snapToGrid w:val="0"/>
                <w:color w:val="auto"/>
                <w:kern w:val="0"/>
                <w:sz w:val="20"/>
                <w:szCs w:val="20"/>
                <w:highlight w:val="none"/>
                <w:vertAlign w:val="subscript"/>
              </w:rPr>
              <w:t>1</w:t>
            </w:r>
            <w:r>
              <w:rPr>
                <w:bCs/>
                <w:snapToGrid w:val="0"/>
                <w:color w:val="auto"/>
                <w:kern w:val="0"/>
                <w:sz w:val="20"/>
                <w:szCs w:val="20"/>
                <w:highlight w:val="none"/>
              </w:rPr>
              <w:t>/km</w:t>
            </w:r>
            <w:r>
              <w:rPr>
                <w:bCs/>
                <w:snapToGrid w:val="0"/>
                <w:color w:val="auto"/>
                <w:kern w:val="0"/>
                <w:sz w:val="20"/>
                <w:szCs w:val="20"/>
                <w:highlight w:val="none"/>
                <w:vertAlign w:val="superscript"/>
              </w:rPr>
              <w:t>2</w:t>
            </w:r>
            <w:r>
              <w:rPr>
                <w:bCs/>
                <w:snapToGrid w:val="0"/>
                <w:color w:val="auto"/>
                <w:kern w:val="0"/>
                <w:sz w:val="20"/>
                <w:szCs w:val="20"/>
                <w:highlight w:val="none"/>
              </w:rPr>
              <w:t>；工程扰动</w:t>
            </w:r>
            <w:r>
              <w:rPr>
                <w:bCs/>
                <w:snapToGrid w:val="0"/>
                <w:color w:val="auto"/>
                <w:kern w:val="0"/>
                <w:sz w:val="20"/>
                <w:szCs w:val="20"/>
                <w:highlight w:val="none"/>
                <w:shd w:val="clear" w:fill="FFFFFF"/>
              </w:rPr>
              <w:t>水底面积</w:t>
            </w:r>
            <w:r>
              <w:rPr>
                <w:bCs/>
                <w:i/>
                <w:iCs/>
                <w:snapToGrid w:val="0"/>
                <w:color w:val="auto"/>
                <w:kern w:val="0"/>
                <w:sz w:val="20"/>
                <w:szCs w:val="20"/>
                <w:highlight w:val="none"/>
              </w:rPr>
              <w:t>A</w:t>
            </w:r>
            <w:r>
              <w:rPr>
                <w:bCs/>
                <w:i/>
                <w:iCs/>
                <w:snapToGrid w:val="0"/>
                <w:color w:val="auto"/>
                <w:kern w:val="0"/>
                <w:sz w:val="20"/>
                <w:szCs w:val="20"/>
                <w:highlight w:val="none"/>
                <w:vertAlign w:val="subscript"/>
              </w:rPr>
              <w:t>2</w:t>
            </w:r>
            <w:r>
              <w:rPr>
                <w:bCs/>
                <w:snapToGrid w:val="0"/>
                <w:color w:val="auto"/>
                <w:kern w:val="0"/>
                <w:sz w:val="20"/>
                <w:szCs w:val="20"/>
                <w:highlight w:val="none"/>
              </w:rPr>
              <w:t>/km</w:t>
            </w:r>
            <w:r>
              <w:rPr>
                <w:bCs/>
                <w:snapToGrid w:val="0"/>
                <w:color w:val="auto"/>
                <w:kern w:val="0"/>
                <w:sz w:val="20"/>
                <w:szCs w:val="20"/>
                <w:highlight w:val="none"/>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dxa"/>
            <w:vMerge w:val="continue"/>
            <w:vAlign w:val="center"/>
          </w:tcPr>
          <w:p>
            <w:pPr>
              <w:adjustRightInd w:val="0"/>
              <w:snapToGrid w:val="0"/>
              <w:spacing w:line="240" w:lineRule="auto"/>
              <w:ind w:firstLine="0" w:firstLineChars="0"/>
              <w:jc w:val="center"/>
              <w:rPr>
                <w:bCs/>
                <w:snapToGrid w:val="0"/>
                <w:color w:val="auto"/>
                <w:kern w:val="0"/>
                <w:sz w:val="20"/>
                <w:szCs w:val="20"/>
                <w:highlight w:val="none"/>
              </w:rPr>
            </w:pPr>
          </w:p>
        </w:tc>
        <w:tc>
          <w:tcPr>
            <w:tcW w:w="1227" w:type="dxa"/>
            <w:vMerge w:val="continue"/>
            <w:vAlign w:val="center"/>
          </w:tcPr>
          <w:p>
            <w:pPr>
              <w:adjustRightInd w:val="0"/>
              <w:snapToGrid w:val="0"/>
              <w:spacing w:line="240" w:lineRule="auto"/>
              <w:ind w:firstLine="0" w:firstLineChars="0"/>
              <w:jc w:val="center"/>
              <w:rPr>
                <w:bCs/>
                <w:snapToGrid w:val="0"/>
                <w:color w:val="auto"/>
                <w:kern w:val="0"/>
                <w:sz w:val="20"/>
                <w:szCs w:val="20"/>
                <w:highlight w:val="none"/>
              </w:rPr>
            </w:pPr>
          </w:p>
        </w:tc>
        <w:tc>
          <w:tcPr>
            <w:tcW w:w="1377" w:type="dxa"/>
            <w:vMerge w:val="continue"/>
            <w:vAlign w:val="center"/>
          </w:tcPr>
          <w:p>
            <w:pPr>
              <w:adjustRightInd w:val="0"/>
              <w:snapToGrid w:val="0"/>
              <w:spacing w:line="240" w:lineRule="auto"/>
              <w:ind w:firstLine="0" w:firstLineChars="0"/>
              <w:jc w:val="center"/>
              <w:rPr>
                <w:bCs/>
                <w:snapToGrid w:val="0"/>
                <w:color w:val="auto"/>
                <w:kern w:val="0"/>
                <w:sz w:val="20"/>
                <w:szCs w:val="20"/>
                <w:highlight w:val="none"/>
              </w:rPr>
            </w:pPr>
          </w:p>
        </w:tc>
        <w:tc>
          <w:tcPr>
            <w:tcW w:w="832" w:type="dxa"/>
            <w:vMerge w:val="continue"/>
            <w:vAlign w:val="center"/>
          </w:tcPr>
          <w:p>
            <w:pPr>
              <w:adjustRightInd w:val="0"/>
              <w:snapToGrid w:val="0"/>
              <w:spacing w:line="240" w:lineRule="auto"/>
              <w:ind w:firstLine="0" w:firstLineChars="0"/>
              <w:jc w:val="center"/>
              <w:rPr>
                <w:bCs/>
                <w:snapToGrid w:val="0"/>
                <w:color w:val="auto"/>
                <w:kern w:val="0"/>
                <w:sz w:val="20"/>
                <w:szCs w:val="20"/>
                <w:highlight w:val="none"/>
              </w:rPr>
            </w:pPr>
          </w:p>
        </w:tc>
        <w:tc>
          <w:tcPr>
            <w:tcW w:w="1664"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河流</w:t>
            </w:r>
          </w:p>
        </w:tc>
        <w:tc>
          <w:tcPr>
            <w:tcW w:w="1718"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 xml:space="preserve">湖库 </w:t>
            </w:r>
          </w:p>
        </w:tc>
        <w:tc>
          <w:tcPr>
            <w:tcW w:w="1452"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入海河口、近岸海域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一级</w:t>
            </w:r>
          </w:p>
        </w:tc>
        <w:tc>
          <w:tcPr>
            <w:tcW w:w="1227"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i/>
                <w:iCs/>
                <w:snapToGrid w:val="0"/>
                <w:color w:val="auto"/>
                <w:kern w:val="0"/>
                <w:sz w:val="20"/>
                <w:szCs w:val="20"/>
                <w:highlight w:val="none"/>
              </w:rPr>
              <w:t>α</w:t>
            </w:r>
            <w:r>
              <w:rPr>
                <w:bCs/>
                <w:snapToGrid w:val="0"/>
                <w:color w:val="auto"/>
                <w:kern w:val="0"/>
                <w:sz w:val="20"/>
                <w:szCs w:val="20"/>
                <w:highlight w:val="none"/>
              </w:rPr>
              <w:t>≤10；</w:t>
            </w:r>
          </w:p>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或稳定分层</w:t>
            </w:r>
          </w:p>
        </w:tc>
        <w:tc>
          <w:tcPr>
            <w:tcW w:w="1377"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i/>
                <w:iCs/>
                <w:snapToGrid w:val="0"/>
                <w:color w:val="auto"/>
                <w:kern w:val="0"/>
                <w:sz w:val="20"/>
                <w:szCs w:val="20"/>
                <w:highlight w:val="none"/>
              </w:rPr>
              <w:t>β</w:t>
            </w:r>
            <w:r>
              <w:rPr>
                <w:bCs/>
                <w:snapToGrid w:val="0"/>
                <w:color w:val="auto"/>
                <w:kern w:val="0"/>
                <w:sz w:val="20"/>
                <w:szCs w:val="20"/>
                <w:highlight w:val="none"/>
              </w:rPr>
              <w:t>≥20；或完全年调节与多年调节</w:t>
            </w:r>
          </w:p>
        </w:tc>
        <w:tc>
          <w:tcPr>
            <w:tcW w:w="832"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i/>
                <w:iCs/>
                <w:snapToGrid w:val="0"/>
                <w:color w:val="auto"/>
                <w:kern w:val="0"/>
                <w:sz w:val="20"/>
                <w:szCs w:val="20"/>
                <w:highlight w:val="none"/>
              </w:rPr>
              <w:t>γ</w:t>
            </w:r>
            <w:r>
              <w:rPr>
                <w:bCs/>
                <w:snapToGrid w:val="0"/>
                <w:color w:val="auto"/>
                <w:kern w:val="0"/>
                <w:sz w:val="20"/>
                <w:szCs w:val="20"/>
                <w:highlight w:val="none"/>
              </w:rPr>
              <w:t>≥30</w:t>
            </w:r>
          </w:p>
        </w:tc>
        <w:tc>
          <w:tcPr>
            <w:tcW w:w="1664"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i/>
                <w:iCs/>
                <w:snapToGrid w:val="0"/>
                <w:color w:val="auto"/>
                <w:kern w:val="0"/>
                <w:sz w:val="20"/>
                <w:szCs w:val="20"/>
                <w:highlight w:val="none"/>
              </w:rPr>
              <w:t>A</w:t>
            </w:r>
            <w:r>
              <w:rPr>
                <w:bCs/>
                <w:i/>
                <w:iCs/>
                <w:snapToGrid w:val="0"/>
                <w:color w:val="auto"/>
                <w:kern w:val="0"/>
                <w:sz w:val="20"/>
                <w:szCs w:val="20"/>
                <w:highlight w:val="none"/>
                <w:vertAlign w:val="subscript"/>
              </w:rPr>
              <w:t>1</w:t>
            </w:r>
            <w:r>
              <w:rPr>
                <w:bCs/>
                <w:snapToGrid w:val="0"/>
                <w:color w:val="auto"/>
                <w:kern w:val="0"/>
                <w:sz w:val="20"/>
                <w:szCs w:val="20"/>
                <w:highlight w:val="none"/>
              </w:rPr>
              <w:t>≥0.3；或</w:t>
            </w:r>
            <w:r>
              <w:rPr>
                <w:bCs/>
                <w:i/>
                <w:iCs/>
                <w:snapToGrid w:val="0"/>
                <w:color w:val="auto"/>
                <w:kern w:val="0"/>
                <w:sz w:val="20"/>
                <w:szCs w:val="20"/>
                <w:highlight w:val="none"/>
              </w:rPr>
              <w:t>A</w:t>
            </w:r>
            <w:r>
              <w:rPr>
                <w:bCs/>
                <w:i/>
                <w:iCs/>
                <w:snapToGrid w:val="0"/>
                <w:color w:val="auto"/>
                <w:kern w:val="0"/>
                <w:sz w:val="20"/>
                <w:szCs w:val="20"/>
                <w:highlight w:val="none"/>
                <w:vertAlign w:val="subscript"/>
              </w:rPr>
              <w:t>2</w:t>
            </w:r>
            <w:r>
              <w:rPr>
                <w:bCs/>
                <w:snapToGrid w:val="0"/>
                <w:color w:val="auto"/>
                <w:kern w:val="0"/>
                <w:sz w:val="20"/>
                <w:szCs w:val="20"/>
                <w:highlight w:val="none"/>
              </w:rPr>
              <w:t>≥1.5；或</w:t>
            </w:r>
            <w:r>
              <w:rPr>
                <w:bCs/>
                <w:i/>
                <w:iCs/>
                <w:snapToGrid w:val="0"/>
                <w:color w:val="auto"/>
                <w:kern w:val="0"/>
                <w:sz w:val="20"/>
                <w:szCs w:val="20"/>
                <w:highlight w:val="none"/>
              </w:rPr>
              <w:t>R</w:t>
            </w:r>
            <w:r>
              <w:rPr>
                <w:bCs/>
                <w:snapToGrid w:val="0"/>
                <w:color w:val="auto"/>
                <w:kern w:val="0"/>
                <w:sz w:val="20"/>
                <w:szCs w:val="20"/>
                <w:highlight w:val="none"/>
              </w:rPr>
              <w:t>≥10</w:t>
            </w:r>
          </w:p>
        </w:tc>
        <w:tc>
          <w:tcPr>
            <w:tcW w:w="1718"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i/>
                <w:iCs/>
                <w:snapToGrid w:val="0"/>
                <w:color w:val="auto"/>
                <w:kern w:val="0"/>
                <w:sz w:val="20"/>
                <w:szCs w:val="20"/>
                <w:highlight w:val="none"/>
              </w:rPr>
              <w:t>A</w:t>
            </w:r>
            <w:r>
              <w:rPr>
                <w:bCs/>
                <w:i/>
                <w:iCs/>
                <w:snapToGrid w:val="0"/>
                <w:color w:val="auto"/>
                <w:kern w:val="0"/>
                <w:sz w:val="20"/>
                <w:szCs w:val="20"/>
                <w:highlight w:val="none"/>
                <w:vertAlign w:val="subscript"/>
              </w:rPr>
              <w:t>1</w:t>
            </w:r>
            <w:r>
              <w:rPr>
                <w:bCs/>
                <w:snapToGrid w:val="0"/>
                <w:color w:val="auto"/>
                <w:kern w:val="0"/>
                <w:sz w:val="20"/>
                <w:szCs w:val="20"/>
                <w:highlight w:val="none"/>
              </w:rPr>
              <w:t>≥0.3；或</w:t>
            </w:r>
            <w:r>
              <w:rPr>
                <w:bCs/>
                <w:i/>
                <w:iCs/>
                <w:snapToGrid w:val="0"/>
                <w:color w:val="auto"/>
                <w:kern w:val="0"/>
                <w:sz w:val="20"/>
                <w:szCs w:val="20"/>
                <w:highlight w:val="none"/>
              </w:rPr>
              <w:t>A</w:t>
            </w:r>
            <w:r>
              <w:rPr>
                <w:bCs/>
                <w:i/>
                <w:iCs/>
                <w:snapToGrid w:val="0"/>
                <w:color w:val="auto"/>
                <w:kern w:val="0"/>
                <w:sz w:val="20"/>
                <w:szCs w:val="20"/>
                <w:highlight w:val="none"/>
                <w:vertAlign w:val="subscript"/>
              </w:rPr>
              <w:t>2</w:t>
            </w:r>
            <w:r>
              <w:rPr>
                <w:bCs/>
                <w:snapToGrid w:val="0"/>
                <w:color w:val="auto"/>
                <w:kern w:val="0"/>
                <w:sz w:val="20"/>
                <w:szCs w:val="20"/>
                <w:highlight w:val="none"/>
              </w:rPr>
              <w:t>≥1.5；或</w:t>
            </w:r>
            <w:r>
              <w:rPr>
                <w:bCs/>
                <w:i/>
                <w:iCs/>
                <w:snapToGrid w:val="0"/>
                <w:color w:val="auto"/>
                <w:kern w:val="0"/>
                <w:sz w:val="20"/>
                <w:szCs w:val="20"/>
                <w:highlight w:val="none"/>
              </w:rPr>
              <w:t>R</w:t>
            </w:r>
            <w:r>
              <w:rPr>
                <w:bCs/>
                <w:snapToGrid w:val="0"/>
                <w:color w:val="auto"/>
                <w:kern w:val="0"/>
                <w:sz w:val="20"/>
                <w:szCs w:val="20"/>
                <w:highlight w:val="none"/>
              </w:rPr>
              <w:t>≥20</w:t>
            </w:r>
          </w:p>
        </w:tc>
        <w:tc>
          <w:tcPr>
            <w:tcW w:w="1452"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i/>
                <w:iCs/>
                <w:snapToGrid w:val="0"/>
                <w:color w:val="auto"/>
                <w:kern w:val="0"/>
                <w:sz w:val="20"/>
                <w:szCs w:val="20"/>
                <w:highlight w:val="none"/>
              </w:rPr>
              <w:t>A</w:t>
            </w:r>
            <w:r>
              <w:rPr>
                <w:bCs/>
                <w:i/>
                <w:iCs/>
                <w:snapToGrid w:val="0"/>
                <w:color w:val="auto"/>
                <w:kern w:val="0"/>
                <w:sz w:val="20"/>
                <w:szCs w:val="20"/>
                <w:highlight w:val="none"/>
                <w:vertAlign w:val="subscript"/>
              </w:rPr>
              <w:t>1</w:t>
            </w:r>
            <w:r>
              <w:rPr>
                <w:bCs/>
                <w:snapToGrid w:val="0"/>
                <w:color w:val="auto"/>
                <w:kern w:val="0"/>
                <w:sz w:val="20"/>
                <w:szCs w:val="20"/>
                <w:highlight w:val="none"/>
              </w:rPr>
              <w:t>≥0.5；或</w:t>
            </w:r>
            <w:r>
              <w:rPr>
                <w:bCs/>
                <w:i/>
                <w:iCs/>
                <w:snapToGrid w:val="0"/>
                <w:color w:val="auto"/>
                <w:kern w:val="0"/>
                <w:sz w:val="20"/>
                <w:szCs w:val="20"/>
                <w:highlight w:val="none"/>
              </w:rPr>
              <w:t>A</w:t>
            </w:r>
            <w:r>
              <w:rPr>
                <w:bCs/>
                <w:i/>
                <w:iCs/>
                <w:snapToGrid w:val="0"/>
                <w:color w:val="auto"/>
                <w:kern w:val="0"/>
                <w:sz w:val="20"/>
                <w:szCs w:val="20"/>
                <w:highlight w:val="none"/>
                <w:vertAlign w:val="subscript"/>
              </w:rPr>
              <w:t>2</w:t>
            </w:r>
            <w:r>
              <w:rPr>
                <w:bCs/>
                <w:snapToGrid w:val="0"/>
                <w:color w:val="auto"/>
                <w:kern w:val="0"/>
                <w:sz w:val="20"/>
                <w:szCs w:val="20"/>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二级</w:t>
            </w:r>
          </w:p>
        </w:tc>
        <w:tc>
          <w:tcPr>
            <w:tcW w:w="1227"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20＞</w:t>
            </w:r>
            <w:r>
              <w:rPr>
                <w:bCs/>
                <w:i/>
                <w:iCs/>
                <w:snapToGrid w:val="0"/>
                <w:color w:val="auto"/>
                <w:kern w:val="0"/>
                <w:sz w:val="20"/>
                <w:szCs w:val="20"/>
                <w:highlight w:val="none"/>
              </w:rPr>
              <w:t>α</w:t>
            </w:r>
            <w:r>
              <w:rPr>
                <w:bCs/>
                <w:snapToGrid w:val="0"/>
                <w:color w:val="auto"/>
                <w:kern w:val="0"/>
                <w:sz w:val="20"/>
                <w:szCs w:val="20"/>
                <w:highlight w:val="none"/>
              </w:rPr>
              <w:t>＞10；</w:t>
            </w:r>
          </w:p>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或不稳定分层</w:t>
            </w:r>
          </w:p>
        </w:tc>
        <w:tc>
          <w:tcPr>
            <w:tcW w:w="1377"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rFonts w:hint="eastAsia"/>
                <w:bCs/>
                <w:snapToGrid w:val="0"/>
                <w:color w:val="auto"/>
                <w:kern w:val="0"/>
                <w:sz w:val="20"/>
                <w:szCs w:val="20"/>
                <w:highlight w:val="none"/>
              </w:rPr>
              <w:t>2</w:t>
            </w:r>
            <w:r>
              <w:rPr>
                <w:bCs/>
                <w:snapToGrid w:val="0"/>
                <w:color w:val="auto"/>
                <w:kern w:val="0"/>
                <w:sz w:val="20"/>
                <w:szCs w:val="20"/>
                <w:highlight w:val="none"/>
              </w:rPr>
              <w:t>0＞</w:t>
            </w:r>
            <w:r>
              <w:rPr>
                <w:bCs/>
                <w:i/>
                <w:iCs/>
                <w:snapToGrid w:val="0"/>
                <w:color w:val="auto"/>
                <w:kern w:val="0"/>
                <w:sz w:val="20"/>
                <w:szCs w:val="20"/>
                <w:highlight w:val="none"/>
              </w:rPr>
              <w:t>β</w:t>
            </w:r>
            <w:r>
              <w:rPr>
                <w:bCs/>
                <w:snapToGrid w:val="0"/>
                <w:color w:val="auto"/>
                <w:kern w:val="0"/>
                <w:sz w:val="20"/>
                <w:szCs w:val="20"/>
                <w:highlight w:val="none"/>
              </w:rPr>
              <w:t>＞2；或季调节与不完全年调节</w:t>
            </w:r>
          </w:p>
        </w:tc>
        <w:tc>
          <w:tcPr>
            <w:tcW w:w="832"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30＞</w:t>
            </w:r>
            <w:r>
              <w:rPr>
                <w:bCs/>
                <w:i/>
                <w:iCs/>
                <w:snapToGrid w:val="0"/>
                <w:color w:val="auto"/>
                <w:kern w:val="0"/>
                <w:sz w:val="20"/>
                <w:szCs w:val="20"/>
                <w:highlight w:val="none"/>
              </w:rPr>
              <w:t>γ</w:t>
            </w:r>
            <w:r>
              <w:rPr>
                <w:bCs/>
                <w:snapToGrid w:val="0"/>
                <w:color w:val="auto"/>
                <w:kern w:val="0"/>
                <w:sz w:val="20"/>
                <w:szCs w:val="20"/>
                <w:highlight w:val="none"/>
              </w:rPr>
              <w:t>＞10</w:t>
            </w:r>
          </w:p>
        </w:tc>
        <w:tc>
          <w:tcPr>
            <w:tcW w:w="1664"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0.3＞</w:t>
            </w:r>
            <w:r>
              <w:rPr>
                <w:bCs/>
                <w:i/>
                <w:iCs/>
                <w:snapToGrid w:val="0"/>
                <w:color w:val="auto"/>
                <w:kern w:val="0"/>
                <w:sz w:val="20"/>
                <w:szCs w:val="20"/>
                <w:highlight w:val="none"/>
              </w:rPr>
              <w:t>A</w:t>
            </w:r>
            <w:r>
              <w:rPr>
                <w:bCs/>
                <w:i/>
                <w:iCs/>
                <w:snapToGrid w:val="0"/>
                <w:color w:val="auto"/>
                <w:kern w:val="0"/>
                <w:sz w:val="20"/>
                <w:szCs w:val="20"/>
                <w:highlight w:val="none"/>
                <w:vertAlign w:val="subscript"/>
              </w:rPr>
              <w:t>1</w:t>
            </w:r>
            <w:r>
              <w:rPr>
                <w:bCs/>
                <w:snapToGrid w:val="0"/>
                <w:color w:val="auto"/>
                <w:kern w:val="0"/>
                <w:sz w:val="20"/>
                <w:szCs w:val="20"/>
                <w:highlight w:val="none"/>
              </w:rPr>
              <w:t>＞0.05；</w:t>
            </w:r>
          </w:p>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或1.5＞</w:t>
            </w:r>
            <w:r>
              <w:rPr>
                <w:bCs/>
                <w:i/>
                <w:iCs/>
                <w:snapToGrid w:val="0"/>
                <w:color w:val="auto"/>
                <w:kern w:val="0"/>
                <w:sz w:val="20"/>
                <w:szCs w:val="20"/>
                <w:highlight w:val="none"/>
              </w:rPr>
              <w:t>A</w:t>
            </w:r>
            <w:r>
              <w:rPr>
                <w:bCs/>
                <w:i/>
                <w:iCs/>
                <w:snapToGrid w:val="0"/>
                <w:color w:val="auto"/>
                <w:kern w:val="0"/>
                <w:sz w:val="20"/>
                <w:szCs w:val="20"/>
                <w:highlight w:val="none"/>
                <w:vertAlign w:val="subscript"/>
              </w:rPr>
              <w:t>2</w:t>
            </w:r>
            <w:r>
              <w:rPr>
                <w:bCs/>
                <w:snapToGrid w:val="0"/>
                <w:color w:val="auto"/>
                <w:kern w:val="0"/>
                <w:sz w:val="20"/>
                <w:szCs w:val="20"/>
                <w:highlight w:val="none"/>
              </w:rPr>
              <w:t>＞0.2；</w:t>
            </w:r>
          </w:p>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或10＞</w:t>
            </w:r>
            <w:r>
              <w:rPr>
                <w:bCs/>
                <w:i/>
                <w:iCs/>
                <w:snapToGrid w:val="0"/>
                <w:color w:val="auto"/>
                <w:kern w:val="0"/>
                <w:sz w:val="20"/>
                <w:szCs w:val="20"/>
                <w:highlight w:val="none"/>
              </w:rPr>
              <w:t>R</w:t>
            </w:r>
            <w:r>
              <w:rPr>
                <w:bCs/>
                <w:snapToGrid w:val="0"/>
                <w:color w:val="auto"/>
                <w:kern w:val="0"/>
                <w:sz w:val="20"/>
                <w:szCs w:val="20"/>
                <w:highlight w:val="none"/>
              </w:rPr>
              <w:t>＞5</w:t>
            </w:r>
          </w:p>
        </w:tc>
        <w:tc>
          <w:tcPr>
            <w:tcW w:w="1718"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0.3＞</w:t>
            </w:r>
            <w:r>
              <w:rPr>
                <w:bCs/>
                <w:i/>
                <w:iCs/>
                <w:snapToGrid w:val="0"/>
                <w:color w:val="auto"/>
                <w:kern w:val="0"/>
                <w:sz w:val="20"/>
                <w:szCs w:val="20"/>
                <w:highlight w:val="none"/>
              </w:rPr>
              <w:t>A</w:t>
            </w:r>
            <w:r>
              <w:rPr>
                <w:bCs/>
                <w:i/>
                <w:iCs/>
                <w:snapToGrid w:val="0"/>
                <w:color w:val="auto"/>
                <w:kern w:val="0"/>
                <w:sz w:val="20"/>
                <w:szCs w:val="20"/>
                <w:highlight w:val="none"/>
                <w:vertAlign w:val="subscript"/>
              </w:rPr>
              <w:t>1</w:t>
            </w:r>
            <w:r>
              <w:rPr>
                <w:bCs/>
                <w:snapToGrid w:val="0"/>
                <w:color w:val="auto"/>
                <w:kern w:val="0"/>
                <w:sz w:val="20"/>
                <w:szCs w:val="20"/>
                <w:highlight w:val="none"/>
              </w:rPr>
              <w:t>＞0.05；</w:t>
            </w:r>
          </w:p>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或1.5＞</w:t>
            </w:r>
            <w:r>
              <w:rPr>
                <w:bCs/>
                <w:i/>
                <w:iCs/>
                <w:snapToGrid w:val="0"/>
                <w:color w:val="auto"/>
                <w:kern w:val="0"/>
                <w:sz w:val="20"/>
                <w:szCs w:val="20"/>
                <w:highlight w:val="none"/>
              </w:rPr>
              <w:t>A</w:t>
            </w:r>
            <w:r>
              <w:rPr>
                <w:bCs/>
                <w:i/>
                <w:iCs/>
                <w:snapToGrid w:val="0"/>
                <w:color w:val="auto"/>
                <w:kern w:val="0"/>
                <w:sz w:val="20"/>
                <w:szCs w:val="20"/>
                <w:highlight w:val="none"/>
                <w:vertAlign w:val="subscript"/>
              </w:rPr>
              <w:t>2</w:t>
            </w:r>
            <w:r>
              <w:rPr>
                <w:bCs/>
                <w:snapToGrid w:val="0"/>
                <w:color w:val="auto"/>
                <w:kern w:val="0"/>
                <w:sz w:val="20"/>
                <w:szCs w:val="20"/>
                <w:highlight w:val="none"/>
              </w:rPr>
              <w:t>＞0.2；或20＞</w:t>
            </w:r>
            <w:r>
              <w:rPr>
                <w:bCs/>
                <w:i/>
                <w:iCs/>
                <w:snapToGrid w:val="0"/>
                <w:color w:val="auto"/>
                <w:kern w:val="0"/>
                <w:sz w:val="20"/>
                <w:szCs w:val="20"/>
                <w:highlight w:val="none"/>
              </w:rPr>
              <w:t>R</w:t>
            </w:r>
            <w:r>
              <w:rPr>
                <w:bCs/>
                <w:snapToGrid w:val="0"/>
                <w:color w:val="auto"/>
                <w:kern w:val="0"/>
                <w:sz w:val="20"/>
                <w:szCs w:val="20"/>
                <w:highlight w:val="none"/>
              </w:rPr>
              <w:t>＞5</w:t>
            </w:r>
          </w:p>
        </w:tc>
        <w:tc>
          <w:tcPr>
            <w:tcW w:w="1452"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0.5＞</w:t>
            </w:r>
            <w:r>
              <w:rPr>
                <w:bCs/>
                <w:i/>
                <w:iCs/>
                <w:snapToGrid w:val="0"/>
                <w:color w:val="auto"/>
                <w:kern w:val="0"/>
                <w:sz w:val="20"/>
                <w:szCs w:val="20"/>
                <w:highlight w:val="none"/>
              </w:rPr>
              <w:t>A</w:t>
            </w:r>
            <w:r>
              <w:rPr>
                <w:bCs/>
                <w:i/>
                <w:iCs/>
                <w:snapToGrid w:val="0"/>
                <w:color w:val="auto"/>
                <w:kern w:val="0"/>
                <w:sz w:val="20"/>
                <w:szCs w:val="20"/>
                <w:highlight w:val="none"/>
                <w:vertAlign w:val="subscript"/>
              </w:rPr>
              <w:t>1</w:t>
            </w:r>
            <w:r>
              <w:rPr>
                <w:bCs/>
                <w:snapToGrid w:val="0"/>
                <w:color w:val="auto"/>
                <w:kern w:val="0"/>
                <w:sz w:val="20"/>
                <w:szCs w:val="20"/>
                <w:highlight w:val="none"/>
              </w:rPr>
              <w:t>＞0.15；或3＞</w:t>
            </w:r>
            <w:r>
              <w:rPr>
                <w:bCs/>
                <w:i/>
                <w:iCs/>
                <w:snapToGrid w:val="0"/>
                <w:color w:val="auto"/>
                <w:kern w:val="0"/>
                <w:sz w:val="20"/>
                <w:szCs w:val="20"/>
                <w:highlight w:val="none"/>
              </w:rPr>
              <w:t>A</w:t>
            </w:r>
            <w:r>
              <w:rPr>
                <w:bCs/>
                <w:i/>
                <w:iCs/>
                <w:snapToGrid w:val="0"/>
                <w:color w:val="auto"/>
                <w:kern w:val="0"/>
                <w:sz w:val="20"/>
                <w:szCs w:val="20"/>
                <w:highlight w:val="none"/>
                <w:vertAlign w:val="subscript"/>
              </w:rPr>
              <w:t>2</w:t>
            </w:r>
            <w:r>
              <w:rPr>
                <w:bCs/>
                <w:snapToGrid w:val="0"/>
                <w:color w:val="auto"/>
                <w:kern w:val="0"/>
                <w:sz w:val="20"/>
                <w:szCs w:val="20"/>
                <w:highlight w:val="none"/>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三级</w:t>
            </w:r>
          </w:p>
        </w:tc>
        <w:tc>
          <w:tcPr>
            <w:tcW w:w="1227"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i/>
                <w:iCs/>
                <w:snapToGrid w:val="0"/>
                <w:color w:val="auto"/>
                <w:kern w:val="0"/>
                <w:sz w:val="20"/>
                <w:szCs w:val="20"/>
                <w:highlight w:val="none"/>
              </w:rPr>
              <w:t>α</w:t>
            </w:r>
            <w:r>
              <w:rPr>
                <w:bCs/>
                <w:snapToGrid w:val="0"/>
                <w:color w:val="auto"/>
                <w:kern w:val="0"/>
                <w:sz w:val="20"/>
                <w:szCs w:val="20"/>
                <w:highlight w:val="none"/>
              </w:rPr>
              <w:t>≥20；</w:t>
            </w:r>
          </w:p>
          <w:p>
            <w:pPr>
              <w:adjustRightInd w:val="0"/>
              <w:snapToGrid w:val="0"/>
              <w:spacing w:line="240" w:lineRule="auto"/>
              <w:ind w:firstLine="0" w:firstLineChars="0"/>
              <w:jc w:val="center"/>
              <w:rPr>
                <w:bCs/>
                <w:snapToGrid w:val="0"/>
                <w:color w:val="auto"/>
                <w:kern w:val="0"/>
                <w:sz w:val="20"/>
                <w:szCs w:val="20"/>
                <w:highlight w:val="none"/>
              </w:rPr>
            </w:pPr>
            <w:r>
              <w:rPr>
                <w:bCs/>
                <w:snapToGrid w:val="0"/>
                <w:color w:val="auto"/>
                <w:kern w:val="0"/>
                <w:sz w:val="20"/>
                <w:szCs w:val="20"/>
                <w:highlight w:val="none"/>
              </w:rPr>
              <w:t>或混合型</w:t>
            </w:r>
          </w:p>
        </w:tc>
        <w:tc>
          <w:tcPr>
            <w:tcW w:w="1377"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i/>
                <w:iCs/>
                <w:snapToGrid w:val="0"/>
                <w:color w:val="auto"/>
                <w:kern w:val="0"/>
                <w:sz w:val="20"/>
                <w:szCs w:val="20"/>
                <w:highlight w:val="none"/>
              </w:rPr>
              <w:t>β</w:t>
            </w:r>
            <w:r>
              <w:rPr>
                <w:bCs/>
                <w:snapToGrid w:val="0"/>
                <w:color w:val="auto"/>
                <w:kern w:val="0"/>
                <w:sz w:val="20"/>
                <w:szCs w:val="20"/>
                <w:highlight w:val="none"/>
              </w:rPr>
              <w:t>≤2；或无调节</w:t>
            </w:r>
          </w:p>
        </w:tc>
        <w:tc>
          <w:tcPr>
            <w:tcW w:w="832"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i/>
                <w:iCs/>
                <w:snapToGrid w:val="0"/>
                <w:color w:val="auto"/>
                <w:kern w:val="0"/>
                <w:sz w:val="20"/>
                <w:szCs w:val="20"/>
                <w:highlight w:val="none"/>
              </w:rPr>
              <w:t>γ</w:t>
            </w:r>
            <w:r>
              <w:rPr>
                <w:bCs/>
                <w:snapToGrid w:val="0"/>
                <w:color w:val="auto"/>
                <w:kern w:val="0"/>
                <w:sz w:val="20"/>
                <w:szCs w:val="20"/>
                <w:highlight w:val="none"/>
              </w:rPr>
              <w:t>≤10</w:t>
            </w:r>
          </w:p>
        </w:tc>
        <w:tc>
          <w:tcPr>
            <w:tcW w:w="1664"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i/>
                <w:iCs/>
                <w:snapToGrid w:val="0"/>
                <w:color w:val="auto"/>
                <w:kern w:val="0"/>
                <w:sz w:val="20"/>
                <w:szCs w:val="20"/>
                <w:highlight w:val="none"/>
              </w:rPr>
              <w:t>A</w:t>
            </w:r>
            <w:r>
              <w:rPr>
                <w:bCs/>
                <w:i/>
                <w:iCs/>
                <w:snapToGrid w:val="0"/>
                <w:color w:val="auto"/>
                <w:kern w:val="0"/>
                <w:sz w:val="20"/>
                <w:szCs w:val="20"/>
                <w:highlight w:val="none"/>
                <w:vertAlign w:val="subscript"/>
              </w:rPr>
              <w:t>1</w:t>
            </w:r>
            <w:r>
              <w:rPr>
                <w:bCs/>
                <w:snapToGrid w:val="0"/>
                <w:color w:val="auto"/>
                <w:kern w:val="0"/>
                <w:sz w:val="20"/>
                <w:szCs w:val="20"/>
                <w:highlight w:val="none"/>
              </w:rPr>
              <w:t>≤0.05；或</w:t>
            </w:r>
            <w:r>
              <w:rPr>
                <w:bCs/>
                <w:i/>
                <w:iCs/>
                <w:snapToGrid w:val="0"/>
                <w:color w:val="auto"/>
                <w:kern w:val="0"/>
                <w:sz w:val="20"/>
                <w:szCs w:val="20"/>
                <w:highlight w:val="none"/>
              </w:rPr>
              <w:t>A</w:t>
            </w:r>
            <w:r>
              <w:rPr>
                <w:bCs/>
                <w:i/>
                <w:iCs/>
                <w:snapToGrid w:val="0"/>
                <w:color w:val="auto"/>
                <w:kern w:val="0"/>
                <w:sz w:val="20"/>
                <w:szCs w:val="20"/>
                <w:highlight w:val="none"/>
                <w:vertAlign w:val="subscript"/>
              </w:rPr>
              <w:t>2</w:t>
            </w:r>
            <w:r>
              <w:rPr>
                <w:bCs/>
                <w:snapToGrid w:val="0"/>
                <w:color w:val="auto"/>
                <w:kern w:val="0"/>
                <w:sz w:val="20"/>
                <w:szCs w:val="20"/>
                <w:highlight w:val="none"/>
              </w:rPr>
              <w:t>≤0.2；或</w:t>
            </w:r>
            <w:r>
              <w:rPr>
                <w:bCs/>
                <w:i/>
                <w:iCs/>
                <w:snapToGrid w:val="0"/>
                <w:color w:val="auto"/>
                <w:kern w:val="0"/>
                <w:sz w:val="20"/>
                <w:szCs w:val="20"/>
                <w:highlight w:val="none"/>
              </w:rPr>
              <w:t>R</w:t>
            </w:r>
            <w:r>
              <w:rPr>
                <w:bCs/>
                <w:snapToGrid w:val="0"/>
                <w:color w:val="auto"/>
                <w:kern w:val="0"/>
                <w:sz w:val="20"/>
                <w:szCs w:val="20"/>
                <w:highlight w:val="none"/>
              </w:rPr>
              <w:t>≤5</w:t>
            </w:r>
          </w:p>
        </w:tc>
        <w:tc>
          <w:tcPr>
            <w:tcW w:w="1718"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i/>
                <w:iCs/>
                <w:snapToGrid w:val="0"/>
                <w:color w:val="auto"/>
                <w:kern w:val="0"/>
                <w:sz w:val="20"/>
                <w:szCs w:val="20"/>
                <w:highlight w:val="none"/>
              </w:rPr>
              <w:t>A</w:t>
            </w:r>
            <w:r>
              <w:rPr>
                <w:bCs/>
                <w:i/>
                <w:iCs/>
                <w:snapToGrid w:val="0"/>
                <w:color w:val="auto"/>
                <w:kern w:val="0"/>
                <w:sz w:val="20"/>
                <w:szCs w:val="20"/>
                <w:highlight w:val="none"/>
                <w:vertAlign w:val="subscript"/>
              </w:rPr>
              <w:t>1</w:t>
            </w:r>
            <w:r>
              <w:rPr>
                <w:bCs/>
                <w:snapToGrid w:val="0"/>
                <w:color w:val="auto"/>
                <w:kern w:val="0"/>
                <w:sz w:val="20"/>
                <w:szCs w:val="20"/>
                <w:highlight w:val="none"/>
              </w:rPr>
              <w:t>≤0.05；或</w:t>
            </w:r>
            <w:r>
              <w:rPr>
                <w:bCs/>
                <w:i/>
                <w:iCs/>
                <w:snapToGrid w:val="0"/>
                <w:color w:val="auto"/>
                <w:kern w:val="0"/>
                <w:sz w:val="20"/>
                <w:szCs w:val="20"/>
                <w:highlight w:val="none"/>
              </w:rPr>
              <w:t>A</w:t>
            </w:r>
            <w:r>
              <w:rPr>
                <w:bCs/>
                <w:i/>
                <w:iCs/>
                <w:snapToGrid w:val="0"/>
                <w:color w:val="auto"/>
                <w:kern w:val="0"/>
                <w:sz w:val="20"/>
                <w:szCs w:val="20"/>
                <w:highlight w:val="none"/>
                <w:vertAlign w:val="subscript"/>
              </w:rPr>
              <w:t>2</w:t>
            </w:r>
            <w:r>
              <w:rPr>
                <w:bCs/>
                <w:snapToGrid w:val="0"/>
                <w:color w:val="auto"/>
                <w:kern w:val="0"/>
                <w:sz w:val="20"/>
                <w:szCs w:val="20"/>
                <w:highlight w:val="none"/>
              </w:rPr>
              <w:t>≤0.2；或</w:t>
            </w:r>
            <w:r>
              <w:rPr>
                <w:bCs/>
                <w:i/>
                <w:iCs/>
                <w:snapToGrid w:val="0"/>
                <w:color w:val="auto"/>
                <w:kern w:val="0"/>
                <w:sz w:val="20"/>
                <w:szCs w:val="20"/>
                <w:highlight w:val="none"/>
              </w:rPr>
              <w:t>R</w:t>
            </w:r>
            <w:r>
              <w:rPr>
                <w:bCs/>
                <w:snapToGrid w:val="0"/>
                <w:color w:val="auto"/>
                <w:kern w:val="0"/>
                <w:sz w:val="20"/>
                <w:szCs w:val="20"/>
                <w:highlight w:val="none"/>
              </w:rPr>
              <w:t>≤5</w:t>
            </w:r>
          </w:p>
        </w:tc>
        <w:tc>
          <w:tcPr>
            <w:tcW w:w="1452" w:type="dxa"/>
            <w:vAlign w:val="center"/>
          </w:tcPr>
          <w:p>
            <w:pPr>
              <w:adjustRightInd w:val="0"/>
              <w:snapToGrid w:val="0"/>
              <w:spacing w:line="240" w:lineRule="auto"/>
              <w:ind w:firstLine="0" w:firstLineChars="0"/>
              <w:jc w:val="center"/>
              <w:rPr>
                <w:bCs/>
                <w:snapToGrid w:val="0"/>
                <w:color w:val="auto"/>
                <w:kern w:val="0"/>
                <w:sz w:val="20"/>
                <w:szCs w:val="20"/>
                <w:highlight w:val="none"/>
              </w:rPr>
            </w:pPr>
            <w:r>
              <w:rPr>
                <w:bCs/>
                <w:i/>
                <w:iCs/>
                <w:snapToGrid w:val="0"/>
                <w:color w:val="auto"/>
                <w:kern w:val="0"/>
                <w:sz w:val="20"/>
                <w:szCs w:val="20"/>
                <w:highlight w:val="none"/>
              </w:rPr>
              <w:t>A</w:t>
            </w:r>
            <w:r>
              <w:rPr>
                <w:bCs/>
                <w:i/>
                <w:iCs/>
                <w:snapToGrid w:val="0"/>
                <w:color w:val="auto"/>
                <w:kern w:val="0"/>
                <w:sz w:val="20"/>
                <w:szCs w:val="20"/>
                <w:highlight w:val="none"/>
                <w:vertAlign w:val="subscript"/>
              </w:rPr>
              <w:t>1</w:t>
            </w:r>
            <w:r>
              <w:rPr>
                <w:bCs/>
                <w:snapToGrid w:val="0"/>
                <w:color w:val="auto"/>
                <w:kern w:val="0"/>
                <w:sz w:val="20"/>
                <w:szCs w:val="20"/>
                <w:highlight w:val="none"/>
              </w:rPr>
              <w:t>≤0.15；或</w:t>
            </w:r>
            <w:r>
              <w:rPr>
                <w:bCs/>
                <w:i/>
                <w:iCs/>
                <w:snapToGrid w:val="0"/>
                <w:color w:val="auto"/>
                <w:kern w:val="0"/>
                <w:sz w:val="20"/>
                <w:szCs w:val="20"/>
                <w:highlight w:val="none"/>
              </w:rPr>
              <w:t>A</w:t>
            </w:r>
            <w:r>
              <w:rPr>
                <w:bCs/>
                <w:i/>
                <w:iCs/>
                <w:snapToGrid w:val="0"/>
                <w:color w:val="auto"/>
                <w:kern w:val="0"/>
                <w:sz w:val="20"/>
                <w:szCs w:val="20"/>
                <w:highlight w:val="none"/>
                <w:vertAlign w:val="subscript"/>
              </w:rPr>
              <w:t>2</w:t>
            </w:r>
            <w:r>
              <w:rPr>
                <w:bCs/>
                <w:snapToGrid w:val="0"/>
                <w:color w:val="auto"/>
                <w:kern w:val="0"/>
                <w:sz w:val="20"/>
                <w:szCs w:val="20"/>
                <w:highlight w:val="none"/>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8" w:type="dxa"/>
            <w:gridSpan w:val="7"/>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textAlignment w:val="auto"/>
              <w:rPr>
                <w:bCs/>
                <w:snapToGrid w:val="0"/>
                <w:color w:val="auto"/>
                <w:kern w:val="0"/>
                <w:sz w:val="20"/>
                <w:szCs w:val="20"/>
                <w:highlight w:val="none"/>
              </w:rPr>
            </w:pPr>
            <w:r>
              <w:rPr>
                <w:bCs/>
                <w:snapToGrid w:val="0"/>
                <w:color w:val="auto"/>
                <w:kern w:val="0"/>
                <w:sz w:val="20"/>
                <w:szCs w:val="20"/>
                <w:highlight w:val="none"/>
              </w:rPr>
              <w:t xml:space="preserve">注1：影响范围涉及饮用水水源保护区、重点保护与珍稀水生生物的栖息地、重要水生生物的自然产卵场、自然保护区等保护目标，评价等级应不低于二级。 </w:t>
            </w:r>
          </w:p>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textAlignment w:val="auto"/>
              <w:rPr>
                <w:bCs/>
                <w:snapToGrid w:val="0"/>
                <w:color w:val="auto"/>
                <w:kern w:val="0"/>
                <w:sz w:val="20"/>
                <w:szCs w:val="20"/>
                <w:highlight w:val="none"/>
              </w:rPr>
            </w:pPr>
            <w:r>
              <w:rPr>
                <w:bCs/>
                <w:snapToGrid w:val="0"/>
                <w:color w:val="auto"/>
                <w:kern w:val="0"/>
                <w:sz w:val="20"/>
                <w:szCs w:val="20"/>
                <w:highlight w:val="none"/>
              </w:rPr>
              <w:t xml:space="preserve">注2：跨流域调水、引水式电站、可能受到大型河流感潮河段咸潮影响的建设项目，评价等级不低于二级。 </w:t>
            </w:r>
          </w:p>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textAlignment w:val="auto"/>
              <w:rPr>
                <w:bCs/>
                <w:snapToGrid w:val="0"/>
                <w:color w:val="auto"/>
                <w:kern w:val="0"/>
                <w:sz w:val="20"/>
                <w:szCs w:val="20"/>
                <w:highlight w:val="none"/>
              </w:rPr>
            </w:pPr>
            <w:r>
              <w:rPr>
                <w:bCs/>
                <w:snapToGrid w:val="0"/>
                <w:color w:val="auto"/>
                <w:kern w:val="0"/>
                <w:sz w:val="20"/>
                <w:szCs w:val="20"/>
                <w:highlight w:val="none"/>
              </w:rPr>
              <w:t xml:space="preserve">注3：造成入海河口（湾口）宽度束窄（束窄尺度达到原宽度的5%以上），评价等级应不低于二级。 </w:t>
            </w:r>
          </w:p>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textAlignment w:val="auto"/>
              <w:rPr>
                <w:bCs/>
                <w:snapToGrid w:val="0"/>
                <w:color w:val="auto"/>
                <w:kern w:val="0"/>
                <w:sz w:val="20"/>
                <w:szCs w:val="20"/>
                <w:highlight w:val="none"/>
              </w:rPr>
            </w:pPr>
            <w:r>
              <w:rPr>
                <w:bCs/>
                <w:snapToGrid w:val="0"/>
                <w:color w:val="auto"/>
                <w:kern w:val="0"/>
                <w:sz w:val="20"/>
                <w:szCs w:val="20"/>
                <w:highlight w:val="none"/>
              </w:rPr>
              <w:t xml:space="preserve">注4：对不透水的单方向建筑尺度较长的水工建筑物（如防波堤、导流堤等），其与潮流或水流主流向切线垂直方向投影长度大于2 km时，评价等级应不低于二级。 </w:t>
            </w:r>
          </w:p>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textAlignment w:val="auto"/>
              <w:rPr>
                <w:bCs/>
                <w:snapToGrid w:val="0"/>
                <w:color w:val="auto"/>
                <w:kern w:val="0"/>
                <w:sz w:val="20"/>
                <w:szCs w:val="20"/>
                <w:highlight w:val="none"/>
              </w:rPr>
            </w:pPr>
            <w:r>
              <w:rPr>
                <w:bCs/>
                <w:snapToGrid w:val="0"/>
                <w:color w:val="auto"/>
                <w:kern w:val="0"/>
                <w:sz w:val="20"/>
                <w:szCs w:val="20"/>
                <w:highlight w:val="none"/>
              </w:rPr>
              <w:t xml:space="preserve">注5：允许在一类海域建设的项目，评价等级为一级。 </w:t>
            </w:r>
          </w:p>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textAlignment w:val="auto"/>
              <w:rPr>
                <w:bCs/>
                <w:i/>
                <w:iCs/>
                <w:snapToGrid w:val="0"/>
                <w:color w:val="auto"/>
                <w:kern w:val="0"/>
                <w:sz w:val="20"/>
                <w:szCs w:val="20"/>
                <w:highlight w:val="none"/>
              </w:rPr>
            </w:pPr>
            <w:r>
              <w:rPr>
                <w:bCs/>
                <w:snapToGrid w:val="0"/>
                <w:color w:val="auto"/>
                <w:kern w:val="0"/>
                <w:sz w:val="20"/>
                <w:szCs w:val="20"/>
                <w:highlight w:val="none"/>
              </w:rPr>
              <w:t>注6：同时存在多个水文要素影响的建设项目，分别判定各水文要素影响评价等级，并取其中最高等级作为水文要素影响型建设项目评价等级。</w:t>
            </w:r>
          </w:p>
        </w:tc>
      </w:tr>
    </w:tbl>
    <w:p>
      <w:pPr>
        <w:adjustRightInd w:val="0"/>
        <w:snapToGrid w:val="0"/>
        <w:spacing w:line="240" w:lineRule="auto"/>
        <w:ind w:firstLine="520"/>
        <w:rPr>
          <w:bCs/>
          <w:snapToGrid w:val="0"/>
          <w:color w:val="auto"/>
          <w:kern w:val="0"/>
          <w:highlight w:val="none"/>
        </w:rPr>
      </w:pPr>
    </w:p>
    <w:p>
      <w:pPr>
        <w:adjustRightInd w:val="0"/>
        <w:snapToGrid w:val="0"/>
        <w:spacing w:line="460" w:lineRule="exact"/>
        <w:ind w:firstLine="520"/>
        <w:rPr>
          <w:bCs/>
          <w:snapToGrid w:val="0"/>
          <w:color w:val="auto"/>
          <w:kern w:val="0"/>
          <w:highlight w:val="none"/>
        </w:rPr>
      </w:pPr>
      <w:r>
        <w:rPr>
          <w:bCs/>
          <w:snapToGrid w:val="0"/>
          <w:color w:val="auto"/>
          <w:kern w:val="0"/>
          <w:highlight w:val="none"/>
        </w:rPr>
        <w:fldChar w:fldCharType="begin"/>
      </w:r>
      <w:r>
        <w:rPr>
          <w:bCs/>
          <w:snapToGrid w:val="0"/>
          <w:color w:val="auto"/>
          <w:kern w:val="0"/>
          <w:highlight w:val="none"/>
        </w:rPr>
        <w:instrText xml:space="preserve"> = 1 \* GB3 \* MERGEFORMAT </w:instrText>
      </w:r>
      <w:r>
        <w:rPr>
          <w:bCs/>
          <w:snapToGrid w:val="0"/>
          <w:color w:val="auto"/>
          <w:kern w:val="0"/>
          <w:highlight w:val="none"/>
        </w:rPr>
        <w:fldChar w:fldCharType="separate"/>
      </w:r>
      <w:r>
        <w:rPr>
          <w:color w:val="auto"/>
          <w:highlight w:val="none"/>
        </w:rPr>
        <w:t>①</w:t>
      </w:r>
      <w:r>
        <w:rPr>
          <w:bCs/>
          <w:snapToGrid w:val="0"/>
          <w:color w:val="auto"/>
          <w:kern w:val="0"/>
          <w:highlight w:val="none"/>
        </w:rPr>
        <w:fldChar w:fldCharType="end"/>
      </w:r>
      <w:r>
        <w:rPr>
          <w:rFonts w:hint="eastAsia"/>
          <w:bCs/>
          <w:snapToGrid w:val="0"/>
          <w:color w:val="auto"/>
          <w:kern w:val="0"/>
          <w:highlight w:val="none"/>
        </w:rPr>
        <w:t>水污染影响型</w:t>
      </w:r>
    </w:p>
    <w:p>
      <w:pPr>
        <w:adjustRightInd w:val="0"/>
        <w:snapToGrid w:val="0"/>
        <w:spacing w:line="460" w:lineRule="exact"/>
        <w:ind w:firstLine="520"/>
        <w:rPr>
          <w:bCs/>
          <w:snapToGrid w:val="0"/>
          <w:color w:val="auto"/>
          <w:kern w:val="0"/>
          <w:highlight w:val="none"/>
        </w:rPr>
      </w:pPr>
      <w:r>
        <w:rPr>
          <w:rFonts w:hint="eastAsia"/>
          <w:bCs/>
          <w:snapToGrid w:val="0"/>
          <w:color w:val="auto"/>
          <w:kern w:val="0"/>
          <w:highlight w:val="none"/>
        </w:rPr>
        <w:t>项目建成后在管理区设置污水处理站，食堂含油废水经收集至隔油池内预处理后排入污水站，闸管区工作人员生活污水经化粪池排入生活污水处理站，食堂含油废水及生活污水经污水处理站一体化污水处理装置处理达《城市污水再生利用</w:t>
      </w:r>
      <w:r>
        <w:rPr>
          <w:rFonts w:hint="eastAsia"/>
          <w:bCs/>
          <w:snapToGrid w:val="0"/>
          <w:color w:val="auto"/>
          <w:kern w:val="0"/>
          <w:highlight w:val="none"/>
          <w:lang w:val="en-US" w:eastAsia="zh-CN"/>
        </w:rPr>
        <w:t xml:space="preserve"> </w:t>
      </w:r>
      <w:r>
        <w:rPr>
          <w:rFonts w:hint="eastAsia"/>
          <w:bCs/>
          <w:snapToGrid w:val="0"/>
          <w:color w:val="auto"/>
          <w:kern w:val="0"/>
          <w:highlight w:val="none"/>
        </w:rPr>
        <w:t>城市杂用水水质》(GB/T</w:t>
      </w:r>
      <w:r>
        <w:rPr>
          <w:rFonts w:hint="eastAsia"/>
          <w:bCs/>
          <w:snapToGrid w:val="0"/>
          <w:color w:val="auto"/>
          <w:kern w:val="0"/>
          <w:highlight w:val="none"/>
          <w:lang w:val="en-US" w:eastAsia="zh-CN"/>
        </w:rPr>
        <w:t xml:space="preserve"> </w:t>
      </w:r>
      <w:r>
        <w:rPr>
          <w:rFonts w:hint="eastAsia"/>
          <w:bCs/>
          <w:snapToGrid w:val="0"/>
          <w:color w:val="auto"/>
          <w:kern w:val="0"/>
          <w:highlight w:val="none"/>
        </w:rPr>
        <w:t>18920-2020)相应标准后回用于绿化，不外排</w:t>
      </w:r>
      <w:r>
        <w:rPr>
          <w:bCs/>
          <w:snapToGrid w:val="0"/>
          <w:color w:val="auto"/>
          <w:kern w:val="0"/>
          <w:highlight w:val="none"/>
        </w:rPr>
        <w:t>。根据《环境影响评价技术导则</w:t>
      </w:r>
      <w:r>
        <w:rPr>
          <w:rFonts w:hint="eastAsia"/>
          <w:bCs/>
          <w:snapToGrid w:val="0"/>
          <w:color w:val="auto"/>
          <w:kern w:val="0"/>
          <w:highlight w:val="none"/>
        </w:rPr>
        <w:t xml:space="preserve"> </w:t>
      </w:r>
      <w:r>
        <w:rPr>
          <w:bCs/>
          <w:snapToGrid w:val="0"/>
          <w:color w:val="auto"/>
          <w:kern w:val="0"/>
          <w:highlight w:val="none"/>
        </w:rPr>
        <w:t>地表水环境》（HJ</w:t>
      </w:r>
      <w:r>
        <w:rPr>
          <w:rFonts w:hint="eastAsia"/>
          <w:bCs/>
          <w:snapToGrid w:val="0"/>
          <w:color w:val="auto"/>
          <w:kern w:val="0"/>
          <w:highlight w:val="none"/>
        </w:rPr>
        <w:t xml:space="preserve"> </w:t>
      </w:r>
      <w:r>
        <w:rPr>
          <w:bCs/>
          <w:snapToGrid w:val="0"/>
          <w:color w:val="auto"/>
          <w:kern w:val="0"/>
          <w:highlight w:val="none"/>
        </w:rPr>
        <w:t>2.3-2018）中的评价工作分级原则，</w:t>
      </w:r>
      <w:r>
        <w:rPr>
          <w:rFonts w:hint="eastAsia"/>
          <w:bCs/>
          <w:snapToGrid w:val="0"/>
          <w:color w:val="auto"/>
          <w:kern w:val="0"/>
          <w:highlight w:val="none"/>
        </w:rPr>
        <w:t>项目</w:t>
      </w:r>
      <w:r>
        <w:rPr>
          <w:bCs/>
          <w:snapToGrid w:val="0"/>
          <w:color w:val="auto"/>
          <w:kern w:val="0"/>
          <w:highlight w:val="none"/>
        </w:rPr>
        <w:t>地表水</w:t>
      </w:r>
      <w:r>
        <w:rPr>
          <w:rFonts w:hint="eastAsia"/>
          <w:bCs/>
          <w:snapToGrid w:val="0"/>
          <w:color w:val="auto"/>
          <w:kern w:val="0"/>
          <w:highlight w:val="none"/>
        </w:rPr>
        <w:t>水污染影响</w:t>
      </w:r>
      <w:r>
        <w:rPr>
          <w:bCs/>
          <w:snapToGrid w:val="0"/>
          <w:color w:val="auto"/>
          <w:kern w:val="0"/>
          <w:highlight w:val="none"/>
        </w:rPr>
        <w:t>评价等级为三级B。</w:t>
      </w:r>
    </w:p>
    <w:p>
      <w:pPr>
        <w:adjustRightInd w:val="0"/>
        <w:snapToGrid w:val="0"/>
        <w:spacing w:line="460" w:lineRule="exact"/>
        <w:ind w:firstLine="520"/>
        <w:rPr>
          <w:bCs/>
          <w:color w:val="auto"/>
          <w:highlight w:val="none"/>
        </w:rPr>
      </w:pPr>
      <w:r>
        <w:rPr>
          <w:bCs/>
          <w:color w:val="auto"/>
          <w:highlight w:val="none"/>
        </w:rPr>
        <w:fldChar w:fldCharType="begin"/>
      </w:r>
      <w:r>
        <w:rPr>
          <w:bCs/>
          <w:color w:val="auto"/>
          <w:highlight w:val="none"/>
        </w:rPr>
        <w:instrText xml:space="preserve"> = 2 \* GB3 \* MERGEFORMAT </w:instrText>
      </w:r>
      <w:r>
        <w:rPr>
          <w:bCs/>
          <w:color w:val="auto"/>
          <w:highlight w:val="none"/>
        </w:rPr>
        <w:fldChar w:fldCharType="separate"/>
      </w:r>
      <w:r>
        <w:rPr>
          <w:color w:val="auto"/>
          <w:highlight w:val="none"/>
        </w:rPr>
        <w:t>②</w:t>
      </w:r>
      <w:r>
        <w:rPr>
          <w:bCs/>
          <w:color w:val="auto"/>
          <w:highlight w:val="none"/>
        </w:rPr>
        <w:fldChar w:fldCharType="end"/>
      </w:r>
      <w:r>
        <w:rPr>
          <w:rFonts w:hint="eastAsia"/>
          <w:bCs/>
          <w:color w:val="auto"/>
          <w:highlight w:val="none"/>
        </w:rPr>
        <w:t>水文要素影响型</w:t>
      </w:r>
    </w:p>
    <w:p>
      <w:pPr>
        <w:adjustRightInd w:val="0"/>
        <w:snapToGrid w:val="0"/>
        <w:spacing w:line="460" w:lineRule="exact"/>
        <w:ind w:firstLine="520"/>
        <w:rPr>
          <w:bCs/>
          <w:color w:val="auto"/>
          <w:highlight w:val="none"/>
        </w:rPr>
      </w:pPr>
      <w:r>
        <w:rPr>
          <w:rFonts w:hint="eastAsia"/>
          <w:bCs/>
          <w:color w:val="auto"/>
          <w:highlight w:val="none"/>
        </w:rPr>
        <w:t>拟建项目主要在既有船闸右侧新建船闸1座，不对渭沱枢纽主体工程进行改造，不会对水库库容、调节性能、运行方式等造成改变，不涉及“水温”和“径流”要素变化，故仅分析“受影响地表水域”，详见下表。</w:t>
      </w:r>
    </w:p>
    <w:p>
      <w:pPr>
        <w:adjustRightInd w:val="0"/>
        <w:snapToGrid w:val="0"/>
        <w:spacing w:line="240" w:lineRule="auto"/>
        <w:ind w:firstLine="0" w:firstLineChars="0"/>
        <w:jc w:val="center"/>
        <w:rPr>
          <w:rFonts w:hint="eastAsia"/>
          <w:bCs/>
          <w:snapToGrid w:val="0"/>
          <w:color w:val="auto"/>
          <w:kern w:val="0"/>
          <w:highlight w:val="none"/>
        </w:rPr>
      </w:pPr>
    </w:p>
    <w:p>
      <w:pPr>
        <w:adjustRightInd w:val="0"/>
        <w:snapToGrid w:val="0"/>
        <w:spacing w:line="240" w:lineRule="auto"/>
        <w:ind w:firstLine="0" w:firstLineChars="0"/>
        <w:jc w:val="center"/>
        <w:rPr>
          <w:bCs/>
          <w:color w:val="auto"/>
          <w:highlight w:val="none"/>
        </w:rPr>
      </w:pPr>
      <w:r>
        <w:rPr>
          <w:rFonts w:hint="eastAsia"/>
          <w:bCs/>
          <w:snapToGrid w:val="0"/>
          <w:color w:val="auto"/>
          <w:kern w:val="0"/>
          <w:highlight w:val="none"/>
        </w:rPr>
        <w:t>表1.5.1-3 项目水文要素影响评价等级结果</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6478"/>
        <w:gridCol w:w="1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参数</w:t>
            </w:r>
          </w:p>
        </w:tc>
        <w:tc>
          <w:tcPr>
            <w:tcW w:w="6478"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项目情况</w:t>
            </w:r>
          </w:p>
        </w:tc>
        <w:tc>
          <w:tcPr>
            <w:tcW w:w="1329"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i/>
                <w:iCs/>
                <w:snapToGrid w:val="0"/>
                <w:color w:val="auto"/>
                <w:kern w:val="0"/>
                <w:sz w:val="22"/>
                <w:szCs w:val="22"/>
                <w:highlight w:val="none"/>
              </w:rPr>
              <w:t>A</w:t>
            </w:r>
            <w:r>
              <w:rPr>
                <w:rFonts w:hint="eastAsia"/>
                <w:bCs/>
                <w:i/>
                <w:iCs/>
                <w:snapToGrid w:val="0"/>
                <w:color w:val="auto"/>
                <w:kern w:val="0"/>
                <w:sz w:val="22"/>
                <w:szCs w:val="22"/>
                <w:highlight w:val="none"/>
                <w:vertAlign w:val="subscript"/>
              </w:rPr>
              <w:t>1</w:t>
            </w:r>
          </w:p>
        </w:tc>
        <w:tc>
          <w:tcPr>
            <w:tcW w:w="6478" w:type="dxa"/>
            <w:vAlign w:val="center"/>
          </w:tcPr>
          <w:p>
            <w:pPr>
              <w:adjustRightInd w:val="0"/>
              <w:snapToGrid w:val="0"/>
              <w:spacing w:line="240" w:lineRule="auto"/>
              <w:ind w:firstLine="0" w:firstLineChars="0"/>
              <w:jc w:val="both"/>
              <w:rPr>
                <w:bCs/>
                <w:snapToGrid w:val="0"/>
                <w:color w:val="auto"/>
                <w:kern w:val="0"/>
                <w:sz w:val="22"/>
                <w:szCs w:val="22"/>
                <w:highlight w:val="none"/>
                <w:vertAlign w:val="superscript"/>
              </w:rPr>
            </w:pPr>
            <w:r>
              <w:rPr>
                <w:rFonts w:hint="eastAsia"/>
                <w:bCs/>
                <w:snapToGrid w:val="0"/>
                <w:color w:val="auto"/>
                <w:kern w:val="0"/>
                <w:sz w:val="22"/>
                <w:szCs w:val="22"/>
                <w:highlight w:val="none"/>
              </w:rPr>
              <w:t>项目拟建船闸大部分位于正常蓄水位以外的陆域范围，工</w:t>
            </w:r>
            <w:r>
              <w:rPr>
                <w:bCs/>
                <w:snapToGrid w:val="0"/>
                <w:color w:val="auto"/>
                <w:kern w:val="0"/>
                <w:sz w:val="22"/>
                <w:szCs w:val="22"/>
                <w:highlight w:val="none"/>
              </w:rPr>
              <w:t>程</w:t>
            </w:r>
            <w:r>
              <w:rPr>
                <w:rFonts w:hint="eastAsia"/>
                <w:bCs/>
                <w:snapToGrid w:val="0"/>
                <w:color w:val="auto"/>
                <w:kern w:val="0"/>
                <w:sz w:val="22"/>
                <w:szCs w:val="22"/>
                <w:highlight w:val="none"/>
              </w:rPr>
              <w:t>在水面</w:t>
            </w:r>
            <w:r>
              <w:rPr>
                <w:bCs/>
                <w:snapToGrid w:val="0"/>
                <w:color w:val="auto"/>
                <w:kern w:val="0"/>
                <w:sz w:val="22"/>
                <w:szCs w:val="22"/>
                <w:highlight w:val="none"/>
              </w:rPr>
              <w:t>垂直投影面积及外扩范围</w:t>
            </w:r>
            <w:r>
              <w:rPr>
                <w:rFonts w:hint="eastAsia"/>
                <w:bCs/>
                <w:i/>
                <w:iCs/>
                <w:snapToGrid w:val="0"/>
                <w:color w:val="auto"/>
                <w:kern w:val="0"/>
                <w:sz w:val="22"/>
                <w:szCs w:val="22"/>
                <w:highlight w:val="none"/>
              </w:rPr>
              <w:t>A</w:t>
            </w:r>
            <w:r>
              <w:rPr>
                <w:rFonts w:hint="eastAsia"/>
                <w:bCs/>
                <w:i/>
                <w:iCs/>
                <w:snapToGrid w:val="0"/>
                <w:color w:val="auto"/>
                <w:kern w:val="0"/>
                <w:sz w:val="22"/>
                <w:szCs w:val="22"/>
                <w:highlight w:val="none"/>
                <w:vertAlign w:val="subscript"/>
              </w:rPr>
              <w:t>1</w:t>
            </w:r>
            <w:r>
              <w:rPr>
                <w:rFonts w:hint="eastAsia"/>
                <w:bCs/>
                <w:i w:val="0"/>
                <w:iCs w:val="0"/>
                <w:snapToGrid w:val="0"/>
                <w:color w:val="auto"/>
                <w:kern w:val="0"/>
                <w:sz w:val="22"/>
                <w:szCs w:val="22"/>
                <w:highlight w:val="none"/>
                <w:vertAlign w:val="baseline"/>
                <w:lang w:eastAsia="zh-CN"/>
              </w:rPr>
              <w:t>（船闸引航道、丁坝、上下游锚地）</w:t>
            </w:r>
            <w:r>
              <w:rPr>
                <w:rFonts w:hint="eastAsia"/>
                <w:bCs/>
                <w:snapToGrid w:val="0"/>
                <w:color w:val="auto"/>
                <w:kern w:val="0"/>
                <w:sz w:val="22"/>
                <w:szCs w:val="22"/>
                <w:highlight w:val="none"/>
              </w:rPr>
              <w:t>为0.03</w:t>
            </w:r>
            <w:r>
              <w:rPr>
                <w:rFonts w:hint="eastAsia"/>
                <w:bCs/>
                <w:snapToGrid w:val="0"/>
                <w:color w:val="auto"/>
                <w:kern w:val="0"/>
                <w:sz w:val="22"/>
                <w:szCs w:val="22"/>
                <w:highlight w:val="none"/>
                <w:lang w:val="en-US" w:eastAsia="zh-CN"/>
              </w:rPr>
              <w:t>9</w:t>
            </w:r>
            <w:r>
              <w:rPr>
                <w:rFonts w:hint="eastAsia"/>
                <w:bCs/>
                <w:snapToGrid w:val="0"/>
                <w:color w:val="auto"/>
                <w:kern w:val="0"/>
                <w:sz w:val="22"/>
                <w:szCs w:val="22"/>
                <w:highlight w:val="none"/>
              </w:rPr>
              <w:t>km</w:t>
            </w:r>
            <w:r>
              <w:rPr>
                <w:rFonts w:hint="eastAsia"/>
                <w:bCs/>
                <w:snapToGrid w:val="0"/>
                <w:color w:val="auto"/>
                <w:kern w:val="0"/>
                <w:sz w:val="22"/>
                <w:szCs w:val="22"/>
                <w:highlight w:val="none"/>
                <w:vertAlign w:val="superscript"/>
              </w:rPr>
              <w:t>2</w:t>
            </w:r>
            <w:r>
              <w:rPr>
                <w:bCs/>
                <w:snapToGrid w:val="0"/>
                <w:color w:val="auto"/>
                <w:kern w:val="0"/>
                <w:sz w:val="22"/>
                <w:szCs w:val="22"/>
                <w:highlight w:val="none"/>
              </w:rPr>
              <w:t>≤0.05</w:t>
            </w:r>
            <w:r>
              <w:rPr>
                <w:rFonts w:hint="eastAsia"/>
                <w:bCs/>
                <w:snapToGrid w:val="0"/>
                <w:color w:val="auto"/>
                <w:kern w:val="0"/>
                <w:sz w:val="22"/>
                <w:szCs w:val="22"/>
                <w:highlight w:val="none"/>
              </w:rPr>
              <w:t>km</w:t>
            </w:r>
            <w:r>
              <w:rPr>
                <w:rFonts w:hint="eastAsia"/>
                <w:bCs/>
                <w:snapToGrid w:val="0"/>
                <w:color w:val="auto"/>
                <w:kern w:val="0"/>
                <w:sz w:val="22"/>
                <w:szCs w:val="22"/>
                <w:highlight w:val="none"/>
                <w:vertAlign w:val="superscript"/>
              </w:rPr>
              <w:t>2</w:t>
            </w:r>
          </w:p>
        </w:tc>
        <w:tc>
          <w:tcPr>
            <w:tcW w:w="1329"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i/>
                <w:iCs/>
                <w:snapToGrid w:val="0"/>
                <w:color w:val="auto"/>
                <w:kern w:val="0"/>
                <w:sz w:val="22"/>
                <w:szCs w:val="22"/>
                <w:highlight w:val="none"/>
              </w:rPr>
              <w:t>A</w:t>
            </w:r>
            <w:r>
              <w:rPr>
                <w:rFonts w:hint="eastAsia"/>
                <w:bCs/>
                <w:i/>
                <w:iCs/>
                <w:snapToGrid w:val="0"/>
                <w:color w:val="auto"/>
                <w:kern w:val="0"/>
                <w:sz w:val="22"/>
                <w:szCs w:val="22"/>
                <w:highlight w:val="none"/>
                <w:vertAlign w:val="subscript"/>
              </w:rPr>
              <w:t>2</w:t>
            </w:r>
          </w:p>
        </w:tc>
        <w:tc>
          <w:tcPr>
            <w:tcW w:w="6478" w:type="dxa"/>
            <w:vAlign w:val="center"/>
          </w:tcPr>
          <w:p>
            <w:pPr>
              <w:adjustRightInd w:val="0"/>
              <w:snapToGrid w:val="0"/>
              <w:spacing w:line="240" w:lineRule="auto"/>
              <w:ind w:firstLine="0" w:firstLineChars="0"/>
              <w:jc w:val="both"/>
              <w:rPr>
                <w:bCs/>
                <w:snapToGrid w:val="0"/>
                <w:color w:val="auto"/>
                <w:kern w:val="0"/>
                <w:sz w:val="22"/>
                <w:szCs w:val="22"/>
                <w:highlight w:val="none"/>
              </w:rPr>
            </w:pPr>
            <w:r>
              <w:rPr>
                <w:rFonts w:hint="eastAsia"/>
                <w:bCs/>
                <w:snapToGrid w:val="0"/>
                <w:color w:val="auto"/>
                <w:kern w:val="0"/>
                <w:sz w:val="22"/>
                <w:szCs w:val="22"/>
                <w:highlight w:val="none"/>
              </w:rPr>
              <w:t>项目对水底扰动主要为施工期疏浚及施工围堰范围，其中疏浚面积</w:t>
            </w:r>
            <w:r>
              <w:rPr>
                <w:rFonts w:hint="eastAsia"/>
                <w:bCs/>
                <w:snapToGrid w:val="0"/>
                <w:color w:val="auto"/>
                <w:kern w:val="0"/>
                <w:sz w:val="22"/>
                <w:szCs w:val="22"/>
                <w:highlight w:val="none"/>
                <w:lang w:val="en-US" w:eastAsia="zh-CN"/>
              </w:rPr>
              <w:t>0.10</w:t>
            </w:r>
            <w:r>
              <w:rPr>
                <w:rFonts w:hint="eastAsia"/>
                <w:bCs/>
                <w:snapToGrid w:val="0"/>
                <w:color w:val="auto"/>
                <w:kern w:val="0"/>
                <w:sz w:val="22"/>
                <w:szCs w:val="22"/>
                <w:highlight w:val="none"/>
              </w:rPr>
              <w:t>km</w:t>
            </w:r>
            <w:r>
              <w:rPr>
                <w:rFonts w:hint="eastAsia"/>
                <w:bCs/>
                <w:snapToGrid w:val="0"/>
                <w:color w:val="auto"/>
                <w:kern w:val="0"/>
                <w:sz w:val="22"/>
                <w:szCs w:val="22"/>
                <w:highlight w:val="none"/>
                <w:vertAlign w:val="superscript"/>
              </w:rPr>
              <w:t>2</w:t>
            </w:r>
            <w:r>
              <w:rPr>
                <w:rFonts w:hint="eastAsia"/>
                <w:bCs/>
                <w:snapToGrid w:val="0"/>
                <w:color w:val="auto"/>
                <w:kern w:val="0"/>
                <w:sz w:val="22"/>
                <w:szCs w:val="22"/>
                <w:highlight w:val="none"/>
              </w:rPr>
              <w:t>，施工围堰范围</w:t>
            </w:r>
            <w:r>
              <w:rPr>
                <w:rFonts w:hint="eastAsia"/>
                <w:bCs/>
                <w:snapToGrid w:val="0"/>
                <w:color w:val="auto"/>
                <w:kern w:val="0"/>
                <w:sz w:val="22"/>
                <w:szCs w:val="22"/>
                <w:highlight w:val="none"/>
                <w:lang w:val="en-US" w:eastAsia="zh-CN"/>
              </w:rPr>
              <w:t>0.033km</w:t>
            </w:r>
            <w:r>
              <w:rPr>
                <w:rFonts w:hint="eastAsia"/>
                <w:bCs/>
                <w:snapToGrid w:val="0"/>
                <w:color w:val="auto"/>
                <w:kern w:val="0"/>
                <w:sz w:val="22"/>
                <w:szCs w:val="22"/>
                <w:highlight w:val="none"/>
                <w:vertAlign w:val="superscript"/>
                <w:lang w:val="en-US" w:eastAsia="zh-CN"/>
              </w:rPr>
              <w:t>2</w:t>
            </w:r>
            <w:r>
              <w:rPr>
                <w:rFonts w:hint="eastAsia"/>
                <w:bCs/>
                <w:snapToGrid w:val="0"/>
                <w:color w:val="auto"/>
                <w:kern w:val="0"/>
                <w:sz w:val="22"/>
                <w:szCs w:val="22"/>
                <w:highlight w:val="none"/>
              </w:rPr>
              <w:t>。</w:t>
            </w:r>
            <w:r>
              <w:rPr>
                <w:rFonts w:hint="eastAsia"/>
                <w:color w:val="auto"/>
                <w:sz w:val="22"/>
                <w:szCs w:val="22"/>
                <w:highlight w:val="none"/>
              </w:rPr>
              <w:t>故</w:t>
            </w:r>
            <w:r>
              <w:rPr>
                <w:rFonts w:hint="eastAsia"/>
                <w:i/>
                <w:iCs/>
                <w:color w:val="auto"/>
                <w:sz w:val="22"/>
                <w:szCs w:val="22"/>
                <w:highlight w:val="none"/>
              </w:rPr>
              <w:t>A</w:t>
            </w:r>
            <w:r>
              <w:rPr>
                <w:rFonts w:hint="eastAsia"/>
                <w:i/>
                <w:iCs/>
                <w:color w:val="auto"/>
                <w:sz w:val="22"/>
                <w:szCs w:val="22"/>
                <w:highlight w:val="none"/>
                <w:vertAlign w:val="subscript"/>
              </w:rPr>
              <w:t>2</w:t>
            </w:r>
            <w:r>
              <w:rPr>
                <w:rFonts w:hint="eastAsia"/>
                <w:color w:val="auto"/>
                <w:sz w:val="22"/>
                <w:szCs w:val="22"/>
                <w:highlight w:val="none"/>
              </w:rPr>
              <w:t>=</w:t>
            </w:r>
            <w:r>
              <w:rPr>
                <w:rFonts w:hint="eastAsia"/>
                <w:bCs/>
                <w:snapToGrid w:val="0"/>
                <w:color w:val="auto"/>
                <w:kern w:val="0"/>
                <w:sz w:val="22"/>
                <w:szCs w:val="22"/>
                <w:highlight w:val="none"/>
                <w:lang w:val="en-US" w:eastAsia="zh-CN"/>
              </w:rPr>
              <w:t>0.133</w:t>
            </w:r>
            <w:r>
              <w:rPr>
                <w:rFonts w:hint="eastAsia"/>
                <w:bCs/>
                <w:snapToGrid w:val="0"/>
                <w:color w:val="auto"/>
                <w:kern w:val="0"/>
                <w:sz w:val="22"/>
                <w:szCs w:val="22"/>
                <w:highlight w:val="none"/>
              </w:rPr>
              <w:t>km</w:t>
            </w:r>
            <w:r>
              <w:rPr>
                <w:rFonts w:hint="eastAsia"/>
                <w:bCs/>
                <w:snapToGrid w:val="0"/>
                <w:color w:val="auto"/>
                <w:kern w:val="0"/>
                <w:sz w:val="22"/>
                <w:szCs w:val="22"/>
                <w:highlight w:val="none"/>
                <w:vertAlign w:val="superscript"/>
              </w:rPr>
              <w:t>2</w:t>
            </w:r>
            <w:r>
              <w:rPr>
                <w:bCs/>
                <w:snapToGrid w:val="0"/>
                <w:color w:val="auto"/>
                <w:kern w:val="0"/>
                <w:sz w:val="22"/>
                <w:szCs w:val="22"/>
                <w:highlight w:val="none"/>
              </w:rPr>
              <w:t>≤0.2</w:t>
            </w:r>
            <w:r>
              <w:rPr>
                <w:rFonts w:hint="eastAsia"/>
                <w:bCs/>
                <w:snapToGrid w:val="0"/>
                <w:color w:val="auto"/>
                <w:kern w:val="0"/>
                <w:sz w:val="22"/>
                <w:szCs w:val="22"/>
                <w:highlight w:val="none"/>
              </w:rPr>
              <w:t>km</w:t>
            </w:r>
          </w:p>
        </w:tc>
        <w:tc>
          <w:tcPr>
            <w:tcW w:w="1329"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i/>
                <w:iCs/>
                <w:snapToGrid w:val="0"/>
                <w:color w:val="auto"/>
                <w:kern w:val="0"/>
                <w:sz w:val="22"/>
                <w:szCs w:val="22"/>
                <w:highlight w:val="none"/>
              </w:rPr>
              <w:t>R</w:t>
            </w:r>
          </w:p>
        </w:tc>
        <w:tc>
          <w:tcPr>
            <w:tcW w:w="6478" w:type="dxa"/>
            <w:vAlign w:val="center"/>
          </w:tcPr>
          <w:p>
            <w:pPr>
              <w:adjustRightInd w:val="0"/>
              <w:snapToGrid w:val="0"/>
              <w:spacing w:line="240" w:lineRule="auto"/>
              <w:ind w:firstLine="0" w:firstLineChars="0"/>
              <w:jc w:val="both"/>
              <w:rPr>
                <w:bCs/>
                <w:snapToGrid w:val="0"/>
                <w:color w:val="auto"/>
                <w:kern w:val="0"/>
                <w:sz w:val="22"/>
                <w:szCs w:val="22"/>
                <w:highlight w:val="none"/>
              </w:rPr>
            </w:pPr>
            <w:r>
              <w:rPr>
                <w:rFonts w:hint="eastAsia"/>
                <w:bCs/>
                <w:snapToGrid w:val="0"/>
                <w:color w:val="auto"/>
                <w:kern w:val="0"/>
                <w:sz w:val="22"/>
                <w:szCs w:val="22"/>
                <w:highlight w:val="none"/>
              </w:rPr>
              <w:t>渭沱枢纽已对</w:t>
            </w:r>
            <w:r>
              <w:rPr>
                <w:rFonts w:hint="eastAsia"/>
                <w:bCs/>
                <w:snapToGrid w:val="0"/>
                <w:color w:val="auto"/>
                <w:kern w:val="0"/>
                <w:sz w:val="22"/>
                <w:szCs w:val="22"/>
                <w:highlight w:val="none"/>
                <w:lang w:eastAsia="zh-CN"/>
              </w:rPr>
              <w:t>涪江干流</w:t>
            </w:r>
            <w:r>
              <w:rPr>
                <w:rFonts w:hint="eastAsia"/>
                <w:bCs/>
                <w:snapToGrid w:val="0"/>
                <w:color w:val="auto"/>
                <w:kern w:val="0"/>
                <w:sz w:val="22"/>
                <w:szCs w:val="22"/>
                <w:highlight w:val="none"/>
              </w:rPr>
              <w:t>过水断面全部占用，本次拟建项目船闸上闸首、下闸首均位于渭沱枢纽正常蓄水位以上的陆域区域，不会对过水断面造成新的占用</w:t>
            </w:r>
            <w:r>
              <w:rPr>
                <w:rFonts w:hint="eastAsia"/>
                <w:bCs/>
                <w:snapToGrid w:val="0"/>
                <w:color w:val="auto"/>
                <w:kern w:val="0"/>
                <w:sz w:val="22"/>
                <w:szCs w:val="22"/>
                <w:highlight w:val="none"/>
                <w:lang w:eastAsia="zh-CN"/>
              </w:rPr>
              <w:t>，</w:t>
            </w:r>
            <w:r>
              <w:rPr>
                <w:rFonts w:hint="eastAsia"/>
                <w:bCs/>
                <w:snapToGrid w:val="0"/>
                <w:color w:val="auto"/>
                <w:kern w:val="0"/>
                <w:sz w:val="22"/>
                <w:szCs w:val="22"/>
                <w:highlight w:val="none"/>
              </w:rPr>
              <w:t>故R=0</w:t>
            </w:r>
          </w:p>
        </w:tc>
        <w:tc>
          <w:tcPr>
            <w:tcW w:w="1329" w:type="dxa"/>
            <w:vAlign w:val="center"/>
          </w:tcPr>
          <w:p>
            <w:pPr>
              <w:adjustRightInd w:val="0"/>
              <w:snapToGrid w:val="0"/>
              <w:spacing w:line="240" w:lineRule="auto"/>
              <w:ind w:firstLine="0" w:firstLineChars="0"/>
              <w:jc w:val="center"/>
              <w:rPr>
                <w:bCs/>
                <w:snapToGrid w:val="0"/>
                <w:color w:val="auto"/>
                <w:kern w:val="0"/>
                <w:sz w:val="22"/>
                <w:szCs w:val="22"/>
                <w:highlight w:val="none"/>
              </w:rPr>
            </w:pPr>
            <w:r>
              <w:rPr>
                <w:rFonts w:hint="eastAsia"/>
                <w:bCs/>
                <w:snapToGrid w:val="0"/>
                <w:color w:val="auto"/>
                <w:kern w:val="0"/>
                <w:sz w:val="22"/>
                <w:szCs w:val="22"/>
                <w:highlight w:val="none"/>
              </w:rPr>
              <w:t>三级</w:t>
            </w:r>
          </w:p>
        </w:tc>
      </w:tr>
    </w:tbl>
    <w:p>
      <w:pPr>
        <w:adjustRightInd w:val="0"/>
        <w:snapToGrid w:val="0"/>
        <w:spacing w:line="240" w:lineRule="auto"/>
        <w:ind w:firstLine="520"/>
        <w:rPr>
          <w:rFonts w:hint="default" w:eastAsia="宋体"/>
          <w:bCs/>
          <w:color w:val="auto"/>
          <w:sz w:val="22"/>
          <w:szCs w:val="22"/>
          <w:highlight w:val="none"/>
          <w:vertAlign w:val="baseline"/>
          <w:lang w:val="en-US" w:eastAsia="zh-CN"/>
        </w:rPr>
      </w:pPr>
      <w:r>
        <w:rPr>
          <w:rFonts w:hint="eastAsia"/>
          <w:bCs/>
          <w:color w:val="auto"/>
          <w:sz w:val="22"/>
          <w:szCs w:val="22"/>
          <w:highlight w:val="none"/>
          <w:lang w:eastAsia="zh-CN"/>
        </w:rPr>
        <w:t>注：船闸主体位于正常蓄水位以上的陆域范围，</w:t>
      </w:r>
      <w:r>
        <w:rPr>
          <w:rFonts w:hint="eastAsia"/>
          <w:bCs/>
          <w:color w:val="auto"/>
          <w:sz w:val="22"/>
          <w:szCs w:val="22"/>
          <w:highlight w:val="none"/>
          <w:lang w:val="en-US" w:eastAsia="zh-CN"/>
        </w:rPr>
        <w:t>A</w:t>
      </w:r>
      <w:r>
        <w:rPr>
          <w:rFonts w:hint="eastAsia"/>
          <w:bCs/>
          <w:color w:val="auto"/>
          <w:sz w:val="22"/>
          <w:szCs w:val="22"/>
          <w:highlight w:val="none"/>
          <w:vertAlign w:val="subscript"/>
          <w:lang w:val="en-US" w:eastAsia="zh-CN"/>
        </w:rPr>
        <w:t>1</w:t>
      </w:r>
      <w:r>
        <w:rPr>
          <w:rFonts w:hint="eastAsia"/>
          <w:bCs/>
          <w:color w:val="auto"/>
          <w:sz w:val="22"/>
          <w:szCs w:val="22"/>
          <w:highlight w:val="none"/>
          <w:lang w:val="en-US" w:eastAsia="zh-CN"/>
        </w:rPr>
        <w:t>、A</w:t>
      </w:r>
      <w:r>
        <w:rPr>
          <w:rFonts w:hint="eastAsia"/>
          <w:bCs/>
          <w:color w:val="auto"/>
          <w:sz w:val="22"/>
          <w:szCs w:val="22"/>
          <w:highlight w:val="none"/>
          <w:vertAlign w:val="subscript"/>
          <w:lang w:val="en-US" w:eastAsia="zh-CN"/>
        </w:rPr>
        <w:t>2</w:t>
      </w:r>
      <w:r>
        <w:rPr>
          <w:rFonts w:hint="eastAsia"/>
          <w:bCs/>
          <w:color w:val="auto"/>
          <w:sz w:val="22"/>
          <w:szCs w:val="22"/>
          <w:highlight w:val="none"/>
          <w:vertAlign w:val="baseline"/>
          <w:lang w:val="en-US" w:eastAsia="zh-CN"/>
        </w:rPr>
        <w:t>均按照本工程建设内容与上游206m、下游203m正常蓄水位以下的水域面积</w:t>
      </w:r>
      <w:bookmarkStart w:id="185" w:name="_GoBack"/>
      <w:bookmarkEnd w:id="185"/>
      <w:r>
        <w:rPr>
          <w:rFonts w:hint="eastAsia"/>
          <w:bCs/>
          <w:color w:val="auto"/>
          <w:sz w:val="22"/>
          <w:szCs w:val="22"/>
          <w:highlight w:val="none"/>
          <w:vertAlign w:val="baseline"/>
          <w:lang w:val="en-US" w:eastAsia="zh-CN"/>
        </w:rPr>
        <w:t>重叠范围进行统计。</w:t>
      </w:r>
    </w:p>
    <w:p>
      <w:pPr>
        <w:adjustRightInd w:val="0"/>
        <w:snapToGrid w:val="0"/>
        <w:spacing w:line="240" w:lineRule="auto"/>
        <w:ind w:firstLine="520"/>
        <w:rPr>
          <w:rFonts w:hint="eastAsia"/>
          <w:bCs/>
          <w:color w:val="auto"/>
          <w:highlight w:val="none"/>
        </w:rPr>
      </w:pPr>
    </w:p>
    <w:p>
      <w:pPr>
        <w:adjustRightInd w:val="0"/>
        <w:snapToGrid w:val="0"/>
        <w:spacing w:line="460" w:lineRule="exact"/>
        <w:ind w:firstLine="520"/>
        <w:rPr>
          <w:bCs/>
          <w:color w:val="auto"/>
          <w:highlight w:val="none"/>
        </w:rPr>
      </w:pPr>
      <w:r>
        <w:rPr>
          <w:rFonts w:hint="eastAsia"/>
          <w:bCs/>
          <w:color w:val="auto"/>
          <w:highlight w:val="none"/>
        </w:rPr>
        <w:t>根据工程平面布置，拟建项目占地大多位于正常蓄水位以上的陆域范围，工程在水域垂直投影面积（</w:t>
      </w:r>
      <w:r>
        <w:rPr>
          <w:rFonts w:hint="eastAsia"/>
          <w:bCs/>
          <w:i/>
          <w:iCs/>
          <w:color w:val="auto"/>
          <w:highlight w:val="none"/>
        </w:rPr>
        <w:t>A</w:t>
      </w:r>
      <w:r>
        <w:rPr>
          <w:rFonts w:hint="eastAsia"/>
          <w:bCs/>
          <w:i/>
          <w:iCs/>
          <w:color w:val="auto"/>
          <w:highlight w:val="none"/>
          <w:vertAlign w:val="subscript"/>
        </w:rPr>
        <w:t>1</w:t>
      </w:r>
      <w:r>
        <w:rPr>
          <w:rFonts w:hint="eastAsia"/>
          <w:bCs/>
          <w:color w:val="auto"/>
          <w:highlight w:val="none"/>
        </w:rPr>
        <w:t>）约0.03</w:t>
      </w:r>
      <w:r>
        <w:rPr>
          <w:rFonts w:hint="eastAsia"/>
          <w:bCs/>
          <w:color w:val="auto"/>
          <w:highlight w:val="none"/>
          <w:lang w:val="en-US" w:eastAsia="zh-CN"/>
        </w:rPr>
        <w:t>9</w:t>
      </w:r>
      <w:r>
        <w:rPr>
          <w:rFonts w:hint="eastAsia"/>
          <w:bCs/>
          <w:color w:val="auto"/>
          <w:highlight w:val="none"/>
        </w:rPr>
        <w:t>km</w:t>
      </w:r>
      <w:r>
        <w:rPr>
          <w:rFonts w:hint="eastAsia"/>
          <w:bCs/>
          <w:color w:val="auto"/>
          <w:highlight w:val="none"/>
          <w:vertAlign w:val="superscript"/>
        </w:rPr>
        <w:t>2</w:t>
      </w:r>
      <w:r>
        <w:rPr>
          <w:rFonts w:hint="eastAsia"/>
          <w:bCs/>
          <w:color w:val="auto"/>
          <w:highlight w:val="none"/>
        </w:rPr>
        <w:t>＜0.05km</w:t>
      </w:r>
      <w:r>
        <w:rPr>
          <w:rFonts w:hint="eastAsia"/>
          <w:bCs/>
          <w:color w:val="auto"/>
          <w:highlight w:val="none"/>
          <w:vertAlign w:val="superscript"/>
        </w:rPr>
        <w:t>2</w:t>
      </w:r>
      <w:r>
        <w:rPr>
          <w:rFonts w:hint="eastAsia"/>
          <w:bCs/>
          <w:color w:val="auto"/>
          <w:highlight w:val="none"/>
        </w:rPr>
        <w:t>，工程扰动水底面积（</w:t>
      </w:r>
      <w:r>
        <w:rPr>
          <w:rFonts w:hint="eastAsia"/>
          <w:bCs/>
          <w:i/>
          <w:iCs/>
          <w:color w:val="auto"/>
          <w:highlight w:val="none"/>
        </w:rPr>
        <w:t>A</w:t>
      </w:r>
      <w:r>
        <w:rPr>
          <w:rFonts w:hint="eastAsia"/>
          <w:bCs/>
          <w:i/>
          <w:iCs/>
          <w:color w:val="auto"/>
          <w:highlight w:val="none"/>
          <w:vertAlign w:val="subscript"/>
        </w:rPr>
        <w:t>2</w:t>
      </w:r>
      <w:r>
        <w:rPr>
          <w:rFonts w:hint="eastAsia"/>
          <w:bCs/>
          <w:color w:val="auto"/>
          <w:highlight w:val="none"/>
        </w:rPr>
        <w:t>）约</w:t>
      </w:r>
      <w:r>
        <w:rPr>
          <w:rFonts w:hint="eastAsia"/>
          <w:bCs/>
          <w:color w:val="auto"/>
          <w:highlight w:val="none"/>
          <w:lang w:val="en-US" w:eastAsia="zh-CN"/>
        </w:rPr>
        <w:t>0.133</w:t>
      </w:r>
      <w:r>
        <w:rPr>
          <w:rFonts w:hint="eastAsia"/>
          <w:bCs/>
          <w:color w:val="auto"/>
          <w:highlight w:val="none"/>
        </w:rPr>
        <w:t>km</w:t>
      </w:r>
      <w:r>
        <w:rPr>
          <w:rFonts w:hint="eastAsia"/>
          <w:bCs/>
          <w:color w:val="auto"/>
          <w:highlight w:val="none"/>
          <w:vertAlign w:val="superscript"/>
        </w:rPr>
        <w:t>2</w:t>
      </w:r>
      <w:r>
        <w:rPr>
          <w:rFonts w:hint="eastAsia"/>
          <w:bCs/>
          <w:color w:val="auto"/>
          <w:highlight w:val="none"/>
        </w:rPr>
        <w:t>＜0.2km</w:t>
      </w:r>
      <w:r>
        <w:rPr>
          <w:rFonts w:hint="eastAsia"/>
          <w:bCs/>
          <w:color w:val="auto"/>
          <w:highlight w:val="none"/>
          <w:vertAlign w:val="superscript"/>
        </w:rPr>
        <w:t>2</w:t>
      </w:r>
      <w:r>
        <w:rPr>
          <w:rFonts w:hint="eastAsia"/>
          <w:bCs/>
          <w:color w:val="auto"/>
          <w:highlight w:val="none"/>
        </w:rPr>
        <w:t>，本次扩容改造的船闸位于渭沱枢纽正常蓄水位以上的陆域区域，不会对过水断面造成新的占用，占用过水断面宽度比例（R）=0%，项目</w:t>
      </w:r>
      <w:r>
        <w:rPr>
          <w:rFonts w:hint="eastAsia"/>
          <w:bCs/>
          <w:color w:val="auto"/>
          <w:highlight w:val="none"/>
          <w:lang w:eastAsia="zh-CN"/>
        </w:rPr>
        <w:t>地表水</w:t>
      </w:r>
      <w:r>
        <w:rPr>
          <w:rFonts w:hint="eastAsia"/>
          <w:bCs/>
          <w:color w:val="auto"/>
          <w:highlight w:val="none"/>
        </w:rPr>
        <w:t>影响范围</w:t>
      </w:r>
      <w:r>
        <w:rPr>
          <w:rFonts w:hint="eastAsia"/>
          <w:bCs/>
          <w:color w:val="auto"/>
          <w:highlight w:val="none"/>
          <w:lang w:eastAsia="zh-CN"/>
        </w:rPr>
        <w:t>内</w:t>
      </w:r>
      <w:r>
        <w:rPr>
          <w:rFonts w:hint="eastAsia"/>
          <w:bCs/>
          <w:color w:val="auto"/>
          <w:highlight w:val="none"/>
        </w:rPr>
        <w:t>不涉及饮用水水源保护区、重点保护与珍稀水生生物的栖息地、重要水生生物的自然产卵场、自然保护区等保护目标。故项目水文要素影响评价等级为三级。</w:t>
      </w:r>
    </w:p>
    <w:p>
      <w:pPr>
        <w:pStyle w:val="5"/>
        <w:keepNext w:val="0"/>
        <w:keepLines w:val="0"/>
        <w:snapToGrid w:val="0"/>
        <w:ind w:firstLine="522"/>
        <w:rPr>
          <w:color w:val="auto"/>
          <w:highlight w:val="none"/>
        </w:rPr>
      </w:pPr>
      <w:r>
        <w:rPr>
          <w:color w:val="auto"/>
          <w:highlight w:val="none"/>
        </w:rPr>
        <w:t>生态环境</w:t>
      </w:r>
    </w:p>
    <w:p>
      <w:pPr>
        <w:adjustRightInd w:val="0"/>
        <w:snapToGrid w:val="0"/>
        <w:ind w:firstLine="520"/>
        <w:rPr>
          <w:bCs/>
          <w:color w:val="auto"/>
          <w:highlight w:val="none"/>
        </w:rPr>
      </w:pPr>
      <w:r>
        <w:rPr>
          <w:bCs/>
          <w:color w:val="auto"/>
          <w:highlight w:val="none"/>
        </w:rPr>
        <w:t>（1）评价等级</w:t>
      </w:r>
    </w:p>
    <w:p>
      <w:pPr>
        <w:ind w:firstLine="520"/>
        <w:rPr>
          <w:color w:val="auto"/>
          <w:highlight w:val="none"/>
        </w:rPr>
      </w:pPr>
      <w:r>
        <w:rPr>
          <w:rFonts w:hint="eastAsia"/>
          <w:color w:val="auto"/>
          <w:highlight w:val="none"/>
        </w:rPr>
        <w:t>项目建设内容包括船闸、鱼道和其他配套工程，根据《环境影响评价技术导则 生态影响》（HJ 19-2022）评价等级判定原则，生态评价等级判定如下：</w:t>
      </w:r>
    </w:p>
    <w:p>
      <w:pPr>
        <w:pStyle w:val="216"/>
        <w:ind w:firstLine="520"/>
        <w:rPr>
          <w:color w:val="auto"/>
          <w:highlight w:val="none"/>
        </w:rPr>
      </w:pPr>
    </w:p>
    <w:p>
      <w:pPr>
        <w:pStyle w:val="217"/>
        <w:numPr>
          <w:ilvl w:val="0"/>
          <w:numId w:val="0"/>
        </w:numPr>
        <w:rPr>
          <w:b w:val="0"/>
          <w:bCs/>
          <w:color w:val="auto"/>
          <w:highlight w:val="none"/>
        </w:rPr>
      </w:pPr>
      <w:r>
        <w:rPr>
          <w:rFonts w:hint="eastAsia"/>
          <w:b w:val="0"/>
          <w:bCs/>
          <w:color w:val="auto"/>
          <w:highlight w:val="none"/>
        </w:rPr>
        <w:t>表1.5.2-1   生态影响评价工作等级划分表</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6"/>
        <w:gridCol w:w="383"/>
        <w:gridCol w:w="4004"/>
        <w:gridCol w:w="2536"/>
        <w:gridCol w:w="1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dxa"/>
            <w:gridSpan w:val="2"/>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序号</w:t>
            </w:r>
          </w:p>
        </w:tc>
        <w:tc>
          <w:tcPr>
            <w:tcW w:w="4004"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导则评价等级判定原则</w:t>
            </w:r>
          </w:p>
        </w:tc>
        <w:tc>
          <w:tcPr>
            <w:tcW w:w="2536"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拟建</w:t>
            </w:r>
            <w:r>
              <w:rPr>
                <w:color w:val="auto"/>
                <w:sz w:val="20"/>
                <w:szCs w:val="20"/>
                <w:highlight w:val="none"/>
              </w:rPr>
              <w:t>项目</w:t>
            </w:r>
            <w:r>
              <w:rPr>
                <w:rFonts w:hint="eastAsia"/>
                <w:color w:val="auto"/>
                <w:sz w:val="20"/>
                <w:szCs w:val="20"/>
                <w:highlight w:val="none"/>
              </w:rPr>
              <w:t>概况</w:t>
            </w:r>
          </w:p>
        </w:tc>
        <w:tc>
          <w:tcPr>
            <w:tcW w:w="1139"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判定结果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restart"/>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6</w:t>
            </w:r>
            <w:r>
              <w:rPr>
                <w:color w:val="auto"/>
                <w:sz w:val="20"/>
                <w:szCs w:val="20"/>
                <w:highlight w:val="none"/>
              </w:rPr>
              <w:t>.1.2</w:t>
            </w:r>
          </w:p>
        </w:tc>
        <w:tc>
          <w:tcPr>
            <w:tcW w:w="383"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a</w:t>
            </w:r>
            <w:r>
              <w:rPr>
                <w:color w:val="auto"/>
                <w:sz w:val="20"/>
                <w:szCs w:val="20"/>
                <w:highlight w:val="none"/>
              </w:rPr>
              <w:t>)</w:t>
            </w:r>
          </w:p>
        </w:tc>
        <w:tc>
          <w:tcPr>
            <w:tcW w:w="4004"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涉及国家公园、自然保护区、世界自然遗产、重要生境时，评价等级为一级；</w:t>
            </w:r>
          </w:p>
        </w:tc>
        <w:tc>
          <w:tcPr>
            <w:tcW w:w="2536"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不占用国家公园、自然保护区、世界自然遗产、重要生境，评价范围内的渭沱电站库区分布有鱼类越冬场，重要生境在采取生态保护措施前可能受到施工影响。</w:t>
            </w:r>
          </w:p>
        </w:tc>
        <w:tc>
          <w:tcPr>
            <w:tcW w:w="1139" w:type="dxa"/>
            <w:vMerge w:val="restart"/>
            <w:vAlign w:val="center"/>
          </w:tcPr>
          <w:p>
            <w:pPr>
              <w:spacing w:line="240" w:lineRule="auto"/>
              <w:ind w:firstLine="0" w:firstLineChars="0"/>
              <w:jc w:val="center"/>
              <w:rPr>
                <w:b/>
                <w:bCs/>
                <w:color w:val="auto"/>
                <w:sz w:val="20"/>
                <w:szCs w:val="20"/>
                <w:highlight w:val="none"/>
              </w:rPr>
            </w:pPr>
            <w:r>
              <w:rPr>
                <w:rFonts w:hint="eastAsia"/>
                <w:b/>
                <w:bCs/>
                <w:color w:val="auto"/>
                <w:sz w:val="20"/>
                <w:szCs w:val="20"/>
                <w:highlight w:val="none"/>
              </w:rPr>
              <w:t>水生：一级</w:t>
            </w:r>
          </w:p>
          <w:p>
            <w:pPr>
              <w:spacing w:line="240" w:lineRule="auto"/>
              <w:ind w:firstLine="0" w:firstLineChars="0"/>
              <w:jc w:val="center"/>
              <w:rPr>
                <w:color w:val="auto"/>
                <w:sz w:val="20"/>
                <w:szCs w:val="20"/>
                <w:highlight w:val="none"/>
              </w:rPr>
            </w:pPr>
            <w:r>
              <w:rPr>
                <w:rFonts w:hint="eastAsia"/>
                <w:b/>
                <w:bCs/>
                <w:color w:val="auto"/>
                <w:sz w:val="20"/>
                <w:szCs w:val="20"/>
                <w:highlight w:val="none"/>
              </w:rPr>
              <w:t>陆生：二级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vAlign w:val="center"/>
          </w:tcPr>
          <w:p>
            <w:pPr>
              <w:spacing w:line="240" w:lineRule="auto"/>
              <w:ind w:firstLine="0" w:firstLineChars="0"/>
              <w:jc w:val="center"/>
              <w:rPr>
                <w:color w:val="auto"/>
                <w:sz w:val="20"/>
                <w:szCs w:val="20"/>
                <w:highlight w:val="none"/>
              </w:rPr>
            </w:pPr>
          </w:p>
        </w:tc>
        <w:tc>
          <w:tcPr>
            <w:tcW w:w="383"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b)</w:t>
            </w:r>
          </w:p>
        </w:tc>
        <w:tc>
          <w:tcPr>
            <w:tcW w:w="4004"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涉及自然公园时，评价等级为二级；</w:t>
            </w:r>
          </w:p>
        </w:tc>
        <w:tc>
          <w:tcPr>
            <w:tcW w:w="2536"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占用重庆合川三江国家湿地公园</w:t>
            </w:r>
          </w:p>
        </w:tc>
        <w:tc>
          <w:tcPr>
            <w:tcW w:w="1139" w:type="dxa"/>
            <w:vMerge w:val="continue"/>
            <w:vAlign w:val="center"/>
          </w:tcPr>
          <w:p>
            <w:pPr>
              <w:spacing w:line="240" w:lineRule="auto"/>
              <w:ind w:firstLine="0" w:firstLineChars="0"/>
              <w:jc w:val="center"/>
              <w:rPr>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vAlign w:val="center"/>
          </w:tcPr>
          <w:p>
            <w:pPr>
              <w:spacing w:line="240" w:lineRule="auto"/>
              <w:ind w:firstLine="0" w:firstLineChars="0"/>
              <w:jc w:val="center"/>
              <w:rPr>
                <w:color w:val="auto"/>
                <w:sz w:val="20"/>
                <w:szCs w:val="20"/>
                <w:highlight w:val="none"/>
              </w:rPr>
            </w:pPr>
          </w:p>
        </w:tc>
        <w:tc>
          <w:tcPr>
            <w:tcW w:w="383"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c)</w:t>
            </w:r>
          </w:p>
        </w:tc>
        <w:tc>
          <w:tcPr>
            <w:tcW w:w="4004"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130" w:leftChars="-50" w:right="-130" w:rightChars="-50" w:firstLine="0" w:firstLineChars="0"/>
              <w:jc w:val="center"/>
              <w:textAlignment w:val="auto"/>
              <w:rPr>
                <w:color w:val="auto"/>
                <w:sz w:val="20"/>
                <w:szCs w:val="20"/>
                <w:highlight w:val="none"/>
              </w:rPr>
            </w:pPr>
            <w:r>
              <w:rPr>
                <w:rFonts w:hint="eastAsia"/>
                <w:color w:val="auto"/>
                <w:sz w:val="20"/>
                <w:szCs w:val="20"/>
                <w:highlight w:val="none"/>
              </w:rPr>
              <w:t>涉及生态保护红线时，评价等级不低于二级；</w:t>
            </w:r>
          </w:p>
        </w:tc>
        <w:tc>
          <w:tcPr>
            <w:tcW w:w="2536"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占用生态保护红线</w:t>
            </w:r>
          </w:p>
        </w:tc>
        <w:tc>
          <w:tcPr>
            <w:tcW w:w="1139" w:type="dxa"/>
            <w:vMerge w:val="continue"/>
            <w:vAlign w:val="center"/>
          </w:tcPr>
          <w:p>
            <w:pPr>
              <w:spacing w:line="240" w:lineRule="auto"/>
              <w:ind w:firstLine="0" w:firstLineChars="0"/>
              <w:jc w:val="center"/>
              <w:rPr>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vAlign w:val="center"/>
          </w:tcPr>
          <w:p>
            <w:pPr>
              <w:spacing w:line="240" w:lineRule="auto"/>
              <w:ind w:firstLine="0" w:firstLineChars="0"/>
              <w:jc w:val="center"/>
              <w:rPr>
                <w:color w:val="auto"/>
                <w:sz w:val="20"/>
                <w:szCs w:val="20"/>
                <w:highlight w:val="none"/>
              </w:rPr>
            </w:pPr>
          </w:p>
        </w:tc>
        <w:tc>
          <w:tcPr>
            <w:tcW w:w="383"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d)</w:t>
            </w:r>
          </w:p>
        </w:tc>
        <w:tc>
          <w:tcPr>
            <w:tcW w:w="4004"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根据 HJ 2.3 判断属于水文要素影响型且地表水评价等级不低于二级的建设项目，生态影响评价等级不低于二级；</w:t>
            </w:r>
          </w:p>
        </w:tc>
        <w:tc>
          <w:tcPr>
            <w:tcW w:w="2536"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地表水水文要素影响评价等级为三级</w:t>
            </w:r>
          </w:p>
        </w:tc>
        <w:tc>
          <w:tcPr>
            <w:tcW w:w="1139" w:type="dxa"/>
            <w:vMerge w:val="continue"/>
            <w:vAlign w:val="center"/>
          </w:tcPr>
          <w:p>
            <w:pPr>
              <w:spacing w:line="240" w:lineRule="auto"/>
              <w:ind w:firstLine="0" w:firstLineChars="0"/>
              <w:jc w:val="center"/>
              <w:rPr>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6" w:type="dxa"/>
            <w:vMerge w:val="continue"/>
            <w:vAlign w:val="center"/>
          </w:tcPr>
          <w:p>
            <w:pPr>
              <w:spacing w:line="240" w:lineRule="auto"/>
              <w:ind w:firstLine="0" w:firstLineChars="0"/>
              <w:jc w:val="center"/>
              <w:rPr>
                <w:color w:val="auto"/>
                <w:sz w:val="20"/>
                <w:szCs w:val="20"/>
                <w:highlight w:val="none"/>
              </w:rPr>
            </w:pPr>
          </w:p>
        </w:tc>
        <w:tc>
          <w:tcPr>
            <w:tcW w:w="383"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e)</w:t>
            </w:r>
          </w:p>
        </w:tc>
        <w:tc>
          <w:tcPr>
            <w:tcW w:w="4004" w:type="dxa"/>
            <w:vAlign w:val="center"/>
          </w:tcPr>
          <w:p>
            <w:pPr>
              <w:spacing w:line="240" w:lineRule="auto"/>
              <w:ind w:firstLine="0" w:firstLineChars="0"/>
              <w:jc w:val="center"/>
              <w:rPr>
                <w:bCs/>
                <w:color w:val="auto"/>
                <w:sz w:val="20"/>
                <w:szCs w:val="20"/>
                <w:highlight w:val="none"/>
              </w:rPr>
            </w:pPr>
            <w:r>
              <w:rPr>
                <w:rFonts w:hint="eastAsia"/>
                <w:bCs/>
                <w:color w:val="auto"/>
                <w:sz w:val="20"/>
                <w:szCs w:val="20"/>
                <w:highlight w:val="none"/>
              </w:rPr>
              <w:t>根据HJ 610、HJ 964判断地下水水位或土壤影响范围内分布有天然林、公益林、湿地等生态保护目标的建设项目，生态影响评价等级不低于二级；</w:t>
            </w:r>
          </w:p>
        </w:tc>
        <w:tc>
          <w:tcPr>
            <w:tcW w:w="2536" w:type="dxa"/>
            <w:vAlign w:val="center"/>
          </w:tcPr>
          <w:p>
            <w:pPr>
              <w:spacing w:line="240" w:lineRule="auto"/>
              <w:ind w:firstLine="0" w:firstLineChars="0"/>
              <w:jc w:val="center"/>
              <w:rPr>
                <w:bCs/>
                <w:color w:val="auto"/>
                <w:sz w:val="20"/>
                <w:szCs w:val="20"/>
                <w:highlight w:val="none"/>
              </w:rPr>
            </w:pPr>
            <w:r>
              <w:rPr>
                <w:rFonts w:hint="eastAsia"/>
                <w:color w:val="auto"/>
                <w:sz w:val="20"/>
                <w:szCs w:val="20"/>
                <w:highlight w:val="none"/>
              </w:rPr>
              <w:t>根据HJ 610、HJ 964</w:t>
            </w:r>
            <w:r>
              <w:rPr>
                <w:rFonts w:hint="eastAsia"/>
                <w:color w:val="auto"/>
                <w:sz w:val="20"/>
                <w:szCs w:val="20"/>
                <w:highlight w:val="none"/>
                <w:lang w:eastAsia="zh-CN"/>
              </w:rPr>
              <w:t>，</w:t>
            </w:r>
            <w:r>
              <w:rPr>
                <w:rFonts w:hint="eastAsia"/>
                <w:color w:val="auto"/>
                <w:sz w:val="20"/>
                <w:szCs w:val="20"/>
                <w:highlight w:val="none"/>
                <w:lang w:val="en-US" w:eastAsia="zh-CN"/>
              </w:rPr>
              <w:t>本项目无需开展地下水或土壤评价，不涉及本条判定原则</w:t>
            </w:r>
          </w:p>
        </w:tc>
        <w:tc>
          <w:tcPr>
            <w:tcW w:w="1139" w:type="dxa"/>
            <w:vMerge w:val="continue"/>
            <w:vAlign w:val="center"/>
          </w:tcPr>
          <w:p>
            <w:pPr>
              <w:spacing w:line="240" w:lineRule="auto"/>
              <w:ind w:firstLine="0" w:firstLineChars="0"/>
              <w:jc w:val="center"/>
              <w:rPr>
                <w:bCs/>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6" w:type="dxa"/>
            <w:vMerge w:val="continue"/>
            <w:vAlign w:val="center"/>
          </w:tcPr>
          <w:p>
            <w:pPr>
              <w:spacing w:line="240" w:lineRule="auto"/>
              <w:ind w:firstLine="0" w:firstLineChars="0"/>
              <w:jc w:val="center"/>
              <w:rPr>
                <w:color w:val="auto"/>
                <w:sz w:val="20"/>
                <w:szCs w:val="20"/>
                <w:highlight w:val="none"/>
              </w:rPr>
            </w:pPr>
          </w:p>
        </w:tc>
        <w:tc>
          <w:tcPr>
            <w:tcW w:w="383"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f)</w:t>
            </w:r>
          </w:p>
        </w:tc>
        <w:tc>
          <w:tcPr>
            <w:tcW w:w="4004"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当工程占地规模大于20km</w:t>
            </w:r>
            <w:r>
              <w:rPr>
                <w:rFonts w:hint="eastAsia"/>
                <w:color w:val="auto"/>
                <w:sz w:val="20"/>
                <w:szCs w:val="20"/>
                <w:highlight w:val="none"/>
                <w:vertAlign w:val="superscript"/>
              </w:rPr>
              <w:t>2</w:t>
            </w:r>
            <w:r>
              <w:rPr>
                <w:rFonts w:hint="eastAsia"/>
                <w:color w:val="auto"/>
                <w:sz w:val="20"/>
                <w:szCs w:val="20"/>
                <w:highlight w:val="none"/>
              </w:rPr>
              <w:t>时（包括永久和临时占用陆域和水域），评价等级不低于二级；改扩建项目的占地范围以新增占地（包括陆域和水域）确定</w:t>
            </w:r>
          </w:p>
        </w:tc>
        <w:tc>
          <w:tcPr>
            <w:tcW w:w="2536"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占地</w:t>
            </w:r>
            <w:r>
              <w:rPr>
                <w:color w:val="auto"/>
                <w:sz w:val="20"/>
                <w:szCs w:val="20"/>
                <w:highlight w:val="none"/>
              </w:rPr>
              <w:t>面积约</w:t>
            </w:r>
            <w:r>
              <w:rPr>
                <w:rFonts w:hint="eastAsia"/>
                <w:color w:val="auto"/>
                <w:sz w:val="20"/>
                <w:szCs w:val="20"/>
                <w:highlight w:val="none"/>
                <w:lang w:val="en-US" w:eastAsia="zh-CN"/>
              </w:rPr>
              <w:t>0.53</w:t>
            </w:r>
            <w:r>
              <w:rPr>
                <w:rFonts w:hint="eastAsia"/>
                <w:color w:val="auto"/>
                <w:sz w:val="20"/>
                <w:szCs w:val="20"/>
                <w:highlight w:val="none"/>
              </w:rPr>
              <w:t>k</w:t>
            </w:r>
            <w:r>
              <w:rPr>
                <w:color w:val="auto"/>
                <w:sz w:val="20"/>
                <w:szCs w:val="20"/>
                <w:highlight w:val="none"/>
              </w:rPr>
              <w:t>m</w:t>
            </w:r>
            <w:r>
              <w:rPr>
                <w:color w:val="auto"/>
                <w:sz w:val="20"/>
                <w:szCs w:val="20"/>
                <w:highlight w:val="none"/>
                <w:vertAlign w:val="superscript"/>
              </w:rPr>
              <w:t>2</w:t>
            </w:r>
            <w:r>
              <w:rPr>
                <w:rFonts w:hint="eastAsia"/>
                <w:color w:val="auto"/>
                <w:sz w:val="20"/>
                <w:szCs w:val="20"/>
                <w:highlight w:val="none"/>
              </w:rPr>
              <w:t>＜20km</w:t>
            </w:r>
            <w:r>
              <w:rPr>
                <w:rFonts w:hint="eastAsia"/>
                <w:color w:val="auto"/>
                <w:sz w:val="20"/>
                <w:szCs w:val="20"/>
                <w:highlight w:val="none"/>
                <w:vertAlign w:val="superscript"/>
              </w:rPr>
              <w:t>2</w:t>
            </w:r>
          </w:p>
        </w:tc>
        <w:tc>
          <w:tcPr>
            <w:tcW w:w="1139" w:type="dxa"/>
            <w:vMerge w:val="continue"/>
            <w:vAlign w:val="center"/>
          </w:tcPr>
          <w:p>
            <w:pPr>
              <w:spacing w:line="240" w:lineRule="auto"/>
              <w:ind w:firstLine="0" w:firstLineChars="0"/>
              <w:jc w:val="center"/>
              <w:rPr>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vAlign w:val="center"/>
          </w:tcPr>
          <w:p>
            <w:pPr>
              <w:spacing w:line="240" w:lineRule="auto"/>
              <w:ind w:firstLine="0" w:firstLineChars="0"/>
              <w:jc w:val="center"/>
              <w:rPr>
                <w:color w:val="auto"/>
                <w:sz w:val="20"/>
                <w:szCs w:val="20"/>
                <w:highlight w:val="none"/>
              </w:rPr>
            </w:pPr>
          </w:p>
        </w:tc>
        <w:tc>
          <w:tcPr>
            <w:tcW w:w="383" w:type="dxa"/>
            <w:vAlign w:val="center"/>
          </w:tcPr>
          <w:p>
            <w:pPr>
              <w:spacing w:line="240" w:lineRule="auto"/>
              <w:ind w:firstLine="0" w:firstLineChars="0"/>
              <w:jc w:val="center"/>
              <w:rPr>
                <w:b/>
                <w:color w:val="auto"/>
                <w:sz w:val="20"/>
                <w:szCs w:val="20"/>
                <w:highlight w:val="none"/>
              </w:rPr>
            </w:pPr>
            <w:r>
              <w:rPr>
                <w:rFonts w:hint="eastAsia"/>
                <w:bCs/>
                <w:color w:val="auto"/>
                <w:sz w:val="20"/>
                <w:szCs w:val="20"/>
                <w:highlight w:val="none"/>
              </w:rPr>
              <w:t>g)</w:t>
            </w:r>
          </w:p>
        </w:tc>
        <w:tc>
          <w:tcPr>
            <w:tcW w:w="4004"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除本条 a</w:t>
            </w:r>
            <w:r>
              <w:rPr>
                <w:rFonts w:hint="eastAsia"/>
                <w:color w:val="auto"/>
                <w:sz w:val="20"/>
                <w:szCs w:val="20"/>
                <w:highlight w:val="none"/>
                <w:shd w:val="clear" w:fill="FFFFFF"/>
              </w:rPr>
              <w:t>）</w:t>
            </w:r>
            <w:r>
              <w:rPr>
                <w:rFonts w:hint="eastAsia"/>
                <w:color w:val="auto"/>
                <w:sz w:val="20"/>
                <w:szCs w:val="20"/>
                <w:highlight w:val="none"/>
              </w:rPr>
              <w:t>、b</w:t>
            </w:r>
            <w:r>
              <w:rPr>
                <w:rFonts w:hint="eastAsia"/>
                <w:color w:val="auto"/>
                <w:sz w:val="20"/>
                <w:szCs w:val="20"/>
                <w:highlight w:val="none"/>
                <w:shd w:val="clear" w:fill="FFFFFF"/>
              </w:rPr>
              <w:t>）</w:t>
            </w:r>
            <w:r>
              <w:rPr>
                <w:rFonts w:hint="eastAsia"/>
                <w:color w:val="auto"/>
                <w:sz w:val="20"/>
                <w:szCs w:val="20"/>
                <w:highlight w:val="none"/>
              </w:rPr>
              <w:t>、c</w:t>
            </w:r>
            <w:r>
              <w:rPr>
                <w:rFonts w:hint="eastAsia"/>
                <w:color w:val="auto"/>
                <w:sz w:val="20"/>
                <w:szCs w:val="20"/>
                <w:highlight w:val="none"/>
                <w:shd w:val="clear" w:fill="FFFFFF"/>
              </w:rPr>
              <w:t>）</w:t>
            </w:r>
            <w:r>
              <w:rPr>
                <w:rFonts w:hint="eastAsia"/>
                <w:color w:val="auto"/>
                <w:sz w:val="20"/>
                <w:szCs w:val="20"/>
                <w:highlight w:val="none"/>
              </w:rPr>
              <w:t>、d</w:t>
            </w:r>
            <w:r>
              <w:rPr>
                <w:rFonts w:hint="eastAsia"/>
                <w:color w:val="auto"/>
                <w:sz w:val="20"/>
                <w:szCs w:val="20"/>
                <w:highlight w:val="none"/>
                <w:shd w:val="clear" w:fill="FFFFFF"/>
              </w:rPr>
              <w:t>）</w:t>
            </w:r>
            <w:r>
              <w:rPr>
                <w:rFonts w:hint="eastAsia"/>
                <w:color w:val="auto"/>
                <w:sz w:val="20"/>
                <w:szCs w:val="20"/>
                <w:highlight w:val="none"/>
              </w:rPr>
              <w:t>、e</w:t>
            </w:r>
            <w:r>
              <w:rPr>
                <w:rFonts w:hint="eastAsia"/>
                <w:color w:val="auto"/>
                <w:sz w:val="20"/>
                <w:szCs w:val="20"/>
                <w:highlight w:val="none"/>
                <w:shd w:val="clear" w:fill="FFFFFF"/>
              </w:rPr>
              <w:t>）</w:t>
            </w:r>
            <w:r>
              <w:rPr>
                <w:rFonts w:hint="eastAsia"/>
                <w:color w:val="auto"/>
                <w:sz w:val="20"/>
                <w:szCs w:val="20"/>
                <w:highlight w:val="none"/>
              </w:rPr>
              <w:t>、f</w:t>
            </w:r>
            <w:r>
              <w:rPr>
                <w:rFonts w:hint="eastAsia"/>
                <w:color w:val="auto"/>
                <w:sz w:val="20"/>
                <w:szCs w:val="20"/>
                <w:highlight w:val="none"/>
                <w:shd w:val="clear" w:fill="FFFFFF"/>
              </w:rPr>
              <w:t>）</w:t>
            </w:r>
            <w:r>
              <w:rPr>
                <w:rFonts w:hint="eastAsia"/>
                <w:color w:val="auto"/>
                <w:sz w:val="20"/>
                <w:szCs w:val="20"/>
                <w:highlight w:val="none"/>
              </w:rPr>
              <w:t>以外的情况，评价等级为三级；</w:t>
            </w:r>
          </w:p>
        </w:tc>
        <w:tc>
          <w:tcPr>
            <w:tcW w:w="2536" w:type="dxa"/>
            <w:vAlign w:val="center"/>
          </w:tcPr>
          <w:p>
            <w:pPr>
              <w:spacing w:line="240" w:lineRule="auto"/>
              <w:ind w:firstLine="0" w:firstLineChars="0"/>
              <w:jc w:val="center"/>
              <w:rPr>
                <w:color w:val="auto"/>
                <w:sz w:val="20"/>
                <w:szCs w:val="20"/>
                <w:highlight w:val="none"/>
              </w:rPr>
            </w:pPr>
            <w:r>
              <w:rPr>
                <w:color w:val="auto"/>
                <w:sz w:val="20"/>
                <w:szCs w:val="20"/>
                <w:highlight w:val="none"/>
              </w:rPr>
              <w:t>无a</w:t>
            </w:r>
            <w:r>
              <w:rPr>
                <w:color w:val="auto"/>
                <w:sz w:val="20"/>
                <w:szCs w:val="20"/>
                <w:highlight w:val="none"/>
                <w:shd w:val="clear" w:fill="FFFFFF"/>
              </w:rPr>
              <w:t>）</w:t>
            </w:r>
            <w:r>
              <w:rPr>
                <w:color w:val="auto"/>
                <w:sz w:val="20"/>
                <w:szCs w:val="20"/>
                <w:highlight w:val="none"/>
              </w:rPr>
              <w:t>、b</w:t>
            </w:r>
            <w:r>
              <w:rPr>
                <w:color w:val="auto"/>
                <w:sz w:val="20"/>
                <w:szCs w:val="20"/>
                <w:highlight w:val="none"/>
                <w:shd w:val="clear" w:fill="FFFFFF"/>
              </w:rPr>
              <w:t>）</w:t>
            </w:r>
            <w:r>
              <w:rPr>
                <w:color w:val="auto"/>
                <w:sz w:val="20"/>
                <w:szCs w:val="20"/>
                <w:highlight w:val="none"/>
              </w:rPr>
              <w:t>、c</w:t>
            </w:r>
            <w:r>
              <w:rPr>
                <w:color w:val="auto"/>
                <w:sz w:val="20"/>
                <w:szCs w:val="20"/>
                <w:highlight w:val="none"/>
                <w:shd w:val="clear" w:fill="FFFFFF"/>
              </w:rPr>
              <w:t>）</w:t>
            </w:r>
            <w:r>
              <w:rPr>
                <w:color w:val="auto"/>
                <w:sz w:val="20"/>
                <w:szCs w:val="20"/>
                <w:highlight w:val="none"/>
              </w:rPr>
              <w:t>、d</w:t>
            </w:r>
            <w:r>
              <w:rPr>
                <w:color w:val="auto"/>
                <w:sz w:val="20"/>
                <w:szCs w:val="20"/>
                <w:highlight w:val="none"/>
                <w:shd w:val="clear" w:fill="FFFFFF"/>
              </w:rPr>
              <w:t>）</w:t>
            </w:r>
            <w:r>
              <w:rPr>
                <w:color w:val="auto"/>
                <w:sz w:val="20"/>
                <w:szCs w:val="20"/>
                <w:highlight w:val="none"/>
              </w:rPr>
              <w:t>、e</w:t>
            </w:r>
            <w:r>
              <w:rPr>
                <w:color w:val="auto"/>
                <w:sz w:val="20"/>
                <w:szCs w:val="20"/>
                <w:highlight w:val="none"/>
                <w:shd w:val="clear" w:fill="FFFFFF"/>
              </w:rPr>
              <w:t>）</w:t>
            </w:r>
            <w:r>
              <w:rPr>
                <w:color w:val="auto"/>
                <w:sz w:val="20"/>
                <w:szCs w:val="20"/>
                <w:highlight w:val="none"/>
              </w:rPr>
              <w:t>、f</w:t>
            </w:r>
            <w:r>
              <w:rPr>
                <w:color w:val="auto"/>
                <w:sz w:val="20"/>
                <w:szCs w:val="20"/>
                <w:highlight w:val="none"/>
                <w:shd w:val="clear" w:fill="FFFFFF"/>
              </w:rPr>
              <w:t>）</w:t>
            </w:r>
            <w:r>
              <w:rPr>
                <w:color w:val="auto"/>
                <w:sz w:val="20"/>
                <w:szCs w:val="20"/>
                <w:highlight w:val="none"/>
              </w:rPr>
              <w:t>以外的情况</w:t>
            </w:r>
          </w:p>
        </w:tc>
        <w:tc>
          <w:tcPr>
            <w:tcW w:w="1139" w:type="dxa"/>
            <w:vMerge w:val="continue"/>
            <w:vAlign w:val="center"/>
          </w:tcPr>
          <w:p>
            <w:pPr>
              <w:spacing w:line="240" w:lineRule="auto"/>
              <w:ind w:firstLine="0" w:firstLineChars="0"/>
              <w:jc w:val="center"/>
              <w:rPr>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dxa"/>
            <w:vMerge w:val="continue"/>
            <w:vAlign w:val="center"/>
          </w:tcPr>
          <w:p>
            <w:pPr>
              <w:spacing w:line="240" w:lineRule="auto"/>
              <w:ind w:firstLine="0" w:firstLineChars="0"/>
              <w:jc w:val="center"/>
              <w:rPr>
                <w:color w:val="auto"/>
                <w:sz w:val="20"/>
                <w:szCs w:val="20"/>
                <w:highlight w:val="none"/>
              </w:rPr>
            </w:pPr>
          </w:p>
        </w:tc>
        <w:tc>
          <w:tcPr>
            <w:tcW w:w="383"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h)</w:t>
            </w:r>
          </w:p>
        </w:tc>
        <w:tc>
          <w:tcPr>
            <w:tcW w:w="4004"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当评价等级判定同时符合上述多种情况时，应采用其中最高的评价等级。</w:t>
            </w:r>
          </w:p>
        </w:tc>
        <w:tc>
          <w:tcPr>
            <w:tcW w:w="2536"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w:t>
            </w:r>
          </w:p>
        </w:tc>
        <w:tc>
          <w:tcPr>
            <w:tcW w:w="1139" w:type="dxa"/>
            <w:vMerge w:val="continue"/>
            <w:vAlign w:val="center"/>
          </w:tcPr>
          <w:p>
            <w:pPr>
              <w:spacing w:line="240" w:lineRule="auto"/>
              <w:ind w:firstLine="0" w:firstLineChars="0"/>
              <w:jc w:val="center"/>
              <w:rPr>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dxa"/>
            <w:gridSpan w:val="2"/>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6.1.3</w:t>
            </w:r>
          </w:p>
        </w:tc>
        <w:tc>
          <w:tcPr>
            <w:tcW w:w="4004" w:type="dxa"/>
            <w:vAlign w:val="center"/>
          </w:tcPr>
          <w:p>
            <w:pPr>
              <w:adjustRightInd w:val="0"/>
              <w:spacing w:line="240" w:lineRule="auto"/>
              <w:ind w:left="-130" w:leftChars="-50" w:right="-130" w:rightChars="-50" w:firstLine="0" w:firstLineChars="0"/>
              <w:jc w:val="center"/>
              <w:rPr>
                <w:color w:val="auto"/>
                <w:sz w:val="20"/>
                <w:szCs w:val="20"/>
                <w:highlight w:val="none"/>
              </w:rPr>
            </w:pPr>
            <w:r>
              <w:rPr>
                <w:rFonts w:hint="eastAsia"/>
                <w:color w:val="auto"/>
                <w:sz w:val="20"/>
                <w:szCs w:val="20"/>
                <w:highlight w:val="none"/>
              </w:rPr>
              <w:t>建设项目涉及经论证对保护生物多样性具有重要意义的区域时，可适当上调评价等级。</w:t>
            </w:r>
          </w:p>
        </w:tc>
        <w:tc>
          <w:tcPr>
            <w:tcW w:w="2536"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不涉及</w:t>
            </w:r>
          </w:p>
        </w:tc>
        <w:tc>
          <w:tcPr>
            <w:tcW w:w="1139" w:type="dxa"/>
            <w:vMerge w:val="continue"/>
            <w:vAlign w:val="center"/>
          </w:tcPr>
          <w:p>
            <w:pPr>
              <w:spacing w:line="240" w:lineRule="auto"/>
              <w:ind w:firstLine="0" w:firstLineChars="0"/>
              <w:jc w:val="center"/>
              <w:rPr>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dxa"/>
            <w:gridSpan w:val="2"/>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6.1.4</w:t>
            </w:r>
          </w:p>
        </w:tc>
        <w:tc>
          <w:tcPr>
            <w:tcW w:w="4004" w:type="dxa"/>
            <w:vAlign w:val="center"/>
          </w:tcPr>
          <w:p>
            <w:pPr>
              <w:adjustRightInd w:val="0"/>
              <w:spacing w:line="240" w:lineRule="auto"/>
              <w:ind w:left="-130" w:leftChars="-50" w:right="-130" w:rightChars="-50" w:firstLine="0" w:firstLineChars="0"/>
              <w:jc w:val="center"/>
              <w:rPr>
                <w:color w:val="auto"/>
                <w:sz w:val="20"/>
                <w:szCs w:val="20"/>
                <w:highlight w:val="none"/>
              </w:rPr>
            </w:pPr>
            <w:r>
              <w:rPr>
                <w:rFonts w:hint="eastAsia"/>
                <w:color w:val="auto"/>
                <w:sz w:val="20"/>
                <w:szCs w:val="20"/>
                <w:highlight w:val="none"/>
              </w:rPr>
              <w:t>建设项目同时涉及陆生、水生生态影响时，可针对陆生生态、水生生态分别判定评价等级。</w:t>
            </w:r>
          </w:p>
        </w:tc>
        <w:tc>
          <w:tcPr>
            <w:tcW w:w="2536"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同时涉及陆生、水生生态影响，分别判定等级</w:t>
            </w:r>
          </w:p>
        </w:tc>
        <w:tc>
          <w:tcPr>
            <w:tcW w:w="1139" w:type="dxa"/>
            <w:vMerge w:val="continue"/>
            <w:vAlign w:val="center"/>
          </w:tcPr>
          <w:p>
            <w:pPr>
              <w:spacing w:line="240" w:lineRule="auto"/>
              <w:ind w:firstLine="0" w:firstLineChars="0"/>
              <w:jc w:val="center"/>
              <w:rPr>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dxa"/>
            <w:gridSpan w:val="2"/>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6.1.5</w:t>
            </w:r>
          </w:p>
        </w:tc>
        <w:tc>
          <w:tcPr>
            <w:tcW w:w="4004"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在矿山开采可能导致矿区土地利用类型明显改变，或拦河闸坝建设可能明显改变水文情势等情况下，评价等级应上调一级。</w:t>
            </w:r>
          </w:p>
        </w:tc>
        <w:tc>
          <w:tcPr>
            <w:tcW w:w="2536"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项目</w:t>
            </w:r>
            <w:r>
              <w:rPr>
                <w:rFonts w:hint="eastAsia"/>
                <w:color w:val="auto"/>
                <w:sz w:val="20"/>
                <w:szCs w:val="20"/>
                <w:highlight w:val="none"/>
                <w:lang w:eastAsia="zh-CN"/>
              </w:rPr>
              <w:t>不对渭沱枢纽主体工程进行改造，不改变水库水文调节特性，</w:t>
            </w:r>
            <w:r>
              <w:rPr>
                <w:rFonts w:hint="eastAsia"/>
                <w:color w:val="auto"/>
                <w:sz w:val="20"/>
                <w:szCs w:val="20"/>
                <w:highlight w:val="none"/>
              </w:rPr>
              <w:t>基本</w:t>
            </w:r>
            <w:r>
              <w:rPr>
                <w:rFonts w:hint="eastAsia"/>
                <w:color w:val="auto"/>
                <w:sz w:val="20"/>
                <w:szCs w:val="20"/>
                <w:highlight w:val="none"/>
                <w:lang w:eastAsia="zh-CN"/>
              </w:rPr>
              <w:t>上</w:t>
            </w:r>
            <w:r>
              <w:rPr>
                <w:rFonts w:hint="eastAsia"/>
                <w:color w:val="auto"/>
                <w:sz w:val="20"/>
                <w:szCs w:val="20"/>
                <w:highlight w:val="none"/>
              </w:rPr>
              <w:t>不改变现有的水文情势</w:t>
            </w:r>
          </w:p>
        </w:tc>
        <w:tc>
          <w:tcPr>
            <w:tcW w:w="1139" w:type="dxa"/>
            <w:vMerge w:val="continue"/>
            <w:vAlign w:val="center"/>
          </w:tcPr>
          <w:p>
            <w:pPr>
              <w:spacing w:line="240" w:lineRule="auto"/>
              <w:ind w:firstLine="0" w:firstLineChars="0"/>
              <w:jc w:val="center"/>
              <w:rPr>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dxa"/>
            <w:gridSpan w:val="2"/>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6.1.6</w:t>
            </w:r>
          </w:p>
        </w:tc>
        <w:tc>
          <w:tcPr>
            <w:tcW w:w="4004"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线性工程可分段确定评价等级。线性工程地下穿越或地表跨越生态敏感区，在生态敏感区范围内无永久、临时占地时，评价等级可下调一级。</w:t>
            </w:r>
          </w:p>
        </w:tc>
        <w:tc>
          <w:tcPr>
            <w:tcW w:w="2536" w:type="dxa"/>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项目不属于线性工程</w:t>
            </w:r>
          </w:p>
        </w:tc>
        <w:tc>
          <w:tcPr>
            <w:tcW w:w="1139" w:type="dxa"/>
            <w:vMerge w:val="continue"/>
            <w:vAlign w:val="center"/>
          </w:tcPr>
          <w:p>
            <w:pPr>
              <w:spacing w:line="240" w:lineRule="auto"/>
              <w:ind w:firstLine="0" w:firstLineChars="0"/>
              <w:jc w:val="center"/>
              <w:rPr>
                <w:color w:val="auto"/>
                <w:sz w:val="20"/>
                <w:szCs w:val="20"/>
                <w:highlight w:val="none"/>
              </w:rPr>
            </w:pPr>
          </w:p>
        </w:tc>
      </w:tr>
    </w:tbl>
    <w:p>
      <w:pPr>
        <w:snapToGrid w:val="0"/>
        <w:spacing w:line="240" w:lineRule="auto"/>
        <w:ind w:firstLine="0" w:firstLineChars="0"/>
        <w:jc w:val="center"/>
        <w:rPr>
          <w:b/>
          <w:color w:val="auto"/>
          <w:highlight w:val="none"/>
        </w:rPr>
      </w:pPr>
    </w:p>
    <w:p>
      <w:pPr>
        <w:ind w:firstLine="520"/>
        <w:rPr>
          <w:color w:val="auto"/>
          <w:highlight w:val="none"/>
        </w:rPr>
      </w:pPr>
      <w:r>
        <w:rPr>
          <w:rFonts w:hint="eastAsia"/>
          <w:color w:val="auto"/>
          <w:highlight w:val="none"/>
        </w:rPr>
        <w:t>根据上表，项目不占用国家公园、自然保护区、世界自然遗产、重要生境，但评价范围内分布有渭沱电站库区鱼类越冬场，在采取生态保护措施前可能受到施工影响，且项目占用重庆合川三江国家湿地公园、生态保护红线，同时涉及陆生、水生生态影响，故本次将项目水生生态评价等级定为一级，陆生生态评价等级定为二级。</w:t>
      </w:r>
      <w:r>
        <w:rPr>
          <w:color w:val="auto"/>
          <w:highlight w:val="none"/>
        </w:rPr>
        <w:t xml:space="preserve"> </w:t>
      </w:r>
      <w:r>
        <w:rPr>
          <w:rFonts w:hint="eastAsia"/>
          <w:color w:val="auto"/>
          <w:highlight w:val="none"/>
        </w:rPr>
        <w:t xml:space="preserve"> </w:t>
      </w:r>
    </w:p>
    <w:p>
      <w:pPr>
        <w:pStyle w:val="5"/>
        <w:adjustRightInd w:val="0"/>
        <w:snapToGrid w:val="0"/>
        <w:ind w:firstLine="522"/>
        <w:rPr>
          <w:color w:val="auto"/>
          <w:highlight w:val="none"/>
        </w:rPr>
      </w:pPr>
      <w:r>
        <w:rPr>
          <w:rFonts w:hint="eastAsia"/>
          <w:color w:val="auto"/>
          <w:highlight w:val="none"/>
        </w:rPr>
        <w:t>大气</w:t>
      </w:r>
      <w:r>
        <w:rPr>
          <w:color w:val="auto"/>
          <w:highlight w:val="none"/>
        </w:rPr>
        <w:t>环境</w:t>
      </w:r>
    </w:p>
    <w:p>
      <w:pPr>
        <w:autoSpaceDE w:val="0"/>
        <w:autoSpaceDN w:val="0"/>
        <w:adjustRightInd w:val="0"/>
        <w:snapToGrid w:val="0"/>
        <w:spacing w:line="460" w:lineRule="exact"/>
        <w:ind w:firstLine="520"/>
        <w:rPr>
          <w:color w:val="auto"/>
          <w:szCs w:val="26"/>
          <w:highlight w:val="none"/>
        </w:rPr>
      </w:pPr>
      <w:r>
        <w:rPr>
          <w:rFonts w:hint="eastAsia"/>
          <w:color w:val="auto"/>
          <w:highlight w:val="none"/>
        </w:rPr>
        <w:t>本工程主要环境空气影响发生在施工期，大气污染物主要为扬尘，来源于土方开挖和回填，其排放有无组织、间歇性面源的特点。此外，工程施工期还有施工机械、运输车辆产生的废气等；运营期船闸本身不排放任何污染物，废气主</w:t>
      </w:r>
      <w:r>
        <w:rPr>
          <w:rFonts w:hint="eastAsia"/>
          <w:color w:val="auto"/>
          <w:highlight w:val="none"/>
          <w:shd w:val="clear" w:fill="FFFFFF"/>
        </w:rPr>
        <w:t>要</w:t>
      </w:r>
      <w:r>
        <w:rPr>
          <w:rFonts w:hint="eastAsia"/>
          <w:color w:val="auto"/>
          <w:highlight w:val="none"/>
          <w:shd w:val="clear" w:fill="FFFFFF"/>
          <w:lang w:eastAsia="zh-CN"/>
        </w:rPr>
        <w:t>为</w:t>
      </w:r>
      <w:r>
        <w:rPr>
          <w:rFonts w:hint="eastAsia"/>
          <w:color w:val="auto"/>
          <w:highlight w:val="none"/>
        </w:rPr>
        <w:t>航行船舶排放的燃油废气及管理区食堂油烟，主要污染物为SO</w:t>
      </w:r>
      <w:r>
        <w:rPr>
          <w:rFonts w:hint="eastAsia"/>
          <w:color w:val="auto"/>
          <w:highlight w:val="none"/>
          <w:vertAlign w:val="subscript"/>
        </w:rPr>
        <w:t>2</w:t>
      </w:r>
      <w:r>
        <w:rPr>
          <w:rFonts w:hint="eastAsia"/>
          <w:color w:val="auto"/>
          <w:highlight w:val="none"/>
        </w:rPr>
        <w:t>、NOx等，属无组织排放且发生量很小，根据</w:t>
      </w:r>
      <w:r>
        <w:rPr>
          <w:color w:val="auto"/>
          <w:highlight w:val="none"/>
        </w:rPr>
        <w:t>《环境影响评价技术导</w:t>
      </w:r>
      <w:r>
        <w:rPr>
          <w:rFonts w:hint="eastAsia"/>
          <w:color w:val="auto"/>
          <w:highlight w:val="none"/>
        </w:rPr>
        <w:t xml:space="preserve"> </w:t>
      </w:r>
      <w:r>
        <w:rPr>
          <w:color w:val="auto"/>
          <w:highlight w:val="none"/>
        </w:rPr>
        <w:t>大气环境》（HJ2.2-2018），</w:t>
      </w:r>
      <w:r>
        <w:rPr>
          <w:rFonts w:hint="eastAsia"/>
          <w:color w:val="auto"/>
          <w:highlight w:val="none"/>
        </w:rPr>
        <w:t>本项目位于丘陵地区，</w:t>
      </w:r>
      <w:r>
        <w:rPr>
          <w:rFonts w:hint="eastAsia"/>
          <w:i/>
          <w:iCs/>
          <w:color w:val="auto"/>
          <w:highlight w:val="none"/>
        </w:rPr>
        <w:t>P</w:t>
      </w:r>
      <w:r>
        <w:rPr>
          <w:rFonts w:hint="eastAsia"/>
          <w:i/>
          <w:iCs/>
          <w:color w:val="auto"/>
          <w:highlight w:val="none"/>
          <w:vertAlign w:val="subscript"/>
        </w:rPr>
        <w:t>i</w:t>
      </w:r>
      <w:r>
        <w:rPr>
          <w:rFonts w:hint="eastAsia"/>
          <w:color w:val="auto"/>
          <w:highlight w:val="none"/>
        </w:rPr>
        <w:t>小于1%，</w:t>
      </w:r>
      <w:r>
        <w:rPr>
          <w:color w:val="auto"/>
          <w:highlight w:val="none"/>
        </w:rPr>
        <w:t>评价等级为三级</w:t>
      </w:r>
      <w:r>
        <w:rPr>
          <w:color w:val="auto"/>
          <w:szCs w:val="26"/>
          <w:highlight w:val="none"/>
        </w:rPr>
        <w:t>。</w:t>
      </w:r>
    </w:p>
    <w:p>
      <w:pPr>
        <w:pStyle w:val="5"/>
        <w:ind w:firstLine="522"/>
        <w:rPr>
          <w:color w:val="auto"/>
          <w:highlight w:val="none"/>
        </w:rPr>
      </w:pPr>
      <w:r>
        <w:rPr>
          <w:rFonts w:hint="eastAsia"/>
          <w:color w:val="auto"/>
          <w:highlight w:val="none"/>
        </w:rPr>
        <w:t>声环境</w:t>
      </w:r>
    </w:p>
    <w:p>
      <w:pPr>
        <w:autoSpaceDE w:val="0"/>
        <w:autoSpaceDN w:val="0"/>
        <w:adjustRightInd w:val="0"/>
        <w:snapToGrid w:val="0"/>
        <w:spacing w:line="460" w:lineRule="exact"/>
        <w:ind w:firstLine="520"/>
        <w:rPr>
          <w:color w:val="auto"/>
          <w:highlight w:val="none"/>
        </w:rPr>
      </w:pPr>
      <w:r>
        <w:rPr>
          <w:rFonts w:hint="eastAsia"/>
          <w:color w:val="auto"/>
          <w:highlight w:val="none"/>
        </w:rPr>
        <w:t>涪江航道为内河航道，区域主要为2类声环境功能区，仅航道两侧</w:t>
      </w:r>
      <w:r>
        <w:rPr>
          <w:rFonts w:hint="eastAsia"/>
          <w:color w:val="auto"/>
          <w:highlight w:val="none"/>
          <w:lang w:eastAsia="zh-CN"/>
        </w:rPr>
        <w:t>一定范围内</w:t>
      </w:r>
      <w:r>
        <w:rPr>
          <w:rFonts w:hint="eastAsia"/>
          <w:color w:val="auto"/>
          <w:highlight w:val="none"/>
        </w:rPr>
        <w:t>区域属4a类功能区。</w:t>
      </w:r>
      <w:r>
        <w:rPr>
          <w:rFonts w:hint="eastAsia"/>
          <w:color w:val="auto"/>
          <w:highlight w:val="none"/>
          <w:lang w:eastAsia="zh-CN"/>
        </w:rPr>
        <w:t>船闸周边</w:t>
      </w:r>
      <w:r>
        <w:rPr>
          <w:rFonts w:hint="eastAsia"/>
          <w:color w:val="auto"/>
          <w:highlight w:val="none"/>
          <w:lang w:val="en-US" w:eastAsia="zh-CN"/>
        </w:rPr>
        <w:t>200m范围内噪声声环境保护目标较少，项目运营期噪声源较少，</w:t>
      </w:r>
      <w:r>
        <w:rPr>
          <w:rFonts w:hint="eastAsia"/>
          <w:color w:val="auto"/>
          <w:highlight w:val="none"/>
        </w:rPr>
        <w:t>工程建成后，评价范围内声环境保护目标噪声级增量在5dB以内，受影响人口数量不会显著增加。根据《环境影响评价技术导则 声环境》（HJ</w:t>
      </w:r>
      <w:r>
        <w:rPr>
          <w:rFonts w:hint="eastAsia"/>
          <w:color w:val="auto"/>
          <w:highlight w:val="none"/>
          <w:lang w:val="en-US" w:eastAsia="zh-CN"/>
        </w:rPr>
        <w:t xml:space="preserve"> </w:t>
      </w:r>
      <w:r>
        <w:rPr>
          <w:rFonts w:hint="eastAsia"/>
          <w:color w:val="auto"/>
          <w:highlight w:val="none"/>
        </w:rPr>
        <w:t>2.4-</w:t>
      </w:r>
      <w:r>
        <w:rPr>
          <w:rFonts w:hint="eastAsia"/>
          <w:color w:val="auto"/>
          <w:highlight w:val="none"/>
          <w:lang w:val="en-US" w:eastAsia="zh-CN"/>
        </w:rPr>
        <w:t>2021</w:t>
      </w:r>
      <w:r>
        <w:rPr>
          <w:rFonts w:hint="eastAsia"/>
          <w:color w:val="auto"/>
          <w:highlight w:val="none"/>
        </w:rPr>
        <w:t>），评价等级为二级。</w:t>
      </w:r>
    </w:p>
    <w:p>
      <w:pPr>
        <w:pStyle w:val="5"/>
        <w:ind w:firstLine="522"/>
        <w:rPr>
          <w:color w:val="auto"/>
          <w:highlight w:val="none"/>
        </w:rPr>
      </w:pPr>
      <w:r>
        <w:rPr>
          <w:color w:val="auto"/>
          <w:highlight w:val="none"/>
        </w:rPr>
        <w:t>地下水环境</w:t>
      </w:r>
    </w:p>
    <w:p>
      <w:pPr>
        <w:autoSpaceDE w:val="0"/>
        <w:autoSpaceDN w:val="0"/>
        <w:adjustRightInd w:val="0"/>
        <w:snapToGrid w:val="0"/>
        <w:spacing w:line="460" w:lineRule="exact"/>
        <w:ind w:firstLine="520"/>
        <w:rPr>
          <w:color w:val="auto"/>
          <w:highlight w:val="none"/>
        </w:rPr>
      </w:pPr>
      <w:r>
        <w:rPr>
          <w:rFonts w:hint="eastAsia"/>
          <w:color w:val="auto"/>
          <w:highlight w:val="none"/>
        </w:rPr>
        <w:t>根据《环境影响评价技术导则地下水环境》（HJ 610-2016）中地下水环境影响评价行业分类表，本工程属于</w:t>
      </w: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34、航道工程、水运辅助工程”，为</w:t>
      </w:r>
      <w:r>
        <w:rPr>
          <w:rFonts w:hint="eastAsia"/>
          <w:color w:val="auto"/>
          <w:highlight w:val="none"/>
        </w:rPr>
        <w:t>地下水环境影响评价的Ⅳ类建设项目，无需开展地下水环境评价。</w:t>
      </w:r>
    </w:p>
    <w:p>
      <w:pPr>
        <w:pStyle w:val="5"/>
        <w:adjustRightInd w:val="0"/>
        <w:snapToGrid w:val="0"/>
        <w:ind w:firstLine="522"/>
        <w:rPr>
          <w:color w:val="auto"/>
          <w:highlight w:val="none"/>
        </w:rPr>
      </w:pPr>
      <w:r>
        <w:rPr>
          <w:color w:val="auto"/>
          <w:highlight w:val="none"/>
        </w:rPr>
        <w:t>土壤环境</w:t>
      </w:r>
    </w:p>
    <w:p>
      <w:pPr>
        <w:adjustRightInd w:val="0"/>
        <w:snapToGrid w:val="0"/>
        <w:ind w:firstLine="520"/>
        <w:rPr>
          <w:color w:val="auto"/>
          <w:szCs w:val="26"/>
          <w:highlight w:val="none"/>
        </w:rPr>
      </w:pPr>
      <w:r>
        <w:rPr>
          <w:rFonts w:hint="eastAsia"/>
          <w:color w:val="auto"/>
          <w:szCs w:val="26"/>
          <w:highlight w:val="none"/>
        </w:rPr>
        <w:t>根据《环境影响评价技术导则 土壤环境（试行）》（HJ</w:t>
      </w:r>
      <w:r>
        <w:rPr>
          <w:rFonts w:hint="eastAsia"/>
          <w:color w:val="auto"/>
          <w:szCs w:val="26"/>
          <w:highlight w:val="none"/>
          <w:lang w:val="en-US" w:eastAsia="zh-CN"/>
        </w:rPr>
        <w:t xml:space="preserve"> </w:t>
      </w:r>
      <w:r>
        <w:rPr>
          <w:rFonts w:hint="eastAsia"/>
          <w:color w:val="auto"/>
          <w:szCs w:val="26"/>
          <w:highlight w:val="none"/>
        </w:rPr>
        <w:t>964-2018），工程属于交通运输仓储邮政业中其他类型，为Ⅳ类项目，无需开展土壤环境评价。</w:t>
      </w:r>
    </w:p>
    <w:p>
      <w:pPr>
        <w:pStyle w:val="5"/>
        <w:ind w:firstLine="522"/>
        <w:rPr>
          <w:color w:val="auto"/>
          <w:highlight w:val="none"/>
        </w:rPr>
      </w:pPr>
      <w:r>
        <w:rPr>
          <w:color w:val="auto"/>
          <w:highlight w:val="none"/>
        </w:rPr>
        <w:t>环境风险</w:t>
      </w:r>
    </w:p>
    <w:p>
      <w:pPr>
        <w:adjustRightInd w:val="0"/>
        <w:snapToGrid w:val="0"/>
        <w:ind w:firstLine="520"/>
        <w:rPr>
          <w:color w:val="auto"/>
          <w:szCs w:val="26"/>
          <w:highlight w:val="none"/>
        </w:rPr>
      </w:pPr>
      <w:r>
        <w:rPr>
          <w:rFonts w:hint="eastAsia"/>
          <w:color w:val="auto"/>
          <w:szCs w:val="26"/>
          <w:highlight w:val="none"/>
        </w:rPr>
        <w:t>本项目建成后本身不存在物质危险性和功能性危险源，环境风险事故的发生由间接行为导致，主要环境风险为施工船舶柴油泄漏和运营期</w:t>
      </w:r>
      <w:r>
        <w:rPr>
          <w:rFonts w:hint="eastAsia"/>
          <w:color w:val="auto"/>
          <w:szCs w:val="26"/>
          <w:highlight w:val="none"/>
          <w:lang w:eastAsia="zh-CN"/>
        </w:rPr>
        <w:t>过闸</w:t>
      </w:r>
      <w:r>
        <w:rPr>
          <w:rFonts w:hint="eastAsia"/>
          <w:color w:val="auto"/>
          <w:szCs w:val="26"/>
          <w:highlight w:val="none"/>
        </w:rPr>
        <w:t>船舶柴油泄漏。本工程施工期不设置炸药库、油库和加油站，施工船舶燃油舱柴油量（4方挖泥船最大燃油单舱实载容量为15t）小于临界量（2500t），</w:t>
      </w:r>
      <w:r>
        <w:rPr>
          <w:rFonts w:hint="eastAsia"/>
          <w:color w:val="auto"/>
          <w:szCs w:val="26"/>
          <w:highlight w:val="none"/>
          <w:lang w:eastAsia="zh-CN"/>
        </w:rPr>
        <w:t>锚地停靠待闸</w:t>
      </w:r>
      <w:r>
        <w:rPr>
          <w:rFonts w:hint="eastAsia"/>
          <w:color w:val="auto"/>
          <w:szCs w:val="26"/>
          <w:highlight w:val="none"/>
        </w:rPr>
        <w:t>船舶柴油量（最大不超过</w:t>
      </w:r>
      <w:r>
        <w:rPr>
          <w:rFonts w:hint="eastAsia"/>
          <w:color w:val="auto"/>
          <w:szCs w:val="26"/>
          <w:highlight w:val="none"/>
          <w:lang w:val="en-US" w:eastAsia="zh-CN"/>
        </w:rPr>
        <w:t>240</w:t>
      </w:r>
      <w:r>
        <w:rPr>
          <w:rFonts w:hint="eastAsia"/>
          <w:color w:val="auto"/>
          <w:szCs w:val="26"/>
          <w:highlight w:val="none"/>
        </w:rPr>
        <w:t>t）也小于临界量（2500t），危险</w:t>
      </w:r>
      <w:r>
        <w:rPr>
          <w:rFonts w:hint="eastAsia"/>
          <w:color w:val="auto"/>
          <w:szCs w:val="26"/>
          <w:highlight w:val="none"/>
          <w:shd w:val="clear" w:fill="FFFFFF"/>
        </w:rPr>
        <w:t>物质数量</w:t>
      </w:r>
      <w:r>
        <w:rPr>
          <w:rFonts w:hint="eastAsia"/>
          <w:color w:val="auto"/>
          <w:szCs w:val="26"/>
          <w:highlight w:val="none"/>
        </w:rPr>
        <w:t>与临界量比值</w:t>
      </w:r>
      <w:r>
        <w:rPr>
          <w:rFonts w:hint="eastAsia"/>
          <w:i/>
          <w:iCs/>
          <w:color w:val="auto"/>
          <w:szCs w:val="26"/>
          <w:highlight w:val="none"/>
        </w:rPr>
        <w:t>Q</w:t>
      </w:r>
      <w:r>
        <w:rPr>
          <w:rFonts w:hint="eastAsia"/>
          <w:color w:val="auto"/>
          <w:szCs w:val="26"/>
          <w:highlight w:val="none"/>
        </w:rPr>
        <w:t>＜1。根据《建设项目环境风险评价技术导则》（HJ/T169-2018），当</w:t>
      </w:r>
      <w:r>
        <w:rPr>
          <w:rFonts w:hint="eastAsia"/>
          <w:i/>
          <w:iCs/>
          <w:color w:val="auto"/>
          <w:szCs w:val="26"/>
          <w:highlight w:val="none"/>
        </w:rPr>
        <w:t>Q</w:t>
      </w:r>
      <w:r>
        <w:rPr>
          <w:rFonts w:hint="eastAsia"/>
          <w:color w:val="auto"/>
          <w:szCs w:val="26"/>
          <w:highlight w:val="none"/>
        </w:rPr>
        <w:t>＜1 时环境风险潜势划分为Ⅰ级，评价工作等级为简单分析。</w:t>
      </w:r>
    </w:p>
    <w:p>
      <w:pPr>
        <w:pStyle w:val="4"/>
        <w:rPr>
          <w:color w:val="auto"/>
          <w:highlight w:val="none"/>
        </w:rPr>
      </w:pPr>
      <w:bookmarkStart w:id="59" w:name="_Toc18868"/>
      <w:bookmarkStart w:id="60" w:name="_Toc20380868"/>
      <w:r>
        <w:rPr>
          <w:rFonts w:hint="eastAsia"/>
          <w:color w:val="auto"/>
          <w:highlight w:val="none"/>
        </w:rPr>
        <w:t>评价范围</w:t>
      </w:r>
      <w:bookmarkEnd w:id="59"/>
    </w:p>
    <w:p>
      <w:pPr>
        <w:ind w:firstLine="520"/>
        <w:rPr>
          <w:color w:val="auto"/>
          <w:highlight w:val="none"/>
        </w:rPr>
      </w:pPr>
      <w:r>
        <w:rPr>
          <w:rFonts w:hint="eastAsia"/>
          <w:color w:val="auto"/>
          <w:highlight w:val="none"/>
        </w:rPr>
        <w:t>根据项目评价等级判定结果，结合各环境要素的相关导则中评价范围的要求及项目生态环境影响特点，本工程</w:t>
      </w:r>
      <w:r>
        <w:rPr>
          <w:rFonts w:hint="eastAsia"/>
          <w:color w:val="auto"/>
          <w:highlight w:val="none"/>
          <w:shd w:val="clear" w:fill="FFFFFF"/>
        </w:rPr>
        <w:t>的环境影响评价</w:t>
      </w:r>
      <w:r>
        <w:rPr>
          <w:rFonts w:hint="eastAsia"/>
          <w:color w:val="auto"/>
          <w:highlight w:val="none"/>
        </w:rPr>
        <w:t>范围确定详见下表：</w:t>
      </w:r>
    </w:p>
    <w:p>
      <w:pPr>
        <w:spacing w:line="240" w:lineRule="auto"/>
        <w:ind w:firstLine="0" w:firstLineChars="0"/>
        <w:jc w:val="center"/>
        <w:rPr>
          <w:rFonts w:hint="eastAsia"/>
          <w:color w:val="auto"/>
          <w:highlight w:val="none"/>
        </w:rPr>
      </w:pPr>
    </w:p>
    <w:p>
      <w:pPr>
        <w:spacing w:line="240" w:lineRule="auto"/>
        <w:ind w:firstLine="0" w:firstLineChars="0"/>
        <w:jc w:val="center"/>
        <w:rPr>
          <w:color w:val="auto"/>
          <w:highlight w:val="none"/>
        </w:rPr>
      </w:pPr>
      <w:r>
        <w:rPr>
          <w:rFonts w:hint="eastAsia"/>
          <w:color w:val="auto"/>
          <w:highlight w:val="none"/>
        </w:rPr>
        <w:t>表1.6-1  项目评价范围划分表</w:t>
      </w:r>
    </w:p>
    <w:tbl>
      <w:tblPr>
        <w:tblStyle w:val="28"/>
        <w:tblW w:w="485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678"/>
        <w:gridCol w:w="1362"/>
        <w:gridCol w:w="1150"/>
        <w:gridCol w:w="1100"/>
        <w:gridCol w:w="4388"/>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78"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序号</w:t>
            </w:r>
          </w:p>
        </w:tc>
        <w:tc>
          <w:tcPr>
            <w:tcW w:w="1362"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评价要素</w:t>
            </w:r>
          </w:p>
        </w:tc>
        <w:tc>
          <w:tcPr>
            <w:tcW w:w="2250" w:type="dxa"/>
            <w:gridSpan w:val="2"/>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评价工作等级</w:t>
            </w:r>
          </w:p>
        </w:tc>
        <w:tc>
          <w:tcPr>
            <w:tcW w:w="4389"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评价范围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78" w:type="dxa"/>
            <w:vMerge w:val="restart"/>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1</w:t>
            </w:r>
          </w:p>
        </w:tc>
        <w:tc>
          <w:tcPr>
            <w:tcW w:w="1362" w:type="dxa"/>
            <w:vMerge w:val="restart"/>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地表水环境</w:t>
            </w:r>
          </w:p>
        </w:tc>
        <w:tc>
          <w:tcPr>
            <w:tcW w:w="1150"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水污染</w:t>
            </w:r>
          </w:p>
        </w:tc>
        <w:tc>
          <w:tcPr>
            <w:tcW w:w="1100"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三级B</w:t>
            </w:r>
          </w:p>
        </w:tc>
        <w:tc>
          <w:tcPr>
            <w:tcW w:w="4389"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重点分析项目废水处置不外排的可行性。</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78" w:type="dxa"/>
            <w:vMerge w:val="continue"/>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p>
        </w:tc>
        <w:tc>
          <w:tcPr>
            <w:tcW w:w="1362" w:type="dxa"/>
            <w:vMerge w:val="continue"/>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p>
        </w:tc>
        <w:tc>
          <w:tcPr>
            <w:tcW w:w="1150"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水文要素</w:t>
            </w:r>
          </w:p>
        </w:tc>
        <w:tc>
          <w:tcPr>
            <w:tcW w:w="1100"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三级</w:t>
            </w:r>
          </w:p>
        </w:tc>
        <w:tc>
          <w:tcPr>
            <w:tcW w:w="4389"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lang w:eastAsia="zh-CN"/>
              </w:rPr>
              <w:t>上游锚地</w:t>
            </w:r>
            <w:r>
              <w:rPr>
                <w:rFonts w:hint="eastAsia"/>
                <w:snapToGrid w:val="0"/>
                <w:color w:val="auto"/>
                <w:kern w:val="0"/>
                <w:sz w:val="22"/>
                <w:highlight w:val="none"/>
              </w:rPr>
              <w:t>以上1000m 至下游</w:t>
            </w:r>
            <w:r>
              <w:rPr>
                <w:rFonts w:hint="eastAsia"/>
                <w:snapToGrid w:val="0"/>
                <w:color w:val="auto"/>
                <w:kern w:val="0"/>
                <w:sz w:val="22"/>
                <w:highlight w:val="none"/>
                <w:lang w:eastAsia="zh-CN"/>
              </w:rPr>
              <w:t>锚地</w:t>
            </w:r>
            <w:r>
              <w:rPr>
                <w:rFonts w:hint="eastAsia"/>
                <w:snapToGrid w:val="0"/>
                <w:color w:val="auto"/>
                <w:kern w:val="0"/>
                <w:sz w:val="22"/>
                <w:highlight w:val="none"/>
              </w:rPr>
              <w:t>以下1000m水域范围。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78" w:type="dxa"/>
            <w:vMerge w:val="restart"/>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2</w:t>
            </w:r>
          </w:p>
        </w:tc>
        <w:tc>
          <w:tcPr>
            <w:tcW w:w="1362" w:type="dxa"/>
            <w:vMerge w:val="restart"/>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生态环境</w:t>
            </w:r>
          </w:p>
        </w:tc>
        <w:tc>
          <w:tcPr>
            <w:tcW w:w="1150"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陆生生态</w:t>
            </w:r>
          </w:p>
        </w:tc>
        <w:tc>
          <w:tcPr>
            <w:tcW w:w="1100"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二级</w:t>
            </w:r>
          </w:p>
        </w:tc>
        <w:tc>
          <w:tcPr>
            <w:tcW w:w="4389" w:type="dxa"/>
            <w:shd w:val="clear" w:color="auto" w:fill="auto"/>
            <w:vAlign w:val="center"/>
          </w:tcPr>
          <w:p>
            <w:pPr>
              <w:adjustRightInd w:val="0"/>
              <w:snapToGrid w:val="0"/>
              <w:spacing w:line="240" w:lineRule="auto"/>
              <w:ind w:firstLine="0" w:firstLineChars="0"/>
              <w:jc w:val="both"/>
              <w:rPr>
                <w:snapToGrid w:val="0"/>
                <w:color w:val="auto"/>
                <w:kern w:val="0"/>
                <w:sz w:val="22"/>
                <w:highlight w:val="none"/>
              </w:rPr>
            </w:pPr>
            <w:r>
              <w:rPr>
                <w:rFonts w:hint="eastAsia"/>
                <w:snapToGrid w:val="0"/>
                <w:color w:val="auto"/>
                <w:kern w:val="0"/>
                <w:sz w:val="22"/>
                <w:highlight w:val="none"/>
                <w:lang w:eastAsia="zh-CN"/>
              </w:rPr>
              <w:t>船闸主体工程、下游清礁区、下游锚地等涉及三江国家湿地公园的工程评价范围为占地外扩</w:t>
            </w:r>
            <w:r>
              <w:rPr>
                <w:rFonts w:hint="eastAsia"/>
                <w:snapToGrid w:val="0"/>
                <w:color w:val="auto"/>
                <w:kern w:val="0"/>
                <w:sz w:val="22"/>
                <w:highlight w:val="none"/>
                <w:lang w:val="en-US" w:eastAsia="zh-CN"/>
              </w:rPr>
              <w:t>1000m；弃渣场、上游清礁区、上游锚地等不涉及湿地公园的工程评价范围为占地</w:t>
            </w:r>
            <w:r>
              <w:rPr>
                <w:rFonts w:hint="eastAsia"/>
                <w:snapToGrid w:val="0"/>
                <w:color w:val="auto"/>
                <w:kern w:val="0"/>
                <w:sz w:val="22"/>
                <w:highlight w:val="none"/>
              </w:rPr>
              <w:t>外扩300m。</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78" w:type="dxa"/>
            <w:vMerge w:val="continue"/>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p>
        </w:tc>
        <w:tc>
          <w:tcPr>
            <w:tcW w:w="1362" w:type="dxa"/>
            <w:vMerge w:val="continue"/>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p>
        </w:tc>
        <w:tc>
          <w:tcPr>
            <w:tcW w:w="1150"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水生生态</w:t>
            </w:r>
          </w:p>
        </w:tc>
        <w:tc>
          <w:tcPr>
            <w:tcW w:w="1100"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一级</w:t>
            </w:r>
          </w:p>
        </w:tc>
        <w:tc>
          <w:tcPr>
            <w:tcW w:w="4389"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lang w:val="en-US" w:eastAsia="zh-CN"/>
              </w:rPr>
              <w:t>渭沱库区至渭沱坝下6km</w:t>
            </w:r>
            <w:r>
              <w:rPr>
                <w:rFonts w:hint="eastAsia"/>
                <w:snapToGrid w:val="0"/>
                <w:color w:val="auto"/>
                <w:kern w:val="0"/>
                <w:sz w:val="22"/>
                <w:highlight w:val="none"/>
              </w:rPr>
              <w:t>水域范围。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78"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3</w:t>
            </w:r>
          </w:p>
        </w:tc>
        <w:tc>
          <w:tcPr>
            <w:tcW w:w="1362"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大气环境</w:t>
            </w:r>
          </w:p>
        </w:tc>
        <w:tc>
          <w:tcPr>
            <w:tcW w:w="2250" w:type="dxa"/>
            <w:gridSpan w:val="2"/>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三级</w:t>
            </w:r>
          </w:p>
        </w:tc>
        <w:tc>
          <w:tcPr>
            <w:tcW w:w="4389"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不需设置大气环境影响评价范围，重点评价</w:t>
            </w:r>
            <w:r>
              <w:rPr>
                <w:rFonts w:hint="eastAsia"/>
                <w:snapToGrid w:val="0"/>
                <w:color w:val="auto"/>
                <w:kern w:val="0"/>
                <w:sz w:val="22"/>
                <w:highlight w:val="none"/>
                <w:lang w:eastAsia="zh-CN"/>
              </w:rPr>
              <w:t>船闸</w:t>
            </w:r>
            <w:r>
              <w:rPr>
                <w:rFonts w:hint="eastAsia"/>
                <w:snapToGrid w:val="0"/>
                <w:color w:val="auto"/>
                <w:kern w:val="0"/>
                <w:sz w:val="22"/>
                <w:highlight w:val="none"/>
              </w:rPr>
              <w:t>施工场地</w:t>
            </w:r>
            <w:r>
              <w:rPr>
                <w:rFonts w:hint="eastAsia"/>
                <w:snapToGrid w:val="0"/>
                <w:color w:val="auto"/>
                <w:kern w:val="0"/>
                <w:sz w:val="22"/>
                <w:highlight w:val="none"/>
                <w:lang w:eastAsia="zh-CN"/>
              </w:rPr>
              <w:t>、弃渣场</w:t>
            </w:r>
            <w:r>
              <w:rPr>
                <w:rFonts w:hint="eastAsia"/>
                <w:snapToGrid w:val="0"/>
                <w:color w:val="auto"/>
                <w:kern w:val="0"/>
                <w:sz w:val="22"/>
                <w:highlight w:val="none"/>
              </w:rPr>
              <w:t>周边500m范围。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78"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4</w:t>
            </w:r>
          </w:p>
        </w:tc>
        <w:tc>
          <w:tcPr>
            <w:tcW w:w="1362"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声环境</w:t>
            </w:r>
          </w:p>
        </w:tc>
        <w:tc>
          <w:tcPr>
            <w:tcW w:w="2250" w:type="dxa"/>
            <w:gridSpan w:val="2"/>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二级</w:t>
            </w:r>
          </w:p>
        </w:tc>
        <w:tc>
          <w:tcPr>
            <w:tcW w:w="4389"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工程各施工区</w:t>
            </w:r>
            <w:r>
              <w:rPr>
                <w:rFonts w:hint="eastAsia"/>
                <w:snapToGrid w:val="0"/>
                <w:color w:val="auto"/>
                <w:kern w:val="0"/>
                <w:sz w:val="22"/>
                <w:highlight w:val="none"/>
                <w:lang w:eastAsia="zh-CN"/>
              </w:rPr>
              <w:t>（包括船闸区、疏浚区、锚地、弃渣场等）</w:t>
            </w:r>
            <w:r>
              <w:rPr>
                <w:rFonts w:hint="eastAsia"/>
                <w:snapToGrid w:val="0"/>
                <w:color w:val="auto"/>
                <w:kern w:val="0"/>
                <w:sz w:val="22"/>
                <w:highlight w:val="none"/>
              </w:rPr>
              <w:t>边界以外200m 范围。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78"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5</w:t>
            </w:r>
          </w:p>
        </w:tc>
        <w:tc>
          <w:tcPr>
            <w:tcW w:w="1362"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土壤环境</w:t>
            </w:r>
          </w:p>
        </w:tc>
        <w:tc>
          <w:tcPr>
            <w:tcW w:w="2250" w:type="dxa"/>
            <w:gridSpan w:val="2"/>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不评价</w:t>
            </w:r>
          </w:p>
        </w:tc>
        <w:tc>
          <w:tcPr>
            <w:tcW w:w="4389"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78"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6</w:t>
            </w:r>
          </w:p>
        </w:tc>
        <w:tc>
          <w:tcPr>
            <w:tcW w:w="1362"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地下水环境</w:t>
            </w:r>
          </w:p>
        </w:tc>
        <w:tc>
          <w:tcPr>
            <w:tcW w:w="2250" w:type="dxa"/>
            <w:gridSpan w:val="2"/>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不评价</w:t>
            </w:r>
          </w:p>
        </w:tc>
        <w:tc>
          <w:tcPr>
            <w:tcW w:w="4389"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78"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7</w:t>
            </w:r>
          </w:p>
        </w:tc>
        <w:tc>
          <w:tcPr>
            <w:tcW w:w="1362"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环境风险</w:t>
            </w:r>
          </w:p>
        </w:tc>
        <w:tc>
          <w:tcPr>
            <w:tcW w:w="2250" w:type="dxa"/>
            <w:gridSpan w:val="2"/>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简单分析</w:t>
            </w:r>
          </w:p>
        </w:tc>
        <w:tc>
          <w:tcPr>
            <w:tcW w:w="4389" w:type="dxa"/>
            <w:shd w:val="clear" w:color="auto" w:fill="auto"/>
            <w:vAlign w:val="center"/>
          </w:tcPr>
          <w:p>
            <w:pPr>
              <w:adjustRightInd w:val="0"/>
              <w:snapToGrid w:val="0"/>
              <w:spacing w:line="240" w:lineRule="auto"/>
              <w:ind w:firstLine="0" w:firstLineChars="0"/>
              <w:jc w:val="center"/>
              <w:rPr>
                <w:snapToGrid w:val="0"/>
                <w:color w:val="auto"/>
                <w:kern w:val="0"/>
                <w:sz w:val="22"/>
                <w:highlight w:val="none"/>
              </w:rPr>
            </w:pPr>
            <w:r>
              <w:rPr>
                <w:rFonts w:hint="eastAsia"/>
                <w:snapToGrid w:val="0"/>
                <w:color w:val="auto"/>
                <w:kern w:val="0"/>
                <w:sz w:val="22"/>
                <w:highlight w:val="none"/>
              </w:rPr>
              <w:t>/</w:t>
            </w:r>
          </w:p>
        </w:tc>
      </w:tr>
    </w:tbl>
    <w:p>
      <w:pPr>
        <w:pStyle w:val="2"/>
        <w:rPr>
          <w:color w:val="auto"/>
          <w:highlight w:val="none"/>
        </w:rPr>
      </w:pPr>
    </w:p>
    <w:p>
      <w:pPr>
        <w:pStyle w:val="4"/>
        <w:rPr>
          <w:color w:val="auto"/>
          <w:highlight w:val="none"/>
        </w:rPr>
      </w:pPr>
      <w:bookmarkStart w:id="61" w:name="_Toc26655"/>
      <w:r>
        <w:rPr>
          <w:color w:val="auto"/>
          <w:highlight w:val="none"/>
        </w:rPr>
        <w:t>环境功能区划与评价标准</w:t>
      </w:r>
      <w:bookmarkEnd w:id="60"/>
      <w:bookmarkEnd w:id="61"/>
    </w:p>
    <w:p>
      <w:pPr>
        <w:pStyle w:val="5"/>
        <w:ind w:firstLine="522"/>
        <w:rPr>
          <w:rFonts w:eastAsiaTheme="minorEastAsia"/>
          <w:color w:val="auto"/>
          <w:highlight w:val="none"/>
        </w:rPr>
      </w:pPr>
      <w:r>
        <w:rPr>
          <w:rFonts w:eastAsiaTheme="minorEastAsia"/>
          <w:color w:val="auto"/>
          <w:highlight w:val="none"/>
        </w:rPr>
        <w:t>环境功能区划</w:t>
      </w:r>
    </w:p>
    <w:p>
      <w:pPr>
        <w:snapToGrid w:val="0"/>
        <w:ind w:firstLine="520"/>
        <w:rPr>
          <w:rFonts w:eastAsiaTheme="minorEastAsia"/>
          <w:color w:val="auto"/>
          <w:highlight w:val="none"/>
        </w:rPr>
      </w:pPr>
      <w:r>
        <w:rPr>
          <w:rFonts w:hint="eastAsia" w:eastAsiaTheme="minorEastAsia"/>
          <w:color w:val="auto"/>
          <w:highlight w:val="none"/>
        </w:rPr>
        <w:t>（1）生态功能区划</w:t>
      </w:r>
    </w:p>
    <w:p>
      <w:pPr>
        <w:adjustRightInd w:val="0"/>
        <w:snapToGrid w:val="0"/>
        <w:ind w:firstLine="528"/>
        <w:rPr>
          <w:color w:val="auto"/>
          <w:spacing w:val="2"/>
          <w:szCs w:val="26"/>
          <w:highlight w:val="none"/>
        </w:rPr>
      </w:pPr>
      <w:r>
        <w:rPr>
          <w:rFonts w:hint="eastAsia"/>
          <w:color w:val="auto"/>
          <w:spacing w:val="2"/>
          <w:szCs w:val="26"/>
          <w:highlight w:val="none"/>
        </w:rPr>
        <w:t>根据</w:t>
      </w:r>
      <w:r>
        <w:rPr>
          <w:color w:val="auto"/>
          <w:spacing w:val="2"/>
          <w:szCs w:val="26"/>
          <w:highlight w:val="none"/>
        </w:rPr>
        <w:t>《重庆市生态功能区划修编（2008）》</w:t>
      </w:r>
      <w:r>
        <w:rPr>
          <w:rFonts w:hint="eastAsia"/>
          <w:color w:val="auto"/>
          <w:spacing w:val="2"/>
          <w:szCs w:val="26"/>
          <w:highlight w:val="none"/>
        </w:rPr>
        <w:t>，项目所在</w:t>
      </w:r>
      <w:r>
        <w:rPr>
          <w:color w:val="auto"/>
          <w:spacing w:val="2"/>
          <w:szCs w:val="26"/>
          <w:highlight w:val="none"/>
        </w:rPr>
        <w:t>区域</w:t>
      </w:r>
      <w:r>
        <w:rPr>
          <w:rFonts w:hint="eastAsia"/>
          <w:color w:val="auto"/>
          <w:spacing w:val="2"/>
          <w:szCs w:val="26"/>
          <w:highlight w:val="none"/>
          <w:shd w:val="clear" w:fill="FFFFFF"/>
          <w:lang w:eastAsia="zh-CN"/>
        </w:rPr>
        <w:t>属于</w:t>
      </w:r>
      <w:r>
        <w:rPr>
          <w:rFonts w:hint="eastAsia"/>
          <w:color w:val="auto"/>
          <w:spacing w:val="2"/>
          <w:szCs w:val="26"/>
          <w:highlight w:val="none"/>
        </w:rPr>
        <w:t>“</w:t>
      </w:r>
      <w:r>
        <w:rPr>
          <w:color w:val="auto"/>
          <w:spacing w:val="2"/>
          <w:szCs w:val="26"/>
          <w:highlight w:val="none"/>
          <w:shd w:val="clear" w:fill="FFFFFF"/>
        </w:rPr>
        <w:t>IV</w:t>
      </w:r>
      <w:r>
        <w:rPr>
          <w:color w:val="auto"/>
          <w:spacing w:val="2"/>
          <w:szCs w:val="26"/>
          <w:highlight w:val="none"/>
        </w:rPr>
        <w:t xml:space="preserve"> 渝中-西丘陵-低山生态区</w:t>
      </w:r>
      <w:r>
        <w:rPr>
          <w:rFonts w:hint="eastAsia"/>
          <w:color w:val="auto"/>
          <w:spacing w:val="2"/>
          <w:szCs w:val="26"/>
          <w:highlight w:val="none"/>
        </w:rPr>
        <w:t>”中的“</w:t>
      </w:r>
      <w:r>
        <w:rPr>
          <w:color w:val="auto"/>
          <w:spacing w:val="2"/>
          <w:szCs w:val="26"/>
          <w:highlight w:val="none"/>
        </w:rPr>
        <w:t>IV</w:t>
      </w:r>
      <w:r>
        <w:rPr>
          <w:color w:val="auto"/>
          <w:spacing w:val="2"/>
          <w:szCs w:val="26"/>
          <w:highlight w:val="none"/>
          <w:vertAlign w:val="subscript"/>
        </w:rPr>
        <w:t>3</w:t>
      </w:r>
      <w:r>
        <w:rPr>
          <w:color w:val="auto"/>
          <w:spacing w:val="2"/>
          <w:szCs w:val="26"/>
          <w:highlight w:val="none"/>
        </w:rPr>
        <w:t>渝西丘陵农业生态亚区，IV</w:t>
      </w:r>
      <w:r>
        <w:rPr>
          <w:color w:val="auto"/>
          <w:spacing w:val="2"/>
          <w:szCs w:val="26"/>
          <w:highlight w:val="none"/>
          <w:vertAlign w:val="subscript"/>
        </w:rPr>
        <w:t>3-2</w:t>
      </w:r>
      <w:r>
        <w:rPr>
          <w:color w:val="auto"/>
          <w:spacing w:val="2"/>
          <w:szCs w:val="26"/>
          <w:highlight w:val="none"/>
        </w:rPr>
        <w:t>渝西方山丘陵营养物质保持－水体保护生态功能区</w:t>
      </w:r>
      <w:r>
        <w:rPr>
          <w:rFonts w:hint="eastAsia"/>
          <w:color w:val="auto"/>
          <w:spacing w:val="2"/>
          <w:szCs w:val="26"/>
          <w:highlight w:val="none"/>
        </w:rPr>
        <w:t>”</w:t>
      </w:r>
      <w:r>
        <w:rPr>
          <w:color w:val="auto"/>
          <w:spacing w:val="2"/>
          <w:szCs w:val="26"/>
          <w:highlight w:val="none"/>
        </w:rPr>
        <w:t>。</w:t>
      </w:r>
    </w:p>
    <w:p>
      <w:pPr>
        <w:spacing w:line="240" w:lineRule="auto"/>
        <w:ind w:firstLine="520"/>
        <w:rPr>
          <w:color w:val="auto"/>
          <w:highlight w:val="none"/>
        </w:rPr>
      </w:pPr>
    </w:p>
    <w:p>
      <w:pPr>
        <w:spacing w:line="240" w:lineRule="auto"/>
        <w:ind w:firstLine="0" w:firstLineChars="0"/>
        <w:jc w:val="center"/>
        <w:rPr>
          <w:color w:val="auto"/>
          <w:highlight w:val="none"/>
        </w:rPr>
      </w:pPr>
      <w:r>
        <w:rPr>
          <w:color w:val="auto"/>
          <w:highlight w:val="none"/>
        </w:rPr>
        <w:t>表1.7</w:t>
      </w:r>
      <w:r>
        <w:rPr>
          <w:rFonts w:hint="eastAsia"/>
          <w:color w:val="auto"/>
          <w:highlight w:val="none"/>
        </w:rPr>
        <w:t>.1</w:t>
      </w:r>
      <w:r>
        <w:rPr>
          <w:color w:val="auto"/>
          <w:highlight w:val="none"/>
        </w:rPr>
        <w:t>-1</w:t>
      </w:r>
      <w:r>
        <w:rPr>
          <w:rFonts w:hint="eastAsia"/>
          <w:color w:val="auto"/>
          <w:highlight w:val="none"/>
        </w:rPr>
        <w:t xml:space="preserve">  项目</w:t>
      </w:r>
      <w:r>
        <w:rPr>
          <w:color w:val="auto"/>
          <w:highlight w:val="none"/>
        </w:rPr>
        <w:t>所在区域生态功能区划</w:t>
      </w:r>
      <w:r>
        <w:rPr>
          <w:rFonts w:hint="eastAsia"/>
          <w:color w:val="auto"/>
          <w:highlight w:val="none"/>
        </w:rPr>
        <w:t>表</w:t>
      </w:r>
    </w:p>
    <w:tbl>
      <w:tblPr>
        <w:tblStyle w:val="28"/>
        <w:tblW w:w="485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53"/>
        <w:gridCol w:w="829"/>
        <w:gridCol w:w="888"/>
        <w:gridCol w:w="710"/>
        <w:gridCol w:w="3398"/>
        <w:gridCol w:w="2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26" w:type="pct"/>
            <w:vAlign w:val="center"/>
          </w:tcPr>
          <w:p>
            <w:pPr>
              <w:spacing w:line="240" w:lineRule="auto"/>
              <w:ind w:firstLine="0" w:firstLineChars="0"/>
              <w:jc w:val="center"/>
              <w:rPr>
                <w:color w:val="auto"/>
                <w:sz w:val="22"/>
                <w:highlight w:val="none"/>
              </w:rPr>
            </w:pPr>
            <w:r>
              <w:rPr>
                <w:color w:val="auto"/>
                <w:sz w:val="22"/>
                <w:highlight w:val="none"/>
              </w:rPr>
              <w:t>生态区</w:t>
            </w:r>
          </w:p>
        </w:tc>
        <w:tc>
          <w:tcPr>
            <w:tcW w:w="488" w:type="pct"/>
            <w:vAlign w:val="center"/>
          </w:tcPr>
          <w:p>
            <w:pPr>
              <w:spacing w:line="240" w:lineRule="auto"/>
              <w:ind w:firstLine="0" w:firstLineChars="0"/>
              <w:jc w:val="center"/>
              <w:rPr>
                <w:color w:val="auto"/>
                <w:sz w:val="22"/>
                <w:highlight w:val="none"/>
              </w:rPr>
            </w:pPr>
            <w:r>
              <w:rPr>
                <w:color w:val="auto"/>
                <w:sz w:val="22"/>
                <w:highlight w:val="none"/>
              </w:rPr>
              <w:t>生态功能亚区</w:t>
            </w:r>
          </w:p>
        </w:tc>
        <w:tc>
          <w:tcPr>
            <w:tcW w:w="523" w:type="pct"/>
            <w:vAlign w:val="center"/>
          </w:tcPr>
          <w:p>
            <w:pPr>
              <w:spacing w:line="240" w:lineRule="auto"/>
              <w:ind w:firstLine="0" w:firstLineChars="0"/>
              <w:jc w:val="center"/>
              <w:rPr>
                <w:color w:val="auto"/>
                <w:sz w:val="22"/>
                <w:highlight w:val="none"/>
              </w:rPr>
            </w:pPr>
            <w:r>
              <w:rPr>
                <w:color w:val="auto"/>
                <w:sz w:val="22"/>
                <w:highlight w:val="none"/>
              </w:rPr>
              <w:t>生态功能区</w:t>
            </w:r>
          </w:p>
        </w:tc>
        <w:tc>
          <w:tcPr>
            <w:tcW w:w="418" w:type="pct"/>
            <w:vAlign w:val="center"/>
          </w:tcPr>
          <w:p>
            <w:pPr>
              <w:spacing w:line="240" w:lineRule="auto"/>
              <w:ind w:firstLine="0" w:firstLineChars="0"/>
              <w:jc w:val="center"/>
              <w:rPr>
                <w:color w:val="auto"/>
                <w:sz w:val="22"/>
                <w:highlight w:val="none"/>
              </w:rPr>
            </w:pPr>
            <w:r>
              <w:rPr>
                <w:color w:val="auto"/>
                <w:sz w:val="22"/>
                <w:highlight w:val="none"/>
              </w:rPr>
              <w:t>涉及</w:t>
            </w:r>
          </w:p>
          <w:p>
            <w:pPr>
              <w:spacing w:line="240" w:lineRule="auto"/>
              <w:ind w:firstLine="0" w:firstLineChars="0"/>
              <w:jc w:val="center"/>
              <w:rPr>
                <w:color w:val="auto"/>
                <w:sz w:val="22"/>
                <w:highlight w:val="none"/>
              </w:rPr>
            </w:pPr>
            <w:r>
              <w:rPr>
                <w:color w:val="auto"/>
                <w:sz w:val="22"/>
                <w:highlight w:val="none"/>
              </w:rPr>
              <w:t>区域</w:t>
            </w:r>
          </w:p>
        </w:tc>
        <w:tc>
          <w:tcPr>
            <w:tcW w:w="2001" w:type="pct"/>
            <w:vAlign w:val="center"/>
          </w:tcPr>
          <w:p>
            <w:pPr>
              <w:spacing w:line="240" w:lineRule="auto"/>
              <w:ind w:firstLine="0" w:firstLineChars="0"/>
              <w:jc w:val="center"/>
              <w:rPr>
                <w:color w:val="auto"/>
                <w:sz w:val="22"/>
                <w:highlight w:val="none"/>
              </w:rPr>
            </w:pPr>
            <w:r>
              <w:rPr>
                <w:color w:val="auto"/>
                <w:sz w:val="22"/>
                <w:highlight w:val="none"/>
              </w:rPr>
              <w:t>主要生态环境问题</w:t>
            </w:r>
          </w:p>
        </w:tc>
        <w:tc>
          <w:tcPr>
            <w:tcW w:w="1242" w:type="pct"/>
            <w:vAlign w:val="center"/>
          </w:tcPr>
          <w:p>
            <w:pPr>
              <w:spacing w:line="240" w:lineRule="auto"/>
              <w:ind w:firstLine="0" w:firstLineChars="0"/>
              <w:jc w:val="center"/>
              <w:rPr>
                <w:color w:val="auto"/>
                <w:sz w:val="22"/>
                <w:highlight w:val="none"/>
              </w:rPr>
            </w:pPr>
            <w:r>
              <w:rPr>
                <w:color w:val="auto"/>
                <w:sz w:val="22"/>
                <w:highlight w:val="none"/>
              </w:rPr>
              <w:t>生态功能定位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26" w:type="pct"/>
            <w:vAlign w:val="center"/>
          </w:tcPr>
          <w:p>
            <w:pPr>
              <w:spacing w:line="240" w:lineRule="auto"/>
              <w:ind w:firstLine="0" w:firstLineChars="0"/>
              <w:jc w:val="center"/>
              <w:rPr>
                <w:color w:val="auto"/>
                <w:sz w:val="22"/>
                <w:highlight w:val="none"/>
              </w:rPr>
            </w:pPr>
            <w:r>
              <w:rPr>
                <w:color w:val="auto"/>
                <w:sz w:val="22"/>
                <w:highlight w:val="none"/>
              </w:rPr>
              <w:t>渝中-西丘陵-低山生态区</w:t>
            </w:r>
          </w:p>
        </w:tc>
        <w:tc>
          <w:tcPr>
            <w:tcW w:w="488" w:type="pct"/>
            <w:vAlign w:val="center"/>
          </w:tcPr>
          <w:p>
            <w:pPr>
              <w:spacing w:line="240" w:lineRule="auto"/>
              <w:ind w:firstLine="0" w:firstLineChars="0"/>
              <w:jc w:val="center"/>
              <w:rPr>
                <w:color w:val="auto"/>
                <w:sz w:val="22"/>
                <w:highlight w:val="none"/>
              </w:rPr>
            </w:pPr>
            <w:r>
              <w:rPr>
                <w:color w:val="auto"/>
                <w:sz w:val="22"/>
                <w:highlight w:val="none"/>
              </w:rPr>
              <w:t>渝西丘陵农业生态亚区</w:t>
            </w:r>
          </w:p>
        </w:tc>
        <w:tc>
          <w:tcPr>
            <w:tcW w:w="523" w:type="pct"/>
            <w:vAlign w:val="center"/>
          </w:tcPr>
          <w:p>
            <w:pPr>
              <w:spacing w:line="240" w:lineRule="auto"/>
              <w:ind w:firstLine="0" w:firstLineChars="0"/>
              <w:jc w:val="center"/>
              <w:rPr>
                <w:color w:val="auto"/>
                <w:sz w:val="22"/>
                <w:highlight w:val="none"/>
              </w:rPr>
            </w:pPr>
            <w:r>
              <w:rPr>
                <w:color w:val="auto"/>
                <w:sz w:val="22"/>
                <w:highlight w:val="none"/>
              </w:rPr>
              <w:t>渝西方山丘陵营养物质保持-水质保护生态功能区</w:t>
            </w:r>
          </w:p>
        </w:tc>
        <w:tc>
          <w:tcPr>
            <w:tcW w:w="418" w:type="pct"/>
            <w:vAlign w:val="center"/>
          </w:tcPr>
          <w:p>
            <w:pPr>
              <w:spacing w:line="240" w:lineRule="auto"/>
              <w:ind w:firstLine="0" w:firstLineChars="0"/>
              <w:jc w:val="center"/>
              <w:rPr>
                <w:color w:val="auto"/>
                <w:sz w:val="22"/>
                <w:highlight w:val="none"/>
              </w:rPr>
            </w:pPr>
            <w:r>
              <w:rPr>
                <w:rFonts w:hint="eastAsia"/>
                <w:b/>
                <w:bCs/>
                <w:color w:val="auto"/>
                <w:sz w:val="22"/>
                <w:highlight w:val="none"/>
              </w:rPr>
              <w:t>合川区</w:t>
            </w:r>
            <w:r>
              <w:rPr>
                <w:b/>
                <w:bCs/>
                <w:color w:val="auto"/>
                <w:sz w:val="22"/>
                <w:highlight w:val="none"/>
              </w:rPr>
              <w:t>、</w:t>
            </w:r>
            <w:r>
              <w:rPr>
                <w:color w:val="auto"/>
                <w:sz w:val="22"/>
                <w:highlight w:val="none"/>
              </w:rPr>
              <w:t>潼南区、铜梁区、双桥</w:t>
            </w:r>
            <w:r>
              <w:rPr>
                <w:rFonts w:hint="eastAsia"/>
                <w:color w:val="auto"/>
                <w:sz w:val="22"/>
                <w:highlight w:val="none"/>
              </w:rPr>
              <w:t>经开区</w:t>
            </w:r>
            <w:r>
              <w:rPr>
                <w:color w:val="auto"/>
                <w:sz w:val="22"/>
                <w:highlight w:val="none"/>
              </w:rPr>
              <w:t>、荣昌区</w:t>
            </w:r>
          </w:p>
        </w:tc>
        <w:tc>
          <w:tcPr>
            <w:tcW w:w="2001" w:type="pct"/>
            <w:vAlign w:val="center"/>
          </w:tcPr>
          <w:p>
            <w:pPr>
              <w:spacing w:line="240" w:lineRule="auto"/>
              <w:ind w:firstLine="0" w:firstLineChars="0"/>
              <w:rPr>
                <w:color w:val="auto"/>
                <w:sz w:val="22"/>
                <w:highlight w:val="none"/>
              </w:rPr>
            </w:pPr>
            <w:r>
              <w:rPr>
                <w:color w:val="auto"/>
                <w:sz w:val="22"/>
                <w:highlight w:val="none"/>
              </w:rPr>
              <w:t>缺水较严重，水资源保护面临很大压力。建设用地占用耕地面积大，森林覆盖率较低，生态环境质量差；</w:t>
            </w:r>
            <w:r>
              <w:rPr>
                <w:color w:val="auto"/>
                <w:sz w:val="22"/>
                <w:highlight w:val="none"/>
                <w:shd w:val="clear" w:fill="FFFFFF"/>
              </w:rPr>
              <w:t>农村面源污染</w:t>
            </w:r>
            <w:r>
              <w:rPr>
                <w:color w:val="auto"/>
                <w:sz w:val="22"/>
                <w:highlight w:val="none"/>
              </w:rPr>
              <w:t>和次级河流污染较为严重，</w:t>
            </w:r>
            <w:r>
              <w:rPr>
                <w:color w:val="auto"/>
                <w:sz w:val="22"/>
                <w:highlight w:val="none"/>
                <w:shd w:val="clear" w:fill="FFFFFF"/>
              </w:rPr>
              <w:t>农业的</w:t>
            </w:r>
            <w:r>
              <w:rPr>
                <w:color w:val="auto"/>
                <w:sz w:val="22"/>
                <w:highlight w:val="none"/>
              </w:rPr>
              <w:t>生态环境保护和城郊型生态农业基地建设的压力较大。矿山生态破坏普遍比较严重，采矿破坏的土地和采矿废弃地，只有极少部分得到复垦，矿山开发诱发的滑坡、地面塌陷等地质灾害较多。</w:t>
            </w:r>
          </w:p>
        </w:tc>
        <w:tc>
          <w:tcPr>
            <w:tcW w:w="1242" w:type="pct"/>
            <w:vAlign w:val="center"/>
          </w:tcPr>
          <w:p>
            <w:pPr>
              <w:spacing w:line="240" w:lineRule="auto"/>
              <w:ind w:firstLine="0" w:firstLineChars="0"/>
              <w:rPr>
                <w:color w:val="auto"/>
                <w:sz w:val="22"/>
                <w:highlight w:val="none"/>
              </w:rPr>
            </w:pPr>
            <w:r>
              <w:rPr>
                <w:color w:val="auto"/>
                <w:sz w:val="22"/>
                <w:highlight w:val="none"/>
              </w:rPr>
              <w:t>主导生态功能是水资源与水生态保护、农业生态功能的维持与提高，辅助功能为水土流失预防与监督、面源污染、矿山污染控制。进行城镇生态环境综合整治，提高城市建设连绵区和经济社会发展的资源环境承载能力</w:t>
            </w:r>
          </w:p>
        </w:tc>
      </w:tr>
    </w:tbl>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eastAsiaTheme="minorEastAsia"/>
          <w:color w:val="auto"/>
          <w:highlight w:val="none"/>
        </w:rPr>
      </w:pPr>
    </w:p>
    <w:p>
      <w:pPr>
        <w:spacing w:line="240" w:lineRule="auto"/>
        <w:ind w:firstLine="0" w:firstLineChars="0"/>
        <w:jc w:val="center"/>
        <w:rPr>
          <w:rFonts w:eastAsiaTheme="minorEastAsia"/>
          <w:color w:val="auto"/>
          <w:highlight w:val="none"/>
        </w:rPr>
      </w:pPr>
      <w:r>
        <w:rPr>
          <w:rFonts w:eastAsiaTheme="minorEastAsia"/>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1669415</wp:posOffset>
                </wp:positionH>
                <wp:positionV relativeFrom="paragraph">
                  <wp:posOffset>1818640</wp:posOffset>
                </wp:positionV>
                <wp:extent cx="107950" cy="596900"/>
                <wp:effectExtent l="0" t="0" r="25400" b="12700"/>
                <wp:wrapNone/>
                <wp:docPr id="4" name="直接连接符 4"/>
                <wp:cNvGraphicFramePr/>
                <a:graphic xmlns:a="http://schemas.openxmlformats.org/drawingml/2006/main">
                  <a:graphicData uri="http://schemas.microsoft.com/office/word/2010/wordprocessingShape">
                    <wps:wsp>
                      <wps:cNvCnPr/>
                      <wps:spPr>
                        <a:xfrm flipV="1">
                          <a:off x="0" y="0"/>
                          <a:ext cx="107950" cy="5969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31.45pt;margin-top:143.2pt;height:47pt;width:8.5pt;z-index:251661312;mso-width-relative:page;mso-height-relative:page;" filled="f" stroked="t" coordsize="21600,21600" o:gfxdata="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hUd4/NgAAAALAQAADwAAAAAAAAABACAAAAAiAAAAZHJzL2Rvd25yZXYueG1sUEsBAhQA&#10;FAAAAAgAh07iQAkhhIjyAQAAvwMAAA4AAAAAAAAAAQAgAAAAJwEAAGRycy9lMm9Eb2MueG1sUEsF&#10;BgAAAAAGAAYAWQEAAIsFAAAAAA==&#10;">
                <v:fill on="f" focussize="0,0"/>
                <v:stroke weight="0.5pt" color="#FF0000 [3204]" miterlimit="8" joinstyle="miter"/>
                <v:imagedata o:title=""/>
                <o:lock v:ext="edit" aspectratio="f"/>
              </v:line>
            </w:pict>
          </mc:Fallback>
        </mc:AlternateContent>
      </w:r>
      <w:r>
        <w:rPr>
          <w:rFonts w:eastAsiaTheme="minorEastAsia"/>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1623695</wp:posOffset>
                </wp:positionH>
                <wp:positionV relativeFrom="paragraph">
                  <wp:posOffset>2416175</wp:posOffset>
                </wp:positionV>
                <wp:extent cx="45085" cy="45085"/>
                <wp:effectExtent l="19050" t="19050" r="31115" b="12065"/>
                <wp:wrapNone/>
                <wp:docPr id="3" name="等腰三角形 3"/>
                <wp:cNvGraphicFramePr/>
                <a:graphic xmlns:a="http://schemas.openxmlformats.org/drawingml/2006/main">
                  <a:graphicData uri="http://schemas.microsoft.com/office/word/2010/wordprocessingShape">
                    <wps:wsp>
                      <wps:cNvSpPr/>
                      <wps:spPr>
                        <a:xfrm>
                          <a:off x="0" y="0"/>
                          <a:ext cx="45085" cy="4508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27.85pt;margin-top:190.25pt;height:3.55pt;width:3.55pt;z-index:251660288;v-text-anchor:middle;mso-width-relative:page;mso-height-relative:page;" fillcolor="#FF0000" filled="t" stroked="t" coordsize="21600,21600" o:gfxdata="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HBFy8HbAAAACwEAAA8AAAAAAAAAAQAg&#10;AAAAIgAAAGRycy9kb3ducmV2LnhtbFBLAQIUABQAAAAIAIdO4kDiIuXcfQIAAP4EAAAOAAAAAAAA&#10;AAEAIAAAACoBAABkcnMvZTJvRG9jLnhtbFBLBQYAAAAABgAGAFkBAAAZBgAAAAA=&#10;" adj="10800">
                <v:fill on="t" focussize="0,0"/>
                <v:stroke weight="1pt" color="#FF0000 [3204]" miterlimit="8" joinstyle="miter"/>
                <v:imagedata o:title=""/>
                <o:lock v:ext="edit" aspectratio="f"/>
              </v:shape>
            </w:pict>
          </mc:Fallback>
        </mc:AlternateContent>
      </w:r>
      <w:r>
        <w:rPr>
          <w:rFonts w:eastAsiaTheme="minorEastAsia"/>
          <w:color w:val="auto"/>
          <w:highlight w:val="none"/>
        </w:rPr>
        <mc:AlternateContent>
          <mc:Choice Requires="wps">
            <w:drawing>
              <wp:anchor distT="45720" distB="45720" distL="114300" distR="114300" simplePos="0" relativeHeight="251662336" behindDoc="0" locked="0" layoutInCell="1" allowOverlap="1">
                <wp:simplePos x="0" y="0"/>
                <wp:positionH relativeFrom="column">
                  <wp:posOffset>1742440</wp:posOffset>
                </wp:positionH>
                <wp:positionV relativeFrom="paragraph">
                  <wp:posOffset>1736725</wp:posOffset>
                </wp:positionV>
                <wp:extent cx="762000" cy="1404620"/>
                <wp:effectExtent l="0" t="0" r="19050" b="23495"/>
                <wp:wrapNone/>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62000" cy="1404620"/>
                        </a:xfrm>
                        <a:prstGeom prst="rect">
                          <a:avLst/>
                        </a:prstGeom>
                        <a:solidFill>
                          <a:srgbClr val="FFFFFF"/>
                        </a:solidFill>
                        <a:ln w="9525">
                          <a:solidFill>
                            <a:srgbClr val="FF0000"/>
                          </a:solidFill>
                          <a:miter lim="800000"/>
                        </a:ln>
                      </wps:spPr>
                      <wps:txbx>
                        <w:txbxContent>
                          <w:p>
                            <w:pPr>
                              <w:snapToGrid w:val="0"/>
                              <w:spacing w:line="240" w:lineRule="auto"/>
                              <w:ind w:firstLine="0" w:firstLineChars="0"/>
                              <w:rPr>
                                <w:color w:val="FF0000"/>
                                <w:sz w:val="22"/>
                              </w:rPr>
                            </w:pPr>
                            <w:r>
                              <w:rPr>
                                <w:rFonts w:hint="eastAsia"/>
                                <w:color w:val="FF0000"/>
                                <w:sz w:val="22"/>
                              </w:rPr>
                              <w:t>项目位置</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37.2pt;margin-top:136.75pt;height:110.6pt;width:60pt;z-index:251662336;mso-width-relative:page;mso-height-relative:margin;mso-height-percent:200;" fillcolor="#FFFFFF" filled="t" stroked="t" coordsize="21600,21600" o:gfxdata="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HssO+3WAAAACwEAAA8AAAAAAAAAAQAgAAAAIgAAAGRycy9k&#10;b3ducmV2LnhtbFBLAQIUABQAAAAIAIdO4kB4WNegPQIAAH0EAAAOAAAAAAAAAAEAIAAAACUBAABk&#10;cnMvZTJvRG9jLnhtbFBLBQYAAAAABgAGAFkBAADUBQAAAAA=&#10;">
                <v:fill on="t" focussize="0,0"/>
                <v:stroke color="#FF0000" miterlimit="8" joinstyle="miter"/>
                <v:imagedata o:title=""/>
                <o:lock v:ext="edit" aspectratio="f"/>
                <v:textbox style="mso-fit-shape-to-text:t;">
                  <w:txbxContent>
                    <w:p>
                      <w:pPr>
                        <w:snapToGrid w:val="0"/>
                        <w:spacing w:line="240" w:lineRule="auto"/>
                        <w:ind w:firstLine="0" w:firstLineChars="0"/>
                        <w:rPr>
                          <w:color w:val="FF0000"/>
                          <w:sz w:val="22"/>
                        </w:rPr>
                      </w:pPr>
                      <w:r>
                        <w:rPr>
                          <w:rFonts w:hint="eastAsia"/>
                          <w:color w:val="FF0000"/>
                          <w:sz w:val="22"/>
                        </w:rPr>
                        <w:t>项目位置</w:t>
                      </w:r>
                    </w:p>
                  </w:txbxContent>
                </v:textbox>
              </v:shape>
            </w:pict>
          </mc:Fallback>
        </mc:AlternateContent>
      </w:r>
      <w:r>
        <w:rPr>
          <w:rFonts w:eastAsiaTheme="minorEastAsia"/>
          <w:color w:val="auto"/>
          <w:highlight w:val="none"/>
        </w:rPr>
        <w:drawing>
          <wp:inline distT="0" distB="0" distL="0" distR="0">
            <wp:extent cx="3964305" cy="4909820"/>
            <wp:effectExtent l="0" t="0" r="17145" b="5080"/>
            <wp:docPr id="1" name="图片 1" descr="I:\资料汇总\标准\生态\重庆市生态功能区划\20171013_115342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资料汇总\标准\生态\重庆市生态功能区划\20171013_115342_04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3964305" cy="4909820"/>
                    </a:xfrm>
                    <a:prstGeom prst="rect">
                      <a:avLst/>
                    </a:prstGeom>
                    <a:noFill/>
                    <a:ln>
                      <a:noFill/>
                    </a:ln>
                  </pic:spPr>
                </pic:pic>
              </a:graphicData>
            </a:graphic>
          </wp:inline>
        </w:drawing>
      </w:r>
    </w:p>
    <w:p>
      <w:pPr>
        <w:spacing w:line="240" w:lineRule="auto"/>
        <w:ind w:firstLine="0" w:firstLineChars="0"/>
        <w:jc w:val="center"/>
        <w:rPr>
          <w:rFonts w:eastAsiaTheme="minorEastAsia"/>
          <w:color w:val="auto"/>
          <w:highlight w:val="none"/>
        </w:rPr>
      </w:pPr>
      <w:r>
        <w:rPr>
          <w:rFonts w:hint="eastAsia" w:eastAsiaTheme="minorEastAsia"/>
          <w:color w:val="auto"/>
          <w:highlight w:val="none"/>
        </w:rPr>
        <w:t>图1.7.1-1  项目</w:t>
      </w:r>
      <w:r>
        <w:rPr>
          <w:rFonts w:eastAsiaTheme="minorEastAsia"/>
          <w:color w:val="auto"/>
          <w:highlight w:val="none"/>
        </w:rPr>
        <w:t>所在区域生态功能区划图</w:t>
      </w:r>
    </w:p>
    <w:p>
      <w:pPr>
        <w:snapToGrid w:val="0"/>
        <w:spacing w:line="240" w:lineRule="auto"/>
        <w:ind w:firstLine="520"/>
        <w:rPr>
          <w:rFonts w:eastAsiaTheme="minorEastAsia"/>
          <w:color w:val="auto"/>
          <w:highlight w:val="none"/>
        </w:rPr>
      </w:pPr>
    </w:p>
    <w:p>
      <w:pPr>
        <w:snapToGrid w:val="0"/>
        <w:spacing w:line="240" w:lineRule="auto"/>
        <w:ind w:firstLine="520"/>
        <w:rPr>
          <w:rFonts w:eastAsiaTheme="minorEastAsia"/>
          <w:color w:val="auto"/>
          <w:highlight w:val="none"/>
        </w:rPr>
      </w:pPr>
      <w:r>
        <w:rPr>
          <w:rFonts w:eastAsiaTheme="minorEastAsia"/>
          <w:color w:val="auto"/>
          <w:highlight w:val="none"/>
        </w:rPr>
        <w:t>（2）大气环境功能区划</w:t>
      </w:r>
    </w:p>
    <w:p>
      <w:pPr>
        <w:snapToGrid w:val="0"/>
        <w:ind w:firstLine="520"/>
        <w:rPr>
          <w:rFonts w:eastAsiaTheme="minorEastAsia"/>
          <w:color w:val="auto"/>
          <w:highlight w:val="none"/>
        </w:rPr>
      </w:pPr>
      <w:r>
        <w:rPr>
          <w:rFonts w:eastAsiaTheme="minorEastAsia"/>
          <w:color w:val="auto"/>
          <w:highlight w:val="none"/>
        </w:rPr>
        <w:t>根据《重庆市环境空气质量功能区划分规定的通知》（渝府发〔2016〕19号）规定，</w:t>
      </w:r>
      <w:r>
        <w:rPr>
          <w:rFonts w:hint="eastAsia" w:eastAsiaTheme="minorEastAsia"/>
          <w:color w:val="auto"/>
          <w:highlight w:val="none"/>
        </w:rPr>
        <w:t>拟建项目所在区域为</w:t>
      </w:r>
      <w:r>
        <w:rPr>
          <w:rFonts w:eastAsiaTheme="minorEastAsia"/>
          <w:color w:val="auto"/>
          <w:highlight w:val="none"/>
        </w:rPr>
        <w:t>二类功能区。</w:t>
      </w:r>
    </w:p>
    <w:p>
      <w:pPr>
        <w:snapToGrid w:val="0"/>
        <w:ind w:firstLine="520"/>
        <w:rPr>
          <w:rFonts w:eastAsiaTheme="minorEastAsia"/>
          <w:color w:val="auto"/>
          <w:highlight w:val="none"/>
        </w:rPr>
      </w:pPr>
      <w:r>
        <w:rPr>
          <w:rFonts w:eastAsiaTheme="minorEastAsia"/>
          <w:color w:val="auto"/>
          <w:highlight w:val="none"/>
        </w:rPr>
        <w:t>（3）地表水环境功能区划</w:t>
      </w:r>
    </w:p>
    <w:p>
      <w:pPr>
        <w:snapToGrid w:val="0"/>
        <w:ind w:firstLine="520"/>
        <w:rPr>
          <w:rFonts w:eastAsiaTheme="minorEastAsia"/>
          <w:color w:val="auto"/>
          <w:highlight w:val="none"/>
        </w:rPr>
      </w:pPr>
      <w:r>
        <w:rPr>
          <w:rFonts w:eastAsiaTheme="minorEastAsia"/>
          <w:color w:val="auto"/>
          <w:highlight w:val="none"/>
        </w:rPr>
        <w:t>根据《重庆市人民政府批转重庆市地表水环境功能类别调整方案的通知》（渝府发〔2012〕4号）</w:t>
      </w:r>
      <w:r>
        <w:rPr>
          <w:rFonts w:hint="eastAsia" w:eastAsiaTheme="minorEastAsia"/>
          <w:color w:val="auto"/>
          <w:highlight w:val="none"/>
        </w:rPr>
        <w:t>及合川区地表水域适用功能类别划分规定</w:t>
      </w:r>
      <w:r>
        <w:rPr>
          <w:rFonts w:hint="eastAsia"/>
          <w:color w:val="auto"/>
          <w:szCs w:val="22"/>
          <w:highlight w:val="none"/>
        </w:rPr>
        <w:t>，项目所在涪江合川段</w:t>
      </w:r>
      <w:r>
        <w:rPr>
          <w:color w:val="auto"/>
          <w:szCs w:val="22"/>
          <w:highlight w:val="none"/>
        </w:rPr>
        <w:t>为</w:t>
      </w:r>
      <w:r>
        <w:rPr>
          <w:color w:val="auto"/>
          <w:szCs w:val="22"/>
          <w:highlight w:val="none"/>
        </w:rPr>
        <w:fldChar w:fldCharType="begin"/>
      </w:r>
      <w:r>
        <w:rPr>
          <w:color w:val="auto"/>
          <w:szCs w:val="22"/>
          <w:highlight w:val="none"/>
        </w:rPr>
        <w:instrText xml:space="preserve"> </w:instrText>
      </w:r>
      <w:r>
        <w:rPr>
          <w:rFonts w:hint="eastAsia"/>
          <w:color w:val="auto"/>
          <w:szCs w:val="22"/>
          <w:highlight w:val="none"/>
        </w:rPr>
        <w:instrText xml:space="preserve">= 3 \* ROMAN</w:instrText>
      </w:r>
      <w:r>
        <w:rPr>
          <w:color w:val="auto"/>
          <w:szCs w:val="22"/>
          <w:highlight w:val="none"/>
        </w:rPr>
        <w:instrText xml:space="preserve"> </w:instrText>
      </w:r>
      <w:r>
        <w:rPr>
          <w:color w:val="auto"/>
          <w:szCs w:val="22"/>
          <w:highlight w:val="none"/>
        </w:rPr>
        <w:fldChar w:fldCharType="separate"/>
      </w:r>
      <w:r>
        <w:rPr>
          <w:color w:val="auto"/>
          <w:szCs w:val="22"/>
          <w:highlight w:val="none"/>
        </w:rPr>
        <w:t>III</w:t>
      </w:r>
      <w:r>
        <w:rPr>
          <w:color w:val="auto"/>
          <w:szCs w:val="22"/>
          <w:highlight w:val="none"/>
        </w:rPr>
        <w:fldChar w:fldCharType="end"/>
      </w:r>
      <w:r>
        <w:rPr>
          <w:rFonts w:hint="eastAsia"/>
          <w:color w:val="auto"/>
          <w:szCs w:val="22"/>
          <w:highlight w:val="none"/>
        </w:rPr>
        <w:t>类</w:t>
      </w:r>
      <w:r>
        <w:rPr>
          <w:color w:val="auto"/>
          <w:szCs w:val="22"/>
          <w:highlight w:val="none"/>
        </w:rPr>
        <w:t>地表水域。</w:t>
      </w:r>
    </w:p>
    <w:p>
      <w:pPr>
        <w:snapToGrid w:val="0"/>
        <w:ind w:firstLine="520"/>
        <w:rPr>
          <w:rFonts w:eastAsiaTheme="minorEastAsia"/>
          <w:color w:val="auto"/>
          <w:highlight w:val="none"/>
        </w:rPr>
      </w:pPr>
      <w:r>
        <w:rPr>
          <w:rFonts w:eastAsiaTheme="minorEastAsia"/>
          <w:color w:val="auto"/>
          <w:highlight w:val="none"/>
        </w:rPr>
        <w:t>（4）声环境功能区划</w:t>
      </w:r>
    </w:p>
    <w:p>
      <w:pPr>
        <w:snapToGrid w:val="0"/>
        <w:ind w:firstLine="520"/>
        <w:rPr>
          <w:rFonts w:eastAsiaTheme="minorEastAsia"/>
          <w:color w:val="auto"/>
          <w:highlight w:val="none"/>
        </w:rPr>
      </w:pPr>
      <w:r>
        <w:rPr>
          <w:rFonts w:hint="eastAsia" w:eastAsiaTheme="minorEastAsia"/>
          <w:color w:val="auto"/>
          <w:highlight w:val="none"/>
        </w:rPr>
        <w:t>根据《合川区声环境功能区划分调整方案》（合川府办发〔2023〕56号）</w:t>
      </w:r>
      <w:r>
        <w:rPr>
          <w:rFonts w:eastAsiaTheme="minorEastAsia"/>
          <w:color w:val="auto"/>
          <w:highlight w:val="none"/>
        </w:rPr>
        <w:t>等相关规定，</w:t>
      </w:r>
      <w:r>
        <w:rPr>
          <w:rFonts w:hint="eastAsia"/>
          <w:color w:val="auto"/>
          <w:highlight w:val="none"/>
        </w:rPr>
        <w:t>项目所在</w:t>
      </w:r>
      <w:r>
        <w:rPr>
          <w:color w:val="auto"/>
          <w:highlight w:val="none"/>
        </w:rPr>
        <w:t>区域</w:t>
      </w:r>
      <w:r>
        <w:rPr>
          <w:rFonts w:hint="eastAsia"/>
          <w:color w:val="auto"/>
          <w:highlight w:val="none"/>
        </w:rPr>
        <w:t>涪江航道两侧35</w:t>
      </w:r>
      <w:r>
        <w:rPr>
          <w:color w:val="auto"/>
          <w:highlight w:val="none"/>
        </w:rPr>
        <w:t>m范围属</w:t>
      </w:r>
      <w:r>
        <w:rPr>
          <w:rFonts w:hint="eastAsia"/>
          <w:color w:val="auto"/>
          <w:highlight w:val="none"/>
        </w:rPr>
        <w:t>4</w:t>
      </w:r>
      <w:r>
        <w:rPr>
          <w:color w:val="auto"/>
          <w:highlight w:val="none"/>
        </w:rPr>
        <w:t>a类声环境功能区，</w:t>
      </w:r>
      <w:r>
        <w:rPr>
          <w:rFonts w:hint="eastAsia"/>
          <w:color w:val="auto"/>
          <w:highlight w:val="none"/>
        </w:rPr>
        <w:t>其余属2类</w:t>
      </w:r>
      <w:r>
        <w:rPr>
          <w:color w:val="auto"/>
          <w:highlight w:val="none"/>
        </w:rPr>
        <w:t>声环境功能区</w:t>
      </w:r>
      <w:r>
        <w:rPr>
          <w:rFonts w:eastAsiaTheme="minorEastAsia"/>
          <w:color w:val="auto"/>
          <w:highlight w:val="none"/>
        </w:rPr>
        <w:t>。</w:t>
      </w:r>
    </w:p>
    <w:p>
      <w:pPr>
        <w:pStyle w:val="5"/>
        <w:ind w:firstLine="522"/>
        <w:rPr>
          <w:rFonts w:eastAsiaTheme="minorEastAsia"/>
          <w:color w:val="auto"/>
          <w:highlight w:val="none"/>
        </w:rPr>
      </w:pPr>
      <w:r>
        <w:rPr>
          <w:rFonts w:eastAsiaTheme="minorEastAsia"/>
          <w:color w:val="auto"/>
          <w:highlight w:val="none"/>
        </w:rPr>
        <w:t>环境质量标准</w:t>
      </w:r>
    </w:p>
    <w:p>
      <w:pPr>
        <w:adjustRightInd w:val="0"/>
        <w:snapToGrid w:val="0"/>
        <w:ind w:firstLine="520"/>
        <w:rPr>
          <w:rFonts w:eastAsiaTheme="minorEastAsia"/>
          <w:color w:val="auto"/>
          <w:highlight w:val="none"/>
        </w:rPr>
      </w:pPr>
      <w:r>
        <w:rPr>
          <w:rFonts w:eastAsiaTheme="minorEastAsia"/>
          <w:color w:val="auto"/>
          <w:highlight w:val="none"/>
        </w:rPr>
        <w:t>（1）环境空气</w:t>
      </w:r>
    </w:p>
    <w:p>
      <w:pPr>
        <w:adjustRightInd w:val="0"/>
        <w:snapToGrid w:val="0"/>
        <w:ind w:firstLine="520"/>
        <w:rPr>
          <w:rFonts w:eastAsiaTheme="minorEastAsia"/>
          <w:color w:val="auto"/>
          <w:highlight w:val="none"/>
        </w:rPr>
      </w:pPr>
      <w:r>
        <w:rPr>
          <w:rFonts w:hint="eastAsia" w:eastAsiaTheme="minorEastAsia"/>
          <w:color w:val="auto"/>
          <w:highlight w:val="none"/>
        </w:rPr>
        <w:t>项目所在区域为环境空气二类功能区，</w:t>
      </w:r>
      <w:r>
        <w:rPr>
          <w:rFonts w:eastAsiaTheme="minorEastAsia"/>
          <w:color w:val="auto"/>
          <w:highlight w:val="none"/>
        </w:rPr>
        <w:t>执行《环境空气质量标准》（GB3095-2012）中的</w:t>
      </w:r>
      <w:r>
        <w:rPr>
          <w:rFonts w:hint="eastAsia" w:eastAsiaTheme="minorEastAsia"/>
          <w:color w:val="auto"/>
          <w:highlight w:val="none"/>
        </w:rPr>
        <w:t>相应</w:t>
      </w:r>
      <w:r>
        <w:rPr>
          <w:rFonts w:eastAsiaTheme="minorEastAsia"/>
          <w:color w:val="auto"/>
          <w:highlight w:val="none"/>
        </w:rPr>
        <w:t>标准，标准值见</w:t>
      </w:r>
      <w:r>
        <w:rPr>
          <w:rFonts w:hint="eastAsia" w:eastAsiaTheme="minorEastAsia"/>
          <w:color w:val="auto"/>
          <w:highlight w:val="none"/>
        </w:rPr>
        <w:t>下表：</w:t>
      </w:r>
    </w:p>
    <w:p>
      <w:pPr>
        <w:snapToGrid w:val="0"/>
        <w:spacing w:line="240" w:lineRule="auto"/>
        <w:ind w:firstLine="0" w:firstLineChars="0"/>
        <w:jc w:val="right"/>
        <w:rPr>
          <w:rFonts w:eastAsiaTheme="minorEastAsia"/>
          <w:color w:val="auto"/>
          <w:szCs w:val="26"/>
          <w:highlight w:val="none"/>
        </w:rPr>
      </w:pPr>
    </w:p>
    <w:p>
      <w:pPr>
        <w:snapToGrid w:val="0"/>
        <w:spacing w:line="240" w:lineRule="auto"/>
        <w:ind w:firstLine="0" w:firstLineChars="0"/>
        <w:jc w:val="right"/>
        <w:rPr>
          <w:rFonts w:eastAsiaTheme="minorEastAsia"/>
          <w:color w:val="auto"/>
          <w:szCs w:val="26"/>
          <w:highlight w:val="none"/>
        </w:rPr>
      </w:pPr>
      <w:r>
        <w:rPr>
          <w:rFonts w:hint="eastAsia" w:eastAsiaTheme="minorEastAsia"/>
          <w:color w:val="auto"/>
          <w:szCs w:val="26"/>
          <w:highlight w:val="none"/>
        </w:rPr>
        <w:t xml:space="preserve">表1.7.2-1  </w:t>
      </w:r>
      <w:r>
        <w:rPr>
          <w:rFonts w:eastAsiaTheme="minorEastAsia"/>
          <w:color w:val="auto"/>
          <w:szCs w:val="26"/>
          <w:highlight w:val="none"/>
        </w:rPr>
        <w:t xml:space="preserve">环境空气质量标准             </w:t>
      </w:r>
      <w:r>
        <w:rPr>
          <w:rFonts w:eastAsiaTheme="minorEastAsia"/>
          <w:color w:val="auto"/>
          <w:sz w:val="22"/>
          <w:szCs w:val="22"/>
          <w:highlight w:val="none"/>
        </w:rPr>
        <w:t>单位：</w:t>
      </w:r>
      <w:r>
        <w:rPr>
          <w:color w:val="auto"/>
          <w:sz w:val="22"/>
          <w:szCs w:val="22"/>
          <w:highlight w:val="none"/>
        </w:rPr>
        <w:t>μ</w:t>
      </w:r>
      <w:r>
        <w:rPr>
          <w:rFonts w:eastAsiaTheme="minorEastAsia"/>
          <w:color w:val="auto"/>
          <w:sz w:val="22"/>
          <w:szCs w:val="22"/>
          <w:highlight w:val="none"/>
        </w:rPr>
        <w:t>g/m</w:t>
      </w:r>
      <w:r>
        <w:rPr>
          <w:rFonts w:eastAsiaTheme="minorEastAsia"/>
          <w:color w:val="auto"/>
          <w:sz w:val="22"/>
          <w:szCs w:val="22"/>
          <w:highlight w:val="none"/>
          <w:vertAlign w:val="superscript"/>
        </w:rPr>
        <w:t>3</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6"/>
        <w:gridCol w:w="2390"/>
        <w:gridCol w:w="2043"/>
        <w:gridCol w:w="2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4"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污染物</w:t>
            </w:r>
          </w:p>
        </w:tc>
        <w:tc>
          <w:tcPr>
            <w:tcW w:w="2390"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平均时间</w:t>
            </w:r>
          </w:p>
        </w:tc>
        <w:tc>
          <w:tcPr>
            <w:tcW w:w="2042" w:type="dxa"/>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二级浓度限值</w:t>
            </w:r>
          </w:p>
        </w:tc>
        <w:tc>
          <w:tcPr>
            <w:tcW w:w="2972"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4" w:type="dxa"/>
            <w:vMerge w:val="restart"/>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SO</w:t>
            </w:r>
            <w:r>
              <w:rPr>
                <w:rFonts w:hint="eastAsia"/>
                <w:color w:val="auto"/>
                <w:sz w:val="22"/>
                <w:szCs w:val="22"/>
                <w:highlight w:val="none"/>
                <w:vertAlign w:val="subscript"/>
              </w:rPr>
              <w:t>2</w:t>
            </w:r>
          </w:p>
        </w:tc>
        <w:tc>
          <w:tcPr>
            <w:tcW w:w="2390"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年平均</w:t>
            </w:r>
          </w:p>
        </w:tc>
        <w:tc>
          <w:tcPr>
            <w:tcW w:w="2042" w:type="dxa"/>
            <w:vAlign w:val="center"/>
          </w:tcPr>
          <w:p>
            <w:pPr>
              <w:snapToGrid w:val="0"/>
              <w:spacing w:line="240" w:lineRule="auto"/>
              <w:ind w:firstLine="0" w:firstLineChars="0"/>
              <w:jc w:val="center"/>
              <w:rPr>
                <w:color w:val="auto"/>
                <w:sz w:val="22"/>
                <w:szCs w:val="22"/>
                <w:highlight w:val="none"/>
              </w:rPr>
            </w:pPr>
            <w:r>
              <w:rPr>
                <w:color w:val="auto"/>
                <w:sz w:val="22"/>
                <w:szCs w:val="22"/>
                <w:highlight w:val="none"/>
              </w:rPr>
              <w:t>60</w:t>
            </w:r>
          </w:p>
        </w:tc>
        <w:tc>
          <w:tcPr>
            <w:tcW w:w="2972" w:type="dxa"/>
            <w:vMerge w:val="restart"/>
            <w:shd w:val="clear" w:color="auto" w:fill="auto"/>
            <w:vAlign w:val="center"/>
          </w:tcPr>
          <w:p>
            <w:pPr>
              <w:adjustRightInd w:val="0"/>
              <w:snapToGrid w:val="0"/>
              <w:spacing w:line="240" w:lineRule="auto"/>
              <w:ind w:firstLine="0" w:firstLineChars="0"/>
              <w:jc w:val="center"/>
              <w:rPr>
                <w:rFonts w:hint="eastAsia"/>
                <w:color w:val="auto"/>
                <w:sz w:val="22"/>
                <w:szCs w:val="22"/>
                <w:highlight w:val="none"/>
              </w:rPr>
            </w:pPr>
            <w:r>
              <w:rPr>
                <w:rFonts w:hint="eastAsia"/>
                <w:color w:val="auto"/>
                <w:sz w:val="22"/>
                <w:szCs w:val="22"/>
                <w:highlight w:val="none"/>
              </w:rPr>
              <w:t>《环境空气质量标准》</w:t>
            </w:r>
          </w:p>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lang w:eastAsia="zh-CN"/>
              </w:rPr>
              <w:t>（</w:t>
            </w:r>
            <w:r>
              <w:rPr>
                <w:rFonts w:hint="eastAsia"/>
                <w:color w:val="auto"/>
                <w:sz w:val="22"/>
                <w:szCs w:val="22"/>
                <w:highlight w:val="none"/>
              </w:rPr>
              <w:t>GB 3095-2012）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4"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c>
          <w:tcPr>
            <w:tcW w:w="2390"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24小时平均</w:t>
            </w:r>
          </w:p>
        </w:tc>
        <w:tc>
          <w:tcPr>
            <w:tcW w:w="2042" w:type="dxa"/>
            <w:vAlign w:val="center"/>
          </w:tcPr>
          <w:p>
            <w:pPr>
              <w:snapToGrid w:val="0"/>
              <w:spacing w:line="240" w:lineRule="auto"/>
              <w:ind w:firstLine="0" w:firstLineChars="0"/>
              <w:jc w:val="center"/>
              <w:rPr>
                <w:color w:val="auto"/>
                <w:sz w:val="22"/>
                <w:szCs w:val="22"/>
                <w:highlight w:val="none"/>
              </w:rPr>
            </w:pPr>
            <w:r>
              <w:rPr>
                <w:color w:val="auto"/>
                <w:sz w:val="22"/>
                <w:szCs w:val="22"/>
                <w:highlight w:val="none"/>
              </w:rPr>
              <w:t>150</w:t>
            </w:r>
          </w:p>
        </w:tc>
        <w:tc>
          <w:tcPr>
            <w:tcW w:w="2972"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4"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c>
          <w:tcPr>
            <w:tcW w:w="2390"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1小时平均</w:t>
            </w:r>
          </w:p>
        </w:tc>
        <w:tc>
          <w:tcPr>
            <w:tcW w:w="2042" w:type="dxa"/>
            <w:vAlign w:val="center"/>
          </w:tcPr>
          <w:p>
            <w:pPr>
              <w:snapToGrid w:val="0"/>
              <w:spacing w:line="240" w:lineRule="auto"/>
              <w:ind w:firstLine="0" w:firstLineChars="0"/>
              <w:jc w:val="center"/>
              <w:rPr>
                <w:color w:val="auto"/>
                <w:sz w:val="22"/>
                <w:szCs w:val="22"/>
                <w:highlight w:val="none"/>
              </w:rPr>
            </w:pPr>
            <w:r>
              <w:rPr>
                <w:color w:val="auto"/>
                <w:sz w:val="22"/>
                <w:szCs w:val="22"/>
                <w:highlight w:val="none"/>
              </w:rPr>
              <w:t>500</w:t>
            </w:r>
          </w:p>
        </w:tc>
        <w:tc>
          <w:tcPr>
            <w:tcW w:w="2972"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4" w:type="dxa"/>
            <w:vMerge w:val="restart"/>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NO</w:t>
            </w:r>
            <w:r>
              <w:rPr>
                <w:rFonts w:hint="eastAsia"/>
                <w:color w:val="auto"/>
                <w:sz w:val="22"/>
                <w:szCs w:val="22"/>
                <w:highlight w:val="none"/>
                <w:vertAlign w:val="subscript"/>
              </w:rPr>
              <w:t>2</w:t>
            </w:r>
          </w:p>
        </w:tc>
        <w:tc>
          <w:tcPr>
            <w:tcW w:w="2390"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年平均</w:t>
            </w:r>
          </w:p>
        </w:tc>
        <w:tc>
          <w:tcPr>
            <w:tcW w:w="2042" w:type="dxa"/>
            <w:vAlign w:val="center"/>
          </w:tcPr>
          <w:p>
            <w:pPr>
              <w:snapToGrid w:val="0"/>
              <w:spacing w:line="240" w:lineRule="auto"/>
              <w:ind w:firstLine="0" w:firstLineChars="0"/>
              <w:jc w:val="center"/>
              <w:rPr>
                <w:color w:val="auto"/>
                <w:sz w:val="22"/>
                <w:szCs w:val="22"/>
                <w:highlight w:val="none"/>
              </w:rPr>
            </w:pPr>
            <w:r>
              <w:rPr>
                <w:color w:val="auto"/>
                <w:sz w:val="22"/>
                <w:szCs w:val="22"/>
                <w:highlight w:val="none"/>
              </w:rPr>
              <w:t>40</w:t>
            </w:r>
          </w:p>
        </w:tc>
        <w:tc>
          <w:tcPr>
            <w:tcW w:w="2972"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4"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c>
          <w:tcPr>
            <w:tcW w:w="2390"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24小时平均</w:t>
            </w:r>
          </w:p>
        </w:tc>
        <w:tc>
          <w:tcPr>
            <w:tcW w:w="2042" w:type="dxa"/>
            <w:vAlign w:val="center"/>
          </w:tcPr>
          <w:p>
            <w:pPr>
              <w:snapToGrid w:val="0"/>
              <w:spacing w:line="240" w:lineRule="auto"/>
              <w:ind w:firstLine="0" w:firstLineChars="0"/>
              <w:jc w:val="center"/>
              <w:rPr>
                <w:color w:val="auto"/>
                <w:sz w:val="22"/>
                <w:szCs w:val="22"/>
                <w:highlight w:val="none"/>
              </w:rPr>
            </w:pPr>
            <w:r>
              <w:rPr>
                <w:color w:val="auto"/>
                <w:sz w:val="22"/>
                <w:szCs w:val="22"/>
                <w:highlight w:val="none"/>
              </w:rPr>
              <w:t>80</w:t>
            </w:r>
          </w:p>
        </w:tc>
        <w:tc>
          <w:tcPr>
            <w:tcW w:w="2972"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4"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c>
          <w:tcPr>
            <w:tcW w:w="2390"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1小时平均</w:t>
            </w:r>
          </w:p>
        </w:tc>
        <w:tc>
          <w:tcPr>
            <w:tcW w:w="2042" w:type="dxa"/>
            <w:vAlign w:val="center"/>
          </w:tcPr>
          <w:p>
            <w:pPr>
              <w:snapToGrid w:val="0"/>
              <w:spacing w:line="240" w:lineRule="auto"/>
              <w:ind w:firstLine="0" w:firstLineChars="0"/>
              <w:jc w:val="center"/>
              <w:rPr>
                <w:color w:val="auto"/>
                <w:sz w:val="22"/>
                <w:szCs w:val="22"/>
                <w:highlight w:val="none"/>
              </w:rPr>
            </w:pPr>
            <w:r>
              <w:rPr>
                <w:color w:val="auto"/>
                <w:sz w:val="22"/>
                <w:szCs w:val="22"/>
                <w:highlight w:val="none"/>
              </w:rPr>
              <w:t>200</w:t>
            </w:r>
          </w:p>
        </w:tc>
        <w:tc>
          <w:tcPr>
            <w:tcW w:w="2972"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4" w:type="dxa"/>
            <w:vMerge w:val="restart"/>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PM</w:t>
            </w:r>
            <w:r>
              <w:rPr>
                <w:rFonts w:hint="eastAsia"/>
                <w:color w:val="auto"/>
                <w:sz w:val="22"/>
                <w:szCs w:val="22"/>
                <w:highlight w:val="none"/>
                <w:vertAlign w:val="subscript"/>
              </w:rPr>
              <w:t>10</w:t>
            </w:r>
          </w:p>
        </w:tc>
        <w:tc>
          <w:tcPr>
            <w:tcW w:w="2390"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年平均</w:t>
            </w:r>
          </w:p>
        </w:tc>
        <w:tc>
          <w:tcPr>
            <w:tcW w:w="2042" w:type="dxa"/>
            <w:vAlign w:val="center"/>
          </w:tcPr>
          <w:p>
            <w:pPr>
              <w:snapToGrid w:val="0"/>
              <w:spacing w:line="240" w:lineRule="auto"/>
              <w:ind w:firstLine="0" w:firstLineChars="0"/>
              <w:jc w:val="center"/>
              <w:rPr>
                <w:color w:val="auto"/>
                <w:sz w:val="22"/>
                <w:szCs w:val="22"/>
                <w:highlight w:val="none"/>
              </w:rPr>
            </w:pPr>
            <w:r>
              <w:rPr>
                <w:color w:val="auto"/>
                <w:sz w:val="22"/>
                <w:szCs w:val="22"/>
                <w:highlight w:val="none"/>
              </w:rPr>
              <w:t>70</w:t>
            </w:r>
          </w:p>
        </w:tc>
        <w:tc>
          <w:tcPr>
            <w:tcW w:w="2972"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4"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c>
          <w:tcPr>
            <w:tcW w:w="2390"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24小时平均</w:t>
            </w:r>
          </w:p>
        </w:tc>
        <w:tc>
          <w:tcPr>
            <w:tcW w:w="2042" w:type="dxa"/>
            <w:vAlign w:val="center"/>
          </w:tcPr>
          <w:p>
            <w:pPr>
              <w:snapToGrid w:val="0"/>
              <w:spacing w:line="240" w:lineRule="auto"/>
              <w:ind w:firstLine="0" w:firstLineChars="0"/>
              <w:jc w:val="center"/>
              <w:rPr>
                <w:color w:val="auto"/>
                <w:sz w:val="22"/>
                <w:szCs w:val="22"/>
                <w:highlight w:val="none"/>
              </w:rPr>
            </w:pPr>
            <w:r>
              <w:rPr>
                <w:color w:val="auto"/>
                <w:sz w:val="22"/>
                <w:szCs w:val="22"/>
                <w:highlight w:val="none"/>
              </w:rPr>
              <w:t>150</w:t>
            </w:r>
          </w:p>
        </w:tc>
        <w:tc>
          <w:tcPr>
            <w:tcW w:w="2972"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4" w:type="dxa"/>
            <w:vMerge w:val="restart"/>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PM</w:t>
            </w:r>
            <w:r>
              <w:rPr>
                <w:color w:val="auto"/>
                <w:sz w:val="22"/>
                <w:szCs w:val="22"/>
                <w:highlight w:val="none"/>
                <w:vertAlign w:val="subscript"/>
              </w:rPr>
              <w:t>2.5</w:t>
            </w:r>
          </w:p>
        </w:tc>
        <w:tc>
          <w:tcPr>
            <w:tcW w:w="2390"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年平均</w:t>
            </w:r>
          </w:p>
        </w:tc>
        <w:tc>
          <w:tcPr>
            <w:tcW w:w="2042" w:type="dxa"/>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35</w:t>
            </w:r>
          </w:p>
        </w:tc>
        <w:tc>
          <w:tcPr>
            <w:tcW w:w="2972"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4"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c>
          <w:tcPr>
            <w:tcW w:w="2390"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24小时平均</w:t>
            </w:r>
          </w:p>
        </w:tc>
        <w:tc>
          <w:tcPr>
            <w:tcW w:w="2042" w:type="dxa"/>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75</w:t>
            </w:r>
          </w:p>
        </w:tc>
        <w:tc>
          <w:tcPr>
            <w:tcW w:w="2972"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4" w:type="dxa"/>
            <w:vMerge w:val="restart"/>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CO</w:t>
            </w:r>
          </w:p>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w:t>
            </w:r>
            <w:r>
              <w:rPr>
                <w:rFonts w:hint="eastAsia"/>
                <w:color w:val="auto"/>
                <w:sz w:val="22"/>
                <w:szCs w:val="22"/>
                <w:highlight w:val="none"/>
              </w:rPr>
              <w:t>mg</w:t>
            </w:r>
            <w:r>
              <w:rPr>
                <w:color w:val="auto"/>
                <w:sz w:val="22"/>
                <w:szCs w:val="22"/>
                <w:highlight w:val="none"/>
              </w:rPr>
              <w:t>/m³</w:t>
            </w:r>
            <w:r>
              <w:rPr>
                <w:rFonts w:hint="eastAsia"/>
                <w:color w:val="auto"/>
                <w:sz w:val="22"/>
                <w:szCs w:val="22"/>
                <w:highlight w:val="none"/>
              </w:rPr>
              <w:t>)</w:t>
            </w:r>
          </w:p>
        </w:tc>
        <w:tc>
          <w:tcPr>
            <w:tcW w:w="2390"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24小时平均</w:t>
            </w:r>
          </w:p>
        </w:tc>
        <w:tc>
          <w:tcPr>
            <w:tcW w:w="2042"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4</w:t>
            </w:r>
          </w:p>
        </w:tc>
        <w:tc>
          <w:tcPr>
            <w:tcW w:w="2972"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4"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c>
          <w:tcPr>
            <w:tcW w:w="2390"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1小时平均</w:t>
            </w:r>
          </w:p>
        </w:tc>
        <w:tc>
          <w:tcPr>
            <w:tcW w:w="2042"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10</w:t>
            </w:r>
          </w:p>
        </w:tc>
        <w:tc>
          <w:tcPr>
            <w:tcW w:w="2972"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4" w:type="dxa"/>
            <w:vMerge w:val="restart"/>
            <w:shd w:val="clear" w:color="auto" w:fill="auto"/>
            <w:vAlign w:val="center"/>
          </w:tcPr>
          <w:p>
            <w:pPr>
              <w:adjustRightInd w:val="0"/>
              <w:snapToGrid w:val="0"/>
              <w:spacing w:line="240" w:lineRule="auto"/>
              <w:ind w:firstLine="0" w:firstLineChars="0"/>
              <w:jc w:val="center"/>
              <w:rPr>
                <w:color w:val="auto"/>
                <w:sz w:val="22"/>
                <w:szCs w:val="22"/>
                <w:highlight w:val="none"/>
                <w:vertAlign w:val="subscript"/>
              </w:rPr>
            </w:pPr>
            <w:r>
              <w:rPr>
                <w:rFonts w:hint="eastAsia"/>
                <w:color w:val="auto"/>
                <w:sz w:val="22"/>
                <w:szCs w:val="22"/>
                <w:highlight w:val="none"/>
              </w:rPr>
              <w:t>O</w:t>
            </w:r>
            <w:r>
              <w:rPr>
                <w:color w:val="auto"/>
                <w:sz w:val="22"/>
                <w:szCs w:val="22"/>
                <w:highlight w:val="none"/>
                <w:vertAlign w:val="subscript"/>
              </w:rPr>
              <w:t>3</w:t>
            </w:r>
          </w:p>
        </w:tc>
        <w:tc>
          <w:tcPr>
            <w:tcW w:w="2390"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日最大8小时平均</w:t>
            </w:r>
          </w:p>
        </w:tc>
        <w:tc>
          <w:tcPr>
            <w:tcW w:w="2042" w:type="dxa"/>
            <w:vAlign w:val="center"/>
          </w:tcPr>
          <w:p>
            <w:pPr>
              <w:snapToGrid w:val="0"/>
              <w:spacing w:line="240" w:lineRule="auto"/>
              <w:ind w:firstLine="0" w:firstLineChars="0"/>
              <w:jc w:val="center"/>
              <w:rPr>
                <w:color w:val="auto"/>
                <w:sz w:val="22"/>
                <w:szCs w:val="22"/>
                <w:highlight w:val="none"/>
              </w:rPr>
            </w:pPr>
            <w:r>
              <w:rPr>
                <w:color w:val="auto"/>
                <w:sz w:val="22"/>
                <w:szCs w:val="22"/>
                <w:highlight w:val="none"/>
              </w:rPr>
              <w:t>160</w:t>
            </w:r>
          </w:p>
        </w:tc>
        <w:tc>
          <w:tcPr>
            <w:tcW w:w="2972"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4"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c>
          <w:tcPr>
            <w:tcW w:w="2390" w:type="dxa"/>
            <w:shd w:val="clear" w:color="auto" w:fill="auto"/>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1小时平均</w:t>
            </w:r>
          </w:p>
        </w:tc>
        <w:tc>
          <w:tcPr>
            <w:tcW w:w="2042" w:type="dxa"/>
            <w:vAlign w:val="center"/>
          </w:tcPr>
          <w:p>
            <w:pPr>
              <w:snapToGrid w:val="0"/>
              <w:spacing w:line="240" w:lineRule="auto"/>
              <w:ind w:firstLine="0" w:firstLineChars="0"/>
              <w:jc w:val="center"/>
              <w:rPr>
                <w:color w:val="auto"/>
                <w:sz w:val="22"/>
                <w:szCs w:val="22"/>
                <w:highlight w:val="none"/>
              </w:rPr>
            </w:pPr>
            <w:r>
              <w:rPr>
                <w:color w:val="auto"/>
                <w:sz w:val="22"/>
                <w:szCs w:val="22"/>
                <w:highlight w:val="none"/>
              </w:rPr>
              <w:t>200</w:t>
            </w:r>
          </w:p>
        </w:tc>
        <w:tc>
          <w:tcPr>
            <w:tcW w:w="2972" w:type="dxa"/>
            <w:vMerge w:val="continue"/>
            <w:shd w:val="clear" w:color="auto" w:fill="auto"/>
            <w:vAlign w:val="center"/>
          </w:tcPr>
          <w:p>
            <w:pPr>
              <w:adjustRightInd w:val="0"/>
              <w:snapToGrid w:val="0"/>
              <w:spacing w:line="240" w:lineRule="auto"/>
              <w:ind w:firstLine="0" w:firstLineChars="0"/>
              <w:jc w:val="center"/>
              <w:rPr>
                <w:color w:val="auto"/>
                <w:sz w:val="22"/>
                <w:szCs w:val="22"/>
                <w:highlight w:val="none"/>
              </w:rPr>
            </w:pPr>
          </w:p>
        </w:tc>
      </w:tr>
    </w:tbl>
    <w:p>
      <w:pPr>
        <w:spacing w:line="240" w:lineRule="auto"/>
        <w:ind w:firstLine="520"/>
        <w:rPr>
          <w:rFonts w:eastAsiaTheme="minorEastAsia"/>
          <w:color w:val="auto"/>
          <w:highlight w:val="none"/>
        </w:rPr>
      </w:pPr>
    </w:p>
    <w:p>
      <w:pPr>
        <w:ind w:firstLine="520"/>
        <w:rPr>
          <w:rFonts w:eastAsiaTheme="minorEastAsia"/>
          <w:color w:val="auto"/>
          <w:highlight w:val="none"/>
        </w:rPr>
      </w:pPr>
      <w:r>
        <w:rPr>
          <w:rFonts w:eastAsiaTheme="minorEastAsia"/>
          <w:color w:val="auto"/>
          <w:highlight w:val="none"/>
        </w:rPr>
        <w:t>（2）地表水环境</w:t>
      </w:r>
    </w:p>
    <w:p>
      <w:pPr>
        <w:ind w:firstLine="520"/>
        <w:rPr>
          <w:color w:val="auto"/>
          <w:szCs w:val="26"/>
          <w:highlight w:val="none"/>
        </w:rPr>
      </w:pPr>
      <w:r>
        <w:rPr>
          <w:rFonts w:hint="eastAsia"/>
          <w:color w:val="auto"/>
          <w:szCs w:val="26"/>
          <w:highlight w:val="none"/>
        </w:rPr>
        <w:t>项目所在涪江合川段及渭沱电站水库执行《地表水环境质量标准》(GB 3838-2002)中的Ⅲ类标准。主要</w:t>
      </w:r>
      <w:r>
        <w:rPr>
          <w:color w:val="auto"/>
          <w:szCs w:val="26"/>
          <w:highlight w:val="none"/>
        </w:rPr>
        <w:t>水质因子</w:t>
      </w:r>
      <w:r>
        <w:rPr>
          <w:rFonts w:hint="eastAsia"/>
          <w:color w:val="auto"/>
          <w:szCs w:val="26"/>
          <w:highlight w:val="none"/>
        </w:rPr>
        <w:t>相应的标准详见下表：</w:t>
      </w:r>
    </w:p>
    <w:p>
      <w:pPr>
        <w:adjustRightInd w:val="0"/>
        <w:snapToGrid w:val="0"/>
        <w:spacing w:line="240" w:lineRule="auto"/>
        <w:ind w:firstLine="520"/>
        <w:jc w:val="right"/>
        <w:rPr>
          <w:rFonts w:hint="eastAsia"/>
          <w:color w:val="auto"/>
          <w:kern w:val="0"/>
          <w:szCs w:val="26"/>
          <w:highlight w:val="none"/>
        </w:rPr>
      </w:pPr>
    </w:p>
    <w:p>
      <w:pPr>
        <w:adjustRightInd w:val="0"/>
        <w:snapToGrid w:val="0"/>
        <w:spacing w:line="240" w:lineRule="auto"/>
        <w:ind w:firstLine="520"/>
        <w:jc w:val="right"/>
        <w:rPr>
          <w:color w:val="auto"/>
          <w:kern w:val="0"/>
          <w:sz w:val="22"/>
          <w:szCs w:val="22"/>
          <w:highlight w:val="none"/>
        </w:rPr>
      </w:pPr>
      <w:r>
        <w:rPr>
          <w:rFonts w:hint="eastAsia"/>
          <w:color w:val="auto"/>
          <w:kern w:val="0"/>
          <w:szCs w:val="26"/>
          <w:highlight w:val="none"/>
        </w:rPr>
        <w:t xml:space="preserve">表1.7.2-2  地表水环境质量标准限值   </w:t>
      </w:r>
      <w:r>
        <w:rPr>
          <w:color w:val="auto"/>
          <w:kern w:val="0"/>
          <w:szCs w:val="26"/>
          <w:highlight w:val="none"/>
        </w:rPr>
        <w:t xml:space="preserve"> </w:t>
      </w:r>
      <w:r>
        <w:rPr>
          <w:rFonts w:hint="eastAsia"/>
          <w:color w:val="auto"/>
          <w:kern w:val="0"/>
          <w:sz w:val="22"/>
          <w:szCs w:val="22"/>
          <w:highlight w:val="none"/>
        </w:rPr>
        <w:t>单位</w:t>
      </w:r>
      <w:r>
        <w:rPr>
          <w:color w:val="auto"/>
          <w:kern w:val="0"/>
          <w:sz w:val="22"/>
          <w:szCs w:val="22"/>
          <w:highlight w:val="none"/>
        </w:rPr>
        <w:t>：</w:t>
      </w:r>
      <w:r>
        <w:rPr>
          <w:rFonts w:hint="eastAsia"/>
          <w:color w:val="auto"/>
          <w:kern w:val="0"/>
          <w:sz w:val="22"/>
          <w:szCs w:val="22"/>
          <w:highlight w:val="none"/>
        </w:rPr>
        <w:t>mg/L，pH无量纲</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9"/>
        <w:gridCol w:w="2807"/>
        <w:gridCol w:w="2399"/>
        <w:gridCol w:w="22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9" w:type="dxa"/>
            <w:vAlign w:val="center"/>
          </w:tcPr>
          <w:p>
            <w:pPr>
              <w:spacing w:line="240" w:lineRule="auto"/>
              <w:ind w:firstLine="0" w:firstLineChars="0"/>
              <w:jc w:val="center"/>
              <w:rPr>
                <w:color w:val="auto"/>
                <w:sz w:val="22"/>
                <w:szCs w:val="22"/>
                <w:highlight w:val="none"/>
              </w:rPr>
            </w:pPr>
            <w:r>
              <w:rPr>
                <w:color w:val="auto"/>
                <w:sz w:val="22"/>
                <w:szCs w:val="22"/>
                <w:highlight w:val="none"/>
              </w:rPr>
              <w:t>序号</w:t>
            </w:r>
          </w:p>
        </w:tc>
        <w:tc>
          <w:tcPr>
            <w:tcW w:w="2807" w:type="dxa"/>
            <w:vAlign w:val="center"/>
          </w:tcPr>
          <w:p>
            <w:pPr>
              <w:spacing w:line="240" w:lineRule="auto"/>
              <w:ind w:firstLine="0" w:firstLineChars="0"/>
              <w:jc w:val="center"/>
              <w:rPr>
                <w:color w:val="auto"/>
                <w:sz w:val="22"/>
                <w:szCs w:val="22"/>
                <w:highlight w:val="none"/>
              </w:rPr>
            </w:pPr>
            <w:r>
              <w:rPr>
                <w:color w:val="auto"/>
                <w:sz w:val="22"/>
                <w:szCs w:val="22"/>
                <w:highlight w:val="none"/>
              </w:rPr>
              <w:t>项目</w:t>
            </w:r>
          </w:p>
        </w:tc>
        <w:tc>
          <w:tcPr>
            <w:tcW w:w="2399" w:type="dxa"/>
            <w:vAlign w:val="center"/>
          </w:tcPr>
          <w:p>
            <w:pPr>
              <w:spacing w:line="240" w:lineRule="auto"/>
              <w:ind w:firstLine="0" w:firstLineChars="0"/>
              <w:jc w:val="center"/>
              <w:rPr>
                <w:color w:val="auto"/>
                <w:sz w:val="22"/>
                <w:szCs w:val="22"/>
                <w:highlight w:val="none"/>
              </w:rPr>
            </w:pPr>
            <w:r>
              <w:rPr>
                <w:color w:val="auto"/>
                <w:sz w:val="22"/>
                <w:szCs w:val="22"/>
                <w:highlight w:val="none"/>
              </w:rPr>
              <w:t>Ⅲ类标准限值</w:t>
            </w:r>
          </w:p>
        </w:tc>
        <w:tc>
          <w:tcPr>
            <w:tcW w:w="2213" w:type="dxa"/>
            <w:vAlign w:val="center"/>
          </w:tcPr>
          <w:p>
            <w:pPr>
              <w:spacing w:line="240" w:lineRule="auto"/>
              <w:ind w:firstLine="0" w:firstLineChars="0"/>
              <w:jc w:val="center"/>
              <w:rPr>
                <w:color w:val="auto"/>
                <w:sz w:val="22"/>
                <w:szCs w:val="22"/>
                <w:highlight w:val="none"/>
              </w:rPr>
            </w:pPr>
            <w:r>
              <w:rPr>
                <w:rFonts w:hint="eastAsia"/>
                <w:color w:val="auto"/>
                <w:sz w:val="22"/>
                <w:szCs w:val="22"/>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9" w:type="dxa"/>
            <w:vAlign w:val="center"/>
          </w:tcPr>
          <w:p>
            <w:pPr>
              <w:spacing w:line="240" w:lineRule="auto"/>
              <w:ind w:firstLine="0" w:firstLineChars="0"/>
              <w:jc w:val="center"/>
              <w:rPr>
                <w:color w:val="auto"/>
                <w:sz w:val="22"/>
                <w:szCs w:val="22"/>
                <w:highlight w:val="none"/>
              </w:rPr>
            </w:pPr>
            <w:r>
              <w:rPr>
                <w:color w:val="auto"/>
                <w:sz w:val="22"/>
                <w:szCs w:val="22"/>
                <w:highlight w:val="none"/>
              </w:rPr>
              <w:t>1</w:t>
            </w:r>
          </w:p>
        </w:tc>
        <w:tc>
          <w:tcPr>
            <w:tcW w:w="2807" w:type="dxa"/>
            <w:vAlign w:val="center"/>
          </w:tcPr>
          <w:p>
            <w:pPr>
              <w:spacing w:line="240" w:lineRule="auto"/>
              <w:ind w:firstLine="0" w:firstLineChars="0"/>
              <w:jc w:val="center"/>
              <w:rPr>
                <w:color w:val="auto"/>
                <w:sz w:val="22"/>
                <w:szCs w:val="22"/>
                <w:highlight w:val="none"/>
              </w:rPr>
            </w:pPr>
            <w:r>
              <w:rPr>
                <w:color w:val="auto"/>
                <w:sz w:val="22"/>
                <w:szCs w:val="22"/>
                <w:highlight w:val="none"/>
              </w:rPr>
              <w:t>pH值（无量纲）</w:t>
            </w:r>
          </w:p>
        </w:tc>
        <w:tc>
          <w:tcPr>
            <w:tcW w:w="2399" w:type="dxa"/>
            <w:vAlign w:val="center"/>
          </w:tcPr>
          <w:p>
            <w:pPr>
              <w:spacing w:line="240" w:lineRule="auto"/>
              <w:ind w:firstLine="0" w:firstLineChars="0"/>
              <w:jc w:val="center"/>
              <w:rPr>
                <w:color w:val="auto"/>
                <w:sz w:val="22"/>
                <w:szCs w:val="22"/>
                <w:highlight w:val="none"/>
              </w:rPr>
            </w:pPr>
            <w:r>
              <w:rPr>
                <w:color w:val="auto"/>
                <w:sz w:val="22"/>
                <w:szCs w:val="22"/>
                <w:highlight w:val="none"/>
              </w:rPr>
              <w:t>6~9</w:t>
            </w:r>
          </w:p>
        </w:tc>
        <w:tc>
          <w:tcPr>
            <w:tcW w:w="2213" w:type="dxa"/>
            <w:vMerge w:val="restart"/>
            <w:vAlign w:val="center"/>
          </w:tcPr>
          <w:p>
            <w:pPr>
              <w:spacing w:line="240" w:lineRule="auto"/>
              <w:ind w:firstLine="0" w:firstLineChars="0"/>
              <w:jc w:val="center"/>
              <w:rPr>
                <w:color w:val="auto"/>
                <w:sz w:val="22"/>
                <w:szCs w:val="22"/>
                <w:highlight w:val="none"/>
              </w:rPr>
            </w:pPr>
            <w:r>
              <w:rPr>
                <w:color w:val="auto"/>
                <w:sz w:val="22"/>
                <w:szCs w:val="22"/>
                <w:highlight w:val="none"/>
              </w:rPr>
              <w:t>地表水环境质量标准基本项目标准限值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9" w:type="dxa"/>
            <w:vAlign w:val="center"/>
          </w:tcPr>
          <w:p>
            <w:pPr>
              <w:spacing w:line="240" w:lineRule="auto"/>
              <w:ind w:firstLine="0" w:firstLineChars="0"/>
              <w:jc w:val="center"/>
              <w:rPr>
                <w:color w:val="auto"/>
                <w:sz w:val="22"/>
                <w:szCs w:val="22"/>
                <w:highlight w:val="none"/>
              </w:rPr>
            </w:pPr>
            <w:r>
              <w:rPr>
                <w:color w:val="auto"/>
                <w:sz w:val="22"/>
                <w:szCs w:val="22"/>
                <w:highlight w:val="none"/>
              </w:rPr>
              <w:t>2</w:t>
            </w:r>
          </w:p>
        </w:tc>
        <w:tc>
          <w:tcPr>
            <w:tcW w:w="2807" w:type="dxa"/>
            <w:vAlign w:val="center"/>
          </w:tcPr>
          <w:p>
            <w:pPr>
              <w:spacing w:line="240" w:lineRule="auto"/>
              <w:ind w:firstLine="0" w:firstLineChars="0"/>
              <w:jc w:val="center"/>
              <w:rPr>
                <w:color w:val="auto"/>
                <w:sz w:val="22"/>
                <w:szCs w:val="22"/>
                <w:highlight w:val="none"/>
              </w:rPr>
            </w:pPr>
            <w:r>
              <w:rPr>
                <w:color w:val="auto"/>
                <w:sz w:val="22"/>
                <w:szCs w:val="22"/>
                <w:highlight w:val="none"/>
              </w:rPr>
              <w:t>溶解氧</w:t>
            </w:r>
          </w:p>
        </w:tc>
        <w:tc>
          <w:tcPr>
            <w:tcW w:w="2399" w:type="dxa"/>
            <w:vAlign w:val="center"/>
          </w:tcPr>
          <w:p>
            <w:pPr>
              <w:spacing w:line="240" w:lineRule="auto"/>
              <w:ind w:firstLine="0" w:firstLineChars="0"/>
              <w:jc w:val="center"/>
              <w:rPr>
                <w:color w:val="auto"/>
                <w:sz w:val="22"/>
                <w:szCs w:val="22"/>
                <w:highlight w:val="none"/>
              </w:rPr>
            </w:pPr>
            <w:r>
              <w:rPr>
                <w:color w:val="auto"/>
                <w:sz w:val="22"/>
                <w:szCs w:val="22"/>
                <w:highlight w:val="none"/>
              </w:rPr>
              <w:t>≥5</w:t>
            </w:r>
          </w:p>
        </w:tc>
        <w:tc>
          <w:tcPr>
            <w:tcW w:w="2213" w:type="dxa"/>
            <w:vMerge w:val="continue"/>
            <w:vAlign w:val="center"/>
          </w:tcPr>
          <w:p>
            <w:pPr>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9" w:type="dxa"/>
            <w:vAlign w:val="center"/>
          </w:tcPr>
          <w:p>
            <w:pPr>
              <w:spacing w:line="240" w:lineRule="auto"/>
              <w:ind w:firstLine="0" w:firstLineChars="0"/>
              <w:jc w:val="center"/>
              <w:rPr>
                <w:color w:val="auto"/>
                <w:sz w:val="22"/>
                <w:szCs w:val="22"/>
                <w:highlight w:val="none"/>
              </w:rPr>
            </w:pPr>
            <w:r>
              <w:rPr>
                <w:color w:val="auto"/>
                <w:sz w:val="22"/>
                <w:szCs w:val="22"/>
                <w:highlight w:val="none"/>
              </w:rPr>
              <w:t>3</w:t>
            </w:r>
          </w:p>
        </w:tc>
        <w:tc>
          <w:tcPr>
            <w:tcW w:w="2807" w:type="dxa"/>
            <w:vAlign w:val="center"/>
          </w:tcPr>
          <w:p>
            <w:pPr>
              <w:spacing w:line="240" w:lineRule="auto"/>
              <w:ind w:firstLine="0" w:firstLineChars="0"/>
              <w:jc w:val="center"/>
              <w:rPr>
                <w:color w:val="auto"/>
                <w:sz w:val="22"/>
                <w:szCs w:val="22"/>
                <w:highlight w:val="none"/>
              </w:rPr>
            </w:pPr>
            <w:r>
              <w:rPr>
                <w:color w:val="auto"/>
                <w:sz w:val="22"/>
                <w:szCs w:val="22"/>
                <w:highlight w:val="none"/>
              </w:rPr>
              <w:t>高锰酸盐指数</w:t>
            </w:r>
          </w:p>
        </w:tc>
        <w:tc>
          <w:tcPr>
            <w:tcW w:w="2399" w:type="dxa"/>
            <w:vAlign w:val="center"/>
          </w:tcPr>
          <w:p>
            <w:pPr>
              <w:spacing w:line="240" w:lineRule="auto"/>
              <w:ind w:firstLine="0" w:firstLineChars="0"/>
              <w:jc w:val="center"/>
              <w:rPr>
                <w:color w:val="auto"/>
                <w:sz w:val="22"/>
                <w:szCs w:val="22"/>
                <w:highlight w:val="none"/>
              </w:rPr>
            </w:pPr>
            <w:r>
              <w:rPr>
                <w:color w:val="auto"/>
                <w:sz w:val="22"/>
                <w:szCs w:val="22"/>
                <w:highlight w:val="none"/>
              </w:rPr>
              <w:t>≤6</w:t>
            </w:r>
          </w:p>
        </w:tc>
        <w:tc>
          <w:tcPr>
            <w:tcW w:w="2213" w:type="dxa"/>
            <w:vMerge w:val="continue"/>
            <w:vAlign w:val="center"/>
          </w:tcPr>
          <w:p>
            <w:pPr>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9" w:type="dxa"/>
            <w:vAlign w:val="center"/>
          </w:tcPr>
          <w:p>
            <w:pPr>
              <w:spacing w:line="240" w:lineRule="auto"/>
              <w:ind w:firstLine="0" w:firstLineChars="0"/>
              <w:jc w:val="center"/>
              <w:rPr>
                <w:color w:val="auto"/>
                <w:sz w:val="22"/>
                <w:szCs w:val="22"/>
                <w:highlight w:val="none"/>
              </w:rPr>
            </w:pPr>
            <w:r>
              <w:rPr>
                <w:color w:val="auto"/>
                <w:sz w:val="22"/>
                <w:szCs w:val="22"/>
                <w:highlight w:val="none"/>
              </w:rPr>
              <w:t>4</w:t>
            </w:r>
          </w:p>
        </w:tc>
        <w:tc>
          <w:tcPr>
            <w:tcW w:w="2807" w:type="dxa"/>
            <w:vAlign w:val="center"/>
          </w:tcPr>
          <w:p>
            <w:pPr>
              <w:spacing w:line="240" w:lineRule="auto"/>
              <w:ind w:firstLine="0" w:firstLineChars="0"/>
              <w:jc w:val="center"/>
              <w:rPr>
                <w:color w:val="auto"/>
                <w:sz w:val="22"/>
                <w:szCs w:val="22"/>
                <w:highlight w:val="none"/>
              </w:rPr>
            </w:pPr>
            <w:r>
              <w:rPr>
                <w:color w:val="auto"/>
                <w:sz w:val="22"/>
                <w:szCs w:val="22"/>
                <w:highlight w:val="none"/>
              </w:rPr>
              <w:t>化学需氧量</w:t>
            </w:r>
          </w:p>
        </w:tc>
        <w:tc>
          <w:tcPr>
            <w:tcW w:w="2399" w:type="dxa"/>
            <w:vAlign w:val="center"/>
          </w:tcPr>
          <w:p>
            <w:pPr>
              <w:spacing w:line="240" w:lineRule="auto"/>
              <w:ind w:firstLine="0" w:firstLineChars="0"/>
              <w:jc w:val="center"/>
              <w:rPr>
                <w:color w:val="auto"/>
                <w:sz w:val="22"/>
                <w:szCs w:val="22"/>
                <w:highlight w:val="none"/>
              </w:rPr>
            </w:pPr>
            <w:r>
              <w:rPr>
                <w:color w:val="auto"/>
                <w:sz w:val="22"/>
                <w:szCs w:val="22"/>
                <w:highlight w:val="none"/>
              </w:rPr>
              <w:t>≤20</w:t>
            </w:r>
          </w:p>
        </w:tc>
        <w:tc>
          <w:tcPr>
            <w:tcW w:w="2213" w:type="dxa"/>
            <w:vMerge w:val="continue"/>
            <w:vAlign w:val="center"/>
          </w:tcPr>
          <w:p>
            <w:pPr>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9" w:type="dxa"/>
            <w:vAlign w:val="center"/>
          </w:tcPr>
          <w:p>
            <w:pPr>
              <w:spacing w:line="240" w:lineRule="auto"/>
              <w:ind w:firstLine="0" w:firstLineChars="0"/>
              <w:jc w:val="center"/>
              <w:rPr>
                <w:color w:val="auto"/>
                <w:sz w:val="22"/>
                <w:szCs w:val="22"/>
                <w:highlight w:val="none"/>
              </w:rPr>
            </w:pPr>
            <w:r>
              <w:rPr>
                <w:color w:val="auto"/>
                <w:sz w:val="22"/>
                <w:szCs w:val="22"/>
                <w:highlight w:val="none"/>
              </w:rPr>
              <w:t>5</w:t>
            </w:r>
          </w:p>
        </w:tc>
        <w:tc>
          <w:tcPr>
            <w:tcW w:w="2807" w:type="dxa"/>
            <w:vAlign w:val="center"/>
          </w:tcPr>
          <w:p>
            <w:pPr>
              <w:spacing w:line="240" w:lineRule="auto"/>
              <w:ind w:firstLine="0" w:firstLineChars="0"/>
              <w:jc w:val="center"/>
              <w:rPr>
                <w:color w:val="auto"/>
                <w:sz w:val="22"/>
                <w:szCs w:val="22"/>
                <w:highlight w:val="none"/>
              </w:rPr>
            </w:pPr>
            <w:r>
              <w:rPr>
                <w:color w:val="auto"/>
                <w:sz w:val="22"/>
                <w:szCs w:val="22"/>
                <w:highlight w:val="none"/>
              </w:rPr>
              <w:t>五日生化需氧量</w:t>
            </w:r>
          </w:p>
        </w:tc>
        <w:tc>
          <w:tcPr>
            <w:tcW w:w="2399" w:type="dxa"/>
            <w:vAlign w:val="center"/>
          </w:tcPr>
          <w:p>
            <w:pPr>
              <w:spacing w:line="240" w:lineRule="auto"/>
              <w:ind w:firstLine="0" w:firstLineChars="0"/>
              <w:jc w:val="center"/>
              <w:rPr>
                <w:color w:val="auto"/>
                <w:sz w:val="22"/>
                <w:szCs w:val="22"/>
                <w:highlight w:val="none"/>
              </w:rPr>
            </w:pPr>
            <w:r>
              <w:rPr>
                <w:color w:val="auto"/>
                <w:sz w:val="22"/>
                <w:szCs w:val="22"/>
                <w:highlight w:val="none"/>
              </w:rPr>
              <w:t>≤4</w:t>
            </w:r>
          </w:p>
        </w:tc>
        <w:tc>
          <w:tcPr>
            <w:tcW w:w="2213" w:type="dxa"/>
            <w:vMerge w:val="continue"/>
            <w:vAlign w:val="center"/>
          </w:tcPr>
          <w:p>
            <w:pPr>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9" w:type="dxa"/>
            <w:vAlign w:val="center"/>
          </w:tcPr>
          <w:p>
            <w:pPr>
              <w:spacing w:line="240" w:lineRule="auto"/>
              <w:ind w:firstLine="0" w:firstLineChars="0"/>
              <w:jc w:val="center"/>
              <w:rPr>
                <w:color w:val="auto"/>
                <w:sz w:val="22"/>
                <w:szCs w:val="22"/>
                <w:highlight w:val="none"/>
              </w:rPr>
            </w:pPr>
            <w:r>
              <w:rPr>
                <w:color w:val="auto"/>
                <w:sz w:val="22"/>
                <w:szCs w:val="22"/>
                <w:highlight w:val="none"/>
              </w:rPr>
              <w:t>6</w:t>
            </w:r>
          </w:p>
        </w:tc>
        <w:tc>
          <w:tcPr>
            <w:tcW w:w="2807" w:type="dxa"/>
            <w:vAlign w:val="center"/>
          </w:tcPr>
          <w:p>
            <w:pPr>
              <w:spacing w:line="240" w:lineRule="auto"/>
              <w:ind w:firstLine="0" w:firstLineChars="0"/>
              <w:jc w:val="center"/>
              <w:rPr>
                <w:color w:val="auto"/>
                <w:sz w:val="22"/>
                <w:szCs w:val="22"/>
                <w:highlight w:val="none"/>
              </w:rPr>
            </w:pPr>
            <w:r>
              <w:rPr>
                <w:color w:val="auto"/>
                <w:sz w:val="22"/>
                <w:szCs w:val="22"/>
                <w:highlight w:val="none"/>
              </w:rPr>
              <w:t>氨氮</w:t>
            </w:r>
          </w:p>
        </w:tc>
        <w:tc>
          <w:tcPr>
            <w:tcW w:w="2399" w:type="dxa"/>
            <w:vAlign w:val="center"/>
          </w:tcPr>
          <w:p>
            <w:pPr>
              <w:spacing w:line="240" w:lineRule="auto"/>
              <w:ind w:firstLine="0" w:firstLineChars="0"/>
              <w:jc w:val="center"/>
              <w:rPr>
                <w:color w:val="auto"/>
                <w:sz w:val="22"/>
                <w:szCs w:val="22"/>
                <w:highlight w:val="none"/>
              </w:rPr>
            </w:pPr>
            <w:r>
              <w:rPr>
                <w:color w:val="auto"/>
                <w:sz w:val="22"/>
                <w:szCs w:val="22"/>
                <w:highlight w:val="none"/>
              </w:rPr>
              <w:t>≤1.0</w:t>
            </w:r>
          </w:p>
        </w:tc>
        <w:tc>
          <w:tcPr>
            <w:tcW w:w="2213" w:type="dxa"/>
            <w:vMerge w:val="continue"/>
            <w:vAlign w:val="center"/>
          </w:tcPr>
          <w:p>
            <w:pPr>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9" w:type="dxa"/>
            <w:vAlign w:val="center"/>
          </w:tcPr>
          <w:p>
            <w:pPr>
              <w:spacing w:line="240" w:lineRule="auto"/>
              <w:ind w:firstLine="0" w:firstLineChars="0"/>
              <w:jc w:val="center"/>
              <w:rPr>
                <w:color w:val="auto"/>
                <w:sz w:val="22"/>
                <w:szCs w:val="22"/>
                <w:highlight w:val="none"/>
              </w:rPr>
            </w:pPr>
            <w:r>
              <w:rPr>
                <w:color w:val="auto"/>
                <w:sz w:val="22"/>
                <w:szCs w:val="22"/>
                <w:highlight w:val="none"/>
              </w:rPr>
              <w:t>7</w:t>
            </w:r>
          </w:p>
        </w:tc>
        <w:tc>
          <w:tcPr>
            <w:tcW w:w="2807" w:type="dxa"/>
            <w:vAlign w:val="center"/>
          </w:tcPr>
          <w:p>
            <w:pPr>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总磷（以P计）</w:t>
            </w:r>
          </w:p>
        </w:tc>
        <w:tc>
          <w:tcPr>
            <w:tcW w:w="2399" w:type="dxa"/>
            <w:vAlign w:val="center"/>
          </w:tcPr>
          <w:p>
            <w:pPr>
              <w:spacing w:line="240" w:lineRule="auto"/>
              <w:ind w:firstLine="0" w:firstLineChars="0"/>
              <w:jc w:val="center"/>
              <w:rPr>
                <w:color w:val="auto"/>
                <w:sz w:val="22"/>
                <w:szCs w:val="22"/>
                <w:highlight w:val="none"/>
              </w:rPr>
            </w:pPr>
            <w:r>
              <w:rPr>
                <w:color w:val="auto"/>
                <w:sz w:val="22"/>
                <w:szCs w:val="22"/>
                <w:highlight w:val="none"/>
              </w:rPr>
              <w:t>≤0.2</w:t>
            </w:r>
          </w:p>
        </w:tc>
        <w:tc>
          <w:tcPr>
            <w:tcW w:w="2213" w:type="dxa"/>
            <w:vMerge w:val="continue"/>
            <w:vAlign w:val="center"/>
          </w:tcPr>
          <w:p>
            <w:pPr>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9" w:type="dxa"/>
            <w:vAlign w:val="center"/>
          </w:tcPr>
          <w:p>
            <w:pPr>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val="en-US" w:eastAsia="zh-CN"/>
              </w:rPr>
              <w:t>8</w:t>
            </w:r>
          </w:p>
        </w:tc>
        <w:tc>
          <w:tcPr>
            <w:tcW w:w="2807" w:type="dxa"/>
            <w:vAlign w:val="center"/>
          </w:tcPr>
          <w:p>
            <w:pPr>
              <w:spacing w:line="240" w:lineRule="auto"/>
              <w:ind w:firstLine="0" w:firstLineChars="0"/>
              <w:jc w:val="center"/>
              <w:rPr>
                <w:color w:val="auto"/>
                <w:sz w:val="22"/>
                <w:szCs w:val="22"/>
                <w:highlight w:val="none"/>
              </w:rPr>
            </w:pPr>
            <w:r>
              <w:rPr>
                <w:color w:val="auto"/>
                <w:sz w:val="22"/>
                <w:szCs w:val="22"/>
                <w:highlight w:val="none"/>
              </w:rPr>
              <w:t>石油类</w:t>
            </w:r>
          </w:p>
        </w:tc>
        <w:tc>
          <w:tcPr>
            <w:tcW w:w="2399" w:type="dxa"/>
            <w:vAlign w:val="center"/>
          </w:tcPr>
          <w:p>
            <w:pPr>
              <w:spacing w:line="240" w:lineRule="auto"/>
              <w:ind w:firstLine="0" w:firstLineChars="0"/>
              <w:jc w:val="center"/>
              <w:rPr>
                <w:color w:val="auto"/>
                <w:sz w:val="22"/>
                <w:szCs w:val="22"/>
                <w:highlight w:val="none"/>
              </w:rPr>
            </w:pPr>
            <w:r>
              <w:rPr>
                <w:color w:val="auto"/>
                <w:sz w:val="22"/>
                <w:szCs w:val="22"/>
                <w:highlight w:val="none"/>
              </w:rPr>
              <w:t>≤0.05</w:t>
            </w:r>
          </w:p>
        </w:tc>
        <w:tc>
          <w:tcPr>
            <w:tcW w:w="2213" w:type="dxa"/>
            <w:vMerge w:val="continue"/>
            <w:vAlign w:val="center"/>
          </w:tcPr>
          <w:p>
            <w:pPr>
              <w:spacing w:line="240" w:lineRule="auto"/>
              <w:ind w:firstLine="0" w:firstLineChars="0"/>
              <w:jc w:val="center"/>
              <w:rPr>
                <w:color w:val="auto"/>
                <w:sz w:val="22"/>
                <w:szCs w:val="22"/>
                <w:highlight w:val="none"/>
              </w:rPr>
            </w:pPr>
          </w:p>
        </w:tc>
      </w:tr>
    </w:tbl>
    <w:p>
      <w:pPr>
        <w:adjustRightInd w:val="0"/>
        <w:snapToGrid w:val="0"/>
        <w:ind w:firstLine="520"/>
        <w:rPr>
          <w:rFonts w:eastAsiaTheme="minorEastAsia"/>
          <w:color w:val="auto"/>
          <w:highlight w:val="none"/>
        </w:rPr>
      </w:pPr>
      <w:r>
        <w:rPr>
          <w:rFonts w:eastAsiaTheme="minorEastAsia"/>
          <w:color w:val="auto"/>
          <w:highlight w:val="none"/>
        </w:rPr>
        <w:t>（</w:t>
      </w:r>
      <w:r>
        <w:rPr>
          <w:rFonts w:hint="eastAsia" w:eastAsiaTheme="minorEastAsia"/>
          <w:color w:val="auto"/>
          <w:highlight w:val="none"/>
        </w:rPr>
        <w:t>3</w:t>
      </w:r>
      <w:r>
        <w:rPr>
          <w:rFonts w:eastAsiaTheme="minorEastAsia"/>
          <w:color w:val="auto"/>
          <w:highlight w:val="none"/>
        </w:rPr>
        <w:t>）声环境</w:t>
      </w:r>
    </w:p>
    <w:p>
      <w:pPr>
        <w:adjustRightInd w:val="0"/>
        <w:snapToGrid w:val="0"/>
        <w:ind w:firstLine="520"/>
        <w:rPr>
          <w:rFonts w:eastAsiaTheme="minorEastAsia"/>
          <w:color w:val="auto"/>
          <w:highlight w:val="none"/>
        </w:rPr>
      </w:pPr>
      <w:r>
        <w:rPr>
          <w:rFonts w:hint="eastAsia"/>
          <w:color w:val="auto"/>
          <w:highlight w:val="none"/>
        </w:rPr>
        <w:t>项目所在</w:t>
      </w:r>
      <w:r>
        <w:rPr>
          <w:color w:val="auto"/>
          <w:highlight w:val="none"/>
        </w:rPr>
        <w:t>区域</w:t>
      </w:r>
      <w:r>
        <w:rPr>
          <w:rFonts w:hint="eastAsia"/>
          <w:color w:val="auto"/>
          <w:highlight w:val="none"/>
        </w:rPr>
        <w:t>涪江航道两侧35</w:t>
      </w:r>
      <w:r>
        <w:rPr>
          <w:color w:val="auto"/>
          <w:highlight w:val="none"/>
        </w:rPr>
        <w:t>m范围属</w:t>
      </w:r>
      <w:r>
        <w:rPr>
          <w:rFonts w:hint="eastAsia"/>
          <w:color w:val="auto"/>
          <w:highlight w:val="none"/>
        </w:rPr>
        <w:t>4</w:t>
      </w:r>
      <w:r>
        <w:rPr>
          <w:color w:val="auto"/>
          <w:highlight w:val="none"/>
        </w:rPr>
        <w:t>a类声环境功能区，</w:t>
      </w:r>
      <w:r>
        <w:rPr>
          <w:rFonts w:hint="eastAsia"/>
          <w:color w:val="auto"/>
          <w:highlight w:val="none"/>
        </w:rPr>
        <w:t>执行《声环境质量标准》（GB 3096-2008）</w:t>
      </w:r>
      <w:r>
        <w:rPr>
          <w:color w:val="auto"/>
          <w:highlight w:val="none"/>
        </w:rPr>
        <w:t>4a</w:t>
      </w:r>
      <w:r>
        <w:rPr>
          <w:rFonts w:hint="eastAsia"/>
          <w:color w:val="auto"/>
          <w:highlight w:val="none"/>
        </w:rPr>
        <w:t>类</w:t>
      </w:r>
      <w:r>
        <w:rPr>
          <w:color w:val="auto"/>
          <w:highlight w:val="none"/>
        </w:rPr>
        <w:t>标准</w:t>
      </w:r>
      <w:r>
        <w:rPr>
          <w:rFonts w:hint="eastAsia"/>
          <w:color w:val="auto"/>
          <w:highlight w:val="none"/>
        </w:rPr>
        <w:t>，其余属2类</w:t>
      </w:r>
      <w:r>
        <w:rPr>
          <w:color w:val="auto"/>
          <w:highlight w:val="none"/>
        </w:rPr>
        <w:t>声环境功能区</w:t>
      </w:r>
      <w:r>
        <w:rPr>
          <w:rFonts w:hint="eastAsia"/>
          <w:color w:val="auto"/>
          <w:highlight w:val="none"/>
        </w:rPr>
        <w:t>，</w:t>
      </w:r>
      <w:r>
        <w:rPr>
          <w:rFonts w:hint="eastAsia"/>
          <w:color w:val="auto"/>
          <w:highlight w:val="none"/>
          <w:shd w:val="clear" w:fill="FFFFFF"/>
          <w:lang w:eastAsia="zh-CN"/>
        </w:rPr>
        <w:t>执行</w:t>
      </w:r>
      <w:r>
        <w:rPr>
          <w:rFonts w:hint="eastAsia"/>
          <w:color w:val="auto"/>
          <w:highlight w:val="none"/>
        </w:rPr>
        <w:t>《声环境质量标准》（GB 3096-2008）2类</w:t>
      </w:r>
      <w:r>
        <w:rPr>
          <w:color w:val="auto"/>
          <w:highlight w:val="none"/>
        </w:rPr>
        <w:t>标准</w:t>
      </w:r>
      <w:r>
        <w:rPr>
          <w:rFonts w:eastAsiaTheme="minorEastAsia"/>
          <w:color w:val="auto"/>
          <w:highlight w:val="none"/>
        </w:rPr>
        <w:t>，标准限值见</w:t>
      </w:r>
      <w:r>
        <w:rPr>
          <w:rFonts w:hint="eastAsia" w:eastAsiaTheme="minorEastAsia"/>
          <w:color w:val="auto"/>
          <w:highlight w:val="none"/>
        </w:rPr>
        <w:t>下表：</w:t>
      </w:r>
    </w:p>
    <w:p>
      <w:pPr>
        <w:adjustRightInd w:val="0"/>
        <w:snapToGrid w:val="0"/>
        <w:spacing w:line="240" w:lineRule="auto"/>
        <w:ind w:firstLine="0" w:firstLineChars="0"/>
        <w:rPr>
          <w:rFonts w:eastAsiaTheme="minorEastAsia"/>
          <w:color w:val="auto"/>
          <w:sz w:val="22"/>
          <w:szCs w:val="22"/>
          <w:highlight w:val="none"/>
        </w:rPr>
      </w:pPr>
      <w:r>
        <w:rPr>
          <w:rFonts w:eastAsiaTheme="minorEastAsia"/>
          <w:color w:val="auto"/>
          <w:highlight w:val="none"/>
        </w:rPr>
        <w:t xml:space="preserve">            </w:t>
      </w:r>
    </w:p>
    <w:p>
      <w:pPr>
        <w:snapToGrid w:val="0"/>
        <w:spacing w:line="240" w:lineRule="auto"/>
        <w:ind w:firstLine="520"/>
        <w:jc w:val="right"/>
        <w:rPr>
          <w:rFonts w:eastAsiaTheme="minorEastAsia"/>
          <w:color w:val="auto"/>
          <w:highlight w:val="none"/>
        </w:rPr>
      </w:pPr>
      <w:r>
        <w:rPr>
          <w:rFonts w:hint="eastAsia" w:eastAsiaTheme="minorEastAsia"/>
          <w:color w:val="auto"/>
          <w:highlight w:val="none"/>
        </w:rPr>
        <w:t xml:space="preserve">表1.7.2-3  </w:t>
      </w:r>
      <w:r>
        <w:rPr>
          <w:rFonts w:eastAsiaTheme="minorEastAsia"/>
          <w:color w:val="auto"/>
          <w:highlight w:val="none"/>
        </w:rPr>
        <w:t xml:space="preserve">声环境质量标准                </w:t>
      </w:r>
      <w:r>
        <w:rPr>
          <w:rFonts w:eastAsiaTheme="minorEastAsia"/>
          <w:color w:val="auto"/>
          <w:sz w:val="22"/>
          <w:szCs w:val="22"/>
          <w:highlight w:val="none"/>
        </w:rPr>
        <w:t>单位：dB(A)</w:t>
      </w:r>
    </w:p>
    <w:tbl>
      <w:tblPr>
        <w:tblStyle w:val="28"/>
        <w:tblW w:w="485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2824"/>
        <w:gridCol w:w="1951"/>
        <w:gridCol w:w="1951"/>
        <w:gridCol w:w="1952"/>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jc w:val="center"/>
        </w:trPr>
        <w:tc>
          <w:tcPr>
            <w:tcW w:w="2824"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评价标准</w:t>
            </w:r>
          </w:p>
        </w:tc>
        <w:tc>
          <w:tcPr>
            <w:tcW w:w="1951"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标准级别</w:t>
            </w:r>
          </w:p>
        </w:tc>
        <w:tc>
          <w:tcPr>
            <w:tcW w:w="1951"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昼间</w:t>
            </w:r>
          </w:p>
        </w:tc>
        <w:tc>
          <w:tcPr>
            <w:tcW w:w="1952"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夜间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jc w:val="center"/>
        </w:trPr>
        <w:tc>
          <w:tcPr>
            <w:tcW w:w="2824" w:type="dxa"/>
            <w:vMerge w:val="restart"/>
            <w:vAlign w:val="center"/>
          </w:tcPr>
          <w:p>
            <w:pPr>
              <w:widowControl/>
              <w:spacing w:line="240" w:lineRule="auto"/>
              <w:ind w:firstLine="0" w:firstLineChars="0"/>
              <w:jc w:val="center"/>
              <w:rPr>
                <w:rFonts w:eastAsiaTheme="minorEastAsia"/>
                <w:color w:val="auto"/>
                <w:kern w:val="0"/>
                <w:sz w:val="22"/>
                <w:szCs w:val="22"/>
                <w:highlight w:val="none"/>
              </w:rPr>
            </w:pPr>
            <w:r>
              <w:rPr>
                <w:rFonts w:eastAsiaTheme="minorEastAsia"/>
                <w:color w:val="auto"/>
                <w:kern w:val="0"/>
                <w:sz w:val="22"/>
                <w:szCs w:val="22"/>
                <w:highlight w:val="none"/>
              </w:rPr>
              <w:t>《声环境质量标准》(GB3096-2008)</w:t>
            </w:r>
          </w:p>
        </w:tc>
        <w:tc>
          <w:tcPr>
            <w:tcW w:w="1951"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2类</w:t>
            </w:r>
          </w:p>
        </w:tc>
        <w:tc>
          <w:tcPr>
            <w:tcW w:w="1951"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60</w:t>
            </w:r>
          </w:p>
        </w:tc>
        <w:tc>
          <w:tcPr>
            <w:tcW w:w="1952"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50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jc w:val="center"/>
        </w:trPr>
        <w:tc>
          <w:tcPr>
            <w:tcW w:w="2824" w:type="dxa"/>
            <w:vMerge w:val="continue"/>
            <w:vAlign w:val="center"/>
          </w:tcPr>
          <w:p>
            <w:pPr>
              <w:widowControl/>
              <w:spacing w:line="240" w:lineRule="auto"/>
              <w:ind w:firstLine="0" w:firstLineChars="0"/>
              <w:jc w:val="center"/>
              <w:rPr>
                <w:rFonts w:eastAsiaTheme="minorEastAsia"/>
                <w:color w:val="auto"/>
                <w:kern w:val="0"/>
                <w:sz w:val="22"/>
                <w:szCs w:val="22"/>
                <w:highlight w:val="none"/>
              </w:rPr>
            </w:pPr>
          </w:p>
        </w:tc>
        <w:tc>
          <w:tcPr>
            <w:tcW w:w="1951"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hint="eastAsia" w:eastAsiaTheme="minorEastAsia"/>
                <w:color w:val="auto"/>
                <w:sz w:val="22"/>
                <w:szCs w:val="22"/>
                <w:highlight w:val="none"/>
              </w:rPr>
              <w:t>4a类</w:t>
            </w:r>
          </w:p>
        </w:tc>
        <w:tc>
          <w:tcPr>
            <w:tcW w:w="1951"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hint="eastAsia" w:eastAsiaTheme="minorEastAsia"/>
                <w:color w:val="auto"/>
                <w:sz w:val="22"/>
                <w:szCs w:val="22"/>
                <w:highlight w:val="none"/>
              </w:rPr>
              <w:t>70</w:t>
            </w:r>
          </w:p>
        </w:tc>
        <w:tc>
          <w:tcPr>
            <w:tcW w:w="1952"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hint="eastAsia" w:eastAsiaTheme="minorEastAsia"/>
                <w:color w:val="auto"/>
                <w:sz w:val="22"/>
                <w:szCs w:val="22"/>
                <w:highlight w:val="none"/>
              </w:rPr>
              <w:t>55</w:t>
            </w:r>
          </w:p>
        </w:tc>
      </w:tr>
    </w:tbl>
    <w:p>
      <w:pPr>
        <w:adjustRightInd w:val="0"/>
        <w:snapToGrid w:val="0"/>
        <w:spacing w:line="240" w:lineRule="auto"/>
        <w:ind w:firstLine="520"/>
        <w:rPr>
          <w:rFonts w:eastAsiaTheme="minorEastAsia"/>
          <w:color w:val="auto"/>
          <w:highlight w:val="none"/>
        </w:rPr>
      </w:pPr>
    </w:p>
    <w:p>
      <w:pPr>
        <w:ind w:firstLine="520"/>
        <w:jc w:val="left"/>
        <w:rPr>
          <w:color w:val="auto"/>
          <w:highlight w:val="none"/>
        </w:rPr>
      </w:pPr>
      <w:r>
        <w:rPr>
          <w:rFonts w:hint="eastAsia" w:eastAsiaTheme="minorEastAsia"/>
          <w:color w:val="auto"/>
          <w:highlight w:val="none"/>
        </w:rPr>
        <w:t>（4）</w:t>
      </w:r>
      <w:r>
        <w:rPr>
          <w:rFonts w:hint="eastAsia"/>
          <w:color w:val="auto"/>
          <w:highlight w:val="none"/>
        </w:rPr>
        <w:t>河流底泥</w:t>
      </w:r>
    </w:p>
    <w:p>
      <w:pPr>
        <w:ind w:firstLine="520"/>
        <w:rPr>
          <w:color w:val="auto"/>
          <w:highlight w:val="none"/>
        </w:rPr>
      </w:pPr>
      <w:r>
        <w:rPr>
          <w:rFonts w:hint="eastAsia"/>
          <w:color w:val="auto"/>
          <w:highlight w:val="none"/>
        </w:rPr>
        <w:t>项目所在</w:t>
      </w:r>
      <w:r>
        <w:rPr>
          <w:rFonts w:hint="eastAsia"/>
          <w:color w:val="auto"/>
          <w:highlight w:val="none"/>
          <w:lang w:eastAsia="zh-CN"/>
        </w:rPr>
        <w:t>河</w:t>
      </w:r>
      <w:r>
        <w:rPr>
          <w:rFonts w:hint="eastAsia"/>
          <w:color w:val="auto"/>
          <w:highlight w:val="none"/>
        </w:rPr>
        <w:t>段底泥现状评价参考《土壤环境质量</w:t>
      </w:r>
      <w:r>
        <w:rPr>
          <w:rFonts w:hint="eastAsia"/>
          <w:color w:val="auto"/>
          <w:highlight w:val="none"/>
          <w:lang w:val="en-US" w:eastAsia="zh-CN"/>
        </w:rPr>
        <w:t xml:space="preserve"> </w:t>
      </w:r>
      <w:r>
        <w:rPr>
          <w:rFonts w:hint="eastAsia"/>
          <w:color w:val="auto"/>
          <w:highlight w:val="none"/>
        </w:rPr>
        <w:t>农用地土壤污染风险管控标准（试行）》（GB 15618-2018）风险筛选值。标准值见下表：</w:t>
      </w:r>
    </w:p>
    <w:p>
      <w:pPr>
        <w:pStyle w:val="218"/>
        <w:keepNext w:val="0"/>
        <w:keepLines w:val="0"/>
        <w:pageBreakBefore w:val="0"/>
        <w:widowControl w:val="0"/>
        <w:kinsoku/>
        <w:wordWrap/>
        <w:overflowPunct/>
        <w:topLinePunct w:val="0"/>
        <w:autoSpaceDE/>
        <w:autoSpaceDN/>
        <w:bidi w:val="0"/>
        <w:adjustRightInd w:val="0"/>
        <w:snapToGrid w:val="0"/>
        <w:spacing w:before="0" w:beforeLines="0" w:after="0" w:line="240" w:lineRule="auto"/>
        <w:textAlignment w:val="auto"/>
        <w:rPr>
          <w:color w:val="auto"/>
          <w:highlight w:val="none"/>
        </w:rPr>
      </w:pPr>
    </w:p>
    <w:p>
      <w:pPr>
        <w:pStyle w:val="218"/>
        <w:keepNext w:val="0"/>
        <w:keepLines w:val="0"/>
        <w:pageBreakBefore w:val="0"/>
        <w:widowControl w:val="0"/>
        <w:kinsoku/>
        <w:wordWrap/>
        <w:overflowPunct/>
        <w:topLinePunct w:val="0"/>
        <w:autoSpaceDE/>
        <w:autoSpaceDN/>
        <w:bidi w:val="0"/>
        <w:adjustRightInd w:val="0"/>
        <w:snapToGrid w:val="0"/>
        <w:spacing w:before="0" w:beforeLines="0" w:after="0" w:line="240" w:lineRule="auto"/>
        <w:textAlignment w:val="auto"/>
        <w:rPr>
          <w:color w:val="auto"/>
          <w:highlight w:val="none"/>
        </w:rPr>
      </w:pPr>
      <w:r>
        <w:rPr>
          <w:rFonts w:hint="eastAsia"/>
          <w:color w:val="auto"/>
          <w:highlight w:val="none"/>
        </w:rPr>
        <w:t>表1.7.2-4  农用地土壤污染风险管控标准  单位：mg/kg</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58"/>
        <w:gridCol w:w="1304"/>
        <w:gridCol w:w="1568"/>
        <w:gridCol w:w="1555"/>
        <w:gridCol w:w="1555"/>
        <w:gridCol w:w="15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66" w:type="dxa"/>
            <w:gridSpan w:val="2"/>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0"/>
                <w:highlight w:val="none"/>
              </w:rPr>
            </w:pPr>
            <w:r>
              <w:rPr>
                <w:rFonts w:hint="eastAsia"/>
                <w:color w:val="auto"/>
                <w:sz w:val="22"/>
                <w:szCs w:val="20"/>
                <w:highlight w:val="none"/>
              </w:rPr>
              <w:t>污染物项目</w:t>
            </w:r>
          </w:p>
        </w:tc>
        <w:tc>
          <w:tcPr>
            <w:tcW w:w="15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0"/>
                <w:highlight w:val="none"/>
              </w:rPr>
            </w:pPr>
            <w:r>
              <w:rPr>
                <w:color w:val="auto"/>
                <w:sz w:val="22"/>
                <w:szCs w:val="20"/>
                <w:highlight w:val="none"/>
              </w:rPr>
              <w:t>pH≤5.5</w:t>
            </w:r>
          </w:p>
        </w:tc>
        <w:tc>
          <w:tcPr>
            <w:tcW w:w="15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0"/>
                <w:highlight w:val="none"/>
              </w:rPr>
            </w:pPr>
            <w:r>
              <w:rPr>
                <w:color w:val="auto"/>
                <w:sz w:val="22"/>
                <w:szCs w:val="20"/>
                <w:highlight w:val="none"/>
              </w:rPr>
              <w:t>5.5</w:t>
            </w:r>
            <w:r>
              <w:rPr>
                <w:rFonts w:hint="eastAsia"/>
                <w:color w:val="auto"/>
                <w:sz w:val="22"/>
                <w:szCs w:val="20"/>
                <w:highlight w:val="none"/>
              </w:rPr>
              <w:t>＜</w:t>
            </w:r>
            <w:r>
              <w:rPr>
                <w:color w:val="auto"/>
                <w:sz w:val="22"/>
                <w:szCs w:val="20"/>
                <w:highlight w:val="none"/>
              </w:rPr>
              <w:t>pH≤6.5</w:t>
            </w:r>
          </w:p>
        </w:tc>
        <w:tc>
          <w:tcPr>
            <w:tcW w:w="15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0"/>
                <w:highlight w:val="none"/>
              </w:rPr>
            </w:pPr>
            <w:r>
              <w:rPr>
                <w:color w:val="auto"/>
                <w:sz w:val="22"/>
                <w:szCs w:val="20"/>
                <w:highlight w:val="none"/>
              </w:rPr>
              <w:t>6.5</w:t>
            </w:r>
            <w:r>
              <w:rPr>
                <w:rFonts w:hint="eastAsia"/>
                <w:color w:val="auto"/>
                <w:sz w:val="22"/>
                <w:szCs w:val="20"/>
                <w:highlight w:val="none"/>
              </w:rPr>
              <w:t>＜</w:t>
            </w:r>
            <w:r>
              <w:rPr>
                <w:color w:val="auto"/>
                <w:sz w:val="22"/>
                <w:szCs w:val="20"/>
                <w:highlight w:val="none"/>
              </w:rPr>
              <w:t>pH≤7.5</w:t>
            </w:r>
          </w:p>
        </w:tc>
        <w:tc>
          <w:tcPr>
            <w:tcW w:w="15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0"/>
                <w:highlight w:val="none"/>
              </w:rPr>
            </w:pPr>
            <w:r>
              <w:rPr>
                <w:color w:val="auto"/>
                <w:sz w:val="22"/>
                <w:szCs w:val="20"/>
                <w:highlight w:val="none"/>
              </w:rPr>
              <w:t>pH</w:t>
            </w:r>
            <w:r>
              <w:rPr>
                <w:rFonts w:hint="eastAsia"/>
                <w:color w:val="auto"/>
                <w:sz w:val="22"/>
                <w:szCs w:val="20"/>
                <w:highlight w:val="none"/>
              </w:rPr>
              <w:t>＞</w:t>
            </w:r>
            <w:r>
              <w:rPr>
                <w:color w:val="auto"/>
                <w:sz w:val="22"/>
                <w:szCs w:val="20"/>
                <w:highlight w:val="none"/>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66" w:type="dxa"/>
            <w:gridSpan w:val="2"/>
            <w:vMerge w:val="continue"/>
            <w:tcBorders>
              <w:tl2br w:val="nil"/>
              <w:tr2bl w:val="nil"/>
            </w:tcBorders>
            <w:vAlign w:val="center"/>
          </w:tcPr>
          <w:p>
            <w:pPr>
              <w:widowControl/>
              <w:adjustRightInd w:val="0"/>
              <w:snapToGrid w:val="0"/>
              <w:spacing w:line="240" w:lineRule="auto"/>
              <w:ind w:firstLine="0" w:firstLineChars="0"/>
              <w:jc w:val="center"/>
              <w:rPr>
                <w:color w:val="auto"/>
                <w:sz w:val="22"/>
                <w:szCs w:val="20"/>
                <w:highlight w:val="none"/>
              </w:rPr>
            </w:pPr>
          </w:p>
        </w:tc>
        <w:tc>
          <w:tcPr>
            <w:tcW w:w="1569"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风险筛选值</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风险筛选值</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风险筛选值</w:t>
            </w:r>
          </w:p>
        </w:tc>
        <w:tc>
          <w:tcPr>
            <w:tcW w:w="1541"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风险筛选值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0" w:type="dxa"/>
            <w:vMerge w:val="restart"/>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镉</w:t>
            </w:r>
          </w:p>
        </w:tc>
        <w:tc>
          <w:tcPr>
            <w:tcW w:w="130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水田</w:t>
            </w:r>
          </w:p>
        </w:tc>
        <w:tc>
          <w:tcPr>
            <w:tcW w:w="1569"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0.3</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0.4</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0.6</w:t>
            </w:r>
          </w:p>
        </w:tc>
        <w:tc>
          <w:tcPr>
            <w:tcW w:w="1541"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0" w:type="dxa"/>
            <w:vMerge w:val="continue"/>
            <w:tcBorders>
              <w:tl2br w:val="nil"/>
              <w:tr2bl w:val="nil"/>
            </w:tcBorders>
            <w:vAlign w:val="center"/>
          </w:tcPr>
          <w:p>
            <w:pPr>
              <w:widowControl/>
              <w:adjustRightInd w:val="0"/>
              <w:snapToGrid w:val="0"/>
              <w:spacing w:line="240" w:lineRule="auto"/>
              <w:ind w:firstLine="0" w:firstLineChars="0"/>
              <w:jc w:val="center"/>
              <w:rPr>
                <w:color w:val="auto"/>
                <w:sz w:val="22"/>
                <w:szCs w:val="20"/>
                <w:highlight w:val="none"/>
              </w:rPr>
            </w:pPr>
          </w:p>
        </w:tc>
        <w:tc>
          <w:tcPr>
            <w:tcW w:w="130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其他</w:t>
            </w:r>
          </w:p>
        </w:tc>
        <w:tc>
          <w:tcPr>
            <w:tcW w:w="1569"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0.3</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0.3</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0.3</w:t>
            </w:r>
          </w:p>
        </w:tc>
        <w:tc>
          <w:tcPr>
            <w:tcW w:w="1541"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0" w:type="dxa"/>
            <w:vMerge w:val="restart"/>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汞</w:t>
            </w:r>
          </w:p>
        </w:tc>
        <w:tc>
          <w:tcPr>
            <w:tcW w:w="130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水田</w:t>
            </w:r>
          </w:p>
        </w:tc>
        <w:tc>
          <w:tcPr>
            <w:tcW w:w="1569"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0.5</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0.5</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0.6</w:t>
            </w:r>
          </w:p>
        </w:tc>
        <w:tc>
          <w:tcPr>
            <w:tcW w:w="1541"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0" w:type="dxa"/>
            <w:vMerge w:val="continue"/>
            <w:tcBorders>
              <w:tl2br w:val="nil"/>
              <w:tr2bl w:val="nil"/>
            </w:tcBorders>
            <w:vAlign w:val="center"/>
          </w:tcPr>
          <w:p>
            <w:pPr>
              <w:widowControl/>
              <w:adjustRightInd w:val="0"/>
              <w:snapToGrid w:val="0"/>
              <w:spacing w:line="240" w:lineRule="auto"/>
              <w:ind w:firstLine="0" w:firstLineChars="0"/>
              <w:jc w:val="center"/>
              <w:rPr>
                <w:color w:val="auto"/>
                <w:sz w:val="22"/>
                <w:szCs w:val="20"/>
                <w:highlight w:val="none"/>
              </w:rPr>
            </w:pPr>
          </w:p>
        </w:tc>
        <w:tc>
          <w:tcPr>
            <w:tcW w:w="130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其他</w:t>
            </w:r>
          </w:p>
        </w:tc>
        <w:tc>
          <w:tcPr>
            <w:tcW w:w="1569"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1.3</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1.8</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2.4</w:t>
            </w:r>
          </w:p>
        </w:tc>
        <w:tc>
          <w:tcPr>
            <w:tcW w:w="1541"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0" w:type="dxa"/>
            <w:vMerge w:val="restart"/>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砷</w:t>
            </w:r>
          </w:p>
        </w:tc>
        <w:tc>
          <w:tcPr>
            <w:tcW w:w="130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水田</w:t>
            </w:r>
          </w:p>
        </w:tc>
        <w:tc>
          <w:tcPr>
            <w:tcW w:w="1569"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30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30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25</w:t>
            </w:r>
          </w:p>
        </w:tc>
        <w:tc>
          <w:tcPr>
            <w:tcW w:w="1541"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0" w:type="dxa"/>
            <w:vMerge w:val="continue"/>
            <w:tcBorders>
              <w:tl2br w:val="nil"/>
              <w:tr2bl w:val="nil"/>
            </w:tcBorders>
            <w:vAlign w:val="center"/>
          </w:tcPr>
          <w:p>
            <w:pPr>
              <w:widowControl/>
              <w:adjustRightInd w:val="0"/>
              <w:snapToGrid w:val="0"/>
              <w:spacing w:line="240" w:lineRule="auto"/>
              <w:ind w:firstLine="0" w:firstLineChars="0"/>
              <w:jc w:val="center"/>
              <w:rPr>
                <w:color w:val="auto"/>
                <w:sz w:val="22"/>
                <w:szCs w:val="20"/>
                <w:highlight w:val="none"/>
              </w:rPr>
            </w:pPr>
          </w:p>
        </w:tc>
        <w:tc>
          <w:tcPr>
            <w:tcW w:w="130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其他</w:t>
            </w:r>
          </w:p>
        </w:tc>
        <w:tc>
          <w:tcPr>
            <w:tcW w:w="1569"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40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40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30</w:t>
            </w:r>
          </w:p>
        </w:tc>
        <w:tc>
          <w:tcPr>
            <w:tcW w:w="1541"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0" w:type="dxa"/>
            <w:vMerge w:val="restart"/>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铅</w:t>
            </w:r>
          </w:p>
        </w:tc>
        <w:tc>
          <w:tcPr>
            <w:tcW w:w="130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水田</w:t>
            </w:r>
          </w:p>
        </w:tc>
        <w:tc>
          <w:tcPr>
            <w:tcW w:w="1569"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80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100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140</w:t>
            </w:r>
          </w:p>
        </w:tc>
        <w:tc>
          <w:tcPr>
            <w:tcW w:w="1541"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0" w:type="dxa"/>
            <w:vMerge w:val="continue"/>
            <w:tcBorders>
              <w:tl2br w:val="nil"/>
              <w:tr2bl w:val="nil"/>
            </w:tcBorders>
            <w:vAlign w:val="center"/>
          </w:tcPr>
          <w:p>
            <w:pPr>
              <w:widowControl/>
              <w:adjustRightInd w:val="0"/>
              <w:snapToGrid w:val="0"/>
              <w:spacing w:line="240" w:lineRule="auto"/>
              <w:ind w:firstLine="0" w:firstLineChars="0"/>
              <w:jc w:val="center"/>
              <w:rPr>
                <w:color w:val="auto"/>
                <w:sz w:val="22"/>
                <w:szCs w:val="20"/>
                <w:highlight w:val="none"/>
              </w:rPr>
            </w:pPr>
          </w:p>
        </w:tc>
        <w:tc>
          <w:tcPr>
            <w:tcW w:w="130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其他</w:t>
            </w:r>
          </w:p>
        </w:tc>
        <w:tc>
          <w:tcPr>
            <w:tcW w:w="1569"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70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90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120</w:t>
            </w:r>
          </w:p>
        </w:tc>
        <w:tc>
          <w:tcPr>
            <w:tcW w:w="1541"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0" w:type="dxa"/>
            <w:vMerge w:val="restart"/>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铬</w:t>
            </w:r>
          </w:p>
        </w:tc>
        <w:tc>
          <w:tcPr>
            <w:tcW w:w="130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水田</w:t>
            </w:r>
          </w:p>
        </w:tc>
        <w:tc>
          <w:tcPr>
            <w:tcW w:w="1569"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250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250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300</w:t>
            </w:r>
          </w:p>
        </w:tc>
        <w:tc>
          <w:tcPr>
            <w:tcW w:w="1541"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0" w:type="dxa"/>
            <w:vMerge w:val="continue"/>
            <w:tcBorders>
              <w:tl2br w:val="nil"/>
              <w:tr2bl w:val="nil"/>
            </w:tcBorders>
            <w:vAlign w:val="center"/>
          </w:tcPr>
          <w:p>
            <w:pPr>
              <w:widowControl/>
              <w:adjustRightInd w:val="0"/>
              <w:snapToGrid w:val="0"/>
              <w:spacing w:line="240" w:lineRule="auto"/>
              <w:ind w:firstLine="0" w:firstLineChars="0"/>
              <w:jc w:val="center"/>
              <w:rPr>
                <w:color w:val="auto"/>
                <w:sz w:val="22"/>
                <w:szCs w:val="20"/>
                <w:highlight w:val="none"/>
              </w:rPr>
            </w:pPr>
          </w:p>
        </w:tc>
        <w:tc>
          <w:tcPr>
            <w:tcW w:w="130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其他</w:t>
            </w:r>
          </w:p>
        </w:tc>
        <w:tc>
          <w:tcPr>
            <w:tcW w:w="1569"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150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150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200</w:t>
            </w:r>
          </w:p>
        </w:tc>
        <w:tc>
          <w:tcPr>
            <w:tcW w:w="1541"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0" w:type="dxa"/>
            <w:vMerge w:val="restart"/>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铜</w:t>
            </w:r>
          </w:p>
        </w:tc>
        <w:tc>
          <w:tcPr>
            <w:tcW w:w="130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水田</w:t>
            </w:r>
          </w:p>
        </w:tc>
        <w:tc>
          <w:tcPr>
            <w:tcW w:w="1569"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150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150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200</w:t>
            </w:r>
          </w:p>
        </w:tc>
        <w:tc>
          <w:tcPr>
            <w:tcW w:w="1541"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0" w:type="dxa"/>
            <w:vMerge w:val="continue"/>
            <w:tcBorders>
              <w:tl2br w:val="nil"/>
              <w:tr2bl w:val="nil"/>
            </w:tcBorders>
            <w:vAlign w:val="center"/>
          </w:tcPr>
          <w:p>
            <w:pPr>
              <w:widowControl/>
              <w:adjustRightInd w:val="0"/>
              <w:snapToGrid w:val="0"/>
              <w:spacing w:line="240" w:lineRule="auto"/>
              <w:ind w:firstLine="0" w:firstLineChars="0"/>
              <w:jc w:val="center"/>
              <w:rPr>
                <w:color w:val="auto"/>
                <w:sz w:val="22"/>
                <w:szCs w:val="20"/>
                <w:highlight w:val="none"/>
              </w:rPr>
            </w:pPr>
          </w:p>
        </w:tc>
        <w:tc>
          <w:tcPr>
            <w:tcW w:w="130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其他</w:t>
            </w:r>
          </w:p>
        </w:tc>
        <w:tc>
          <w:tcPr>
            <w:tcW w:w="1569"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50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50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100</w:t>
            </w:r>
          </w:p>
        </w:tc>
        <w:tc>
          <w:tcPr>
            <w:tcW w:w="1541"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66" w:type="dxa"/>
            <w:gridSpan w:val="2"/>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镍</w:t>
            </w:r>
          </w:p>
        </w:tc>
        <w:tc>
          <w:tcPr>
            <w:tcW w:w="1569"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60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70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100</w:t>
            </w:r>
          </w:p>
        </w:tc>
        <w:tc>
          <w:tcPr>
            <w:tcW w:w="1541"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66" w:type="dxa"/>
            <w:gridSpan w:val="2"/>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rFonts w:hint="eastAsia"/>
                <w:color w:val="auto"/>
                <w:sz w:val="22"/>
                <w:szCs w:val="20"/>
                <w:highlight w:val="none"/>
              </w:rPr>
              <w:t>锌</w:t>
            </w:r>
          </w:p>
        </w:tc>
        <w:tc>
          <w:tcPr>
            <w:tcW w:w="1569"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200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200</w:t>
            </w:r>
          </w:p>
        </w:tc>
        <w:tc>
          <w:tcPr>
            <w:tcW w:w="1556"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250</w:t>
            </w:r>
          </w:p>
        </w:tc>
        <w:tc>
          <w:tcPr>
            <w:tcW w:w="1541" w:type="dxa"/>
            <w:tcBorders>
              <w:tl2br w:val="nil"/>
              <w:tr2bl w:val="nil"/>
            </w:tcBorders>
            <w:vAlign w:val="center"/>
          </w:tcPr>
          <w:p>
            <w:pPr>
              <w:adjustRightInd w:val="0"/>
              <w:snapToGrid w:val="0"/>
              <w:spacing w:line="240" w:lineRule="auto"/>
              <w:ind w:firstLine="0" w:firstLineChars="0"/>
              <w:jc w:val="center"/>
              <w:rPr>
                <w:color w:val="auto"/>
                <w:sz w:val="22"/>
                <w:szCs w:val="20"/>
                <w:highlight w:val="none"/>
              </w:rPr>
            </w:pPr>
            <w:r>
              <w:rPr>
                <w:color w:val="auto"/>
                <w:sz w:val="22"/>
                <w:szCs w:val="20"/>
                <w:highlight w:val="none"/>
              </w:rPr>
              <w:t>300</w:t>
            </w:r>
          </w:p>
        </w:tc>
      </w:tr>
    </w:tbl>
    <w:p>
      <w:pPr>
        <w:pStyle w:val="2"/>
        <w:rPr>
          <w:rFonts w:eastAsiaTheme="minorEastAsia"/>
          <w:color w:val="auto"/>
          <w:highlight w:val="none"/>
          <w:lang w:val="en-US"/>
        </w:rPr>
      </w:pPr>
    </w:p>
    <w:p>
      <w:pPr>
        <w:pStyle w:val="5"/>
        <w:snapToGrid w:val="0"/>
        <w:ind w:firstLine="522"/>
        <w:rPr>
          <w:rFonts w:eastAsiaTheme="minorEastAsia"/>
          <w:color w:val="auto"/>
          <w:highlight w:val="none"/>
        </w:rPr>
      </w:pPr>
      <w:r>
        <w:rPr>
          <w:rFonts w:eastAsiaTheme="minorEastAsia"/>
          <w:color w:val="auto"/>
          <w:highlight w:val="none"/>
        </w:rPr>
        <w:t>污染物排放标准</w:t>
      </w:r>
    </w:p>
    <w:p>
      <w:pPr>
        <w:adjustRightInd w:val="0"/>
        <w:snapToGrid w:val="0"/>
        <w:ind w:firstLine="520"/>
        <w:rPr>
          <w:color w:val="auto"/>
          <w:kern w:val="0"/>
          <w:szCs w:val="26"/>
          <w:highlight w:val="none"/>
        </w:rPr>
      </w:pPr>
      <w:r>
        <w:rPr>
          <w:rFonts w:hint="eastAsia"/>
          <w:color w:val="auto"/>
          <w:kern w:val="0"/>
          <w:szCs w:val="26"/>
          <w:highlight w:val="none"/>
        </w:rPr>
        <w:t>（1</w:t>
      </w:r>
      <w:r>
        <w:rPr>
          <w:color w:val="auto"/>
          <w:kern w:val="0"/>
          <w:szCs w:val="26"/>
          <w:highlight w:val="none"/>
        </w:rPr>
        <w:t>）</w:t>
      </w:r>
      <w:r>
        <w:rPr>
          <w:rFonts w:hint="eastAsia"/>
          <w:color w:val="auto"/>
          <w:kern w:val="0"/>
          <w:szCs w:val="26"/>
          <w:highlight w:val="none"/>
        </w:rPr>
        <w:t>废气</w:t>
      </w:r>
    </w:p>
    <w:p>
      <w:pPr>
        <w:snapToGrid w:val="0"/>
        <w:ind w:firstLine="520"/>
        <w:rPr>
          <w:bCs/>
          <w:color w:val="auto"/>
          <w:szCs w:val="26"/>
          <w:highlight w:val="none"/>
        </w:rPr>
      </w:pPr>
      <w:r>
        <w:rPr>
          <w:rFonts w:hint="eastAsia"/>
          <w:bCs/>
          <w:color w:val="auto"/>
          <w:szCs w:val="26"/>
          <w:highlight w:val="none"/>
        </w:rPr>
        <w:t>项目施工期废气</w:t>
      </w:r>
      <w:r>
        <w:rPr>
          <w:bCs/>
          <w:color w:val="auto"/>
          <w:szCs w:val="26"/>
          <w:highlight w:val="none"/>
        </w:rPr>
        <w:t>执行重庆市《大气污染物综合排放标准》（DB50/418-2016）其他区域标准值，</w:t>
      </w:r>
      <w:r>
        <w:rPr>
          <w:rFonts w:hint="eastAsia"/>
          <w:bCs/>
          <w:color w:val="auto"/>
          <w:szCs w:val="26"/>
          <w:highlight w:val="none"/>
        </w:rPr>
        <w:t>管理区食堂油烟执行《餐饮业大气污染物排放标准》（DB50/859-2018），</w:t>
      </w:r>
      <w:r>
        <w:rPr>
          <w:bCs/>
          <w:color w:val="auto"/>
          <w:szCs w:val="26"/>
          <w:highlight w:val="none"/>
        </w:rPr>
        <w:t>详见</w:t>
      </w:r>
      <w:r>
        <w:rPr>
          <w:rFonts w:hint="eastAsia"/>
          <w:bCs/>
          <w:color w:val="auto"/>
          <w:szCs w:val="26"/>
          <w:highlight w:val="none"/>
        </w:rPr>
        <w:t>下</w:t>
      </w:r>
      <w:r>
        <w:rPr>
          <w:bCs/>
          <w:color w:val="auto"/>
          <w:szCs w:val="26"/>
          <w:highlight w:val="none"/>
        </w:rPr>
        <w:t>表</w:t>
      </w:r>
      <w:r>
        <w:rPr>
          <w:rFonts w:hint="eastAsia"/>
          <w:bCs/>
          <w:color w:val="auto"/>
          <w:szCs w:val="26"/>
          <w:highlight w:val="none"/>
        </w:rPr>
        <w:t>：</w:t>
      </w:r>
    </w:p>
    <w:p>
      <w:pPr>
        <w:adjustRightInd w:val="0"/>
        <w:snapToGrid w:val="0"/>
        <w:spacing w:line="240" w:lineRule="auto"/>
        <w:ind w:firstLine="0" w:firstLineChars="0"/>
        <w:jc w:val="center"/>
        <w:rPr>
          <w:rFonts w:hint="eastAsia"/>
          <w:color w:val="auto"/>
          <w:szCs w:val="22"/>
          <w:highlight w:val="none"/>
        </w:rPr>
      </w:pPr>
    </w:p>
    <w:p>
      <w:pPr>
        <w:adjustRightInd w:val="0"/>
        <w:snapToGrid w:val="0"/>
        <w:spacing w:line="240" w:lineRule="auto"/>
        <w:ind w:firstLine="0" w:firstLineChars="0"/>
        <w:jc w:val="center"/>
        <w:rPr>
          <w:color w:val="auto"/>
          <w:szCs w:val="22"/>
          <w:highlight w:val="none"/>
        </w:rPr>
      </w:pPr>
      <w:r>
        <w:rPr>
          <w:rFonts w:hint="eastAsia"/>
          <w:color w:val="auto"/>
          <w:szCs w:val="22"/>
          <w:highlight w:val="none"/>
        </w:rPr>
        <w:t xml:space="preserve">表1.7.3-1  </w:t>
      </w:r>
      <w:r>
        <w:rPr>
          <w:color w:val="auto"/>
          <w:szCs w:val="22"/>
          <w:highlight w:val="none"/>
        </w:rPr>
        <w:t>重庆市大气污染物综合排放标准（DB50/418-2016）</w:t>
      </w:r>
    </w:p>
    <w:tbl>
      <w:tblPr>
        <w:tblStyle w:val="28"/>
        <w:tblW w:w="485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411"/>
        <w:gridCol w:w="987"/>
        <w:gridCol w:w="711"/>
        <w:gridCol w:w="1816"/>
        <w:gridCol w:w="799"/>
        <w:gridCol w:w="800"/>
        <w:gridCol w:w="799"/>
        <w:gridCol w:w="800"/>
        <w:gridCol w:w="155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40" w:hRule="atLeast"/>
          <w:tblHeader/>
          <w:jc w:val="center"/>
        </w:trPr>
        <w:tc>
          <w:tcPr>
            <w:tcW w:w="411" w:type="dxa"/>
            <w:vMerge w:val="restart"/>
            <w:vAlign w:val="center"/>
          </w:tcPr>
          <w:p>
            <w:pPr>
              <w:spacing w:line="240" w:lineRule="auto"/>
              <w:ind w:firstLine="0" w:firstLineChars="0"/>
              <w:jc w:val="center"/>
              <w:rPr>
                <w:snapToGrid w:val="0"/>
                <w:color w:val="auto"/>
                <w:sz w:val="22"/>
                <w:szCs w:val="22"/>
                <w:highlight w:val="none"/>
              </w:rPr>
            </w:pPr>
            <w:r>
              <w:rPr>
                <w:rFonts w:hint="eastAsia"/>
                <w:snapToGrid w:val="0"/>
                <w:color w:val="auto"/>
                <w:sz w:val="22"/>
                <w:szCs w:val="22"/>
                <w:highlight w:val="none"/>
              </w:rPr>
              <w:t>序号</w:t>
            </w:r>
          </w:p>
        </w:tc>
        <w:tc>
          <w:tcPr>
            <w:tcW w:w="987" w:type="dxa"/>
            <w:vMerge w:val="restart"/>
            <w:vAlign w:val="center"/>
          </w:tcPr>
          <w:p>
            <w:pPr>
              <w:spacing w:line="240" w:lineRule="auto"/>
              <w:ind w:firstLine="0" w:firstLineChars="0"/>
              <w:jc w:val="center"/>
              <w:rPr>
                <w:snapToGrid w:val="0"/>
                <w:color w:val="auto"/>
                <w:sz w:val="22"/>
                <w:szCs w:val="22"/>
                <w:highlight w:val="none"/>
              </w:rPr>
            </w:pPr>
            <w:r>
              <w:rPr>
                <w:rFonts w:hint="eastAsia"/>
                <w:snapToGrid w:val="0"/>
                <w:color w:val="auto"/>
                <w:sz w:val="22"/>
                <w:szCs w:val="22"/>
                <w:highlight w:val="none"/>
              </w:rPr>
              <w:t>污染物</w:t>
            </w:r>
          </w:p>
        </w:tc>
        <w:tc>
          <w:tcPr>
            <w:tcW w:w="711" w:type="dxa"/>
            <w:vMerge w:val="restart"/>
            <w:vAlign w:val="center"/>
          </w:tcPr>
          <w:p>
            <w:pPr>
              <w:spacing w:line="240" w:lineRule="auto"/>
              <w:ind w:firstLine="0" w:firstLineChars="0"/>
              <w:jc w:val="center"/>
              <w:rPr>
                <w:snapToGrid w:val="0"/>
                <w:color w:val="auto"/>
                <w:sz w:val="22"/>
                <w:szCs w:val="22"/>
                <w:highlight w:val="none"/>
              </w:rPr>
            </w:pPr>
            <w:r>
              <w:rPr>
                <w:rFonts w:hint="eastAsia"/>
                <w:snapToGrid w:val="0"/>
                <w:color w:val="auto"/>
                <w:sz w:val="22"/>
                <w:szCs w:val="22"/>
                <w:highlight w:val="none"/>
              </w:rPr>
              <w:t>适用</w:t>
            </w:r>
          </w:p>
          <w:p>
            <w:pPr>
              <w:spacing w:line="240" w:lineRule="auto"/>
              <w:ind w:firstLine="0" w:firstLineChars="0"/>
              <w:jc w:val="center"/>
              <w:rPr>
                <w:snapToGrid w:val="0"/>
                <w:color w:val="auto"/>
                <w:sz w:val="22"/>
                <w:szCs w:val="22"/>
                <w:highlight w:val="none"/>
              </w:rPr>
            </w:pPr>
            <w:r>
              <w:rPr>
                <w:rFonts w:hint="eastAsia"/>
                <w:snapToGrid w:val="0"/>
                <w:color w:val="auto"/>
                <w:sz w:val="22"/>
                <w:szCs w:val="22"/>
                <w:highlight w:val="none"/>
              </w:rPr>
              <w:t>区域</w:t>
            </w:r>
          </w:p>
        </w:tc>
        <w:tc>
          <w:tcPr>
            <w:tcW w:w="1816" w:type="dxa"/>
            <w:vMerge w:val="restart"/>
            <w:vAlign w:val="center"/>
          </w:tcPr>
          <w:p>
            <w:pPr>
              <w:spacing w:line="240" w:lineRule="auto"/>
              <w:ind w:firstLine="0" w:firstLineChars="0"/>
              <w:jc w:val="center"/>
              <w:rPr>
                <w:snapToGrid w:val="0"/>
                <w:color w:val="auto"/>
                <w:sz w:val="22"/>
                <w:szCs w:val="22"/>
                <w:highlight w:val="none"/>
              </w:rPr>
            </w:pPr>
            <w:r>
              <w:rPr>
                <w:rFonts w:hint="eastAsia"/>
                <w:snapToGrid w:val="0"/>
                <w:color w:val="auto"/>
                <w:sz w:val="22"/>
                <w:szCs w:val="22"/>
                <w:highlight w:val="none"/>
              </w:rPr>
              <w:t>大气污染物最高允许排放浓度，</w:t>
            </w:r>
            <w:r>
              <w:rPr>
                <w:snapToGrid w:val="0"/>
                <w:color w:val="auto"/>
                <w:sz w:val="22"/>
                <w:szCs w:val="22"/>
                <w:highlight w:val="none"/>
              </w:rPr>
              <w:t>mg/m³</w:t>
            </w:r>
          </w:p>
        </w:tc>
        <w:tc>
          <w:tcPr>
            <w:tcW w:w="3198" w:type="dxa"/>
            <w:gridSpan w:val="4"/>
            <w:vAlign w:val="center"/>
          </w:tcPr>
          <w:p>
            <w:pPr>
              <w:spacing w:line="240" w:lineRule="auto"/>
              <w:ind w:firstLine="0" w:firstLineChars="0"/>
              <w:jc w:val="center"/>
              <w:rPr>
                <w:snapToGrid w:val="0"/>
                <w:color w:val="auto"/>
                <w:sz w:val="22"/>
                <w:szCs w:val="22"/>
                <w:highlight w:val="none"/>
              </w:rPr>
            </w:pPr>
            <w:r>
              <w:rPr>
                <w:rFonts w:hint="eastAsia"/>
                <w:snapToGrid w:val="0"/>
                <w:color w:val="auto"/>
                <w:sz w:val="22"/>
                <w:szCs w:val="22"/>
                <w:highlight w:val="none"/>
              </w:rPr>
              <w:t>与排气筒高度对应的大气污染物最高允许排放速率，</w:t>
            </w:r>
            <w:r>
              <w:rPr>
                <w:snapToGrid w:val="0"/>
                <w:color w:val="auto"/>
                <w:sz w:val="22"/>
                <w:szCs w:val="22"/>
                <w:highlight w:val="none"/>
              </w:rPr>
              <w:t>kg/h</w:t>
            </w:r>
          </w:p>
        </w:tc>
        <w:tc>
          <w:tcPr>
            <w:tcW w:w="1556" w:type="dxa"/>
            <w:vMerge w:val="restart"/>
            <w:vAlign w:val="center"/>
          </w:tcPr>
          <w:p>
            <w:pPr>
              <w:spacing w:line="240" w:lineRule="auto"/>
              <w:ind w:firstLine="0" w:firstLineChars="0"/>
              <w:jc w:val="center"/>
              <w:rPr>
                <w:snapToGrid w:val="0"/>
                <w:color w:val="auto"/>
                <w:sz w:val="22"/>
                <w:szCs w:val="22"/>
                <w:highlight w:val="none"/>
              </w:rPr>
            </w:pPr>
            <w:r>
              <w:rPr>
                <w:rFonts w:hint="eastAsia"/>
                <w:snapToGrid w:val="0"/>
                <w:color w:val="auto"/>
                <w:sz w:val="22"/>
                <w:szCs w:val="22"/>
                <w:highlight w:val="none"/>
              </w:rPr>
              <w:t>无组织排放监控点浓度限值，</w:t>
            </w:r>
            <w:r>
              <w:rPr>
                <w:snapToGrid w:val="0"/>
                <w:color w:val="auto"/>
                <w:sz w:val="22"/>
                <w:szCs w:val="22"/>
                <w:highlight w:val="none"/>
              </w:rPr>
              <w:t>mg/m³</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40" w:hRule="atLeast"/>
          <w:tblHeader/>
          <w:jc w:val="center"/>
        </w:trPr>
        <w:tc>
          <w:tcPr>
            <w:tcW w:w="411" w:type="dxa"/>
            <w:vMerge w:val="continue"/>
            <w:vAlign w:val="center"/>
          </w:tcPr>
          <w:p>
            <w:pPr>
              <w:spacing w:line="240" w:lineRule="auto"/>
              <w:ind w:firstLine="0" w:firstLineChars="0"/>
              <w:jc w:val="center"/>
              <w:rPr>
                <w:snapToGrid w:val="0"/>
                <w:color w:val="auto"/>
                <w:sz w:val="22"/>
                <w:szCs w:val="22"/>
                <w:highlight w:val="none"/>
              </w:rPr>
            </w:pPr>
          </w:p>
        </w:tc>
        <w:tc>
          <w:tcPr>
            <w:tcW w:w="987" w:type="dxa"/>
            <w:vMerge w:val="continue"/>
            <w:vAlign w:val="center"/>
          </w:tcPr>
          <w:p>
            <w:pPr>
              <w:spacing w:line="240" w:lineRule="auto"/>
              <w:ind w:firstLine="0" w:firstLineChars="0"/>
              <w:jc w:val="center"/>
              <w:rPr>
                <w:snapToGrid w:val="0"/>
                <w:color w:val="auto"/>
                <w:sz w:val="22"/>
                <w:szCs w:val="22"/>
                <w:highlight w:val="none"/>
              </w:rPr>
            </w:pPr>
          </w:p>
        </w:tc>
        <w:tc>
          <w:tcPr>
            <w:tcW w:w="711" w:type="dxa"/>
            <w:vMerge w:val="continue"/>
            <w:vAlign w:val="center"/>
          </w:tcPr>
          <w:p>
            <w:pPr>
              <w:spacing w:line="240" w:lineRule="auto"/>
              <w:ind w:firstLine="0" w:firstLineChars="0"/>
              <w:jc w:val="center"/>
              <w:rPr>
                <w:snapToGrid w:val="0"/>
                <w:color w:val="auto"/>
                <w:sz w:val="22"/>
                <w:szCs w:val="22"/>
                <w:highlight w:val="none"/>
              </w:rPr>
            </w:pPr>
          </w:p>
        </w:tc>
        <w:tc>
          <w:tcPr>
            <w:tcW w:w="1816" w:type="dxa"/>
            <w:vMerge w:val="continue"/>
            <w:vAlign w:val="center"/>
          </w:tcPr>
          <w:p>
            <w:pPr>
              <w:spacing w:line="240" w:lineRule="auto"/>
              <w:ind w:firstLine="0" w:firstLineChars="0"/>
              <w:jc w:val="center"/>
              <w:rPr>
                <w:snapToGrid w:val="0"/>
                <w:color w:val="auto"/>
                <w:sz w:val="22"/>
                <w:szCs w:val="22"/>
                <w:highlight w:val="none"/>
              </w:rPr>
            </w:pPr>
          </w:p>
        </w:tc>
        <w:tc>
          <w:tcPr>
            <w:tcW w:w="799"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15m</w:t>
            </w:r>
          </w:p>
        </w:tc>
        <w:tc>
          <w:tcPr>
            <w:tcW w:w="800"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20m</w:t>
            </w:r>
          </w:p>
        </w:tc>
        <w:tc>
          <w:tcPr>
            <w:tcW w:w="799"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30m</w:t>
            </w:r>
          </w:p>
        </w:tc>
        <w:tc>
          <w:tcPr>
            <w:tcW w:w="800"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40m</w:t>
            </w:r>
          </w:p>
        </w:tc>
        <w:tc>
          <w:tcPr>
            <w:tcW w:w="1556" w:type="dxa"/>
            <w:vMerge w:val="continue"/>
            <w:vAlign w:val="center"/>
          </w:tcPr>
          <w:p>
            <w:pPr>
              <w:spacing w:line="240" w:lineRule="auto"/>
              <w:ind w:firstLine="0" w:firstLineChars="0"/>
              <w:jc w:val="center"/>
              <w:rPr>
                <w:snapToGrid w:val="0"/>
                <w:color w:val="auto"/>
                <w:sz w:val="22"/>
                <w:szCs w:val="22"/>
                <w:highlight w:val="none"/>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411"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1</w:t>
            </w:r>
          </w:p>
        </w:tc>
        <w:tc>
          <w:tcPr>
            <w:tcW w:w="987"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SO</w:t>
            </w:r>
            <w:r>
              <w:rPr>
                <w:snapToGrid w:val="0"/>
                <w:color w:val="auto"/>
                <w:sz w:val="22"/>
                <w:szCs w:val="22"/>
                <w:highlight w:val="none"/>
                <w:vertAlign w:val="subscript"/>
              </w:rPr>
              <w:t>2</w:t>
            </w:r>
          </w:p>
        </w:tc>
        <w:tc>
          <w:tcPr>
            <w:tcW w:w="711" w:type="dxa"/>
            <w:vMerge w:val="restart"/>
            <w:vAlign w:val="center"/>
          </w:tcPr>
          <w:p>
            <w:pPr>
              <w:spacing w:line="240" w:lineRule="auto"/>
              <w:ind w:firstLine="0" w:firstLineChars="0"/>
              <w:jc w:val="center"/>
              <w:rPr>
                <w:snapToGrid w:val="0"/>
                <w:color w:val="auto"/>
                <w:sz w:val="22"/>
                <w:szCs w:val="22"/>
                <w:highlight w:val="none"/>
              </w:rPr>
            </w:pPr>
            <w:r>
              <w:rPr>
                <w:rFonts w:hint="eastAsia"/>
                <w:snapToGrid w:val="0"/>
                <w:color w:val="auto"/>
                <w:sz w:val="22"/>
                <w:szCs w:val="22"/>
                <w:highlight w:val="none"/>
              </w:rPr>
              <w:t>其他区域</w:t>
            </w:r>
          </w:p>
        </w:tc>
        <w:tc>
          <w:tcPr>
            <w:tcW w:w="1816"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550</w:t>
            </w:r>
          </w:p>
        </w:tc>
        <w:tc>
          <w:tcPr>
            <w:tcW w:w="799"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2.6</w:t>
            </w:r>
          </w:p>
        </w:tc>
        <w:tc>
          <w:tcPr>
            <w:tcW w:w="800"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4.3</w:t>
            </w:r>
          </w:p>
        </w:tc>
        <w:tc>
          <w:tcPr>
            <w:tcW w:w="799"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15</w:t>
            </w:r>
          </w:p>
        </w:tc>
        <w:tc>
          <w:tcPr>
            <w:tcW w:w="800"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25</w:t>
            </w:r>
          </w:p>
        </w:tc>
        <w:tc>
          <w:tcPr>
            <w:tcW w:w="1556"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0.40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411"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2</w:t>
            </w:r>
          </w:p>
        </w:tc>
        <w:tc>
          <w:tcPr>
            <w:tcW w:w="987"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NO</w:t>
            </w:r>
            <w:r>
              <w:rPr>
                <w:snapToGrid w:val="0"/>
                <w:color w:val="auto"/>
                <w:sz w:val="22"/>
                <w:szCs w:val="22"/>
                <w:highlight w:val="none"/>
                <w:vertAlign w:val="subscript"/>
              </w:rPr>
              <w:t>x</w:t>
            </w:r>
          </w:p>
        </w:tc>
        <w:tc>
          <w:tcPr>
            <w:tcW w:w="711" w:type="dxa"/>
            <w:vMerge w:val="continue"/>
            <w:vAlign w:val="center"/>
          </w:tcPr>
          <w:p>
            <w:pPr>
              <w:spacing w:line="240" w:lineRule="auto"/>
              <w:ind w:firstLine="0" w:firstLineChars="0"/>
              <w:jc w:val="center"/>
              <w:rPr>
                <w:snapToGrid w:val="0"/>
                <w:color w:val="auto"/>
                <w:sz w:val="22"/>
                <w:szCs w:val="22"/>
                <w:highlight w:val="none"/>
              </w:rPr>
            </w:pPr>
          </w:p>
        </w:tc>
        <w:tc>
          <w:tcPr>
            <w:tcW w:w="1816"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240</w:t>
            </w:r>
          </w:p>
        </w:tc>
        <w:tc>
          <w:tcPr>
            <w:tcW w:w="799"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0.77</w:t>
            </w:r>
          </w:p>
        </w:tc>
        <w:tc>
          <w:tcPr>
            <w:tcW w:w="800"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1.3</w:t>
            </w:r>
          </w:p>
        </w:tc>
        <w:tc>
          <w:tcPr>
            <w:tcW w:w="799"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4.4</w:t>
            </w:r>
          </w:p>
        </w:tc>
        <w:tc>
          <w:tcPr>
            <w:tcW w:w="800"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7.5</w:t>
            </w:r>
          </w:p>
        </w:tc>
        <w:tc>
          <w:tcPr>
            <w:tcW w:w="1556"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0.12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411"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3</w:t>
            </w:r>
          </w:p>
        </w:tc>
        <w:tc>
          <w:tcPr>
            <w:tcW w:w="987" w:type="dxa"/>
            <w:vAlign w:val="center"/>
          </w:tcPr>
          <w:p>
            <w:pPr>
              <w:spacing w:line="240" w:lineRule="auto"/>
              <w:ind w:firstLine="0" w:firstLineChars="0"/>
              <w:jc w:val="center"/>
              <w:rPr>
                <w:snapToGrid w:val="0"/>
                <w:color w:val="auto"/>
                <w:sz w:val="22"/>
                <w:szCs w:val="22"/>
                <w:highlight w:val="none"/>
              </w:rPr>
            </w:pPr>
            <w:r>
              <w:rPr>
                <w:rFonts w:hint="eastAsia"/>
                <w:snapToGrid w:val="0"/>
                <w:color w:val="auto"/>
                <w:sz w:val="22"/>
                <w:szCs w:val="22"/>
                <w:highlight w:val="none"/>
              </w:rPr>
              <w:t>颗粒物</w:t>
            </w:r>
          </w:p>
        </w:tc>
        <w:tc>
          <w:tcPr>
            <w:tcW w:w="711" w:type="dxa"/>
            <w:vMerge w:val="continue"/>
            <w:vAlign w:val="center"/>
          </w:tcPr>
          <w:p>
            <w:pPr>
              <w:spacing w:line="240" w:lineRule="auto"/>
              <w:ind w:firstLine="0" w:firstLineChars="0"/>
              <w:jc w:val="center"/>
              <w:rPr>
                <w:snapToGrid w:val="0"/>
                <w:color w:val="auto"/>
                <w:sz w:val="22"/>
                <w:szCs w:val="22"/>
                <w:highlight w:val="none"/>
              </w:rPr>
            </w:pPr>
          </w:p>
        </w:tc>
        <w:tc>
          <w:tcPr>
            <w:tcW w:w="1816"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120</w:t>
            </w:r>
          </w:p>
        </w:tc>
        <w:tc>
          <w:tcPr>
            <w:tcW w:w="799"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3.5</w:t>
            </w:r>
          </w:p>
        </w:tc>
        <w:tc>
          <w:tcPr>
            <w:tcW w:w="800"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5.9</w:t>
            </w:r>
          </w:p>
        </w:tc>
        <w:tc>
          <w:tcPr>
            <w:tcW w:w="799"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23</w:t>
            </w:r>
          </w:p>
        </w:tc>
        <w:tc>
          <w:tcPr>
            <w:tcW w:w="800"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39</w:t>
            </w:r>
          </w:p>
        </w:tc>
        <w:tc>
          <w:tcPr>
            <w:tcW w:w="1556" w:type="dxa"/>
            <w:vAlign w:val="center"/>
          </w:tcPr>
          <w:p>
            <w:pPr>
              <w:spacing w:line="240" w:lineRule="auto"/>
              <w:ind w:firstLine="0" w:firstLineChars="0"/>
              <w:jc w:val="center"/>
              <w:rPr>
                <w:snapToGrid w:val="0"/>
                <w:color w:val="auto"/>
                <w:sz w:val="22"/>
                <w:szCs w:val="22"/>
                <w:highlight w:val="none"/>
              </w:rPr>
            </w:pPr>
            <w:r>
              <w:rPr>
                <w:snapToGrid w:val="0"/>
                <w:color w:val="auto"/>
                <w:sz w:val="22"/>
                <w:szCs w:val="22"/>
                <w:highlight w:val="none"/>
              </w:rPr>
              <w:t>1.0</w:t>
            </w:r>
          </w:p>
        </w:tc>
      </w:tr>
    </w:tbl>
    <w:p>
      <w:pPr>
        <w:spacing w:line="240" w:lineRule="auto"/>
        <w:ind w:firstLine="520"/>
        <w:rPr>
          <w:bCs/>
          <w:color w:val="auto"/>
          <w:szCs w:val="26"/>
          <w:highlight w:val="none"/>
        </w:rPr>
      </w:pPr>
    </w:p>
    <w:p>
      <w:pPr>
        <w:pStyle w:val="218"/>
        <w:keepNext w:val="0"/>
        <w:keepLines w:val="0"/>
        <w:pageBreakBefore w:val="0"/>
        <w:widowControl w:val="0"/>
        <w:kinsoku/>
        <w:wordWrap/>
        <w:overflowPunct/>
        <w:topLinePunct w:val="0"/>
        <w:autoSpaceDE/>
        <w:autoSpaceDN/>
        <w:bidi w:val="0"/>
        <w:snapToGrid w:val="0"/>
        <w:spacing w:before="0" w:beforeLines="0" w:after="0" w:line="240" w:lineRule="auto"/>
        <w:textAlignment w:val="auto"/>
        <w:rPr>
          <w:color w:val="auto"/>
          <w:highlight w:val="none"/>
        </w:rPr>
      </w:pPr>
      <w:r>
        <w:rPr>
          <w:rFonts w:hint="eastAsia"/>
          <w:color w:val="auto"/>
          <w:highlight w:val="none"/>
        </w:rPr>
        <w:t xml:space="preserve">表1.7.3-2  </w:t>
      </w:r>
      <w:r>
        <w:rPr>
          <w:color w:val="auto"/>
          <w:highlight w:val="none"/>
        </w:rPr>
        <w:t>《餐饮油烟大气污染物排放标准》（DB50/578-2018）</w:t>
      </w:r>
    </w:p>
    <w:tbl>
      <w:tblPr>
        <w:tblStyle w:val="28"/>
        <w:tblW w:w="485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3505"/>
        <w:gridCol w:w="1724"/>
        <w:gridCol w:w="1724"/>
        <w:gridCol w:w="172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510"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规模</w:t>
            </w:r>
          </w:p>
        </w:tc>
        <w:tc>
          <w:tcPr>
            <w:tcW w:w="1722"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小  型</w:t>
            </w:r>
          </w:p>
        </w:tc>
        <w:tc>
          <w:tcPr>
            <w:tcW w:w="1722"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中  型</w:t>
            </w:r>
          </w:p>
        </w:tc>
        <w:tc>
          <w:tcPr>
            <w:tcW w:w="1724"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大  型</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510"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基准灶头数</w:t>
            </w:r>
          </w:p>
        </w:tc>
        <w:tc>
          <w:tcPr>
            <w:tcW w:w="1722"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≥1，&lt;3</w:t>
            </w:r>
          </w:p>
        </w:tc>
        <w:tc>
          <w:tcPr>
            <w:tcW w:w="1722"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≥3，&lt;6</w:t>
            </w:r>
          </w:p>
        </w:tc>
        <w:tc>
          <w:tcPr>
            <w:tcW w:w="1724"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510"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对应灶头总功率(10</w:t>
            </w:r>
            <w:r>
              <w:rPr>
                <w:color w:val="auto"/>
                <w:sz w:val="22"/>
                <w:szCs w:val="22"/>
                <w:highlight w:val="none"/>
                <w:vertAlign w:val="superscript"/>
              </w:rPr>
              <w:t>8</w:t>
            </w:r>
            <w:r>
              <w:rPr>
                <w:color w:val="auto"/>
                <w:sz w:val="22"/>
                <w:szCs w:val="22"/>
                <w:highlight w:val="none"/>
              </w:rPr>
              <w:t>J/h)</w:t>
            </w:r>
          </w:p>
        </w:tc>
        <w:tc>
          <w:tcPr>
            <w:tcW w:w="1722"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≥1.67，&lt;5.00</w:t>
            </w:r>
          </w:p>
        </w:tc>
        <w:tc>
          <w:tcPr>
            <w:tcW w:w="1722"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≥5.00，&lt;10</w:t>
            </w:r>
          </w:p>
        </w:tc>
        <w:tc>
          <w:tcPr>
            <w:tcW w:w="1724"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510"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对应排气罩面总投影面积(m²)</w:t>
            </w:r>
          </w:p>
        </w:tc>
        <w:tc>
          <w:tcPr>
            <w:tcW w:w="1722"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≥1.1，&lt;3.3</w:t>
            </w:r>
          </w:p>
        </w:tc>
        <w:tc>
          <w:tcPr>
            <w:tcW w:w="1722"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≥3.3，&lt;6.6</w:t>
            </w:r>
          </w:p>
        </w:tc>
        <w:tc>
          <w:tcPr>
            <w:tcW w:w="1724"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≥6.6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510"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经营场所使用面积(m²)</w:t>
            </w:r>
          </w:p>
        </w:tc>
        <w:tc>
          <w:tcPr>
            <w:tcW w:w="1722"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&lt;150</w:t>
            </w:r>
          </w:p>
        </w:tc>
        <w:tc>
          <w:tcPr>
            <w:tcW w:w="1722"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≥150，&lt;500</w:t>
            </w:r>
          </w:p>
        </w:tc>
        <w:tc>
          <w:tcPr>
            <w:tcW w:w="1724" w:type="dxa"/>
            <w:tcBorders>
              <w:top w:val="single" w:color="auto" w:sz="2" w:space="0"/>
              <w:left w:val="single" w:color="auto" w:sz="2" w:space="0"/>
              <w:bottom w:val="single" w:color="auto" w:sz="2" w:space="0"/>
              <w:right w:val="single" w:color="auto" w:sz="2" w:space="0"/>
            </w:tcBorders>
            <w:vAlign w:val="center"/>
          </w:tcPr>
          <w:p>
            <w:pPr>
              <w:pStyle w:val="21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sz w:val="22"/>
                <w:szCs w:val="22"/>
                <w:highlight w:val="none"/>
              </w:rPr>
            </w:pPr>
            <w:r>
              <w:rPr>
                <w:color w:val="auto"/>
                <w:sz w:val="22"/>
                <w:szCs w:val="22"/>
                <w:highlight w:val="none"/>
              </w:rPr>
              <w:t>≥500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510" w:type="dxa"/>
            <w:tcBorders>
              <w:top w:val="single" w:color="auto" w:sz="2" w:space="0"/>
              <w:left w:val="single" w:color="auto" w:sz="2" w:space="0"/>
              <w:bottom w:val="single" w:color="auto" w:sz="2" w:space="0"/>
              <w:right w:val="single" w:color="auto" w:sz="2" w:space="0"/>
            </w:tcBorders>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就座餐位数</w:t>
            </w:r>
          </w:p>
        </w:tc>
        <w:tc>
          <w:tcPr>
            <w:tcW w:w="1722" w:type="dxa"/>
            <w:tcBorders>
              <w:top w:val="single" w:color="auto" w:sz="2" w:space="0"/>
              <w:left w:val="single" w:color="auto" w:sz="2" w:space="0"/>
              <w:bottom w:val="single" w:color="auto" w:sz="2" w:space="0"/>
              <w:right w:val="single" w:color="auto" w:sz="2" w:space="0"/>
            </w:tcBorders>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&lt;75</w:t>
            </w:r>
          </w:p>
        </w:tc>
        <w:tc>
          <w:tcPr>
            <w:tcW w:w="1722" w:type="dxa"/>
            <w:tcBorders>
              <w:top w:val="single" w:color="auto" w:sz="2" w:space="0"/>
              <w:left w:val="single" w:color="auto" w:sz="2" w:space="0"/>
              <w:bottom w:val="single" w:color="auto" w:sz="2" w:space="0"/>
              <w:right w:val="single" w:color="auto" w:sz="2" w:space="0"/>
            </w:tcBorders>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≥75，&lt;150</w:t>
            </w:r>
          </w:p>
        </w:tc>
        <w:tc>
          <w:tcPr>
            <w:tcW w:w="1724" w:type="dxa"/>
            <w:tcBorders>
              <w:top w:val="single" w:color="auto" w:sz="2" w:space="0"/>
              <w:left w:val="single" w:color="auto" w:sz="2" w:space="0"/>
              <w:bottom w:val="single" w:color="auto" w:sz="2" w:space="0"/>
              <w:right w:val="single" w:color="auto" w:sz="2" w:space="0"/>
            </w:tcBorders>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≥150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510" w:type="dxa"/>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规    模</w:t>
            </w:r>
          </w:p>
        </w:tc>
        <w:tc>
          <w:tcPr>
            <w:tcW w:w="1722" w:type="dxa"/>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小  型</w:t>
            </w:r>
          </w:p>
        </w:tc>
        <w:tc>
          <w:tcPr>
            <w:tcW w:w="1722" w:type="dxa"/>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中  型</w:t>
            </w:r>
          </w:p>
        </w:tc>
        <w:tc>
          <w:tcPr>
            <w:tcW w:w="1724" w:type="dxa"/>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大  型</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510" w:type="dxa"/>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油烟最高允许排放浓度(mg/m</w:t>
            </w:r>
            <w:r>
              <w:rPr>
                <w:color w:val="auto"/>
                <w:sz w:val="22"/>
                <w:szCs w:val="22"/>
                <w:highlight w:val="none"/>
                <w:vertAlign w:val="superscript"/>
              </w:rPr>
              <w:t>3</w:t>
            </w:r>
            <w:r>
              <w:rPr>
                <w:color w:val="auto"/>
                <w:sz w:val="22"/>
                <w:szCs w:val="22"/>
                <w:highlight w:val="none"/>
              </w:rPr>
              <w:t>)</w:t>
            </w:r>
          </w:p>
        </w:tc>
        <w:tc>
          <w:tcPr>
            <w:tcW w:w="5168" w:type="dxa"/>
            <w:gridSpan w:val="3"/>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510" w:type="dxa"/>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油烟净化设施最低去除效率(%)</w:t>
            </w:r>
          </w:p>
        </w:tc>
        <w:tc>
          <w:tcPr>
            <w:tcW w:w="1722" w:type="dxa"/>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≥90</w:t>
            </w:r>
          </w:p>
        </w:tc>
        <w:tc>
          <w:tcPr>
            <w:tcW w:w="1722" w:type="dxa"/>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≥90</w:t>
            </w:r>
          </w:p>
        </w:tc>
        <w:tc>
          <w:tcPr>
            <w:tcW w:w="1724" w:type="dxa"/>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≥95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510" w:type="dxa"/>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非甲烷最高允许排放浓度(mg/m</w:t>
            </w:r>
            <w:r>
              <w:rPr>
                <w:color w:val="auto"/>
                <w:sz w:val="22"/>
                <w:szCs w:val="22"/>
                <w:highlight w:val="none"/>
                <w:vertAlign w:val="superscript"/>
              </w:rPr>
              <w:t>3</w:t>
            </w:r>
            <w:r>
              <w:rPr>
                <w:color w:val="auto"/>
                <w:sz w:val="22"/>
                <w:szCs w:val="22"/>
                <w:highlight w:val="none"/>
              </w:rPr>
              <w:t>)</w:t>
            </w:r>
          </w:p>
        </w:tc>
        <w:tc>
          <w:tcPr>
            <w:tcW w:w="5168" w:type="dxa"/>
            <w:gridSpan w:val="3"/>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510" w:type="dxa"/>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油烟净化设施最低去除效率(%)</w:t>
            </w:r>
          </w:p>
        </w:tc>
        <w:tc>
          <w:tcPr>
            <w:tcW w:w="1722" w:type="dxa"/>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≥65</w:t>
            </w:r>
          </w:p>
        </w:tc>
        <w:tc>
          <w:tcPr>
            <w:tcW w:w="1722" w:type="dxa"/>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≥75</w:t>
            </w:r>
          </w:p>
        </w:tc>
        <w:tc>
          <w:tcPr>
            <w:tcW w:w="1724" w:type="dxa"/>
            <w:vAlign w:val="center"/>
          </w:tcPr>
          <w:p>
            <w:pPr>
              <w:pStyle w:val="219"/>
              <w:adjustRightInd w:val="0"/>
              <w:snapToGrid w:val="0"/>
              <w:spacing w:line="240" w:lineRule="auto"/>
              <w:ind w:firstLine="0" w:firstLineChars="0"/>
              <w:rPr>
                <w:color w:val="auto"/>
                <w:sz w:val="22"/>
                <w:szCs w:val="22"/>
                <w:highlight w:val="none"/>
              </w:rPr>
            </w:pPr>
            <w:r>
              <w:rPr>
                <w:color w:val="auto"/>
                <w:sz w:val="22"/>
                <w:szCs w:val="22"/>
                <w:highlight w:val="none"/>
              </w:rPr>
              <w:t>≥85</w:t>
            </w:r>
          </w:p>
        </w:tc>
      </w:tr>
    </w:tbl>
    <w:p>
      <w:pPr>
        <w:snapToGrid w:val="0"/>
        <w:spacing w:line="240" w:lineRule="auto"/>
        <w:ind w:firstLine="520"/>
        <w:rPr>
          <w:color w:val="auto"/>
          <w:szCs w:val="26"/>
          <w:highlight w:val="none"/>
        </w:rPr>
      </w:pPr>
    </w:p>
    <w:p>
      <w:pPr>
        <w:snapToGrid w:val="0"/>
        <w:ind w:firstLine="520"/>
        <w:rPr>
          <w:color w:val="auto"/>
          <w:szCs w:val="26"/>
          <w:highlight w:val="none"/>
        </w:rPr>
      </w:pPr>
      <w:r>
        <w:rPr>
          <w:rFonts w:hint="eastAsia"/>
          <w:color w:val="auto"/>
          <w:szCs w:val="26"/>
          <w:highlight w:val="none"/>
        </w:rPr>
        <w:t>（2）废水</w:t>
      </w:r>
    </w:p>
    <w:p>
      <w:pPr>
        <w:snapToGrid w:val="0"/>
        <w:ind w:firstLine="520"/>
        <w:rPr>
          <w:color w:val="auto"/>
          <w:highlight w:val="none"/>
        </w:rPr>
      </w:pPr>
      <w:r>
        <w:rPr>
          <w:rFonts w:hint="eastAsia"/>
          <w:color w:val="auto"/>
          <w:highlight w:val="none"/>
          <w:lang w:eastAsia="zh-CN"/>
        </w:rPr>
        <w:t>项目建成后不接收过闸</w:t>
      </w:r>
      <w:r>
        <w:rPr>
          <w:rFonts w:hint="eastAsia"/>
          <w:color w:val="auto"/>
          <w:highlight w:val="none"/>
        </w:rPr>
        <w:t>船舶</w:t>
      </w:r>
      <w:r>
        <w:rPr>
          <w:rFonts w:hint="eastAsia"/>
          <w:color w:val="auto"/>
          <w:highlight w:val="none"/>
          <w:lang w:eastAsia="zh-CN"/>
        </w:rPr>
        <w:t>废水，管理人员生活</w:t>
      </w:r>
      <w:r>
        <w:rPr>
          <w:rFonts w:hint="eastAsia"/>
          <w:color w:val="auto"/>
          <w:highlight w:val="none"/>
        </w:rPr>
        <w:t>污水回用标准参照执行《城市污水再生利用</w:t>
      </w:r>
      <w:r>
        <w:rPr>
          <w:rFonts w:hint="eastAsia"/>
          <w:color w:val="auto"/>
          <w:highlight w:val="none"/>
          <w:lang w:val="en-US" w:eastAsia="zh-CN"/>
        </w:rPr>
        <w:t xml:space="preserve"> </w:t>
      </w:r>
      <w:r>
        <w:rPr>
          <w:rFonts w:hint="eastAsia"/>
          <w:color w:val="auto"/>
          <w:highlight w:val="none"/>
        </w:rPr>
        <w:t>城市杂用水水质》（GB/T18920-2020）。</w:t>
      </w:r>
    </w:p>
    <w:p>
      <w:pPr>
        <w:pStyle w:val="218"/>
        <w:keepNext w:val="0"/>
        <w:keepLines w:val="0"/>
        <w:pageBreakBefore w:val="0"/>
        <w:kinsoku/>
        <w:wordWrap/>
        <w:overflowPunct/>
        <w:topLinePunct w:val="0"/>
        <w:autoSpaceDE/>
        <w:autoSpaceDN/>
        <w:bidi w:val="0"/>
        <w:adjustRightInd w:val="0"/>
        <w:snapToGrid w:val="0"/>
        <w:spacing w:before="0" w:beforeLines="0" w:after="0" w:line="240" w:lineRule="auto"/>
        <w:jc w:val="center"/>
        <w:textAlignment w:val="auto"/>
        <w:rPr>
          <w:color w:val="auto"/>
          <w:highlight w:val="none"/>
        </w:rPr>
      </w:pPr>
    </w:p>
    <w:p>
      <w:pPr>
        <w:pStyle w:val="218"/>
        <w:keepNext w:val="0"/>
        <w:keepLines w:val="0"/>
        <w:pageBreakBefore w:val="0"/>
        <w:kinsoku/>
        <w:wordWrap/>
        <w:overflowPunct/>
        <w:topLinePunct w:val="0"/>
        <w:autoSpaceDE/>
        <w:autoSpaceDN/>
        <w:bidi w:val="0"/>
        <w:adjustRightInd w:val="0"/>
        <w:snapToGrid w:val="0"/>
        <w:spacing w:before="0" w:beforeLines="0" w:after="0" w:line="240" w:lineRule="auto"/>
        <w:jc w:val="center"/>
        <w:textAlignment w:val="auto"/>
        <w:rPr>
          <w:rFonts w:hint="eastAsia"/>
          <w:color w:val="auto"/>
          <w:highlight w:val="none"/>
        </w:rPr>
      </w:pPr>
      <w:r>
        <w:rPr>
          <w:color w:val="auto"/>
          <w:highlight w:val="none"/>
        </w:rPr>
        <w:t>表</w:t>
      </w:r>
      <w:r>
        <w:rPr>
          <w:rFonts w:hint="eastAsia"/>
          <w:color w:val="auto"/>
          <w:highlight w:val="none"/>
        </w:rPr>
        <w:t>1.7.3-</w:t>
      </w:r>
      <w:r>
        <w:rPr>
          <w:rFonts w:hint="eastAsia"/>
          <w:color w:val="auto"/>
          <w:highlight w:val="none"/>
          <w:lang w:val="en-US" w:eastAsia="zh-CN"/>
        </w:rPr>
        <w:t>3</w:t>
      </w:r>
      <w:r>
        <w:rPr>
          <w:rFonts w:hint="eastAsia"/>
          <w:color w:val="auto"/>
          <w:highlight w:val="none"/>
        </w:rPr>
        <w:t xml:space="preserve"> </w:t>
      </w:r>
      <w:r>
        <w:rPr>
          <w:rFonts w:hint="eastAsia"/>
          <w:color w:val="auto"/>
          <w:sz w:val="26"/>
          <w:szCs w:val="26"/>
          <w:highlight w:val="none"/>
        </w:rPr>
        <w:t>《城市污水再生利用 城市杂用水水质》（GB/T 18920-2020）</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
      <w:tblGrid>
        <w:gridCol w:w="798"/>
        <w:gridCol w:w="2136"/>
        <w:gridCol w:w="1612"/>
        <w:gridCol w:w="4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79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序号</w:t>
            </w:r>
          </w:p>
        </w:tc>
        <w:tc>
          <w:tcPr>
            <w:tcW w:w="213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项目</w:t>
            </w:r>
          </w:p>
        </w:tc>
        <w:tc>
          <w:tcPr>
            <w:tcW w:w="16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eastAsia="zh-CN"/>
              </w:rPr>
              <w:t>单位</w:t>
            </w:r>
          </w:p>
        </w:tc>
        <w:tc>
          <w:tcPr>
            <w:tcW w:w="41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eastAsia="zh-CN"/>
              </w:rPr>
              <w:t>城</w:t>
            </w:r>
            <w:r>
              <w:rPr>
                <w:rFonts w:hint="default" w:ascii="Times New Roman" w:hAnsi="Times New Roman" w:eastAsia="宋体" w:cs="Times New Roman"/>
                <w:color w:val="auto"/>
                <w:sz w:val="22"/>
                <w:szCs w:val="22"/>
                <w:highlight w:val="none"/>
              </w:rPr>
              <w:t>市绿化、道路清扫、消防、建筑施工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798" w:type="dxa"/>
            <w:vAlign w:val="center"/>
          </w:tcPr>
          <w:p>
            <w:pPr>
              <w:keepNext w:val="0"/>
              <w:keepLines w:val="0"/>
              <w:pageBreakBefore w:val="0"/>
              <w:widowControl w:val="0"/>
              <w:numPr>
                <w:ilvl w:val="0"/>
                <w:numId w:val="9"/>
              </w:numPr>
              <w:tabs>
                <w:tab w:val="clear" w:pos="0"/>
              </w:tab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2"/>
                <w:szCs w:val="22"/>
                <w:highlight w:val="none"/>
              </w:rPr>
            </w:pPr>
          </w:p>
        </w:tc>
        <w:tc>
          <w:tcPr>
            <w:tcW w:w="213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pH</w:t>
            </w:r>
          </w:p>
        </w:tc>
        <w:tc>
          <w:tcPr>
            <w:tcW w:w="16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无量纲</w:t>
            </w:r>
          </w:p>
        </w:tc>
        <w:tc>
          <w:tcPr>
            <w:tcW w:w="41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6.0～9.0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798" w:type="dxa"/>
            <w:vAlign w:val="center"/>
          </w:tcPr>
          <w:p>
            <w:pPr>
              <w:keepNext w:val="0"/>
              <w:keepLines w:val="0"/>
              <w:pageBreakBefore w:val="0"/>
              <w:widowControl w:val="0"/>
              <w:numPr>
                <w:ilvl w:val="0"/>
                <w:numId w:val="9"/>
              </w:numPr>
              <w:tabs>
                <w:tab w:val="clear" w:pos="0"/>
              </w:tab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2"/>
                <w:szCs w:val="22"/>
                <w:highlight w:val="none"/>
              </w:rPr>
            </w:pPr>
          </w:p>
        </w:tc>
        <w:tc>
          <w:tcPr>
            <w:tcW w:w="213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色度</w:t>
            </w:r>
          </w:p>
        </w:tc>
        <w:tc>
          <w:tcPr>
            <w:tcW w:w="16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度</w:t>
            </w:r>
          </w:p>
        </w:tc>
        <w:tc>
          <w:tcPr>
            <w:tcW w:w="41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798" w:type="dxa"/>
            <w:vAlign w:val="center"/>
          </w:tcPr>
          <w:p>
            <w:pPr>
              <w:keepNext w:val="0"/>
              <w:keepLines w:val="0"/>
              <w:pageBreakBefore w:val="0"/>
              <w:widowControl w:val="0"/>
              <w:numPr>
                <w:ilvl w:val="0"/>
                <w:numId w:val="9"/>
              </w:numPr>
              <w:tabs>
                <w:tab w:val="clear" w:pos="0"/>
              </w:tab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2"/>
                <w:szCs w:val="22"/>
                <w:highlight w:val="none"/>
              </w:rPr>
            </w:pPr>
          </w:p>
        </w:tc>
        <w:tc>
          <w:tcPr>
            <w:tcW w:w="213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eastAsia="zh-CN"/>
              </w:rPr>
              <w:t>嗅</w:t>
            </w:r>
          </w:p>
        </w:tc>
        <w:tc>
          <w:tcPr>
            <w:tcW w:w="16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w:t>
            </w:r>
          </w:p>
        </w:tc>
        <w:tc>
          <w:tcPr>
            <w:tcW w:w="41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eastAsia="zh-CN"/>
              </w:rPr>
              <w:t>无不快感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798" w:type="dxa"/>
            <w:vAlign w:val="center"/>
          </w:tcPr>
          <w:p>
            <w:pPr>
              <w:keepNext w:val="0"/>
              <w:keepLines w:val="0"/>
              <w:pageBreakBefore w:val="0"/>
              <w:widowControl w:val="0"/>
              <w:numPr>
                <w:ilvl w:val="0"/>
                <w:numId w:val="9"/>
              </w:numPr>
              <w:tabs>
                <w:tab w:val="clear" w:pos="0"/>
              </w:tab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2"/>
                <w:szCs w:val="22"/>
                <w:highlight w:val="none"/>
              </w:rPr>
            </w:pPr>
          </w:p>
        </w:tc>
        <w:tc>
          <w:tcPr>
            <w:tcW w:w="213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eastAsia="zh-CN"/>
              </w:rPr>
              <w:t>浊度</w:t>
            </w:r>
          </w:p>
        </w:tc>
        <w:tc>
          <w:tcPr>
            <w:tcW w:w="16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NTU</w:t>
            </w:r>
          </w:p>
        </w:tc>
        <w:tc>
          <w:tcPr>
            <w:tcW w:w="41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rPr>
            </w:pPr>
            <w:r>
              <w:rPr>
                <w:rFonts w:hint="default" w:ascii="Times New Roman" w:hAnsi="Times New Roman" w:eastAsia="宋体" w:cs="Times New Roman"/>
                <w:color w:val="auto"/>
                <w:sz w:val="22"/>
                <w:szCs w:val="22"/>
                <w:highlight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798" w:type="dxa"/>
            <w:vAlign w:val="center"/>
          </w:tcPr>
          <w:p>
            <w:pPr>
              <w:keepNext w:val="0"/>
              <w:keepLines w:val="0"/>
              <w:pageBreakBefore w:val="0"/>
              <w:widowControl w:val="0"/>
              <w:numPr>
                <w:ilvl w:val="0"/>
                <w:numId w:val="9"/>
              </w:numPr>
              <w:tabs>
                <w:tab w:val="clear" w:pos="0"/>
              </w:tab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2"/>
                <w:szCs w:val="22"/>
                <w:highlight w:val="none"/>
              </w:rPr>
            </w:pPr>
          </w:p>
        </w:tc>
        <w:tc>
          <w:tcPr>
            <w:tcW w:w="213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eastAsia="zh-CN"/>
              </w:rPr>
              <w:t>五日生化需氧量</w:t>
            </w:r>
          </w:p>
        </w:tc>
        <w:tc>
          <w:tcPr>
            <w:tcW w:w="16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mg/L</w:t>
            </w:r>
          </w:p>
        </w:tc>
        <w:tc>
          <w:tcPr>
            <w:tcW w:w="41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rPr>
            </w:pPr>
            <w:r>
              <w:rPr>
                <w:rFonts w:hint="default" w:ascii="Times New Roman" w:hAnsi="Times New Roman" w:eastAsia="宋体" w:cs="Times New Roman"/>
                <w:color w:val="auto"/>
                <w:sz w:val="22"/>
                <w:szCs w:val="22"/>
                <w:highlight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798" w:type="dxa"/>
            <w:vAlign w:val="center"/>
          </w:tcPr>
          <w:p>
            <w:pPr>
              <w:keepNext w:val="0"/>
              <w:keepLines w:val="0"/>
              <w:pageBreakBefore w:val="0"/>
              <w:widowControl w:val="0"/>
              <w:numPr>
                <w:ilvl w:val="0"/>
                <w:numId w:val="9"/>
              </w:numPr>
              <w:tabs>
                <w:tab w:val="clear" w:pos="0"/>
              </w:tab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2"/>
                <w:szCs w:val="22"/>
                <w:highlight w:val="none"/>
              </w:rPr>
            </w:pPr>
          </w:p>
        </w:tc>
        <w:tc>
          <w:tcPr>
            <w:tcW w:w="213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eastAsia="zh-CN"/>
              </w:rPr>
              <w:t>氨氮</w:t>
            </w:r>
          </w:p>
        </w:tc>
        <w:tc>
          <w:tcPr>
            <w:tcW w:w="16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mg/L</w:t>
            </w:r>
          </w:p>
        </w:tc>
        <w:tc>
          <w:tcPr>
            <w:tcW w:w="41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rPr>
            </w:pPr>
            <w:r>
              <w:rPr>
                <w:rFonts w:hint="default" w:ascii="Times New Roman" w:hAnsi="Times New Roman" w:eastAsia="宋体" w:cs="Times New Roman"/>
                <w:color w:val="auto"/>
                <w:sz w:val="22"/>
                <w:szCs w:val="22"/>
                <w:highlight w:val="none"/>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798" w:type="dxa"/>
            <w:vAlign w:val="center"/>
          </w:tcPr>
          <w:p>
            <w:pPr>
              <w:keepNext w:val="0"/>
              <w:keepLines w:val="0"/>
              <w:pageBreakBefore w:val="0"/>
              <w:widowControl w:val="0"/>
              <w:numPr>
                <w:ilvl w:val="0"/>
                <w:numId w:val="9"/>
              </w:numPr>
              <w:tabs>
                <w:tab w:val="clear" w:pos="0"/>
              </w:tab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2"/>
                <w:szCs w:val="22"/>
                <w:highlight w:val="none"/>
              </w:rPr>
            </w:pPr>
          </w:p>
        </w:tc>
        <w:tc>
          <w:tcPr>
            <w:tcW w:w="213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eastAsia="zh-CN"/>
              </w:rPr>
              <w:t>阴离子表面活性剂</w:t>
            </w:r>
          </w:p>
        </w:tc>
        <w:tc>
          <w:tcPr>
            <w:tcW w:w="16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mg/L</w:t>
            </w:r>
          </w:p>
        </w:tc>
        <w:tc>
          <w:tcPr>
            <w:tcW w:w="41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rPr>
            </w:pPr>
            <w:r>
              <w:rPr>
                <w:rFonts w:hint="default" w:ascii="Times New Roman" w:hAnsi="Times New Roman" w:eastAsia="宋体" w:cs="Times New Roman"/>
                <w:color w:val="auto"/>
                <w:sz w:val="22"/>
                <w:szCs w:val="22"/>
                <w:highlight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798" w:type="dxa"/>
            <w:vAlign w:val="center"/>
          </w:tcPr>
          <w:p>
            <w:pPr>
              <w:keepNext w:val="0"/>
              <w:keepLines w:val="0"/>
              <w:pageBreakBefore w:val="0"/>
              <w:widowControl w:val="0"/>
              <w:numPr>
                <w:ilvl w:val="0"/>
                <w:numId w:val="9"/>
              </w:numPr>
              <w:tabs>
                <w:tab w:val="clear" w:pos="0"/>
              </w:tab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2"/>
                <w:szCs w:val="22"/>
                <w:highlight w:val="none"/>
              </w:rPr>
            </w:pPr>
          </w:p>
        </w:tc>
        <w:tc>
          <w:tcPr>
            <w:tcW w:w="213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eastAsia="zh-CN"/>
              </w:rPr>
              <w:t>铁</w:t>
            </w:r>
          </w:p>
        </w:tc>
        <w:tc>
          <w:tcPr>
            <w:tcW w:w="16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mg/L</w:t>
            </w:r>
          </w:p>
        </w:tc>
        <w:tc>
          <w:tcPr>
            <w:tcW w:w="41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798" w:type="dxa"/>
            <w:vAlign w:val="center"/>
          </w:tcPr>
          <w:p>
            <w:pPr>
              <w:keepNext w:val="0"/>
              <w:keepLines w:val="0"/>
              <w:pageBreakBefore w:val="0"/>
              <w:widowControl w:val="0"/>
              <w:numPr>
                <w:ilvl w:val="0"/>
                <w:numId w:val="9"/>
              </w:numPr>
              <w:tabs>
                <w:tab w:val="clear" w:pos="0"/>
              </w:tab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2"/>
                <w:szCs w:val="22"/>
                <w:highlight w:val="none"/>
              </w:rPr>
            </w:pPr>
          </w:p>
        </w:tc>
        <w:tc>
          <w:tcPr>
            <w:tcW w:w="213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eastAsia="zh-CN"/>
              </w:rPr>
              <w:t>锰</w:t>
            </w:r>
          </w:p>
        </w:tc>
        <w:tc>
          <w:tcPr>
            <w:tcW w:w="16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mg/L</w:t>
            </w:r>
          </w:p>
        </w:tc>
        <w:tc>
          <w:tcPr>
            <w:tcW w:w="41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798" w:type="dxa"/>
            <w:vAlign w:val="center"/>
          </w:tcPr>
          <w:p>
            <w:pPr>
              <w:keepNext w:val="0"/>
              <w:keepLines w:val="0"/>
              <w:pageBreakBefore w:val="0"/>
              <w:widowControl w:val="0"/>
              <w:numPr>
                <w:ilvl w:val="0"/>
                <w:numId w:val="9"/>
              </w:numPr>
              <w:tabs>
                <w:tab w:val="clear" w:pos="0"/>
              </w:tab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2"/>
                <w:szCs w:val="22"/>
                <w:highlight w:val="none"/>
              </w:rPr>
            </w:pPr>
          </w:p>
        </w:tc>
        <w:tc>
          <w:tcPr>
            <w:tcW w:w="213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eastAsia="zh-CN"/>
              </w:rPr>
              <w:t>溶解性总固体</w:t>
            </w:r>
          </w:p>
        </w:tc>
        <w:tc>
          <w:tcPr>
            <w:tcW w:w="16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mg/L</w:t>
            </w:r>
          </w:p>
        </w:tc>
        <w:tc>
          <w:tcPr>
            <w:tcW w:w="41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lang w:val="en-US" w:eastAsia="zh-CN"/>
              </w:rPr>
              <w:t>≤</w:t>
            </w:r>
            <w:r>
              <w:rPr>
                <w:rFonts w:hint="default" w:ascii="Times New Roman" w:hAnsi="Times New Roman" w:eastAsia="宋体" w:cs="Times New Roman"/>
                <w:color w:val="auto"/>
                <w:sz w:val="22"/>
                <w:szCs w:val="22"/>
                <w:highlight w:val="none"/>
              </w:rPr>
              <w:t>1000(2000)</w:t>
            </w:r>
            <w:r>
              <w:rPr>
                <w:rFonts w:hint="default" w:ascii="Times New Roman" w:hAnsi="Times New Roman" w:eastAsia="宋体" w:cs="Times New Roman"/>
                <w:color w:val="auto"/>
                <w:sz w:val="22"/>
                <w:szCs w:val="22"/>
                <w:highlight w:val="none"/>
                <w:vertAlign w:val="superscript"/>
                <w:lang w:val="en-US" w:eastAsia="zh-CN"/>
              </w:rPr>
              <w:t>a</w:t>
            </w:r>
            <w:r>
              <w:rPr>
                <w:rFonts w:hint="default" w:ascii="Times New Roman" w:hAnsi="Times New Roman" w:eastAsia="宋体" w:cs="Times New Roman"/>
                <w:color w:val="auto"/>
                <w:sz w:val="22"/>
                <w:szCs w:val="22"/>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798" w:type="dxa"/>
            <w:vAlign w:val="center"/>
          </w:tcPr>
          <w:p>
            <w:pPr>
              <w:keepNext w:val="0"/>
              <w:keepLines w:val="0"/>
              <w:pageBreakBefore w:val="0"/>
              <w:widowControl w:val="0"/>
              <w:numPr>
                <w:ilvl w:val="0"/>
                <w:numId w:val="9"/>
              </w:numPr>
              <w:tabs>
                <w:tab w:val="clear" w:pos="0"/>
              </w:tab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2"/>
                <w:szCs w:val="22"/>
                <w:highlight w:val="none"/>
              </w:rPr>
            </w:pPr>
          </w:p>
        </w:tc>
        <w:tc>
          <w:tcPr>
            <w:tcW w:w="213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eastAsia="zh-CN"/>
              </w:rPr>
              <w:t>溶解氧</w:t>
            </w:r>
          </w:p>
        </w:tc>
        <w:tc>
          <w:tcPr>
            <w:tcW w:w="16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mg/L</w:t>
            </w:r>
          </w:p>
        </w:tc>
        <w:tc>
          <w:tcPr>
            <w:tcW w:w="41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i w:val="0"/>
                <w:iCs w:val="0"/>
                <w:caps w:val="0"/>
                <w:color w:val="auto"/>
                <w:spacing w:val="0"/>
                <w:sz w:val="22"/>
                <w:szCs w:val="22"/>
                <w:highlight w:val="none"/>
                <w:shd w:val="clear" w:fill="FFFFFF"/>
              </w:rPr>
              <w:t>≥</w:t>
            </w:r>
            <w:r>
              <w:rPr>
                <w:rFonts w:hint="default" w:ascii="Times New Roman" w:hAnsi="Times New Roman" w:eastAsia="宋体" w:cs="Times New Roman"/>
                <w:i w:val="0"/>
                <w:iCs w:val="0"/>
                <w:caps w:val="0"/>
                <w:color w:val="auto"/>
                <w:spacing w:val="0"/>
                <w:sz w:val="22"/>
                <w:szCs w:val="22"/>
                <w:highlight w:val="none"/>
                <w:shd w:val="clear" w:fill="FFFFFF"/>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798" w:type="dxa"/>
            <w:vAlign w:val="center"/>
          </w:tcPr>
          <w:p>
            <w:pPr>
              <w:keepNext w:val="0"/>
              <w:keepLines w:val="0"/>
              <w:pageBreakBefore w:val="0"/>
              <w:widowControl w:val="0"/>
              <w:numPr>
                <w:ilvl w:val="0"/>
                <w:numId w:val="9"/>
              </w:numPr>
              <w:tabs>
                <w:tab w:val="clear" w:pos="0"/>
              </w:tab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2"/>
                <w:szCs w:val="22"/>
                <w:highlight w:val="none"/>
              </w:rPr>
            </w:pPr>
          </w:p>
        </w:tc>
        <w:tc>
          <w:tcPr>
            <w:tcW w:w="213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eastAsia="zh-CN"/>
              </w:rPr>
              <w:t>总氯</w:t>
            </w:r>
          </w:p>
        </w:tc>
        <w:tc>
          <w:tcPr>
            <w:tcW w:w="16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mg/L</w:t>
            </w:r>
          </w:p>
        </w:tc>
        <w:tc>
          <w:tcPr>
            <w:tcW w:w="41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lang w:val="en-US" w:eastAsia="zh-CN"/>
              </w:rPr>
              <w:t>1</w:t>
            </w:r>
            <w:r>
              <w:rPr>
                <w:rFonts w:hint="default" w:ascii="Times New Roman" w:hAnsi="Times New Roman" w:eastAsia="宋体" w:cs="Times New Roman"/>
                <w:color w:val="auto"/>
                <w:sz w:val="22"/>
                <w:szCs w:val="22"/>
                <w:highlight w:val="none"/>
              </w:rPr>
              <w:t>.0 （出厂），</w:t>
            </w:r>
            <w:r>
              <w:rPr>
                <w:rFonts w:hint="default" w:ascii="Times New Roman" w:hAnsi="Times New Roman" w:eastAsia="宋体" w:cs="Times New Roman"/>
                <w:color w:val="auto"/>
                <w:sz w:val="22"/>
                <w:szCs w:val="22"/>
                <w:highlight w:val="none"/>
                <w:lang w:val="en-US" w:eastAsia="zh-CN"/>
              </w:rPr>
              <w:t>0.2</w:t>
            </w:r>
            <w:r>
              <w:rPr>
                <w:rFonts w:hint="default" w:ascii="Times New Roman" w:hAnsi="Times New Roman" w:eastAsia="宋体" w:cs="Times New Roman"/>
                <w:color w:val="auto"/>
                <w:sz w:val="22"/>
                <w:szCs w:val="22"/>
                <w:highlight w:val="none"/>
                <w:vertAlign w:val="superscript"/>
                <w:lang w:val="en-US" w:eastAsia="zh-CN"/>
              </w:rPr>
              <w:t>b</w:t>
            </w:r>
            <w:r>
              <w:rPr>
                <w:rFonts w:hint="default" w:ascii="Times New Roman" w:hAnsi="Times New Roman" w:eastAsia="宋体" w:cs="Times New Roman"/>
                <w:color w:val="auto"/>
                <w:sz w:val="22"/>
                <w:szCs w:val="22"/>
                <w:highlight w:val="none"/>
              </w:rPr>
              <w:t>（管网末端）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798" w:type="dxa"/>
            <w:vAlign w:val="center"/>
          </w:tcPr>
          <w:p>
            <w:pPr>
              <w:keepNext w:val="0"/>
              <w:keepLines w:val="0"/>
              <w:pageBreakBefore w:val="0"/>
              <w:widowControl w:val="0"/>
              <w:numPr>
                <w:ilvl w:val="0"/>
                <w:numId w:val="9"/>
              </w:numPr>
              <w:tabs>
                <w:tab w:val="clear" w:pos="0"/>
              </w:tab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2"/>
                <w:szCs w:val="22"/>
                <w:highlight w:val="none"/>
              </w:rPr>
            </w:pPr>
          </w:p>
        </w:tc>
        <w:tc>
          <w:tcPr>
            <w:tcW w:w="213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eastAsia="zh-CN"/>
              </w:rPr>
              <w:t>大肠埃希氏菌</w:t>
            </w:r>
          </w:p>
        </w:tc>
        <w:tc>
          <w:tcPr>
            <w:tcW w:w="16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MPN/100mL</w:t>
            </w:r>
          </w:p>
        </w:tc>
        <w:tc>
          <w:tcPr>
            <w:tcW w:w="41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vertAlign w:val="superscript"/>
                <w:lang w:val="en-US" w:eastAsia="zh-CN"/>
              </w:rPr>
            </w:pPr>
            <w:r>
              <w:rPr>
                <w:rFonts w:hint="default" w:ascii="Times New Roman" w:hAnsi="Times New Roman" w:eastAsia="宋体" w:cs="Times New Roman"/>
                <w:color w:val="auto"/>
                <w:sz w:val="22"/>
                <w:szCs w:val="22"/>
                <w:highlight w:val="none"/>
                <w:lang w:val="en-US" w:eastAsia="zh-CN"/>
              </w:rPr>
              <w:t>无</w:t>
            </w:r>
            <w:r>
              <w:rPr>
                <w:rFonts w:hint="default" w:ascii="Times New Roman" w:hAnsi="Times New Roman" w:eastAsia="宋体" w:cs="Times New Roman"/>
                <w:color w:val="auto"/>
                <w:sz w:val="22"/>
                <w:szCs w:val="22"/>
                <w:highlight w:val="none"/>
                <w:vertAlign w:val="superscript"/>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8679" w:type="dxa"/>
            <w:gridSpan w:val="4"/>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both"/>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注：“—”表示对此项无要求。</w:t>
            </w:r>
            <w:r>
              <w:rPr>
                <w:rFonts w:hint="default" w:ascii="Times New Roman" w:hAnsi="Times New Roman" w:eastAsia="宋体" w:cs="Times New Roman"/>
                <w:color w:val="auto"/>
                <w:sz w:val="22"/>
                <w:szCs w:val="22"/>
                <w:highlight w:val="none"/>
                <w:lang w:val="en-US" w:eastAsia="zh-CN"/>
              </w:rPr>
              <w:br w:type="textWrapping"/>
            </w:r>
            <w:r>
              <w:rPr>
                <w:rFonts w:hint="default" w:ascii="Times New Roman" w:hAnsi="Times New Roman" w:eastAsia="宋体" w:cs="Times New Roman"/>
                <w:color w:val="auto"/>
                <w:sz w:val="22"/>
                <w:szCs w:val="22"/>
                <w:highlight w:val="none"/>
                <w:lang w:val="en-US" w:eastAsia="zh-CN"/>
              </w:rPr>
              <w:t>a 括号内指标值为沿海及本地水源中溶解性固体含量较高的区域的指标。</w:t>
            </w: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both"/>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b 用于城市绿化时，不应超过2.5 mg/L 。</w:t>
            </w: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both"/>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c大肠埃希氏菌不应检出。</w:t>
            </w:r>
          </w:p>
        </w:tc>
      </w:tr>
    </w:tbl>
    <w:p>
      <w:pPr>
        <w:snapToGrid w:val="0"/>
        <w:spacing w:line="240" w:lineRule="auto"/>
        <w:ind w:left="0" w:leftChars="0" w:firstLine="0" w:firstLineChars="0"/>
        <w:jc w:val="center"/>
        <w:rPr>
          <w:rFonts w:hint="eastAsia"/>
          <w:color w:val="auto"/>
          <w:szCs w:val="22"/>
          <w:highlight w:val="none"/>
        </w:rPr>
      </w:pPr>
    </w:p>
    <w:p>
      <w:pPr>
        <w:snapToGrid w:val="0"/>
        <w:ind w:firstLine="520"/>
        <w:rPr>
          <w:color w:val="auto"/>
          <w:szCs w:val="22"/>
          <w:highlight w:val="none"/>
        </w:rPr>
      </w:pPr>
      <w:r>
        <w:rPr>
          <w:rFonts w:hint="eastAsia"/>
          <w:color w:val="auto"/>
          <w:szCs w:val="22"/>
          <w:highlight w:val="none"/>
        </w:rPr>
        <w:t>（3）噪声</w:t>
      </w:r>
    </w:p>
    <w:p>
      <w:pPr>
        <w:ind w:firstLine="520"/>
        <w:rPr>
          <w:color w:val="auto"/>
          <w:szCs w:val="22"/>
          <w:highlight w:val="none"/>
        </w:rPr>
      </w:pPr>
      <w:r>
        <w:rPr>
          <w:rFonts w:hint="eastAsia"/>
          <w:color w:val="auto"/>
          <w:szCs w:val="22"/>
          <w:highlight w:val="none"/>
        </w:rPr>
        <w:t>工程施工期噪声执行《建筑施工场界环境噪声排放标准》（GB12523-2011），即昼间70dB(A)，夜间55dB(A)。运营期厂界噪声执行《工业企业厂界环境噪声排放标准》(GB 12348-2008)中的2类标准，详见下表：</w:t>
      </w:r>
    </w:p>
    <w:p>
      <w:pPr>
        <w:adjustRightInd w:val="0"/>
        <w:snapToGrid w:val="0"/>
        <w:spacing w:line="240" w:lineRule="auto"/>
        <w:ind w:firstLine="520"/>
        <w:jc w:val="right"/>
        <w:rPr>
          <w:rFonts w:hint="eastAsia"/>
          <w:color w:val="auto"/>
          <w:kern w:val="0"/>
          <w:szCs w:val="26"/>
          <w:highlight w:val="none"/>
        </w:rPr>
      </w:pPr>
    </w:p>
    <w:p>
      <w:pPr>
        <w:adjustRightInd w:val="0"/>
        <w:snapToGrid w:val="0"/>
        <w:spacing w:line="240" w:lineRule="auto"/>
        <w:ind w:firstLine="520"/>
        <w:jc w:val="right"/>
        <w:rPr>
          <w:color w:val="auto"/>
          <w:kern w:val="0"/>
          <w:szCs w:val="26"/>
          <w:highlight w:val="none"/>
        </w:rPr>
      </w:pPr>
      <w:r>
        <w:rPr>
          <w:rFonts w:hint="eastAsia"/>
          <w:color w:val="auto"/>
          <w:kern w:val="0"/>
          <w:szCs w:val="26"/>
          <w:highlight w:val="none"/>
        </w:rPr>
        <w:t>表1.7.3-</w:t>
      </w:r>
      <w:r>
        <w:rPr>
          <w:rFonts w:hint="eastAsia"/>
          <w:color w:val="auto"/>
          <w:kern w:val="0"/>
          <w:szCs w:val="26"/>
          <w:highlight w:val="none"/>
          <w:lang w:val="en-US" w:eastAsia="zh-CN"/>
        </w:rPr>
        <w:t>4</w:t>
      </w:r>
      <w:r>
        <w:rPr>
          <w:rFonts w:hint="eastAsia"/>
          <w:color w:val="auto"/>
          <w:kern w:val="0"/>
          <w:szCs w:val="26"/>
          <w:highlight w:val="none"/>
        </w:rPr>
        <w:t xml:space="preserve">  厂界噪声排放标准             </w:t>
      </w:r>
      <w:r>
        <w:rPr>
          <w:color w:val="auto"/>
          <w:kern w:val="0"/>
          <w:szCs w:val="26"/>
          <w:highlight w:val="none"/>
        </w:rPr>
        <w:t xml:space="preserve">  </w:t>
      </w:r>
      <w:r>
        <w:rPr>
          <w:rFonts w:hint="eastAsia"/>
          <w:color w:val="auto"/>
          <w:kern w:val="0"/>
          <w:sz w:val="22"/>
          <w:szCs w:val="22"/>
          <w:highlight w:val="none"/>
        </w:rPr>
        <w:t>单位：dB(A)</w:t>
      </w:r>
    </w:p>
    <w:tbl>
      <w:tblPr>
        <w:tblStyle w:val="28"/>
        <w:tblW w:w="48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64"/>
        <w:gridCol w:w="1613"/>
        <w:gridCol w:w="1275"/>
        <w:gridCol w:w="1275"/>
        <w:gridCol w:w="13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5" w:type="dxa"/>
            <w:vAlign w:val="center"/>
          </w:tcPr>
          <w:p>
            <w:pPr>
              <w:adjustRightInd w:val="0"/>
              <w:snapToGrid w:val="0"/>
              <w:spacing w:line="240" w:lineRule="auto"/>
              <w:ind w:firstLine="0" w:firstLineChars="0"/>
              <w:jc w:val="center"/>
              <w:rPr>
                <w:color w:val="auto"/>
                <w:kern w:val="0"/>
                <w:sz w:val="22"/>
                <w:highlight w:val="none"/>
              </w:rPr>
            </w:pPr>
            <w:r>
              <w:rPr>
                <w:rFonts w:hint="eastAsia"/>
                <w:color w:val="auto"/>
                <w:kern w:val="0"/>
                <w:sz w:val="22"/>
                <w:highlight w:val="none"/>
              </w:rPr>
              <w:t>标准名称</w:t>
            </w:r>
          </w:p>
        </w:tc>
        <w:tc>
          <w:tcPr>
            <w:tcW w:w="1613" w:type="dxa"/>
            <w:vAlign w:val="center"/>
          </w:tcPr>
          <w:p>
            <w:pPr>
              <w:adjustRightInd w:val="0"/>
              <w:snapToGrid w:val="0"/>
              <w:spacing w:line="240" w:lineRule="auto"/>
              <w:ind w:firstLine="0" w:firstLineChars="0"/>
              <w:jc w:val="center"/>
              <w:rPr>
                <w:color w:val="auto"/>
                <w:kern w:val="0"/>
                <w:sz w:val="22"/>
                <w:highlight w:val="none"/>
              </w:rPr>
            </w:pPr>
            <w:r>
              <w:rPr>
                <w:color w:val="auto"/>
                <w:kern w:val="0"/>
                <w:sz w:val="22"/>
                <w:highlight w:val="none"/>
              </w:rPr>
              <w:t>类  别</w:t>
            </w:r>
          </w:p>
        </w:tc>
        <w:tc>
          <w:tcPr>
            <w:tcW w:w="1275" w:type="dxa"/>
            <w:vAlign w:val="center"/>
          </w:tcPr>
          <w:p>
            <w:pPr>
              <w:adjustRightInd w:val="0"/>
              <w:snapToGrid w:val="0"/>
              <w:spacing w:line="240" w:lineRule="auto"/>
              <w:ind w:firstLine="0" w:firstLineChars="0"/>
              <w:jc w:val="center"/>
              <w:rPr>
                <w:color w:val="auto"/>
                <w:kern w:val="0"/>
                <w:sz w:val="22"/>
                <w:highlight w:val="none"/>
              </w:rPr>
            </w:pPr>
            <w:r>
              <w:rPr>
                <w:color w:val="auto"/>
                <w:kern w:val="0"/>
                <w:sz w:val="22"/>
                <w:highlight w:val="none"/>
              </w:rPr>
              <w:t>昼间</w:t>
            </w:r>
          </w:p>
        </w:tc>
        <w:tc>
          <w:tcPr>
            <w:tcW w:w="1275" w:type="dxa"/>
            <w:vAlign w:val="center"/>
          </w:tcPr>
          <w:p>
            <w:pPr>
              <w:adjustRightInd w:val="0"/>
              <w:snapToGrid w:val="0"/>
              <w:spacing w:line="240" w:lineRule="auto"/>
              <w:ind w:firstLine="0" w:firstLineChars="0"/>
              <w:jc w:val="center"/>
              <w:rPr>
                <w:color w:val="auto"/>
                <w:kern w:val="0"/>
                <w:sz w:val="22"/>
                <w:highlight w:val="none"/>
              </w:rPr>
            </w:pPr>
            <w:r>
              <w:rPr>
                <w:color w:val="auto"/>
                <w:kern w:val="0"/>
                <w:sz w:val="22"/>
                <w:highlight w:val="none"/>
              </w:rPr>
              <w:t>夜间</w:t>
            </w:r>
          </w:p>
        </w:tc>
        <w:tc>
          <w:tcPr>
            <w:tcW w:w="1350" w:type="dxa"/>
            <w:vAlign w:val="center"/>
          </w:tcPr>
          <w:p>
            <w:pPr>
              <w:adjustRightInd w:val="0"/>
              <w:snapToGrid w:val="0"/>
              <w:spacing w:line="240" w:lineRule="auto"/>
              <w:ind w:firstLine="0" w:firstLineChars="0"/>
              <w:jc w:val="center"/>
              <w:rPr>
                <w:color w:val="auto"/>
                <w:kern w:val="0"/>
                <w:sz w:val="22"/>
                <w:highlight w:val="none"/>
              </w:rPr>
            </w:pPr>
            <w:r>
              <w:rPr>
                <w:color w:val="auto"/>
                <w:kern w:val="0"/>
                <w:sz w:val="22"/>
                <w:highlight w:val="none"/>
              </w:rPr>
              <w:t>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5" w:type="dxa"/>
            <w:vAlign w:val="center"/>
          </w:tcPr>
          <w:p>
            <w:pPr>
              <w:adjustRightInd w:val="0"/>
              <w:snapToGrid w:val="0"/>
              <w:spacing w:line="240" w:lineRule="auto"/>
              <w:ind w:firstLine="0" w:firstLineChars="0"/>
              <w:jc w:val="center"/>
              <w:rPr>
                <w:color w:val="auto"/>
                <w:kern w:val="0"/>
                <w:sz w:val="22"/>
                <w:highlight w:val="none"/>
              </w:rPr>
            </w:pPr>
            <w:r>
              <w:rPr>
                <w:rFonts w:hint="eastAsia"/>
                <w:color w:val="auto"/>
                <w:kern w:val="0"/>
                <w:sz w:val="22"/>
                <w:highlight w:val="none"/>
              </w:rPr>
              <w:t>《建筑施工场界环境噪声排放标准》（GB12523-2011）</w:t>
            </w:r>
          </w:p>
        </w:tc>
        <w:tc>
          <w:tcPr>
            <w:tcW w:w="1613" w:type="dxa"/>
            <w:vAlign w:val="center"/>
          </w:tcPr>
          <w:p>
            <w:pPr>
              <w:adjustRightInd w:val="0"/>
              <w:snapToGrid w:val="0"/>
              <w:spacing w:line="240" w:lineRule="auto"/>
              <w:ind w:firstLine="0" w:firstLineChars="0"/>
              <w:jc w:val="center"/>
              <w:rPr>
                <w:color w:val="auto"/>
                <w:kern w:val="0"/>
                <w:sz w:val="22"/>
                <w:highlight w:val="none"/>
              </w:rPr>
            </w:pPr>
            <w:r>
              <w:rPr>
                <w:rFonts w:hint="eastAsia"/>
                <w:color w:val="auto"/>
                <w:kern w:val="0"/>
                <w:sz w:val="22"/>
                <w:highlight w:val="none"/>
              </w:rPr>
              <w:t>/</w:t>
            </w:r>
          </w:p>
        </w:tc>
        <w:tc>
          <w:tcPr>
            <w:tcW w:w="1275" w:type="dxa"/>
            <w:vAlign w:val="center"/>
          </w:tcPr>
          <w:p>
            <w:pPr>
              <w:adjustRightInd w:val="0"/>
              <w:snapToGrid w:val="0"/>
              <w:spacing w:line="240" w:lineRule="auto"/>
              <w:ind w:firstLine="0" w:firstLineChars="0"/>
              <w:jc w:val="center"/>
              <w:rPr>
                <w:color w:val="auto"/>
                <w:kern w:val="0"/>
                <w:sz w:val="22"/>
                <w:highlight w:val="none"/>
              </w:rPr>
            </w:pPr>
            <w:r>
              <w:rPr>
                <w:color w:val="auto"/>
                <w:kern w:val="0"/>
                <w:sz w:val="22"/>
                <w:highlight w:val="none"/>
              </w:rPr>
              <w:t>70</w:t>
            </w:r>
          </w:p>
        </w:tc>
        <w:tc>
          <w:tcPr>
            <w:tcW w:w="1275" w:type="dxa"/>
            <w:vAlign w:val="center"/>
          </w:tcPr>
          <w:p>
            <w:pPr>
              <w:adjustRightInd w:val="0"/>
              <w:snapToGrid w:val="0"/>
              <w:spacing w:line="240" w:lineRule="auto"/>
              <w:ind w:firstLine="0" w:firstLineChars="0"/>
              <w:jc w:val="center"/>
              <w:rPr>
                <w:color w:val="auto"/>
                <w:kern w:val="0"/>
                <w:sz w:val="22"/>
                <w:highlight w:val="none"/>
              </w:rPr>
            </w:pPr>
            <w:r>
              <w:rPr>
                <w:color w:val="auto"/>
                <w:kern w:val="0"/>
                <w:sz w:val="22"/>
                <w:highlight w:val="none"/>
              </w:rPr>
              <w:t>55</w:t>
            </w:r>
          </w:p>
        </w:tc>
        <w:tc>
          <w:tcPr>
            <w:tcW w:w="1350" w:type="dxa"/>
            <w:vAlign w:val="center"/>
          </w:tcPr>
          <w:p>
            <w:pPr>
              <w:adjustRightInd w:val="0"/>
              <w:snapToGrid w:val="0"/>
              <w:spacing w:line="240" w:lineRule="auto"/>
              <w:ind w:firstLine="0" w:firstLineChars="0"/>
              <w:jc w:val="center"/>
              <w:rPr>
                <w:color w:val="auto"/>
                <w:kern w:val="0"/>
                <w:sz w:val="22"/>
                <w:highlight w:val="none"/>
              </w:rPr>
            </w:pPr>
            <w:r>
              <w:rPr>
                <w:color w:val="auto"/>
                <w:kern w:val="0"/>
                <w:sz w:val="22"/>
                <w:highlight w:val="none"/>
              </w:rPr>
              <w:t>施工期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5" w:type="dxa"/>
            <w:vMerge w:val="restart"/>
            <w:vAlign w:val="center"/>
          </w:tcPr>
          <w:p>
            <w:pPr>
              <w:adjustRightInd w:val="0"/>
              <w:snapToGrid w:val="0"/>
              <w:spacing w:line="240" w:lineRule="auto"/>
              <w:ind w:firstLine="0" w:firstLineChars="0"/>
              <w:jc w:val="center"/>
              <w:rPr>
                <w:color w:val="auto"/>
                <w:kern w:val="0"/>
                <w:sz w:val="22"/>
                <w:highlight w:val="none"/>
              </w:rPr>
            </w:pPr>
            <w:r>
              <w:rPr>
                <w:rFonts w:hint="eastAsia"/>
                <w:color w:val="auto"/>
                <w:kern w:val="0"/>
                <w:sz w:val="22"/>
                <w:highlight w:val="none"/>
              </w:rPr>
              <w:t>《工业企业厂界环境噪声排放标准》(GB 12348-2008)</w:t>
            </w:r>
          </w:p>
        </w:tc>
        <w:tc>
          <w:tcPr>
            <w:tcW w:w="1613" w:type="dxa"/>
            <w:vAlign w:val="center"/>
          </w:tcPr>
          <w:p>
            <w:pPr>
              <w:adjustRightInd w:val="0"/>
              <w:snapToGrid w:val="0"/>
              <w:spacing w:line="240" w:lineRule="auto"/>
              <w:ind w:firstLine="0" w:firstLineChars="0"/>
              <w:jc w:val="center"/>
              <w:rPr>
                <w:color w:val="auto"/>
                <w:kern w:val="0"/>
                <w:sz w:val="22"/>
                <w:highlight w:val="none"/>
              </w:rPr>
            </w:pPr>
            <w:r>
              <w:rPr>
                <w:color w:val="auto"/>
                <w:kern w:val="0"/>
                <w:sz w:val="22"/>
                <w:highlight w:val="none"/>
              </w:rPr>
              <w:t>2类</w:t>
            </w:r>
          </w:p>
        </w:tc>
        <w:tc>
          <w:tcPr>
            <w:tcW w:w="1275" w:type="dxa"/>
            <w:vAlign w:val="center"/>
          </w:tcPr>
          <w:p>
            <w:pPr>
              <w:adjustRightInd w:val="0"/>
              <w:snapToGrid w:val="0"/>
              <w:spacing w:line="240" w:lineRule="auto"/>
              <w:ind w:firstLine="0" w:firstLineChars="0"/>
              <w:jc w:val="center"/>
              <w:rPr>
                <w:color w:val="auto"/>
                <w:kern w:val="0"/>
                <w:sz w:val="22"/>
                <w:highlight w:val="none"/>
              </w:rPr>
            </w:pPr>
            <w:r>
              <w:rPr>
                <w:color w:val="auto"/>
                <w:kern w:val="0"/>
                <w:sz w:val="22"/>
                <w:highlight w:val="none"/>
              </w:rPr>
              <w:t>60</w:t>
            </w:r>
          </w:p>
        </w:tc>
        <w:tc>
          <w:tcPr>
            <w:tcW w:w="1275" w:type="dxa"/>
            <w:vAlign w:val="center"/>
          </w:tcPr>
          <w:p>
            <w:pPr>
              <w:adjustRightInd w:val="0"/>
              <w:snapToGrid w:val="0"/>
              <w:spacing w:line="240" w:lineRule="auto"/>
              <w:ind w:firstLine="0" w:firstLineChars="0"/>
              <w:jc w:val="center"/>
              <w:rPr>
                <w:color w:val="auto"/>
                <w:kern w:val="0"/>
                <w:sz w:val="22"/>
                <w:highlight w:val="none"/>
              </w:rPr>
            </w:pPr>
            <w:r>
              <w:rPr>
                <w:color w:val="auto"/>
                <w:kern w:val="0"/>
                <w:sz w:val="22"/>
                <w:highlight w:val="none"/>
              </w:rPr>
              <w:t>50</w:t>
            </w:r>
          </w:p>
        </w:tc>
        <w:tc>
          <w:tcPr>
            <w:tcW w:w="1350" w:type="dxa"/>
            <w:vMerge w:val="restart"/>
            <w:vAlign w:val="center"/>
          </w:tcPr>
          <w:p>
            <w:pPr>
              <w:adjustRightInd w:val="0"/>
              <w:snapToGrid w:val="0"/>
              <w:spacing w:line="240" w:lineRule="auto"/>
              <w:ind w:firstLine="0" w:firstLineChars="0"/>
              <w:jc w:val="center"/>
              <w:rPr>
                <w:color w:val="auto"/>
                <w:kern w:val="0"/>
                <w:sz w:val="22"/>
                <w:highlight w:val="none"/>
              </w:rPr>
            </w:pPr>
            <w:r>
              <w:rPr>
                <w:color w:val="auto"/>
                <w:kern w:val="0"/>
                <w:sz w:val="22"/>
                <w:highlight w:val="none"/>
              </w:rPr>
              <w:t>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5" w:type="dxa"/>
            <w:vMerge w:val="continue"/>
            <w:vAlign w:val="center"/>
          </w:tcPr>
          <w:p>
            <w:pPr>
              <w:adjustRightInd w:val="0"/>
              <w:snapToGrid w:val="0"/>
              <w:spacing w:line="240" w:lineRule="auto"/>
              <w:ind w:firstLine="0" w:firstLineChars="0"/>
              <w:jc w:val="center"/>
              <w:rPr>
                <w:color w:val="auto"/>
                <w:kern w:val="0"/>
                <w:sz w:val="22"/>
                <w:highlight w:val="none"/>
              </w:rPr>
            </w:pPr>
          </w:p>
        </w:tc>
        <w:tc>
          <w:tcPr>
            <w:tcW w:w="1613" w:type="dxa"/>
            <w:vAlign w:val="center"/>
          </w:tcPr>
          <w:p>
            <w:pPr>
              <w:adjustRightInd w:val="0"/>
              <w:snapToGrid w:val="0"/>
              <w:spacing w:line="240" w:lineRule="auto"/>
              <w:ind w:firstLine="0" w:firstLineChars="0"/>
              <w:jc w:val="center"/>
              <w:rPr>
                <w:color w:val="auto"/>
                <w:kern w:val="0"/>
                <w:sz w:val="22"/>
                <w:highlight w:val="none"/>
              </w:rPr>
            </w:pPr>
            <w:r>
              <w:rPr>
                <w:rFonts w:hint="eastAsia"/>
                <w:color w:val="auto"/>
                <w:kern w:val="0"/>
                <w:sz w:val="22"/>
                <w:highlight w:val="none"/>
              </w:rPr>
              <w:t>4类</w:t>
            </w:r>
          </w:p>
        </w:tc>
        <w:tc>
          <w:tcPr>
            <w:tcW w:w="1275" w:type="dxa"/>
            <w:vAlign w:val="center"/>
          </w:tcPr>
          <w:p>
            <w:pPr>
              <w:adjustRightInd w:val="0"/>
              <w:snapToGrid w:val="0"/>
              <w:spacing w:line="240" w:lineRule="auto"/>
              <w:ind w:firstLine="0" w:firstLineChars="0"/>
              <w:jc w:val="center"/>
              <w:rPr>
                <w:color w:val="auto"/>
                <w:kern w:val="0"/>
                <w:sz w:val="22"/>
                <w:highlight w:val="none"/>
              </w:rPr>
            </w:pPr>
            <w:r>
              <w:rPr>
                <w:rFonts w:hint="eastAsia"/>
                <w:color w:val="auto"/>
                <w:kern w:val="0"/>
                <w:sz w:val="22"/>
                <w:highlight w:val="none"/>
              </w:rPr>
              <w:t>70</w:t>
            </w:r>
          </w:p>
        </w:tc>
        <w:tc>
          <w:tcPr>
            <w:tcW w:w="1275" w:type="dxa"/>
            <w:vAlign w:val="center"/>
          </w:tcPr>
          <w:p>
            <w:pPr>
              <w:adjustRightInd w:val="0"/>
              <w:snapToGrid w:val="0"/>
              <w:spacing w:line="240" w:lineRule="auto"/>
              <w:ind w:firstLine="0" w:firstLineChars="0"/>
              <w:jc w:val="center"/>
              <w:rPr>
                <w:color w:val="auto"/>
                <w:kern w:val="0"/>
                <w:sz w:val="22"/>
                <w:highlight w:val="none"/>
              </w:rPr>
            </w:pPr>
            <w:r>
              <w:rPr>
                <w:rFonts w:hint="eastAsia"/>
                <w:color w:val="auto"/>
                <w:kern w:val="0"/>
                <w:sz w:val="22"/>
                <w:highlight w:val="none"/>
              </w:rPr>
              <w:t>55</w:t>
            </w:r>
          </w:p>
        </w:tc>
        <w:tc>
          <w:tcPr>
            <w:tcW w:w="1350" w:type="dxa"/>
            <w:vMerge w:val="continue"/>
            <w:vAlign w:val="center"/>
          </w:tcPr>
          <w:p>
            <w:pPr>
              <w:adjustRightInd w:val="0"/>
              <w:snapToGrid w:val="0"/>
              <w:spacing w:line="240" w:lineRule="auto"/>
              <w:ind w:firstLine="0" w:firstLineChars="0"/>
              <w:jc w:val="center"/>
              <w:rPr>
                <w:color w:val="auto"/>
                <w:kern w:val="0"/>
                <w:sz w:val="22"/>
                <w:highlight w:val="none"/>
              </w:rPr>
            </w:pPr>
          </w:p>
        </w:tc>
      </w:tr>
    </w:tbl>
    <w:p>
      <w:pPr>
        <w:snapToGrid w:val="0"/>
        <w:spacing w:line="240" w:lineRule="auto"/>
        <w:ind w:firstLine="520"/>
        <w:rPr>
          <w:color w:val="auto"/>
          <w:szCs w:val="22"/>
          <w:highlight w:val="none"/>
        </w:rPr>
      </w:pPr>
    </w:p>
    <w:p>
      <w:pPr>
        <w:snapToGrid w:val="0"/>
        <w:ind w:firstLine="520"/>
        <w:rPr>
          <w:color w:val="auto"/>
          <w:szCs w:val="22"/>
          <w:highlight w:val="none"/>
        </w:rPr>
      </w:pPr>
      <w:r>
        <w:rPr>
          <w:rFonts w:hint="eastAsia"/>
          <w:color w:val="auto"/>
          <w:szCs w:val="22"/>
          <w:highlight w:val="none"/>
        </w:rPr>
        <w:t>（4）固体废物污染控制标准</w:t>
      </w:r>
    </w:p>
    <w:p>
      <w:pPr>
        <w:keepNext w:val="0"/>
        <w:keepLines w:val="0"/>
        <w:pageBreakBefore w:val="0"/>
        <w:widowControl w:val="0"/>
        <w:kinsoku/>
        <w:wordWrap/>
        <w:overflowPunct/>
        <w:topLinePunct w:val="0"/>
        <w:autoSpaceDE/>
        <w:autoSpaceDN/>
        <w:bidi w:val="0"/>
        <w:adjustRightInd/>
        <w:snapToGrid w:val="0"/>
        <w:ind w:firstLine="520"/>
        <w:textAlignment w:val="auto"/>
        <w:rPr>
          <w:color w:val="auto"/>
          <w:szCs w:val="26"/>
          <w:highlight w:val="none"/>
        </w:rPr>
      </w:pPr>
      <w:r>
        <w:rPr>
          <w:rFonts w:hint="eastAsia"/>
          <w:color w:val="auto"/>
          <w:szCs w:val="26"/>
          <w:highlight w:val="none"/>
        </w:rPr>
        <w:t>一般工业固废暂存需满足《一般工业固体废物贮存和填埋污染控制标准》（GB18599-2020）中有关规定要求，采用库房、包装工具（罐、桶、包装袋等）贮存一般工业固体废物</w:t>
      </w:r>
      <w:r>
        <w:rPr>
          <w:rFonts w:hint="eastAsia"/>
          <w:color w:val="auto"/>
          <w:szCs w:val="26"/>
          <w:highlight w:val="none"/>
          <w:lang w:eastAsia="zh-CN"/>
        </w:rPr>
        <w:t>的，</w:t>
      </w:r>
      <w:r>
        <w:rPr>
          <w:color w:val="auto"/>
          <w:highlight w:val="none"/>
        </w:rPr>
        <w:t>其贮存过程应满足相应防渗漏、防雨淋、防扬尘等环境保护要求</w:t>
      </w:r>
      <w:r>
        <w:rPr>
          <w:rFonts w:hint="eastAsia"/>
          <w:color w:val="auto"/>
          <w:highlight w:val="none"/>
        </w:rPr>
        <w:t>。危险废物按《危险废物贮存污染控制标准》（GB 18597-2023）进行贮存和管理。</w:t>
      </w:r>
    </w:p>
    <w:p>
      <w:pPr>
        <w:pStyle w:val="4"/>
        <w:keepNext w:val="0"/>
        <w:keepLines w:val="0"/>
        <w:pageBreakBefore w:val="0"/>
        <w:widowControl w:val="0"/>
        <w:kinsoku/>
        <w:wordWrap/>
        <w:overflowPunct/>
        <w:topLinePunct w:val="0"/>
        <w:autoSpaceDE/>
        <w:autoSpaceDN/>
        <w:bidi w:val="0"/>
        <w:adjustRightInd/>
        <w:textAlignment w:val="auto"/>
        <w:rPr>
          <w:color w:val="auto"/>
          <w:highlight w:val="none"/>
        </w:rPr>
      </w:pPr>
      <w:bookmarkStart w:id="62" w:name="_Toc2356"/>
      <w:r>
        <w:rPr>
          <w:rFonts w:hint="eastAsia"/>
          <w:color w:val="auto"/>
          <w:highlight w:val="none"/>
        </w:rPr>
        <w:t>环境保护</w:t>
      </w:r>
      <w:r>
        <w:rPr>
          <w:color w:val="auto"/>
          <w:highlight w:val="none"/>
        </w:rPr>
        <w:t>目标</w:t>
      </w:r>
      <w:r>
        <w:rPr>
          <w:rFonts w:hint="eastAsia"/>
          <w:color w:val="auto"/>
          <w:highlight w:val="none"/>
        </w:rPr>
        <w:t>及控制标准</w:t>
      </w:r>
      <w:bookmarkEnd w:id="62"/>
    </w:p>
    <w:p>
      <w:pPr>
        <w:pStyle w:val="5"/>
        <w:keepNext w:val="0"/>
        <w:keepLines w:val="0"/>
        <w:pageBreakBefore w:val="0"/>
        <w:widowControl w:val="0"/>
        <w:kinsoku/>
        <w:wordWrap/>
        <w:overflowPunct/>
        <w:topLinePunct w:val="0"/>
        <w:autoSpaceDE/>
        <w:autoSpaceDN/>
        <w:bidi w:val="0"/>
        <w:adjustRightInd/>
        <w:ind w:firstLine="522"/>
        <w:textAlignment w:val="auto"/>
        <w:rPr>
          <w:color w:val="auto"/>
          <w:highlight w:val="none"/>
        </w:rPr>
      </w:pPr>
      <w:r>
        <w:rPr>
          <w:rFonts w:hint="eastAsia"/>
          <w:color w:val="auto"/>
          <w:highlight w:val="none"/>
        </w:rPr>
        <w:t>生态环境保护目标</w:t>
      </w:r>
    </w:p>
    <w:p>
      <w:pPr>
        <w:pStyle w:val="214"/>
        <w:keepNext w:val="0"/>
        <w:keepLines w:val="0"/>
        <w:pageBreakBefore w:val="0"/>
        <w:widowControl w:val="0"/>
        <w:kinsoku/>
        <w:wordWrap/>
        <w:overflowPunct/>
        <w:topLinePunct w:val="0"/>
        <w:autoSpaceDE/>
        <w:autoSpaceDN/>
        <w:bidi w:val="0"/>
        <w:adjustRightInd/>
        <w:ind w:firstLine="520"/>
        <w:textAlignment w:val="auto"/>
        <w:rPr>
          <w:rFonts w:hint="eastAsia"/>
          <w:color w:val="auto"/>
          <w:highlight w:val="none"/>
        </w:rPr>
      </w:pPr>
      <w:r>
        <w:rPr>
          <w:rFonts w:hint="eastAsia"/>
          <w:color w:val="auto"/>
          <w:highlight w:val="none"/>
        </w:rPr>
        <w:t>涪江干流渭沱电厂船闸扩能升级改造工程占地区域不涉及国家公园、自然保护区、世界自然遗产地和重要生境，部分工程建设内容涉及重庆合川三江国家湿地公园和生态保护红线等生态敏感区</w:t>
      </w:r>
      <w:r>
        <w:rPr>
          <w:rFonts w:hint="eastAsia"/>
          <w:color w:val="auto"/>
          <w:highlight w:val="none"/>
          <w:lang w:eastAsia="zh-CN"/>
        </w:rPr>
        <w:t>，占用部分天然林、永久基本农田</w:t>
      </w:r>
      <w:r>
        <w:rPr>
          <w:rFonts w:hint="eastAsia"/>
          <w:color w:val="auto"/>
          <w:highlight w:val="none"/>
        </w:rPr>
        <w:t>。同时，评价区分布产卵场、索饵场、越冬场等重要生境，国家和重庆市重点保护动植物、古树名木、《中国生物多样性红色名录》中列为极危、濒危和易危的物种和特有种等。本项目生态环境保护目标详见表</w:t>
      </w:r>
      <w:r>
        <w:rPr>
          <w:rFonts w:hint="eastAsia"/>
          <w:color w:val="auto"/>
          <w:highlight w:val="none"/>
          <w:lang w:val="en-US" w:eastAsia="zh-CN"/>
        </w:rPr>
        <w:t>1.8.1-1</w:t>
      </w:r>
      <w:r>
        <w:rPr>
          <w:rFonts w:hint="eastAsia"/>
          <w:color w:val="auto"/>
          <w:highlight w:val="none"/>
        </w:rPr>
        <w:t>。</w:t>
      </w:r>
    </w:p>
    <w:p>
      <w:pPr>
        <w:pStyle w:val="5"/>
        <w:ind w:firstLine="522"/>
        <w:rPr>
          <w:color w:val="auto"/>
          <w:highlight w:val="none"/>
        </w:rPr>
      </w:pPr>
      <w:r>
        <w:rPr>
          <w:rFonts w:hint="eastAsia"/>
          <w:color w:val="auto"/>
          <w:highlight w:val="none"/>
        </w:rPr>
        <w:t>地表水环境保护目标</w:t>
      </w:r>
    </w:p>
    <w:p>
      <w:pPr>
        <w:keepNext w:val="0"/>
        <w:keepLines w:val="0"/>
        <w:pageBreakBefore w:val="0"/>
        <w:widowControl w:val="0"/>
        <w:kinsoku/>
        <w:wordWrap/>
        <w:overflowPunct/>
        <w:topLinePunct w:val="0"/>
        <w:autoSpaceDE/>
        <w:autoSpaceDN/>
        <w:bidi w:val="0"/>
        <w:adjustRightInd w:val="0"/>
        <w:snapToGrid w:val="0"/>
        <w:ind w:firstLine="520"/>
        <w:textAlignment w:val="auto"/>
        <w:rPr>
          <w:rFonts w:hint="eastAsia" w:eastAsia="宋体"/>
          <w:color w:val="auto"/>
          <w:szCs w:val="26"/>
          <w:highlight w:val="none"/>
          <w:lang w:eastAsia="zh-CN"/>
        </w:rPr>
      </w:pPr>
      <w:r>
        <w:rPr>
          <w:rFonts w:hint="eastAsia"/>
          <w:color w:val="auto"/>
          <w:szCs w:val="26"/>
          <w:highlight w:val="none"/>
        </w:rPr>
        <w:t>项目位于</w:t>
      </w:r>
      <w:r>
        <w:rPr>
          <w:rFonts w:hint="eastAsia"/>
          <w:color w:val="auto"/>
          <w:szCs w:val="26"/>
          <w:highlight w:val="none"/>
          <w:lang w:eastAsia="zh-CN"/>
        </w:rPr>
        <w:t>涪江干流</w:t>
      </w:r>
      <w:r>
        <w:rPr>
          <w:rFonts w:hint="eastAsia"/>
          <w:color w:val="auto"/>
          <w:szCs w:val="26"/>
          <w:highlight w:val="none"/>
        </w:rPr>
        <w:t>，根据水环境功能区划</w:t>
      </w:r>
      <w:r>
        <w:rPr>
          <w:rFonts w:hint="eastAsia"/>
          <w:color w:val="auto"/>
          <w:szCs w:val="26"/>
          <w:highlight w:val="none"/>
          <w:lang w:eastAsia="zh-CN"/>
        </w:rPr>
        <w:t>，涪江水质类别</w:t>
      </w:r>
      <w:r>
        <w:rPr>
          <w:rFonts w:hint="eastAsia"/>
          <w:color w:val="auto"/>
          <w:szCs w:val="26"/>
          <w:highlight w:val="none"/>
        </w:rPr>
        <w:t>为《地表水环境质量标准》（GB3838-2002）Ⅲ类</w:t>
      </w:r>
      <w:r>
        <w:rPr>
          <w:rFonts w:hint="eastAsia"/>
          <w:color w:val="auto"/>
          <w:szCs w:val="26"/>
          <w:highlight w:val="none"/>
          <w:lang w:eastAsia="zh-CN"/>
        </w:rPr>
        <w:t>。</w:t>
      </w:r>
    </w:p>
    <w:p>
      <w:pPr>
        <w:keepNext w:val="0"/>
        <w:keepLines w:val="0"/>
        <w:pageBreakBefore w:val="0"/>
        <w:widowControl w:val="0"/>
        <w:kinsoku/>
        <w:wordWrap/>
        <w:overflowPunct/>
        <w:topLinePunct w:val="0"/>
        <w:autoSpaceDE/>
        <w:autoSpaceDN/>
        <w:bidi w:val="0"/>
        <w:adjustRightInd w:val="0"/>
        <w:snapToGrid w:val="0"/>
        <w:ind w:firstLine="520"/>
        <w:textAlignment w:val="auto"/>
        <w:rPr>
          <w:rFonts w:hint="eastAsia"/>
          <w:color w:val="auto"/>
          <w:szCs w:val="26"/>
          <w:highlight w:val="none"/>
          <w:lang w:val="en-US" w:eastAsia="zh-CN"/>
        </w:rPr>
      </w:pPr>
      <w:r>
        <w:rPr>
          <w:rFonts w:hint="eastAsia"/>
          <w:color w:val="auto"/>
          <w:szCs w:val="26"/>
          <w:highlight w:val="none"/>
          <w:lang w:eastAsia="zh-CN"/>
        </w:rPr>
        <w:t>项目不涉及</w:t>
      </w:r>
      <w:r>
        <w:rPr>
          <w:rFonts w:hint="eastAsia"/>
          <w:color w:val="auto"/>
          <w:szCs w:val="26"/>
          <w:highlight w:val="none"/>
        </w:rPr>
        <w:t>涉水的自然保护区、风景名胜区，根据</w:t>
      </w:r>
      <w:r>
        <w:rPr>
          <w:rFonts w:hint="eastAsia"/>
          <w:color w:val="auto"/>
          <w:szCs w:val="26"/>
          <w:highlight w:val="none"/>
          <w:lang w:eastAsia="zh-CN"/>
        </w:rPr>
        <w:t>合川区饮用水源划定情况</w:t>
      </w:r>
      <w:r>
        <w:rPr>
          <w:rFonts w:hint="eastAsia"/>
          <w:color w:val="auto"/>
          <w:szCs w:val="26"/>
          <w:highlight w:val="none"/>
        </w:rPr>
        <w:t>，</w:t>
      </w:r>
      <w:r>
        <w:rPr>
          <w:rFonts w:hint="eastAsia"/>
          <w:color w:val="auto"/>
          <w:szCs w:val="26"/>
          <w:highlight w:val="none"/>
          <w:lang w:eastAsia="zh-CN"/>
        </w:rPr>
        <w:t>拟建项目地表水评价范围内均不涉及饮用水源保护区和饮用水源取水口。项目上游分布有涪江铜溪镇圣灯村河流型水源地，该饮用水源保护区边界距离项目施工区域为上游锚地，最近距离约</w:t>
      </w:r>
      <w:r>
        <w:rPr>
          <w:rFonts w:hint="eastAsia"/>
          <w:color w:val="auto"/>
          <w:szCs w:val="26"/>
          <w:highlight w:val="none"/>
          <w:lang w:val="en-US" w:eastAsia="zh-CN"/>
        </w:rPr>
        <w:t>2.16km；</w:t>
      </w:r>
      <w:r>
        <w:rPr>
          <w:rFonts w:hint="eastAsia"/>
          <w:color w:val="auto"/>
          <w:szCs w:val="26"/>
          <w:highlight w:val="none"/>
          <w:lang w:eastAsia="zh-CN"/>
        </w:rPr>
        <w:t>下游分布有铜溪镇涪江重庆农安村镇供水管路有限公司（金沙水厂）水源地、渭沱镇合川城区第二水源水厂水源地，距离最近施工区域为下游锚地，最近距离</w:t>
      </w:r>
      <w:r>
        <w:rPr>
          <w:rFonts w:hint="eastAsia"/>
          <w:color w:val="auto"/>
          <w:szCs w:val="26"/>
          <w:highlight w:val="none"/>
          <w:shd w:val="clear" w:fill="FFFFFF"/>
          <w:lang w:eastAsia="zh-CN"/>
        </w:rPr>
        <w:t>约</w:t>
      </w:r>
      <w:r>
        <w:rPr>
          <w:rFonts w:hint="eastAsia"/>
          <w:color w:val="auto"/>
          <w:szCs w:val="26"/>
          <w:highlight w:val="none"/>
          <w:lang w:val="en-US" w:eastAsia="zh-CN"/>
        </w:rPr>
        <w:t>1.52km，均不位于本次地表水评价范围内。</w:t>
      </w:r>
    </w:p>
    <w:p>
      <w:pPr>
        <w:ind w:firstLine="520"/>
        <w:rPr>
          <w:rFonts w:hint="eastAsia"/>
          <w:color w:val="auto"/>
          <w:szCs w:val="26"/>
          <w:highlight w:val="none"/>
          <w:lang w:val="en-US" w:eastAsia="zh-CN"/>
        </w:rPr>
      </w:pPr>
      <w:r>
        <w:rPr>
          <w:rFonts w:hint="eastAsia"/>
          <w:color w:val="auto"/>
          <w:szCs w:val="26"/>
          <w:highlight w:val="none"/>
          <w:lang w:eastAsia="zh-CN"/>
        </w:rPr>
        <w:t>故</w:t>
      </w:r>
      <w:r>
        <w:rPr>
          <w:rFonts w:hint="eastAsia"/>
          <w:color w:val="auto"/>
          <w:szCs w:val="26"/>
          <w:highlight w:val="none"/>
        </w:rPr>
        <w:t>地表水评价范围内的水环境保护目标主要为</w:t>
      </w:r>
      <w:r>
        <w:rPr>
          <w:rFonts w:hint="eastAsia"/>
          <w:color w:val="auto"/>
          <w:szCs w:val="26"/>
          <w:highlight w:val="none"/>
          <w:lang w:eastAsia="zh-CN"/>
        </w:rPr>
        <w:t>涪江、重庆合川三江国家湿地公园及鱼类三场等，详见表</w:t>
      </w:r>
      <w:r>
        <w:rPr>
          <w:rFonts w:hint="eastAsia"/>
          <w:color w:val="auto"/>
          <w:szCs w:val="26"/>
          <w:highlight w:val="none"/>
          <w:lang w:val="en-US" w:eastAsia="zh-CN"/>
        </w:rPr>
        <w:t>1.8.1-1。</w:t>
      </w:r>
    </w:p>
    <w:p>
      <w:pPr>
        <w:pStyle w:val="5"/>
        <w:ind w:firstLine="522"/>
        <w:rPr>
          <w:color w:val="auto"/>
          <w:highlight w:val="none"/>
        </w:rPr>
      </w:pPr>
      <w:r>
        <w:rPr>
          <w:rFonts w:hint="eastAsia"/>
          <w:color w:val="auto"/>
          <w:highlight w:val="none"/>
        </w:rPr>
        <w:t xml:space="preserve">声环境保护目标 </w:t>
      </w:r>
    </w:p>
    <w:p>
      <w:pPr>
        <w:adjustRightInd w:val="0"/>
        <w:snapToGrid w:val="0"/>
        <w:ind w:firstLine="520"/>
        <w:rPr>
          <w:color w:val="auto"/>
          <w:kern w:val="28"/>
          <w:position w:val="2"/>
          <w:highlight w:val="none"/>
        </w:rPr>
      </w:pPr>
      <w:r>
        <w:rPr>
          <w:rFonts w:hint="eastAsia"/>
          <w:color w:val="auto"/>
          <w:kern w:val="28"/>
          <w:position w:val="2"/>
          <w:highlight w:val="none"/>
          <w:lang w:eastAsia="zh-CN"/>
        </w:rPr>
        <w:t>项目噪声影响主要体现在施工期，</w:t>
      </w:r>
      <w:r>
        <w:rPr>
          <w:rFonts w:hint="eastAsia"/>
          <w:color w:val="auto"/>
          <w:kern w:val="28"/>
          <w:position w:val="2"/>
          <w:highlight w:val="none"/>
        </w:rPr>
        <w:t>声环境保护目标主要为</w:t>
      </w:r>
      <w:r>
        <w:rPr>
          <w:rFonts w:hint="eastAsia"/>
          <w:color w:val="auto"/>
          <w:kern w:val="28"/>
          <w:position w:val="2"/>
          <w:highlight w:val="none"/>
          <w:lang w:eastAsia="zh-CN"/>
        </w:rPr>
        <w:t>项目船闸区（含施工区）及弃渣场</w:t>
      </w:r>
      <w:r>
        <w:rPr>
          <w:rFonts w:hint="eastAsia"/>
          <w:color w:val="auto"/>
          <w:kern w:val="28"/>
          <w:position w:val="2"/>
          <w:highlight w:val="none"/>
        </w:rPr>
        <w:t>周</w:t>
      </w:r>
      <w:r>
        <w:rPr>
          <w:rFonts w:hint="eastAsia" w:ascii="Times New Roman" w:hAnsi="Times New Roman" w:eastAsia="宋体" w:cs="Times New Roman"/>
          <w:color w:val="auto"/>
          <w:kern w:val="28"/>
          <w:position w:val="2"/>
          <w:highlight w:val="none"/>
        </w:rPr>
        <w:t>边200m范围的分散居民点详见表1</w:t>
      </w:r>
      <w:r>
        <w:rPr>
          <w:rFonts w:hint="eastAsia" w:ascii="Times New Roman" w:hAnsi="Times New Roman" w:eastAsia="宋体" w:cs="Times New Roman"/>
          <w:color w:val="auto"/>
          <w:kern w:val="28"/>
          <w:position w:val="2"/>
          <w:highlight w:val="none"/>
          <w:lang w:val="en-US" w:eastAsia="zh-CN"/>
        </w:rPr>
        <w:t>.8.</w:t>
      </w:r>
      <w:r>
        <w:rPr>
          <w:rFonts w:hint="eastAsia" w:cs="Times New Roman"/>
          <w:color w:val="auto"/>
          <w:kern w:val="28"/>
          <w:position w:val="2"/>
          <w:highlight w:val="none"/>
          <w:lang w:val="en-US" w:eastAsia="zh-CN"/>
        </w:rPr>
        <w:t>3</w:t>
      </w:r>
      <w:r>
        <w:rPr>
          <w:rFonts w:hint="eastAsia" w:ascii="Times New Roman" w:hAnsi="Times New Roman" w:eastAsia="宋体" w:cs="Times New Roman"/>
          <w:color w:val="auto"/>
          <w:kern w:val="28"/>
          <w:position w:val="2"/>
          <w:highlight w:val="none"/>
          <w:lang w:val="en-US" w:eastAsia="zh-CN"/>
        </w:rPr>
        <w:t>-1</w:t>
      </w:r>
      <w:r>
        <w:rPr>
          <w:rFonts w:hint="eastAsia" w:ascii="Times New Roman" w:hAnsi="Times New Roman" w:eastAsia="宋体" w:cs="Times New Roman"/>
          <w:color w:val="auto"/>
          <w:kern w:val="28"/>
          <w:position w:val="2"/>
          <w:highlight w:val="none"/>
        </w:rPr>
        <w:t>。</w:t>
      </w:r>
    </w:p>
    <w:p>
      <w:pPr>
        <w:pStyle w:val="5"/>
        <w:ind w:firstLine="522"/>
        <w:rPr>
          <w:color w:val="auto"/>
          <w:highlight w:val="none"/>
        </w:rPr>
      </w:pPr>
      <w:r>
        <w:rPr>
          <w:rFonts w:hint="eastAsia"/>
          <w:color w:val="auto"/>
          <w:highlight w:val="none"/>
        </w:rPr>
        <w:t xml:space="preserve">环境空气保护目标 </w:t>
      </w:r>
    </w:p>
    <w:p>
      <w:pPr>
        <w:snapToGrid w:val="0"/>
        <w:ind w:firstLine="520"/>
        <w:rPr>
          <w:color w:val="auto"/>
          <w:highlight w:val="none"/>
        </w:rPr>
      </w:pPr>
      <w:r>
        <w:rPr>
          <w:rFonts w:hint="eastAsia"/>
          <w:color w:val="auto"/>
          <w:kern w:val="28"/>
          <w:position w:val="2"/>
          <w:highlight w:val="none"/>
        </w:rPr>
        <w:t>本项目大气环境评价等级为三级，根据本项目</w:t>
      </w:r>
      <w:r>
        <w:rPr>
          <w:rFonts w:hint="eastAsia"/>
          <w:color w:val="auto"/>
          <w:kern w:val="28"/>
          <w:position w:val="2"/>
          <w:highlight w:val="none"/>
          <w:lang w:eastAsia="zh-CN"/>
        </w:rPr>
        <w:t>大气环境影响特点，项目对环境空气影响主要体现在施工期陆域施工对周边大气环境的影响</w:t>
      </w:r>
      <w:r>
        <w:rPr>
          <w:rFonts w:hint="eastAsia"/>
          <w:color w:val="auto"/>
          <w:kern w:val="28"/>
          <w:position w:val="2"/>
          <w:highlight w:val="none"/>
        </w:rPr>
        <w:t>，</w:t>
      </w:r>
      <w:r>
        <w:rPr>
          <w:rFonts w:hint="eastAsia"/>
          <w:color w:val="auto"/>
          <w:kern w:val="28"/>
          <w:position w:val="2"/>
          <w:highlight w:val="none"/>
          <w:lang w:eastAsia="zh-CN"/>
        </w:rPr>
        <w:t>故</w:t>
      </w:r>
      <w:r>
        <w:rPr>
          <w:rFonts w:hint="eastAsia"/>
          <w:color w:val="auto"/>
          <w:kern w:val="28"/>
          <w:position w:val="2"/>
          <w:highlight w:val="none"/>
        </w:rPr>
        <w:t>本次评价环境空气保护目标主要调查</w:t>
      </w:r>
      <w:r>
        <w:rPr>
          <w:rFonts w:hint="eastAsia"/>
          <w:color w:val="auto"/>
          <w:kern w:val="28"/>
          <w:position w:val="2"/>
          <w:highlight w:val="none"/>
          <w:lang w:eastAsia="zh-CN"/>
        </w:rPr>
        <w:t>船闸施工区及弃渣场</w:t>
      </w:r>
      <w:r>
        <w:rPr>
          <w:rFonts w:hint="eastAsia"/>
          <w:color w:val="auto"/>
          <w:kern w:val="28"/>
          <w:position w:val="2"/>
          <w:highlight w:val="none"/>
        </w:rPr>
        <w:t>周边500m范围的分散居民点。详见表1.8.</w:t>
      </w:r>
      <w:r>
        <w:rPr>
          <w:rFonts w:hint="eastAsia"/>
          <w:color w:val="auto"/>
          <w:kern w:val="28"/>
          <w:position w:val="2"/>
          <w:highlight w:val="none"/>
          <w:lang w:val="en-US" w:eastAsia="zh-CN"/>
        </w:rPr>
        <w:t>4</w:t>
      </w:r>
      <w:r>
        <w:rPr>
          <w:rFonts w:hint="eastAsia"/>
          <w:color w:val="auto"/>
          <w:kern w:val="28"/>
          <w:position w:val="2"/>
          <w:highlight w:val="none"/>
        </w:rPr>
        <w:t>-</w:t>
      </w:r>
      <w:r>
        <w:rPr>
          <w:rFonts w:hint="eastAsia"/>
          <w:color w:val="auto"/>
          <w:kern w:val="28"/>
          <w:position w:val="2"/>
          <w:highlight w:val="none"/>
          <w:lang w:val="en-US" w:eastAsia="zh-CN"/>
        </w:rPr>
        <w:t>1</w:t>
      </w:r>
      <w:r>
        <w:rPr>
          <w:rFonts w:hint="eastAsia"/>
          <w:color w:val="auto"/>
          <w:kern w:val="28"/>
          <w:position w:val="2"/>
          <w:highlight w:val="none"/>
        </w:rPr>
        <w:t>。</w:t>
      </w:r>
    </w:p>
    <w:p>
      <w:pPr>
        <w:pStyle w:val="5"/>
        <w:ind w:firstLine="522"/>
        <w:rPr>
          <w:color w:val="auto"/>
          <w:highlight w:val="none"/>
        </w:rPr>
      </w:pPr>
      <w:r>
        <w:rPr>
          <w:rFonts w:hint="eastAsia"/>
          <w:color w:val="auto"/>
          <w:highlight w:val="none"/>
        </w:rPr>
        <w:t>环境风险敏感目标</w:t>
      </w:r>
    </w:p>
    <w:p>
      <w:pPr>
        <w:ind w:firstLine="520"/>
        <w:rPr>
          <w:color w:val="auto"/>
          <w:szCs w:val="26"/>
          <w:highlight w:val="none"/>
        </w:rPr>
      </w:pPr>
      <w:r>
        <w:rPr>
          <w:rFonts w:hint="eastAsia"/>
          <w:color w:val="auto"/>
          <w:szCs w:val="26"/>
          <w:highlight w:val="none"/>
          <w:lang w:eastAsia="zh-CN"/>
        </w:rPr>
        <w:t>项目环境风险类型主要为</w:t>
      </w:r>
      <w:r>
        <w:rPr>
          <w:rFonts w:hint="eastAsia"/>
          <w:color w:val="auto"/>
          <w:highlight w:val="none"/>
        </w:rPr>
        <w:t>运输船舶燃料油泄漏</w:t>
      </w:r>
      <w:r>
        <w:rPr>
          <w:rFonts w:hint="eastAsia"/>
          <w:color w:val="auto"/>
          <w:highlight w:val="none"/>
          <w:lang w:eastAsia="zh-CN"/>
        </w:rPr>
        <w:t>导致涪江水质污染，环境风险敏感目标与地表水环境保护目标相同</w:t>
      </w:r>
      <w:r>
        <w:rPr>
          <w:rFonts w:hint="eastAsia"/>
          <w:color w:val="auto"/>
          <w:szCs w:val="26"/>
          <w:highlight w:val="none"/>
        </w:rPr>
        <w:t>。</w:t>
      </w:r>
    </w:p>
    <w:p>
      <w:pPr>
        <w:ind w:firstLine="520"/>
        <w:rPr>
          <w:color w:val="auto"/>
          <w:highlight w:val="none"/>
        </w:rPr>
        <w:sectPr>
          <w:pgSz w:w="11906" w:h="16838"/>
          <w:pgMar w:top="1701" w:right="1588" w:bottom="1588" w:left="1588" w:header="1304" w:footer="1247" w:gutter="0"/>
          <w:cols w:space="425" w:num="1"/>
          <w:docGrid w:linePitch="312" w:charSpace="0"/>
        </w:sectPr>
      </w:pPr>
    </w:p>
    <w:p>
      <w:pPr>
        <w:pStyle w:val="214"/>
        <w:spacing w:line="240" w:lineRule="auto"/>
        <w:ind w:firstLine="0" w:firstLineChars="0"/>
        <w:jc w:val="center"/>
        <w:rPr>
          <w:color w:val="auto"/>
          <w:highlight w:val="none"/>
        </w:rPr>
      </w:pPr>
      <w:r>
        <w:rPr>
          <w:rFonts w:hint="eastAsia"/>
          <w:color w:val="auto"/>
          <w:highlight w:val="none"/>
        </w:rPr>
        <w:t>表</w:t>
      </w:r>
      <w:r>
        <w:rPr>
          <w:rFonts w:hint="eastAsia"/>
          <w:color w:val="auto"/>
          <w:highlight w:val="none"/>
          <w:lang w:val="en-US" w:eastAsia="zh-CN"/>
        </w:rPr>
        <w:t>1.8.1</w:t>
      </w:r>
      <w:r>
        <w:rPr>
          <w:rFonts w:hint="eastAsia"/>
          <w:color w:val="auto"/>
          <w:highlight w:val="none"/>
        </w:rPr>
        <w:t>-</w:t>
      </w:r>
      <w:r>
        <w:rPr>
          <w:color w:val="auto"/>
          <w:highlight w:val="none"/>
        </w:rPr>
        <w:t>1</w:t>
      </w:r>
      <w:r>
        <w:rPr>
          <w:rFonts w:hint="eastAsia"/>
          <w:color w:val="auto"/>
          <w:highlight w:val="none"/>
        </w:rPr>
        <w:t xml:space="preserve">  生态环境保护目标</w:t>
      </w:r>
    </w:p>
    <w:tbl>
      <w:tblPr>
        <w:tblStyle w:val="28"/>
        <w:tblW w:w="5202"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626"/>
        <w:gridCol w:w="1502"/>
        <w:gridCol w:w="777"/>
        <w:gridCol w:w="4035"/>
        <w:gridCol w:w="4298"/>
        <w:gridCol w:w="1942"/>
        <w:gridCol w:w="1052"/>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blHeader/>
          <w:jc w:val="center"/>
        </w:trPr>
        <w:tc>
          <w:tcPr>
            <w:tcW w:w="2125" w:type="dxa"/>
            <w:gridSpan w:val="2"/>
            <w:tcBorders>
              <w:top w:val="single" w:color="auto" w:sz="8" w:space="0"/>
              <w:left w:val="single" w:color="auto" w:sz="6" w:space="0"/>
              <w:bottom w:val="single" w:color="auto" w:sz="6" w:space="0"/>
              <w:right w:val="single" w:color="auto" w:sz="6" w:space="0"/>
            </w:tcBorders>
            <w:vAlign w:val="center"/>
          </w:tcPr>
          <w:p>
            <w:pPr>
              <w:pStyle w:val="6"/>
              <w:numPr>
                <w:ilvl w:val="3"/>
                <w:numId w:val="0"/>
              </w:numPr>
              <w:adjustRightInd w:val="0"/>
              <w:snapToGrid w:val="0"/>
              <w:spacing w:line="240" w:lineRule="auto"/>
              <w:jc w:val="center"/>
              <w:rPr>
                <w:rFonts w:eastAsia="宋体"/>
                <w:color w:val="auto"/>
                <w:sz w:val="22"/>
                <w:szCs w:val="22"/>
                <w:highlight w:val="none"/>
              </w:rPr>
            </w:pPr>
            <w:r>
              <w:rPr>
                <w:rFonts w:eastAsia="宋体"/>
                <w:color w:val="auto"/>
                <w:sz w:val="22"/>
                <w:szCs w:val="22"/>
                <w:highlight w:val="none"/>
              </w:rPr>
              <w:t>护目标名称</w:t>
            </w:r>
          </w:p>
        </w:tc>
        <w:tc>
          <w:tcPr>
            <w:tcW w:w="776" w:type="dxa"/>
            <w:tcBorders>
              <w:top w:val="single" w:color="auto" w:sz="8" w:space="0"/>
              <w:left w:val="single" w:color="auto" w:sz="6" w:space="0"/>
              <w:bottom w:val="single" w:color="auto" w:sz="6" w:space="0"/>
              <w:right w:val="single" w:color="auto" w:sz="6" w:space="0"/>
            </w:tcBorders>
            <w:vAlign w:val="center"/>
          </w:tcPr>
          <w:p>
            <w:pPr>
              <w:pStyle w:val="6"/>
              <w:numPr>
                <w:ilvl w:val="3"/>
                <w:numId w:val="0"/>
              </w:numPr>
              <w:adjustRightInd w:val="0"/>
              <w:snapToGrid w:val="0"/>
              <w:spacing w:line="240" w:lineRule="auto"/>
              <w:jc w:val="center"/>
              <w:rPr>
                <w:rFonts w:eastAsia="宋体"/>
                <w:color w:val="auto"/>
                <w:sz w:val="22"/>
                <w:szCs w:val="22"/>
                <w:highlight w:val="none"/>
              </w:rPr>
            </w:pPr>
            <w:r>
              <w:rPr>
                <w:rFonts w:eastAsia="宋体"/>
                <w:color w:val="auto"/>
                <w:sz w:val="22"/>
                <w:szCs w:val="22"/>
                <w:highlight w:val="none"/>
              </w:rPr>
              <w:t>级别</w:t>
            </w:r>
          </w:p>
        </w:tc>
        <w:tc>
          <w:tcPr>
            <w:tcW w:w="4030" w:type="dxa"/>
            <w:tcBorders>
              <w:top w:val="single" w:color="auto" w:sz="8" w:space="0"/>
              <w:left w:val="single" w:color="auto" w:sz="6" w:space="0"/>
              <w:bottom w:val="single" w:color="auto" w:sz="6" w:space="0"/>
              <w:right w:val="single" w:color="auto" w:sz="6" w:space="0"/>
            </w:tcBorders>
            <w:vAlign w:val="center"/>
          </w:tcPr>
          <w:p>
            <w:pPr>
              <w:pStyle w:val="6"/>
              <w:numPr>
                <w:ilvl w:val="3"/>
                <w:numId w:val="0"/>
              </w:numPr>
              <w:adjustRightInd w:val="0"/>
              <w:snapToGrid w:val="0"/>
              <w:spacing w:line="240" w:lineRule="auto"/>
              <w:jc w:val="center"/>
              <w:rPr>
                <w:rFonts w:eastAsia="宋体"/>
                <w:color w:val="auto"/>
                <w:sz w:val="22"/>
                <w:szCs w:val="22"/>
                <w:highlight w:val="none"/>
              </w:rPr>
            </w:pPr>
            <w:r>
              <w:rPr>
                <w:rFonts w:eastAsia="宋体"/>
                <w:color w:val="auto"/>
                <w:sz w:val="22"/>
                <w:szCs w:val="22"/>
                <w:highlight w:val="none"/>
              </w:rPr>
              <w:t>保护对象</w:t>
            </w:r>
          </w:p>
        </w:tc>
        <w:tc>
          <w:tcPr>
            <w:tcW w:w="4293" w:type="dxa"/>
            <w:tcBorders>
              <w:top w:val="single" w:color="auto" w:sz="8" w:space="0"/>
              <w:left w:val="single" w:color="auto" w:sz="6" w:space="0"/>
              <w:bottom w:val="single" w:color="auto" w:sz="6" w:space="0"/>
              <w:right w:val="single" w:color="auto" w:sz="6" w:space="0"/>
            </w:tcBorders>
            <w:tcMar>
              <w:top w:w="0" w:type="dxa"/>
              <w:left w:w="28" w:type="dxa"/>
              <w:bottom w:w="0" w:type="dxa"/>
              <w:right w:w="28" w:type="dxa"/>
            </w:tcMar>
            <w:vAlign w:val="center"/>
          </w:tcPr>
          <w:p>
            <w:pPr>
              <w:pStyle w:val="6"/>
              <w:numPr>
                <w:ilvl w:val="3"/>
                <w:numId w:val="0"/>
              </w:numPr>
              <w:adjustRightInd w:val="0"/>
              <w:snapToGrid w:val="0"/>
              <w:spacing w:line="240" w:lineRule="auto"/>
              <w:jc w:val="center"/>
              <w:rPr>
                <w:rFonts w:eastAsia="宋体"/>
                <w:color w:val="auto"/>
                <w:sz w:val="22"/>
                <w:szCs w:val="22"/>
                <w:highlight w:val="none"/>
              </w:rPr>
            </w:pPr>
            <w:r>
              <w:rPr>
                <w:rFonts w:eastAsia="宋体"/>
                <w:color w:val="auto"/>
                <w:sz w:val="22"/>
                <w:szCs w:val="22"/>
                <w:highlight w:val="none"/>
              </w:rPr>
              <w:t>位置关系</w:t>
            </w:r>
          </w:p>
        </w:tc>
        <w:tc>
          <w:tcPr>
            <w:tcW w:w="1940" w:type="dxa"/>
            <w:tcBorders>
              <w:top w:val="single" w:color="auto" w:sz="8" w:space="0"/>
              <w:left w:val="single" w:color="auto" w:sz="6" w:space="0"/>
              <w:bottom w:val="single" w:color="auto" w:sz="6" w:space="0"/>
              <w:right w:val="single" w:color="auto" w:sz="6" w:space="0"/>
            </w:tcBorders>
            <w:vAlign w:val="center"/>
          </w:tcPr>
          <w:p>
            <w:pPr>
              <w:pStyle w:val="6"/>
              <w:numPr>
                <w:ilvl w:val="3"/>
                <w:numId w:val="0"/>
              </w:numPr>
              <w:adjustRightInd w:val="0"/>
              <w:snapToGrid w:val="0"/>
              <w:spacing w:line="240" w:lineRule="auto"/>
              <w:jc w:val="center"/>
              <w:rPr>
                <w:rFonts w:eastAsia="宋体"/>
                <w:color w:val="auto"/>
                <w:sz w:val="22"/>
                <w:szCs w:val="22"/>
                <w:highlight w:val="none"/>
              </w:rPr>
            </w:pPr>
            <w:r>
              <w:rPr>
                <w:rFonts w:eastAsia="宋体"/>
                <w:color w:val="auto"/>
                <w:sz w:val="22"/>
                <w:szCs w:val="22"/>
                <w:highlight w:val="none"/>
              </w:rPr>
              <w:t>主要影响因素</w:t>
            </w:r>
          </w:p>
        </w:tc>
        <w:tc>
          <w:tcPr>
            <w:tcW w:w="1051" w:type="dxa"/>
            <w:tcBorders>
              <w:top w:val="single" w:color="auto" w:sz="8" w:space="0"/>
              <w:left w:val="single" w:color="auto" w:sz="6" w:space="0"/>
              <w:bottom w:val="single" w:color="auto" w:sz="6" w:space="0"/>
              <w:right w:val="single" w:color="auto" w:sz="8" w:space="0"/>
            </w:tcBorders>
            <w:vAlign w:val="center"/>
          </w:tcPr>
          <w:p>
            <w:pPr>
              <w:pStyle w:val="6"/>
              <w:numPr>
                <w:ilvl w:val="3"/>
                <w:numId w:val="0"/>
              </w:numPr>
              <w:adjustRightInd w:val="0"/>
              <w:snapToGrid w:val="0"/>
              <w:spacing w:line="240" w:lineRule="auto"/>
              <w:jc w:val="center"/>
              <w:rPr>
                <w:rFonts w:eastAsia="宋体"/>
                <w:color w:val="auto"/>
                <w:sz w:val="22"/>
                <w:szCs w:val="22"/>
                <w:highlight w:val="none"/>
              </w:rPr>
            </w:pPr>
            <w:r>
              <w:rPr>
                <w:rFonts w:eastAsia="宋体"/>
                <w:color w:val="auto"/>
                <w:sz w:val="22"/>
                <w:szCs w:val="22"/>
                <w:highlight w:val="none"/>
              </w:rPr>
              <w:t>影响时段</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jc w:val="center"/>
        </w:trPr>
        <w:tc>
          <w:tcPr>
            <w:tcW w:w="625" w:type="dxa"/>
            <w:tcBorders>
              <w:top w:val="single" w:color="auto" w:sz="6" w:space="0"/>
              <w:left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生态保护红线</w:t>
            </w:r>
          </w:p>
        </w:tc>
        <w:tc>
          <w:tcPr>
            <w:tcW w:w="150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合川区生态保护红线</w:t>
            </w:r>
          </w:p>
        </w:tc>
        <w:tc>
          <w:tcPr>
            <w:tcW w:w="776"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w:t>
            </w:r>
          </w:p>
        </w:tc>
        <w:tc>
          <w:tcPr>
            <w:tcW w:w="403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水土保持功能</w:t>
            </w:r>
          </w:p>
        </w:tc>
        <w:tc>
          <w:tcPr>
            <w:tcW w:w="4293" w:type="dxa"/>
            <w:tcBorders>
              <w:top w:val="single" w:color="auto" w:sz="6" w:space="0"/>
              <w:left w:val="single" w:color="auto" w:sz="6" w:space="0"/>
              <w:bottom w:val="single" w:color="auto" w:sz="6" w:space="0"/>
              <w:right w:val="single" w:color="auto" w:sz="6" w:space="0"/>
            </w:tcBorders>
            <w:tcMar>
              <w:top w:w="0" w:type="dxa"/>
              <w:left w:w="28" w:type="dxa"/>
              <w:bottom w:w="0" w:type="dxa"/>
              <w:right w:w="28" w:type="dxa"/>
            </w:tcMar>
            <w:vAlign w:val="center"/>
          </w:tcPr>
          <w:p>
            <w:pPr>
              <w:adjustRightInd w:val="0"/>
              <w:snapToGrid w:val="0"/>
              <w:spacing w:line="240" w:lineRule="auto"/>
              <w:ind w:firstLine="0" w:firstLineChars="0"/>
              <w:jc w:val="center"/>
              <w:rPr>
                <w:rFonts w:hint="default" w:eastAsia="宋体"/>
                <w:color w:val="auto"/>
                <w:sz w:val="22"/>
                <w:szCs w:val="22"/>
                <w:highlight w:val="none"/>
                <w:vertAlign w:val="baseline"/>
                <w:lang w:val="en-US" w:eastAsia="zh-CN"/>
              </w:rPr>
            </w:pPr>
            <w:r>
              <w:rPr>
                <w:rFonts w:hint="eastAsia"/>
                <w:color w:val="auto"/>
                <w:sz w:val="22"/>
                <w:szCs w:val="22"/>
                <w:highlight w:val="none"/>
                <w:lang w:val="en-US" w:eastAsia="zh-CN"/>
              </w:rPr>
              <w:t>位于船闸下游区域，占用生态保护红线</w:t>
            </w:r>
            <w:r>
              <w:rPr>
                <w:rFonts w:hint="default"/>
                <w:color w:val="auto"/>
                <w:sz w:val="22"/>
                <w:szCs w:val="22"/>
                <w:highlight w:val="none"/>
              </w:rPr>
              <w:t>面积约</w:t>
            </w:r>
            <w:r>
              <w:rPr>
                <w:rFonts w:hint="eastAsia"/>
                <w:color w:val="auto"/>
                <w:sz w:val="22"/>
                <w:szCs w:val="22"/>
                <w:highlight w:val="none"/>
                <w:lang w:val="en-US" w:eastAsia="zh-CN"/>
              </w:rPr>
              <w:t>4.8479hm</w:t>
            </w:r>
            <w:r>
              <w:rPr>
                <w:rFonts w:hint="eastAsia"/>
                <w:color w:val="auto"/>
                <w:sz w:val="22"/>
                <w:szCs w:val="22"/>
                <w:highlight w:val="none"/>
                <w:vertAlign w:val="superscript"/>
                <w:lang w:val="en-US" w:eastAsia="zh-CN"/>
              </w:rPr>
              <w:t>2</w:t>
            </w:r>
            <w:r>
              <w:rPr>
                <w:rFonts w:hint="eastAsia"/>
                <w:color w:val="auto"/>
                <w:sz w:val="22"/>
                <w:szCs w:val="22"/>
                <w:highlight w:val="none"/>
                <w:vertAlign w:val="baseline"/>
                <w:lang w:val="en-US" w:eastAsia="zh-CN"/>
              </w:rPr>
              <w:t>，其中永久占用</w:t>
            </w:r>
            <w:r>
              <w:rPr>
                <w:rFonts w:hint="eastAsia"/>
                <w:color w:val="auto"/>
                <w:sz w:val="22"/>
                <w:szCs w:val="22"/>
                <w:highlight w:val="none"/>
                <w:lang w:val="en-US" w:eastAsia="zh-CN"/>
              </w:rPr>
              <w:t>1.5568</w:t>
            </w:r>
            <w:r>
              <w:rPr>
                <w:rFonts w:hint="default"/>
                <w:color w:val="auto"/>
                <w:sz w:val="22"/>
                <w:szCs w:val="22"/>
                <w:highlight w:val="none"/>
              </w:rPr>
              <w:t>hm</w:t>
            </w:r>
            <w:r>
              <w:rPr>
                <w:rFonts w:hint="default"/>
                <w:color w:val="auto"/>
                <w:sz w:val="22"/>
                <w:szCs w:val="22"/>
                <w:highlight w:val="none"/>
                <w:vertAlign w:val="superscript"/>
              </w:rPr>
              <w:t>2</w:t>
            </w:r>
            <w:r>
              <w:rPr>
                <w:rFonts w:hint="eastAsia"/>
                <w:color w:val="auto"/>
                <w:sz w:val="22"/>
                <w:szCs w:val="22"/>
                <w:highlight w:val="none"/>
                <w:vertAlign w:val="baseline"/>
                <w:lang w:eastAsia="zh-CN"/>
              </w:rPr>
              <w:t>，主要为</w:t>
            </w:r>
            <w:r>
              <w:rPr>
                <w:rFonts w:hint="eastAsia"/>
                <w:color w:val="auto"/>
                <w:sz w:val="22"/>
                <w:szCs w:val="22"/>
                <w:highlight w:val="none"/>
                <w:lang w:eastAsia="zh-CN"/>
              </w:rPr>
              <w:t>船闸下游引航道、下游疏浚区（护坡）、锚地等，</w:t>
            </w:r>
            <w:r>
              <w:rPr>
                <w:rFonts w:hint="eastAsia"/>
                <w:color w:val="auto"/>
                <w:sz w:val="22"/>
                <w:szCs w:val="22"/>
                <w:highlight w:val="none"/>
                <w:vertAlign w:val="baseline"/>
                <w:lang w:eastAsia="zh-CN"/>
              </w:rPr>
              <w:t>临时占用</w:t>
            </w:r>
            <w:r>
              <w:rPr>
                <w:rFonts w:hint="eastAsia"/>
                <w:color w:val="auto"/>
                <w:sz w:val="22"/>
                <w:szCs w:val="22"/>
                <w:highlight w:val="none"/>
                <w:vertAlign w:val="baseline"/>
                <w:lang w:val="en-US" w:eastAsia="zh-CN"/>
              </w:rPr>
              <w:t>3.2911hm</w:t>
            </w:r>
            <w:r>
              <w:rPr>
                <w:rFonts w:hint="eastAsia"/>
                <w:color w:val="auto"/>
                <w:sz w:val="22"/>
                <w:szCs w:val="22"/>
                <w:highlight w:val="none"/>
                <w:vertAlign w:val="superscript"/>
                <w:lang w:val="en-US" w:eastAsia="zh-CN"/>
              </w:rPr>
              <w:t>2</w:t>
            </w:r>
            <w:r>
              <w:rPr>
                <w:rFonts w:hint="eastAsia"/>
                <w:color w:val="auto"/>
                <w:sz w:val="22"/>
                <w:szCs w:val="22"/>
                <w:highlight w:val="none"/>
                <w:vertAlign w:val="baseline"/>
                <w:lang w:val="en-US" w:eastAsia="zh-CN"/>
              </w:rPr>
              <w:t>，主要为施工期围堰、下游疏浚区等。</w:t>
            </w:r>
          </w:p>
        </w:tc>
        <w:tc>
          <w:tcPr>
            <w:tcW w:w="1940" w:type="dxa"/>
            <w:tcBorders>
              <w:top w:val="single" w:color="auto" w:sz="6" w:space="0"/>
              <w:left w:val="single" w:color="auto" w:sz="6" w:space="0"/>
              <w:bottom w:val="single" w:color="auto" w:sz="6" w:space="0"/>
              <w:right w:val="single" w:color="auto" w:sz="6" w:space="0"/>
            </w:tcBorders>
            <w:vAlign w:val="center"/>
          </w:tcPr>
          <w:p>
            <w:pPr>
              <w:pStyle w:val="6"/>
              <w:numPr>
                <w:ilvl w:val="3"/>
                <w:numId w:val="0"/>
              </w:numPr>
              <w:adjustRightInd w:val="0"/>
              <w:snapToGrid w:val="0"/>
              <w:spacing w:line="240" w:lineRule="auto"/>
              <w:jc w:val="center"/>
              <w:rPr>
                <w:rFonts w:eastAsia="宋体"/>
                <w:b w:val="0"/>
                <w:bCs/>
                <w:color w:val="auto"/>
                <w:sz w:val="22"/>
                <w:szCs w:val="22"/>
                <w:highlight w:val="none"/>
              </w:rPr>
            </w:pPr>
            <w:r>
              <w:rPr>
                <w:rFonts w:eastAsia="宋体"/>
                <w:b w:val="0"/>
                <w:bCs/>
                <w:color w:val="auto"/>
                <w:sz w:val="22"/>
                <w:szCs w:val="22"/>
                <w:highlight w:val="none"/>
              </w:rPr>
              <w:t>施工、船舶运输影响</w:t>
            </w:r>
          </w:p>
        </w:tc>
        <w:tc>
          <w:tcPr>
            <w:tcW w:w="1051" w:type="dxa"/>
            <w:tcBorders>
              <w:top w:val="single" w:color="auto" w:sz="6" w:space="0"/>
              <w:left w:val="single" w:color="auto" w:sz="6" w:space="0"/>
              <w:bottom w:val="single" w:color="auto" w:sz="6" w:space="0"/>
              <w:right w:val="single" w:color="auto" w:sz="8" w:space="0"/>
            </w:tcBorders>
            <w:vAlign w:val="center"/>
          </w:tcPr>
          <w:p>
            <w:pPr>
              <w:pStyle w:val="6"/>
              <w:numPr>
                <w:ilvl w:val="3"/>
                <w:numId w:val="0"/>
              </w:numPr>
              <w:adjustRightInd w:val="0"/>
              <w:snapToGrid w:val="0"/>
              <w:spacing w:line="240" w:lineRule="auto"/>
              <w:jc w:val="center"/>
              <w:rPr>
                <w:rFonts w:eastAsia="宋体"/>
                <w:color w:val="auto"/>
                <w:sz w:val="22"/>
                <w:szCs w:val="22"/>
                <w:highlight w:val="none"/>
              </w:rPr>
            </w:pPr>
            <w:r>
              <w:rPr>
                <w:rFonts w:eastAsia="宋体"/>
                <w:color w:val="auto"/>
                <w:sz w:val="22"/>
                <w:szCs w:val="22"/>
                <w:highlight w:val="none"/>
              </w:rPr>
              <w:t>施工期</w:t>
            </w:r>
          </w:p>
          <w:p>
            <w:pPr>
              <w:pStyle w:val="6"/>
              <w:numPr>
                <w:ilvl w:val="3"/>
                <w:numId w:val="0"/>
              </w:numPr>
              <w:adjustRightInd w:val="0"/>
              <w:snapToGrid w:val="0"/>
              <w:spacing w:line="240" w:lineRule="auto"/>
              <w:jc w:val="center"/>
              <w:rPr>
                <w:rFonts w:eastAsia="宋体"/>
                <w:color w:val="auto"/>
                <w:sz w:val="22"/>
                <w:szCs w:val="22"/>
                <w:highlight w:val="none"/>
              </w:rPr>
            </w:pPr>
            <w:r>
              <w:rPr>
                <w:rFonts w:eastAsia="宋体"/>
                <w:color w:val="auto"/>
                <w:sz w:val="22"/>
                <w:szCs w:val="22"/>
                <w:highlight w:val="none"/>
              </w:rPr>
              <w:t>运营期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jc w:val="center"/>
        </w:trPr>
        <w:tc>
          <w:tcPr>
            <w:tcW w:w="625" w:type="dxa"/>
            <w:tcBorders>
              <w:top w:val="single" w:color="auto" w:sz="6" w:space="0"/>
              <w:left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湿地公园</w:t>
            </w:r>
          </w:p>
        </w:tc>
        <w:tc>
          <w:tcPr>
            <w:tcW w:w="150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重庆合川三江国家湿地公园</w:t>
            </w:r>
            <w:r>
              <w:rPr>
                <w:color w:val="auto"/>
                <w:sz w:val="22"/>
                <w:szCs w:val="22"/>
                <w:highlight w:val="none"/>
                <w:vertAlign w:val="superscript"/>
              </w:rPr>
              <w:fldChar w:fldCharType="begin"/>
            </w:r>
            <w:r>
              <w:rPr>
                <w:color w:val="auto"/>
                <w:sz w:val="22"/>
                <w:szCs w:val="22"/>
                <w:highlight w:val="none"/>
                <w:vertAlign w:val="superscript"/>
              </w:rPr>
              <w:instrText xml:space="preserve"> = 1 \* GB3 \* MERGEFORMAT </w:instrText>
            </w:r>
            <w:r>
              <w:rPr>
                <w:color w:val="auto"/>
                <w:sz w:val="22"/>
                <w:szCs w:val="22"/>
                <w:highlight w:val="none"/>
                <w:vertAlign w:val="superscript"/>
              </w:rPr>
              <w:fldChar w:fldCharType="separate"/>
            </w:r>
            <w:r>
              <w:rPr>
                <w:color w:val="auto"/>
                <w:highlight w:val="none"/>
                <w:vertAlign w:val="superscript"/>
              </w:rPr>
              <w:t>①</w:t>
            </w:r>
            <w:r>
              <w:rPr>
                <w:color w:val="auto"/>
                <w:sz w:val="22"/>
                <w:szCs w:val="22"/>
                <w:highlight w:val="none"/>
                <w:vertAlign w:val="superscript"/>
              </w:rPr>
              <w:fldChar w:fldCharType="end"/>
            </w:r>
          </w:p>
        </w:tc>
        <w:tc>
          <w:tcPr>
            <w:tcW w:w="776"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国家级</w:t>
            </w:r>
          </w:p>
        </w:tc>
        <w:tc>
          <w:tcPr>
            <w:tcW w:w="403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以河流-库塘湿地构成的复合湿地系统为主体；以嘉陵江流域独具魅力的完整连续的河流湿地与库塘湿地复合体、罕见的河流壶穴群、水下沙洲生境及国家级古迹钓鱼城及其崖壁生境为特色；以保护嘉陵江流域水生态安全和生物多样性为重点；集湿地生态保护与修复、湿地科研与科普宣传教育、湿地生态体验为一体的湿地公园。</w:t>
            </w:r>
          </w:p>
        </w:tc>
        <w:tc>
          <w:tcPr>
            <w:tcW w:w="4293" w:type="dxa"/>
            <w:tcBorders>
              <w:top w:val="single" w:color="auto" w:sz="6" w:space="0"/>
              <w:left w:val="single" w:color="auto" w:sz="6" w:space="0"/>
              <w:bottom w:val="single" w:color="auto" w:sz="6" w:space="0"/>
              <w:right w:val="single" w:color="auto" w:sz="6" w:space="0"/>
            </w:tcBorders>
            <w:tcMar>
              <w:top w:w="0" w:type="dxa"/>
              <w:left w:w="28" w:type="dxa"/>
              <w:bottom w:w="0" w:type="dxa"/>
              <w:right w:w="28" w:type="dxa"/>
            </w:tcMar>
            <w:vAlign w:val="center"/>
          </w:tcPr>
          <w:p>
            <w:pPr>
              <w:adjustRightInd w:val="0"/>
              <w:snapToGrid w:val="0"/>
              <w:spacing w:line="240" w:lineRule="auto"/>
              <w:ind w:firstLine="0" w:firstLineChars="0"/>
              <w:jc w:val="both"/>
              <w:rPr>
                <w:color w:val="auto"/>
                <w:sz w:val="22"/>
                <w:szCs w:val="22"/>
                <w:highlight w:val="none"/>
              </w:rPr>
            </w:pPr>
            <w:r>
              <w:rPr>
                <w:rFonts w:hint="eastAsia"/>
                <w:color w:val="auto"/>
                <w:sz w:val="22"/>
                <w:szCs w:val="22"/>
                <w:highlight w:val="none"/>
                <w:lang w:val="en-US" w:eastAsia="zh-CN"/>
              </w:rPr>
              <w:t>本项目涉及湿地公园保护保育区及恢复重建区，占用总</w:t>
            </w:r>
            <w:r>
              <w:rPr>
                <w:rFonts w:hint="default"/>
                <w:color w:val="auto"/>
                <w:sz w:val="22"/>
                <w:szCs w:val="22"/>
                <w:highlight w:val="none"/>
              </w:rPr>
              <w:t>面积约</w:t>
            </w:r>
            <w:r>
              <w:rPr>
                <w:rFonts w:hint="eastAsia"/>
                <w:color w:val="auto"/>
                <w:sz w:val="22"/>
                <w:szCs w:val="22"/>
                <w:highlight w:val="none"/>
                <w:lang w:val="en-US" w:eastAsia="zh-CN"/>
              </w:rPr>
              <w:t>7.4678</w:t>
            </w:r>
            <w:r>
              <w:rPr>
                <w:rFonts w:hint="default"/>
                <w:color w:val="auto"/>
                <w:sz w:val="22"/>
                <w:szCs w:val="22"/>
                <w:highlight w:val="none"/>
              </w:rPr>
              <w:t>hm</w:t>
            </w:r>
            <w:r>
              <w:rPr>
                <w:rFonts w:hint="default"/>
                <w:color w:val="auto"/>
                <w:sz w:val="22"/>
                <w:szCs w:val="22"/>
                <w:highlight w:val="none"/>
                <w:vertAlign w:val="superscript"/>
              </w:rPr>
              <w:t>2</w:t>
            </w:r>
            <w:r>
              <w:rPr>
                <w:rFonts w:hint="default"/>
                <w:color w:val="auto"/>
                <w:sz w:val="22"/>
                <w:szCs w:val="22"/>
                <w:highlight w:val="none"/>
              </w:rPr>
              <w:t>，</w:t>
            </w:r>
            <w:r>
              <w:rPr>
                <w:rFonts w:hint="eastAsia"/>
                <w:color w:val="auto"/>
                <w:sz w:val="22"/>
                <w:szCs w:val="22"/>
                <w:highlight w:val="none"/>
                <w:lang w:val="en-US" w:eastAsia="zh-CN"/>
              </w:rPr>
              <w:t>其中保护保育区4.9715hm</w:t>
            </w:r>
            <w:r>
              <w:rPr>
                <w:rFonts w:hint="eastAsia"/>
                <w:color w:val="auto"/>
                <w:sz w:val="22"/>
                <w:szCs w:val="22"/>
                <w:highlight w:val="none"/>
                <w:vertAlign w:val="superscript"/>
                <w:lang w:val="en-US" w:eastAsia="zh-CN"/>
              </w:rPr>
              <w:t>2</w:t>
            </w:r>
            <w:r>
              <w:rPr>
                <w:rFonts w:hint="eastAsia"/>
                <w:color w:val="auto"/>
                <w:sz w:val="22"/>
                <w:szCs w:val="22"/>
                <w:highlight w:val="none"/>
                <w:lang w:val="en-US" w:eastAsia="zh-CN"/>
              </w:rPr>
              <w:t>，恢复重建区2.4963hm</w:t>
            </w:r>
            <w:r>
              <w:rPr>
                <w:rFonts w:hint="eastAsia"/>
                <w:color w:val="auto"/>
                <w:sz w:val="22"/>
                <w:szCs w:val="22"/>
                <w:highlight w:val="none"/>
                <w:vertAlign w:val="superscript"/>
                <w:lang w:val="en-US" w:eastAsia="zh-CN"/>
              </w:rPr>
              <w:t>2</w:t>
            </w:r>
            <w:r>
              <w:rPr>
                <w:rFonts w:hint="eastAsia"/>
                <w:color w:val="auto"/>
                <w:sz w:val="22"/>
                <w:szCs w:val="22"/>
                <w:highlight w:val="none"/>
                <w:lang w:val="en-US" w:eastAsia="zh-CN"/>
              </w:rPr>
              <w:t>。</w:t>
            </w:r>
          </w:p>
        </w:tc>
        <w:tc>
          <w:tcPr>
            <w:tcW w:w="1940" w:type="dxa"/>
            <w:tcBorders>
              <w:top w:val="single" w:color="auto" w:sz="6" w:space="0"/>
              <w:left w:val="single" w:color="auto" w:sz="6" w:space="0"/>
              <w:bottom w:val="single" w:color="auto" w:sz="6" w:space="0"/>
              <w:right w:val="single" w:color="auto" w:sz="6" w:space="0"/>
            </w:tcBorders>
            <w:vAlign w:val="center"/>
          </w:tcPr>
          <w:p>
            <w:pPr>
              <w:pStyle w:val="6"/>
              <w:numPr>
                <w:ilvl w:val="3"/>
                <w:numId w:val="0"/>
              </w:numPr>
              <w:adjustRightInd w:val="0"/>
              <w:snapToGrid w:val="0"/>
              <w:spacing w:line="240" w:lineRule="auto"/>
              <w:jc w:val="center"/>
              <w:rPr>
                <w:rFonts w:eastAsia="宋体"/>
                <w:b w:val="0"/>
                <w:bCs/>
                <w:color w:val="auto"/>
                <w:sz w:val="22"/>
                <w:szCs w:val="22"/>
                <w:highlight w:val="none"/>
              </w:rPr>
            </w:pPr>
            <w:r>
              <w:rPr>
                <w:rFonts w:eastAsia="宋体"/>
                <w:b w:val="0"/>
                <w:bCs/>
                <w:color w:val="auto"/>
                <w:sz w:val="22"/>
                <w:szCs w:val="22"/>
                <w:highlight w:val="none"/>
              </w:rPr>
              <w:t>施工、船舶运输影响</w:t>
            </w:r>
          </w:p>
        </w:tc>
        <w:tc>
          <w:tcPr>
            <w:tcW w:w="1051" w:type="dxa"/>
            <w:tcBorders>
              <w:top w:val="single" w:color="auto" w:sz="6" w:space="0"/>
              <w:left w:val="single" w:color="auto" w:sz="6" w:space="0"/>
              <w:bottom w:val="single" w:color="auto" w:sz="6" w:space="0"/>
              <w:right w:val="single" w:color="auto" w:sz="8" w:space="0"/>
            </w:tcBorders>
            <w:vAlign w:val="center"/>
          </w:tcPr>
          <w:p>
            <w:pPr>
              <w:pStyle w:val="6"/>
              <w:numPr>
                <w:ilvl w:val="3"/>
                <w:numId w:val="0"/>
              </w:numPr>
              <w:adjustRightInd w:val="0"/>
              <w:snapToGrid w:val="0"/>
              <w:spacing w:line="240" w:lineRule="auto"/>
              <w:jc w:val="center"/>
              <w:rPr>
                <w:color w:val="auto"/>
                <w:sz w:val="22"/>
                <w:szCs w:val="22"/>
                <w:highlight w:val="none"/>
              </w:rPr>
            </w:pPr>
            <w:r>
              <w:rPr>
                <w:color w:val="auto"/>
                <w:sz w:val="22"/>
                <w:szCs w:val="22"/>
                <w:highlight w:val="none"/>
              </w:rPr>
              <w:t>施工期</w:t>
            </w:r>
          </w:p>
          <w:p>
            <w:pPr>
              <w:pStyle w:val="7"/>
              <w:spacing w:line="240" w:lineRule="auto"/>
              <w:ind w:firstLine="0" w:firstLineChars="0"/>
              <w:jc w:val="center"/>
              <w:rPr>
                <w:rFonts w:hint="eastAsia" w:eastAsia="宋体"/>
                <w:color w:val="auto"/>
                <w:highlight w:val="none"/>
                <w:lang w:eastAsia="zh-CN"/>
              </w:rPr>
            </w:pPr>
            <w:r>
              <w:rPr>
                <w:rFonts w:hint="default"/>
                <w:b/>
                <w:color w:val="auto"/>
                <w:sz w:val="22"/>
                <w:szCs w:val="22"/>
                <w:highlight w:val="none"/>
                <w:lang w:eastAsia="zh-CN"/>
              </w:rPr>
              <w:t>运营期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jc w:val="center"/>
        </w:trPr>
        <w:tc>
          <w:tcPr>
            <w:tcW w:w="625" w:type="dxa"/>
            <w:vMerge w:val="restart"/>
            <w:tcBorders>
              <w:top w:val="single" w:color="auto" w:sz="6" w:space="0"/>
              <w:left w:val="single" w:color="auto" w:sz="6" w:space="0"/>
              <w:bottom w:val="single" w:color="auto" w:sz="8"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重点保护野生动物</w:t>
            </w:r>
          </w:p>
        </w:tc>
        <w:tc>
          <w:tcPr>
            <w:tcW w:w="150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国家Ⅱ级保护野生动物</w:t>
            </w:r>
          </w:p>
        </w:tc>
        <w:tc>
          <w:tcPr>
            <w:tcW w:w="776"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国家级</w:t>
            </w:r>
          </w:p>
        </w:tc>
        <w:tc>
          <w:tcPr>
            <w:tcW w:w="403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胭脂鱼、岩原鲤等水生动物及普通鵟、游隼等陆生动物。</w:t>
            </w:r>
          </w:p>
        </w:tc>
        <w:tc>
          <w:tcPr>
            <w:tcW w:w="4293" w:type="dxa"/>
            <w:tcBorders>
              <w:top w:val="single" w:color="auto" w:sz="6" w:space="0"/>
              <w:left w:val="single" w:color="auto" w:sz="6" w:space="0"/>
              <w:bottom w:val="single" w:color="auto" w:sz="6" w:space="0"/>
              <w:right w:val="single" w:color="auto" w:sz="6" w:space="0"/>
            </w:tcBorders>
            <w:tcMar>
              <w:top w:w="0" w:type="dxa"/>
              <w:left w:w="28" w:type="dxa"/>
              <w:bottom w:w="0" w:type="dxa"/>
              <w:right w:w="28" w:type="dxa"/>
            </w:tcMar>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评价区分布。</w:t>
            </w:r>
          </w:p>
        </w:tc>
        <w:tc>
          <w:tcPr>
            <w:tcW w:w="194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b w:val="0"/>
                <w:bCs/>
                <w:color w:val="auto"/>
                <w:sz w:val="22"/>
                <w:szCs w:val="22"/>
                <w:highlight w:val="none"/>
              </w:rPr>
            </w:pPr>
            <w:r>
              <w:rPr>
                <w:b w:val="0"/>
                <w:bCs/>
                <w:color w:val="auto"/>
                <w:sz w:val="22"/>
                <w:szCs w:val="22"/>
                <w:highlight w:val="none"/>
              </w:rPr>
              <w:t>施工、船舶运输影响</w:t>
            </w:r>
          </w:p>
        </w:tc>
        <w:tc>
          <w:tcPr>
            <w:tcW w:w="1051" w:type="dxa"/>
            <w:tcBorders>
              <w:top w:val="single" w:color="auto" w:sz="6" w:space="0"/>
              <w:left w:val="single" w:color="auto" w:sz="6" w:space="0"/>
              <w:bottom w:val="single" w:color="auto" w:sz="6" w:space="0"/>
              <w:right w:val="single" w:color="auto" w:sz="8" w:space="0"/>
            </w:tcBorders>
            <w:vAlign w:val="center"/>
          </w:tcPr>
          <w:p>
            <w:pPr>
              <w:pStyle w:val="6"/>
              <w:numPr>
                <w:ilvl w:val="3"/>
                <w:numId w:val="0"/>
              </w:numPr>
              <w:adjustRightInd w:val="0"/>
              <w:snapToGrid w:val="0"/>
              <w:spacing w:line="240" w:lineRule="auto"/>
              <w:jc w:val="center"/>
              <w:rPr>
                <w:rFonts w:eastAsia="宋体"/>
                <w:color w:val="auto"/>
                <w:sz w:val="22"/>
                <w:szCs w:val="22"/>
                <w:highlight w:val="none"/>
              </w:rPr>
            </w:pPr>
            <w:r>
              <w:rPr>
                <w:rFonts w:eastAsia="宋体"/>
                <w:color w:val="auto"/>
                <w:sz w:val="22"/>
                <w:szCs w:val="22"/>
                <w:highlight w:val="none"/>
              </w:rPr>
              <w:t>施工期</w:t>
            </w:r>
          </w:p>
          <w:p>
            <w:pPr>
              <w:pStyle w:val="6"/>
              <w:numPr>
                <w:ilvl w:val="3"/>
                <w:numId w:val="0"/>
              </w:numPr>
              <w:adjustRightInd w:val="0"/>
              <w:snapToGrid w:val="0"/>
              <w:spacing w:line="240" w:lineRule="auto"/>
              <w:jc w:val="center"/>
              <w:rPr>
                <w:rFonts w:eastAsia="宋体"/>
                <w:color w:val="auto"/>
                <w:sz w:val="22"/>
                <w:szCs w:val="22"/>
                <w:highlight w:val="none"/>
              </w:rPr>
            </w:pPr>
            <w:r>
              <w:rPr>
                <w:rFonts w:eastAsia="宋体"/>
                <w:color w:val="auto"/>
                <w:sz w:val="22"/>
                <w:szCs w:val="22"/>
                <w:highlight w:val="none"/>
              </w:rPr>
              <w:t>运营期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jc w:val="center"/>
        </w:trPr>
        <w:tc>
          <w:tcPr>
            <w:tcW w:w="625" w:type="dxa"/>
            <w:vMerge w:val="continue"/>
            <w:tcBorders>
              <w:top w:val="single" w:color="auto" w:sz="6" w:space="0"/>
              <w:left w:val="single" w:color="auto" w:sz="6" w:space="0"/>
              <w:bottom w:val="single" w:color="auto" w:sz="8" w:space="0"/>
              <w:right w:val="single" w:color="auto" w:sz="6" w:space="0"/>
            </w:tcBorders>
            <w:vAlign w:val="center"/>
          </w:tcPr>
          <w:p>
            <w:pPr>
              <w:widowControl/>
              <w:adjustRightInd w:val="0"/>
              <w:snapToGrid w:val="0"/>
              <w:spacing w:line="240" w:lineRule="auto"/>
              <w:ind w:firstLine="0" w:firstLineChars="0"/>
              <w:jc w:val="center"/>
              <w:rPr>
                <w:color w:val="auto"/>
                <w:sz w:val="22"/>
                <w:szCs w:val="22"/>
                <w:highlight w:val="none"/>
              </w:rPr>
            </w:pPr>
          </w:p>
        </w:tc>
        <w:tc>
          <w:tcPr>
            <w:tcW w:w="150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长江上游特有鱼类</w:t>
            </w:r>
          </w:p>
        </w:tc>
        <w:tc>
          <w:tcPr>
            <w:tcW w:w="776"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w:t>
            </w:r>
          </w:p>
        </w:tc>
        <w:tc>
          <w:tcPr>
            <w:tcW w:w="403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张氏䱗、黑尾近红鲌、厚颌鲂、高体近红鲌、半䱗、岩原鲤、伦氏孟加拉鲮、宽体沙鳅、短臀近红鲌、宽口光唇鱼等鱼类。</w:t>
            </w:r>
          </w:p>
        </w:tc>
        <w:tc>
          <w:tcPr>
            <w:tcW w:w="4293" w:type="dxa"/>
            <w:tcBorders>
              <w:top w:val="single" w:color="auto" w:sz="6" w:space="0"/>
              <w:left w:val="single" w:color="auto" w:sz="6" w:space="0"/>
              <w:bottom w:val="single" w:color="auto" w:sz="6" w:space="0"/>
              <w:right w:val="single" w:color="auto" w:sz="6" w:space="0"/>
            </w:tcBorders>
            <w:tcMar>
              <w:top w:w="0" w:type="dxa"/>
              <w:left w:w="28" w:type="dxa"/>
              <w:bottom w:w="0" w:type="dxa"/>
              <w:right w:w="28" w:type="dxa"/>
            </w:tcMar>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评价区分布。</w:t>
            </w:r>
          </w:p>
        </w:tc>
        <w:tc>
          <w:tcPr>
            <w:tcW w:w="194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b w:val="0"/>
                <w:bCs/>
                <w:color w:val="auto"/>
                <w:sz w:val="22"/>
                <w:szCs w:val="22"/>
                <w:highlight w:val="none"/>
              </w:rPr>
            </w:pPr>
            <w:r>
              <w:rPr>
                <w:b w:val="0"/>
                <w:bCs/>
                <w:color w:val="auto"/>
                <w:sz w:val="22"/>
                <w:szCs w:val="22"/>
                <w:highlight w:val="none"/>
              </w:rPr>
              <w:t>施工、船舶运输影响</w:t>
            </w:r>
          </w:p>
        </w:tc>
        <w:tc>
          <w:tcPr>
            <w:tcW w:w="1051" w:type="dxa"/>
            <w:tcBorders>
              <w:top w:val="single" w:color="auto" w:sz="6" w:space="0"/>
              <w:left w:val="single" w:color="auto" w:sz="6" w:space="0"/>
              <w:bottom w:val="single" w:color="auto" w:sz="6" w:space="0"/>
              <w:right w:val="single" w:color="auto" w:sz="8" w:space="0"/>
            </w:tcBorders>
            <w:vAlign w:val="center"/>
          </w:tcPr>
          <w:p>
            <w:pPr>
              <w:pStyle w:val="6"/>
              <w:numPr>
                <w:ilvl w:val="3"/>
                <w:numId w:val="0"/>
              </w:numPr>
              <w:adjustRightInd w:val="0"/>
              <w:snapToGrid w:val="0"/>
              <w:spacing w:line="240" w:lineRule="auto"/>
              <w:jc w:val="center"/>
              <w:rPr>
                <w:rFonts w:eastAsia="宋体"/>
                <w:color w:val="auto"/>
                <w:sz w:val="22"/>
                <w:szCs w:val="22"/>
                <w:highlight w:val="none"/>
              </w:rPr>
            </w:pPr>
            <w:r>
              <w:rPr>
                <w:rFonts w:eastAsia="宋体"/>
                <w:color w:val="auto"/>
                <w:sz w:val="22"/>
                <w:szCs w:val="22"/>
                <w:highlight w:val="none"/>
              </w:rPr>
              <w:t>施工期</w:t>
            </w:r>
          </w:p>
          <w:p>
            <w:pPr>
              <w:pStyle w:val="6"/>
              <w:numPr>
                <w:ilvl w:val="3"/>
                <w:numId w:val="0"/>
              </w:numPr>
              <w:adjustRightInd w:val="0"/>
              <w:snapToGrid w:val="0"/>
              <w:spacing w:line="240" w:lineRule="auto"/>
              <w:jc w:val="center"/>
              <w:rPr>
                <w:rFonts w:eastAsia="宋体"/>
                <w:color w:val="auto"/>
                <w:sz w:val="22"/>
                <w:szCs w:val="22"/>
                <w:highlight w:val="none"/>
              </w:rPr>
            </w:pPr>
            <w:r>
              <w:rPr>
                <w:rFonts w:eastAsia="宋体"/>
                <w:color w:val="auto"/>
                <w:sz w:val="22"/>
                <w:szCs w:val="22"/>
                <w:highlight w:val="none"/>
              </w:rPr>
              <w:t>运营期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jc w:val="center"/>
        </w:trPr>
        <w:tc>
          <w:tcPr>
            <w:tcW w:w="625" w:type="dxa"/>
            <w:vMerge w:val="continue"/>
            <w:tcBorders>
              <w:top w:val="single" w:color="auto" w:sz="6" w:space="0"/>
              <w:left w:val="single" w:color="auto" w:sz="6" w:space="0"/>
              <w:bottom w:val="single" w:color="auto" w:sz="8" w:space="0"/>
              <w:right w:val="single" w:color="auto" w:sz="6" w:space="0"/>
            </w:tcBorders>
            <w:vAlign w:val="center"/>
          </w:tcPr>
          <w:p>
            <w:pPr>
              <w:widowControl/>
              <w:adjustRightInd w:val="0"/>
              <w:snapToGrid w:val="0"/>
              <w:spacing w:line="240" w:lineRule="auto"/>
              <w:ind w:firstLine="0" w:firstLineChars="0"/>
              <w:jc w:val="center"/>
              <w:rPr>
                <w:color w:val="auto"/>
                <w:sz w:val="22"/>
                <w:szCs w:val="22"/>
                <w:highlight w:val="none"/>
              </w:rPr>
            </w:pPr>
          </w:p>
        </w:tc>
        <w:tc>
          <w:tcPr>
            <w:tcW w:w="150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重庆市重点保护野生动物</w:t>
            </w:r>
          </w:p>
        </w:tc>
        <w:tc>
          <w:tcPr>
            <w:tcW w:w="776"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市级</w:t>
            </w:r>
          </w:p>
        </w:tc>
        <w:tc>
          <w:tcPr>
            <w:tcW w:w="403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黑眉锦蛇、乌梢蛇、小</w:t>
            </w:r>
            <w:r>
              <w:rPr>
                <w:rFonts w:hint="eastAsia"/>
                <w:color w:val="auto"/>
                <w:sz w:val="22"/>
                <w:szCs w:val="22"/>
                <w:highlight w:val="none"/>
                <w:shd w:val="clear" w:fill="FFFFFF"/>
                <w:lang w:eastAsia="zh-CN"/>
              </w:rPr>
              <w:t>䴙䴘</w:t>
            </w:r>
            <w:r>
              <w:rPr>
                <w:color w:val="auto"/>
                <w:sz w:val="22"/>
                <w:szCs w:val="22"/>
                <w:highlight w:val="none"/>
              </w:rPr>
              <w:t>、普通鸬鹚、灰胸竹鸡、四声杜鹃、黄鼬等陆生动物。</w:t>
            </w:r>
          </w:p>
        </w:tc>
        <w:tc>
          <w:tcPr>
            <w:tcW w:w="4293" w:type="dxa"/>
            <w:tcBorders>
              <w:top w:val="single" w:color="auto" w:sz="6" w:space="0"/>
              <w:left w:val="single" w:color="auto" w:sz="6" w:space="0"/>
              <w:bottom w:val="single" w:color="auto" w:sz="6" w:space="0"/>
              <w:right w:val="single" w:color="auto" w:sz="6" w:space="0"/>
            </w:tcBorders>
            <w:tcMar>
              <w:top w:w="0" w:type="dxa"/>
              <w:left w:w="28" w:type="dxa"/>
              <w:bottom w:w="0" w:type="dxa"/>
              <w:right w:w="28" w:type="dxa"/>
            </w:tcMar>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评价区分布。</w:t>
            </w:r>
          </w:p>
        </w:tc>
        <w:tc>
          <w:tcPr>
            <w:tcW w:w="194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b w:val="0"/>
                <w:bCs/>
                <w:color w:val="auto"/>
                <w:sz w:val="22"/>
                <w:szCs w:val="22"/>
                <w:highlight w:val="none"/>
              </w:rPr>
            </w:pPr>
            <w:r>
              <w:rPr>
                <w:b w:val="0"/>
                <w:bCs/>
                <w:color w:val="auto"/>
                <w:sz w:val="22"/>
                <w:szCs w:val="22"/>
                <w:highlight w:val="none"/>
              </w:rPr>
              <w:t>施工、船舶运输影响</w:t>
            </w:r>
          </w:p>
        </w:tc>
        <w:tc>
          <w:tcPr>
            <w:tcW w:w="1051" w:type="dxa"/>
            <w:tcBorders>
              <w:top w:val="single" w:color="auto" w:sz="6" w:space="0"/>
              <w:left w:val="single" w:color="auto" w:sz="6" w:space="0"/>
              <w:bottom w:val="single" w:color="auto" w:sz="6" w:space="0"/>
              <w:right w:val="single" w:color="auto" w:sz="8" w:space="0"/>
            </w:tcBorders>
            <w:vAlign w:val="center"/>
          </w:tcPr>
          <w:p>
            <w:pPr>
              <w:pStyle w:val="6"/>
              <w:numPr>
                <w:ilvl w:val="3"/>
                <w:numId w:val="0"/>
              </w:numPr>
              <w:adjustRightInd w:val="0"/>
              <w:snapToGrid w:val="0"/>
              <w:spacing w:line="240" w:lineRule="auto"/>
              <w:jc w:val="center"/>
              <w:rPr>
                <w:rFonts w:eastAsia="宋体"/>
                <w:color w:val="auto"/>
                <w:sz w:val="22"/>
                <w:szCs w:val="22"/>
                <w:highlight w:val="none"/>
              </w:rPr>
            </w:pPr>
            <w:r>
              <w:rPr>
                <w:rFonts w:eastAsia="宋体"/>
                <w:color w:val="auto"/>
                <w:sz w:val="22"/>
                <w:szCs w:val="22"/>
                <w:highlight w:val="none"/>
              </w:rPr>
              <w:t>施工期</w:t>
            </w:r>
          </w:p>
          <w:p>
            <w:pPr>
              <w:pStyle w:val="6"/>
              <w:numPr>
                <w:ilvl w:val="3"/>
                <w:numId w:val="0"/>
              </w:numPr>
              <w:adjustRightInd w:val="0"/>
              <w:snapToGrid w:val="0"/>
              <w:spacing w:line="240" w:lineRule="auto"/>
              <w:jc w:val="center"/>
              <w:rPr>
                <w:rFonts w:eastAsia="宋体"/>
                <w:color w:val="auto"/>
                <w:sz w:val="22"/>
                <w:szCs w:val="22"/>
                <w:highlight w:val="none"/>
              </w:rPr>
            </w:pPr>
            <w:r>
              <w:rPr>
                <w:rFonts w:eastAsia="宋体"/>
                <w:color w:val="auto"/>
                <w:sz w:val="22"/>
                <w:szCs w:val="22"/>
                <w:highlight w:val="none"/>
              </w:rPr>
              <w:t>运营期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jc w:val="center"/>
        </w:trPr>
        <w:tc>
          <w:tcPr>
            <w:tcW w:w="625" w:type="dxa"/>
            <w:vMerge w:val="continue"/>
            <w:tcBorders>
              <w:top w:val="single" w:color="auto" w:sz="6" w:space="0"/>
              <w:left w:val="single" w:color="auto" w:sz="6" w:space="0"/>
              <w:bottom w:val="single" w:color="auto" w:sz="8" w:space="0"/>
              <w:right w:val="single" w:color="auto" w:sz="6" w:space="0"/>
            </w:tcBorders>
            <w:vAlign w:val="center"/>
          </w:tcPr>
          <w:p>
            <w:pPr>
              <w:widowControl/>
              <w:adjustRightInd w:val="0"/>
              <w:snapToGrid w:val="0"/>
              <w:spacing w:line="240" w:lineRule="auto"/>
              <w:ind w:firstLine="0" w:firstLineChars="0"/>
              <w:jc w:val="center"/>
              <w:rPr>
                <w:color w:val="auto"/>
                <w:sz w:val="22"/>
                <w:szCs w:val="22"/>
                <w:highlight w:val="none"/>
              </w:rPr>
            </w:pPr>
          </w:p>
        </w:tc>
        <w:tc>
          <w:tcPr>
            <w:tcW w:w="150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极危、濒危、易危物种</w:t>
            </w:r>
          </w:p>
        </w:tc>
        <w:tc>
          <w:tcPr>
            <w:tcW w:w="776"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w:t>
            </w:r>
          </w:p>
        </w:tc>
        <w:tc>
          <w:tcPr>
            <w:tcW w:w="403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极危：胭脂鱼、云南鲴</w:t>
            </w:r>
          </w:p>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易危：岩原鲤</w:t>
            </w:r>
          </w:p>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特有种：胭脂鱼、厚颌鲂、岩原鲤等。</w:t>
            </w:r>
          </w:p>
        </w:tc>
        <w:tc>
          <w:tcPr>
            <w:tcW w:w="4293" w:type="dxa"/>
            <w:tcBorders>
              <w:top w:val="single" w:color="auto" w:sz="6" w:space="0"/>
              <w:left w:val="single" w:color="auto" w:sz="6" w:space="0"/>
              <w:bottom w:val="single" w:color="auto" w:sz="6" w:space="0"/>
              <w:right w:val="single" w:color="auto" w:sz="6" w:space="0"/>
            </w:tcBorders>
            <w:tcMar>
              <w:top w:w="0" w:type="dxa"/>
              <w:left w:w="28" w:type="dxa"/>
              <w:bottom w:w="0" w:type="dxa"/>
              <w:right w:w="28" w:type="dxa"/>
            </w:tcMar>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评价区分布。</w:t>
            </w:r>
          </w:p>
        </w:tc>
        <w:tc>
          <w:tcPr>
            <w:tcW w:w="194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b w:val="0"/>
                <w:bCs/>
                <w:color w:val="auto"/>
                <w:sz w:val="22"/>
                <w:szCs w:val="22"/>
                <w:highlight w:val="none"/>
              </w:rPr>
            </w:pPr>
            <w:r>
              <w:rPr>
                <w:b w:val="0"/>
                <w:bCs/>
                <w:color w:val="auto"/>
                <w:sz w:val="22"/>
                <w:szCs w:val="22"/>
                <w:highlight w:val="none"/>
              </w:rPr>
              <w:t>施工、船舶运输影响</w:t>
            </w:r>
          </w:p>
        </w:tc>
        <w:tc>
          <w:tcPr>
            <w:tcW w:w="1051" w:type="dxa"/>
            <w:tcBorders>
              <w:top w:val="single" w:color="auto" w:sz="6" w:space="0"/>
              <w:left w:val="single" w:color="auto" w:sz="6" w:space="0"/>
              <w:bottom w:val="single" w:color="auto" w:sz="6" w:space="0"/>
              <w:right w:val="single" w:color="auto" w:sz="8" w:space="0"/>
            </w:tcBorders>
            <w:vAlign w:val="center"/>
          </w:tcPr>
          <w:p>
            <w:pPr>
              <w:pStyle w:val="6"/>
              <w:numPr>
                <w:ilvl w:val="3"/>
                <w:numId w:val="0"/>
              </w:numPr>
              <w:adjustRightInd w:val="0"/>
              <w:snapToGrid w:val="0"/>
              <w:spacing w:line="240" w:lineRule="auto"/>
              <w:jc w:val="center"/>
              <w:rPr>
                <w:rFonts w:eastAsia="宋体"/>
                <w:color w:val="auto"/>
                <w:sz w:val="22"/>
                <w:szCs w:val="22"/>
                <w:highlight w:val="none"/>
              </w:rPr>
            </w:pPr>
            <w:r>
              <w:rPr>
                <w:rFonts w:eastAsia="宋体"/>
                <w:color w:val="auto"/>
                <w:sz w:val="22"/>
                <w:szCs w:val="22"/>
                <w:highlight w:val="none"/>
              </w:rPr>
              <w:t>施工期</w:t>
            </w:r>
          </w:p>
          <w:p>
            <w:pPr>
              <w:pStyle w:val="6"/>
              <w:numPr>
                <w:ilvl w:val="3"/>
                <w:numId w:val="0"/>
              </w:numPr>
              <w:adjustRightInd w:val="0"/>
              <w:snapToGrid w:val="0"/>
              <w:spacing w:line="240" w:lineRule="auto"/>
              <w:jc w:val="center"/>
              <w:rPr>
                <w:rFonts w:eastAsia="宋体"/>
                <w:color w:val="auto"/>
                <w:sz w:val="22"/>
                <w:szCs w:val="22"/>
                <w:highlight w:val="none"/>
              </w:rPr>
            </w:pPr>
            <w:r>
              <w:rPr>
                <w:rFonts w:eastAsia="宋体"/>
                <w:color w:val="auto"/>
                <w:sz w:val="22"/>
                <w:szCs w:val="22"/>
                <w:highlight w:val="none"/>
              </w:rPr>
              <w:t>运营期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90" w:hRule="atLeast"/>
          <w:jc w:val="center"/>
        </w:trPr>
        <w:tc>
          <w:tcPr>
            <w:tcW w:w="625" w:type="dxa"/>
            <w:vMerge w:val="restart"/>
            <w:tcBorders>
              <w:top w:val="single" w:color="auto" w:sz="8" w:space="0"/>
              <w:left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重要</w:t>
            </w:r>
          </w:p>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生境</w:t>
            </w:r>
          </w:p>
        </w:tc>
        <w:tc>
          <w:tcPr>
            <w:tcW w:w="1500"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default"/>
                <w:color w:val="auto"/>
                <w:sz w:val="22"/>
                <w:szCs w:val="22"/>
                <w:highlight w:val="none"/>
              </w:rPr>
              <w:t>产卵场</w:t>
            </w:r>
          </w:p>
        </w:tc>
        <w:tc>
          <w:tcPr>
            <w:tcW w:w="776"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default"/>
                <w:color w:val="auto"/>
                <w:sz w:val="22"/>
                <w:szCs w:val="22"/>
                <w:highlight w:val="none"/>
              </w:rPr>
              <w:t>/</w:t>
            </w:r>
          </w:p>
        </w:tc>
        <w:tc>
          <w:tcPr>
            <w:tcW w:w="4030"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评价区分布1处产卵场（安居电站坝下产卵场），该</w:t>
            </w:r>
            <w:r>
              <w:rPr>
                <w:rFonts w:hint="default"/>
                <w:color w:val="auto"/>
                <w:sz w:val="22"/>
                <w:szCs w:val="22"/>
                <w:highlight w:val="none"/>
              </w:rPr>
              <w:t>产卵场主要产卵鱼类为鲤、鲫、鲶等。</w:t>
            </w:r>
          </w:p>
        </w:tc>
        <w:tc>
          <w:tcPr>
            <w:tcW w:w="4293" w:type="dxa"/>
            <w:tcBorders>
              <w:top w:val="single" w:color="auto" w:sz="6" w:space="0"/>
              <w:left w:val="single" w:color="auto" w:sz="6" w:space="0"/>
              <w:bottom w:val="single" w:color="auto" w:sz="6" w:space="0"/>
              <w:right w:val="single" w:color="auto" w:sz="6" w:space="0"/>
            </w:tcBorders>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default"/>
                <w:color w:val="auto"/>
                <w:sz w:val="22"/>
                <w:szCs w:val="22"/>
                <w:highlight w:val="none"/>
              </w:rPr>
              <w:t>本项目不直接占用鱼类产卵场，</w:t>
            </w:r>
            <w:r>
              <w:rPr>
                <w:rFonts w:hint="eastAsia"/>
                <w:color w:val="auto"/>
                <w:sz w:val="22"/>
                <w:szCs w:val="22"/>
                <w:highlight w:val="none"/>
                <w:lang w:val="en-US" w:eastAsia="zh-CN"/>
              </w:rPr>
              <w:t>安居电站坝下</w:t>
            </w:r>
            <w:r>
              <w:rPr>
                <w:rFonts w:hint="default"/>
                <w:color w:val="auto"/>
                <w:sz w:val="22"/>
                <w:szCs w:val="22"/>
                <w:highlight w:val="none"/>
              </w:rPr>
              <w:t>产卵场</w:t>
            </w:r>
            <w:r>
              <w:rPr>
                <w:rFonts w:hint="eastAsia"/>
                <w:color w:val="auto"/>
                <w:sz w:val="22"/>
                <w:szCs w:val="22"/>
                <w:highlight w:val="none"/>
                <w:lang w:val="en-US" w:eastAsia="zh-CN"/>
              </w:rPr>
              <w:t>位于项目上游约13.6km。</w:t>
            </w:r>
          </w:p>
        </w:tc>
        <w:tc>
          <w:tcPr>
            <w:tcW w:w="194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rFonts w:ascii="Times New Roman" w:hAnsi="Times New Roman" w:eastAsia="宋体" w:cs="Times New Roman"/>
                <w:b w:val="0"/>
                <w:bCs/>
                <w:color w:val="auto"/>
                <w:kern w:val="2"/>
                <w:sz w:val="22"/>
                <w:szCs w:val="22"/>
                <w:highlight w:val="none"/>
                <w:lang w:val="en-US" w:eastAsia="zh-CN" w:bidi="ar-SA"/>
              </w:rPr>
            </w:pPr>
            <w:r>
              <w:rPr>
                <w:b w:val="0"/>
                <w:bCs/>
                <w:color w:val="auto"/>
                <w:sz w:val="22"/>
                <w:szCs w:val="22"/>
                <w:highlight w:val="none"/>
              </w:rPr>
              <w:t>施工、船舶运输影响</w:t>
            </w:r>
          </w:p>
        </w:tc>
        <w:tc>
          <w:tcPr>
            <w:tcW w:w="1051" w:type="dxa"/>
            <w:tcBorders>
              <w:top w:val="single" w:color="auto" w:sz="6" w:space="0"/>
              <w:left w:val="single" w:color="auto" w:sz="6" w:space="0"/>
              <w:bottom w:val="single" w:color="auto" w:sz="6" w:space="0"/>
              <w:right w:val="single" w:color="auto" w:sz="8" w:space="0"/>
            </w:tcBorders>
            <w:vAlign w:val="center"/>
          </w:tcPr>
          <w:p>
            <w:pPr>
              <w:adjustRightInd w:val="0"/>
              <w:snapToGrid w:val="0"/>
              <w:spacing w:line="240" w:lineRule="auto"/>
              <w:ind w:firstLine="0" w:firstLineChars="0"/>
              <w:jc w:val="center"/>
              <w:rPr>
                <w:b/>
                <w:bCs/>
                <w:color w:val="auto"/>
                <w:sz w:val="22"/>
                <w:szCs w:val="22"/>
                <w:highlight w:val="none"/>
              </w:rPr>
            </w:pPr>
            <w:r>
              <w:rPr>
                <w:b/>
                <w:bCs/>
                <w:color w:val="auto"/>
                <w:sz w:val="22"/>
                <w:szCs w:val="22"/>
                <w:highlight w:val="none"/>
              </w:rPr>
              <w:t>施工期</w:t>
            </w:r>
          </w:p>
          <w:p>
            <w:pPr>
              <w:adjustRightInd w:val="0"/>
              <w:snapToGrid w:val="0"/>
              <w:spacing w:line="240" w:lineRule="auto"/>
              <w:ind w:firstLine="0" w:firstLineChars="0"/>
              <w:jc w:val="center"/>
              <w:rPr>
                <w:rFonts w:ascii="Times New Roman" w:hAnsi="Times New Roman" w:eastAsia="宋体" w:cs="Times New Roman"/>
                <w:b/>
                <w:bCs/>
                <w:color w:val="auto"/>
                <w:kern w:val="2"/>
                <w:sz w:val="22"/>
                <w:szCs w:val="22"/>
                <w:highlight w:val="none"/>
                <w:lang w:val="en-US" w:eastAsia="zh-CN" w:bidi="ar-SA"/>
              </w:rPr>
            </w:pPr>
            <w:r>
              <w:rPr>
                <w:b/>
                <w:bCs/>
                <w:color w:val="auto"/>
                <w:sz w:val="22"/>
                <w:szCs w:val="22"/>
                <w:highlight w:val="none"/>
              </w:rPr>
              <w:t>运营期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90" w:hRule="atLeast"/>
          <w:jc w:val="center"/>
        </w:trPr>
        <w:tc>
          <w:tcPr>
            <w:tcW w:w="625" w:type="dxa"/>
            <w:vMerge w:val="continue"/>
            <w:tcBorders>
              <w:left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p>
        </w:tc>
        <w:tc>
          <w:tcPr>
            <w:tcW w:w="1500"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default"/>
                <w:color w:val="auto"/>
                <w:sz w:val="22"/>
                <w:szCs w:val="22"/>
                <w:highlight w:val="none"/>
              </w:rPr>
              <w:t>索饵场</w:t>
            </w:r>
          </w:p>
        </w:tc>
        <w:tc>
          <w:tcPr>
            <w:tcW w:w="776"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default"/>
                <w:color w:val="auto"/>
                <w:sz w:val="22"/>
                <w:szCs w:val="22"/>
                <w:highlight w:val="none"/>
              </w:rPr>
              <w:t>/</w:t>
            </w:r>
          </w:p>
        </w:tc>
        <w:tc>
          <w:tcPr>
            <w:tcW w:w="4030"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评价区分布3处索饵场，分别为</w:t>
            </w:r>
            <w:r>
              <w:rPr>
                <w:rFonts w:hint="default"/>
                <w:color w:val="auto"/>
                <w:sz w:val="22"/>
                <w:szCs w:val="22"/>
                <w:highlight w:val="none"/>
              </w:rPr>
              <w:t>琼江汇合口</w:t>
            </w:r>
            <w:r>
              <w:rPr>
                <w:rFonts w:hint="eastAsia"/>
                <w:color w:val="auto"/>
                <w:sz w:val="22"/>
                <w:szCs w:val="22"/>
                <w:highlight w:val="none"/>
                <w:lang w:eastAsia="zh-CN"/>
              </w:rPr>
              <w:t>、</w:t>
            </w:r>
            <w:r>
              <w:rPr>
                <w:rFonts w:hint="eastAsia"/>
                <w:color w:val="auto"/>
                <w:sz w:val="22"/>
                <w:szCs w:val="22"/>
                <w:highlight w:val="none"/>
                <w:lang w:val="en-US" w:eastAsia="zh-CN"/>
              </w:rPr>
              <w:t>安居电站下游索饵场和白羊河口索饵场。</w:t>
            </w:r>
          </w:p>
        </w:tc>
        <w:tc>
          <w:tcPr>
            <w:tcW w:w="4293" w:type="dxa"/>
            <w:tcBorders>
              <w:top w:val="single" w:color="auto" w:sz="6" w:space="0"/>
              <w:left w:val="single" w:color="auto" w:sz="6" w:space="0"/>
              <w:bottom w:val="single" w:color="auto" w:sz="6" w:space="0"/>
              <w:right w:val="single" w:color="auto" w:sz="6" w:space="0"/>
            </w:tcBorders>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default"/>
                <w:color w:val="auto"/>
                <w:sz w:val="22"/>
                <w:szCs w:val="22"/>
                <w:highlight w:val="none"/>
              </w:rPr>
              <w:t>本项目不直接占用鱼类索饵场，</w:t>
            </w:r>
            <w:r>
              <w:rPr>
                <w:rFonts w:hint="eastAsia"/>
                <w:color w:val="auto"/>
                <w:sz w:val="22"/>
                <w:szCs w:val="22"/>
                <w:highlight w:val="none"/>
                <w:lang w:val="en-US" w:eastAsia="zh-CN"/>
              </w:rPr>
              <w:t>分别位于项目上游14.1km、12.8km和5.8km。</w:t>
            </w:r>
          </w:p>
        </w:tc>
        <w:tc>
          <w:tcPr>
            <w:tcW w:w="194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rFonts w:ascii="Times New Roman" w:hAnsi="Times New Roman" w:eastAsia="宋体" w:cs="Times New Roman"/>
                <w:b w:val="0"/>
                <w:bCs/>
                <w:color w:val="auto"/>
                <w:kern w:val="2"/>
                <w:sz w:val="22"/>
                <w:szCs w:val="22"/>
                <w:highlight w:val="none"/>
                <w:lang w:val="en-US" w:eastAsia="zh-CN" w:bidi="ar-SA"/>
              </w:rPr>
            </w:pPr>
            <w:r>
              <w:rPr>
                <w:b w:val="0"/>
                <w:bCs/>
                <w:color w:val="auto"/>
                <w:sz w:val="22"/>
                <w:szCs w:val="22"/>
                <w:highlight w:val="none"/>
              </w:rPr>
              <w:t>施工、船舶运输影响</w:t>
            </w:r>
          </w:p>
        </w:tc>
        <w:tc>
          <w:tcPr>
            <w:tcW w:w="1051" w:type="dxa"/>
            <w:tcBorders>
              <w:top w:val="single" w:color="auto" w:sz="6" w:space="0"/>
              <w:left w:val="single" w:color="auto" w:sz="6" w:space="0"/>
              <w:bottom w:val="single" w:color="auto" w:sz="6" w:space="0"/>
              <w:right w:val="single" w:color="auto" w:sz="8" w:space="0"/>
            </w:tcBorders>
            <w:vAlign w:val="center"/>
          </w:tcPr>
          <w:p>
            <w:pPr>
              <w:adjustRightInd w:val="0"/>
              <w:snapToGrid w:val="0"/>
              <w:spacing w:line="240" w:lineRule="auto"/>
              <w:ind w:firstLine="0" w:firstLineChars="0"/>
              <w:jc w:val="center"/>
              <w:rPr>
                <w:b/>
                <w:bCs/>
                <w:color w:val="auto"/>
                <w:sz w:val="22"/>
                <w:szCs w:val="22"/>
                <w:highlight w:val="none"/>
              </w:rPr>
            </w:pPr>
            <w:r>
              <w:rPr>
                <w:b/>
                <w:bCs/>
                <w:color w:val="auto"/>
                <w:sz w:val="22"/>
                <w:szCs w:val="22"/>
                <w:highlight w:val="none"/>
              </w:rPr>
              <w:t>施工期</w:t>
            </w:r>
          </w:p>
          <w:p>
            <w:pPr>
              <w:adjustRightInd w:val="0"/>
              <w:snapToGrid w:val="0"/>
              <w:spacing w:line="240" w:lineRule="auto"/>
              <w:ind w:firstLine="0" w:firstLineChars="0"/>
              <w:jc w:val="center"/>
              <w:rPr>
                <w:rFonts w:ascii="Times New Roman" w:hAnsi="Times New Roman" w:eastAsia="宋体" w:cs="Times New Roman"/>
                <w:b/>
                <w:bCs/>
                <w:color w:val="auto"/>
                <w:kern w:val="2"/>
                <w:sz w:val="22"/>
                <w:szCs w:val="22"/>
                <w:highlight w:val="none"/>
                <w:lang w:val="en-US" w:eastAsia="zh-CN" w:bidi="ar-SA"/>
              </w:rPr>
            </w:pPr>
            <w:r>
              <w:rPr>
                <w:b/>
                <w:bCs/>
                <w:color w:val="auto"/>
                <w:sz w:val="22"/>
                <w:szCs w:val="22"/>
                <w:highlight w:val="none"/>
              </w:rPr>
              <w:t>运营期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90" w:hRule="atLeast"/>
          <w:jc w:val="center"/>
        </w:trPr>
        <w:tc>
          <w:tcPr>
            <w:tcW w:w="625" w:type="dxa"/>
            <w:vMerge w:val="continue"/>
            <w:tcBorders>
              <w:left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p>
        </w:tc>
        <w:tc>
          <w:tcPr>
            <w:tcW w:w="1500"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default"/>
                <w:color w:val="auto"/>
                <w:sz w:val="22"/>
                <w:szCs w:val="22"/>
                <w:highlight w:val="none"/>
              </w:rPr>
              <w:t>越冬场</w:t>
            </w:r>
          </w:p>
        </w:tc>
        <w:tc>
          <w:tcPr>
            <w:tcW w:w="776"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default"/>
                <w:color w:val="auto"/>
                <w:sz w:val="22"/>
                <w:szCs w:val="22"/>
                <w:highlight w:val="none"/>
              </w:rPr>
              <w:t>/</w:t>
            </w:r>
          </w:p>
        </w:tc>
        <w:tc>
          <w:tcPr>
            <w:tcW w:w="4030"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default"/>
                <w:color w:val="auto"/>
                <w:sz w:val="22"/>
                <w:szCs w:val="22"/>
                <w:highlight w:val="none"/>
              </w:rPr>
              <w:t>由于涪江已片段化，整治河段均为库区，但鱼类越冬更易聚集于枢纽上游的深水河槽，</w:t>
            </w:r>
            <w:r>
              <w:rPr>
                <w:rFonts w:hint="eastAsia"/>
                <w:color w:val="auto"/>
                <w:sz w:val="22"/>
                <w:szCs w:val="22"/>
                <w:highlight w:val="none"/>
                <w:lang w:val="en-US" w:eastAsia="zh-CN"/>
              </w:rPr>
              <w:t>评价区分布1处越冬场，</w:t>
            </w:r>
            <w:r>
              <w:rPr>
                <w:rFonts w:hint="default"/>
                <w:color w:val="auto"/>
                <w:sz w:val="22"/>
                <w:szCs w:val="22"/>
                <w:highlight w:val="none"/>
              </w:rPr>
              <w:t>为渭沱库区。</w:t>
            </w:r>
          </w:p>
        </w:tc>
        <w:tc>
          <w:tcPr>
            <w:tcW w:w="4293" w:type="dxa"/>
            <w:tcBorders>
              <w:top w:val="single" w:color="auto" w:sz="6" w:space="0"/>
              <w:left w:val="single" w:color="auto" w:sz="6" w:space="0"/>
              <w:bottom w:val="single" w:color="auto" w:sz="6" w:space="0"/>
              <w:right w:val="single" w:color="auto" w:sz="6" w:space="0"/>
            </w:tcBorders>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default"/>
                <w:color w:val="auto"/>
                <w:sz w:val="22"/>
                <w:szCs w:val="22"/>
                <w:highlight w:val="none"/>
              </w:rPr>
              <w:t>本项目不直接占用鱼类越冬场，</w:t>
            </w:r>
            <w:r>
              <w:rPr>
                <w:rFonts w:hint="eastAsia"/>
                <w:color w:val="auto"/>
                <w:sz w:val="22"/>
                <w:szCs w:val="22"/>
                <w:highlight w:val="none"/>
                <w:lang w:val="en-US" w:eastAsia="zh-CN"/>
              </w:rPr>
              <w:t>距离最近的越冬场为渭沱库区越冬场，与项目疏浚区距离约50m。</w:t>
            </w:r>
          </w:p>
        </w:tc>
        <w:tc>
          <w:tcPr>
            <w:tcW w:w="194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rFonts w:ascii="Times New Roman" w:hAnsi="Times New Roman" w:eastAsia="宋体" w:cs="Times New Roman"/>
                <w:b w:val="0"/>
                <w:bCs/>
                <w:color w:val="auto"/>
                <w:kern w:val="2"/>
                <w:sz w:val="22"/>
                <w:szCs w:val="22"/>
                <w:highlight w:val="none"/>
                <w:lang w:val="en-US" w:eastAsia="zh-CN" w:bidi="ar-SA"/>
              </w:rPr>
            </w:pPr>
            <w:r>
              <w:rPr>
                <w:b w:val="0"/>
                <w:bCs/>
                <w:color w:val="auto"/>
                <w:sz w:val="22"/>
                <w:szCs w:val="22"/>
                <w:highlight w:val="none"/>
              </w:rPr>
              <w:t>施工、船舶运输影响</w:t>
            </w:r>
          </w:p>
        </w:tc>
        <w:tc>
          <w:tcPr>
            <w:tcW w:w="1051" w:type="dxa"/>
            <w:tcBorders>
              <w:top w:val="single" w:color="auto" w:sz="6" w:space="0"/>
              <w:left w:val="single" w:color="auto" w:sz="6" w:space="0"/>
              <w:bottom w:val="single" w:color="auto" w:sz="6" w:space="0"/>
              <w:right w:val="single" w:color="auto" w:sz="8" w:space="0"/>
            </w:tcBorders>
            <w:vAlign w:val="center"/>
          </w:tcPr>
          <w:p>
            <w:pPr>
              <w:adjustRightInd w:val="0"/>
              <w:snapToGrid w:val="0"/>
              <w:spacing w:line="240" w:lineRule="auto"/>
              <w:ind w:firstLine="0" w:firstLineChars="0"/>
              <w:jc w:val="center"/>
              <w:rPr>
                <w:b/>
                <w:bCs/>
                <w:color w:val="auto"/>
                <w:sz w:val="22"/>
                <w:szCs w:val="22"/>
                <w:highlight w:val="none"/>
              </w:rPr>
            </w:pPr>
            <w:r>
              <w:rPr>
                <w:b/>
                <w:bCs/>
                <w:color w:val="auto"/>
                <w:sz w:val="22"/>
                <w:szCs w:val="22"/>
                <w:highlight w:val="none"/>
              </w:rPr>
              <w:t>施工期</w:t>
            </w:r>
          </w:p>
          <w:p>
            <w:pPr>
              <w:adjustRightInd w:val="0"/>
              <w:snapToGrid w:val="0"/>
              <w:spacing w:line="240" w:lineRule="auto"/>
              <w:ind w:firstLine="0" w:firstLineChars="0"/>
              <w:jc w:val="center"/>
              <w:rPr>
                <w:rFonts w:ascii="Times New Roman" w:hAnsi="Times New Roman" w:eastAsia="宋体" w:cs="Times New Roman"/>
                <w:b/>
                <w:bCs/>
                <w:color w:val="auto"/>
                <w:kern w:val="2"/>
                <w:sz w:val="22"/>
                <w:szCs w:val="22"/>
                <w:highlight w:val="none"/>
                <w:lang w:val="en-US" w:eastAsia="zh-CN" w:bidi="ar-SA"/>
              </w:rPr>
            </w:pPr>
            <w:r>
              <w:rPr>
                <w:b/>
                <w:bCs/>
                <w:color w:val="auto"/>
                <w:sz w:val="22"/>
                <w:szCs w:val="22"/>
                <w:highlight w:val="none"/>
              </w:rPr>
              <w:t>运营期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90" w:hRule="atLeast"/>
          <w:jc w:val="center"/>
        </w:trPr>
        <w:tc>
          <w:tcPr>
            <w:tcW w:w="625" w:type="dxa"/>
            <w:vMerge w:val="continue"/>
            <w:tcBorders>
              <w:left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p>
        </w:tc>
        <w:tc>
          <w:tcPr>
            <w:tcW w:w="1500"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default"/>
                <w:color w:val="auto"/>
                <w:sz w:val="22"/>
                <w:szCs w:val="22"/>
                <w:highlight w:val="none"/>
              </w:rPr>
              <w:t>洄游通道</w:t>
            </w:r>
          </w:p>
        </w:tc>
        <w:tc>
          <w:tcPr>
            <w:tcW w:w="776"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default"/>
                <w:color w:val="auto"/>
                <w:sz w:val="22"/>
                <w:szCs w:val="22"/>
                <w:highlight w:val="none"/>
              </w:rPr>
              <w:t>/</w:t>
            </w:r>
          </w:p>
        </w:tc>
        <w:tc>
          <w:tcPr>
            <w:tcW w:w="4030"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default"/>
                <w:color w:val="auto"/>
                <w:sz w:val="22"/>
                <w:szCs w:val="22"/>
                <w:highlight w:val="none"/>
              </w:rPr>
              <w:t>供具有洄游习性的鱼类洄游的通道。</w:t>
            </w:r>
          </w:p>
        </w:tc>
        <w:tc>
          <w:tcPr>
            <w:tcW w:w="4293" w:type="dxa"/>
            <w:tcBorders>
              <w:top w:val="single" w:color="auto" w:sz="6" w:space="0"/>
              <w:left w:val="single" w:color="auto" w:sz="6" w:space="0"/>
              <w:bottom w:val="single" w:color="auto" w:sz="6" w:space="0"/>
              <w:right w:val="single" w:color="auto" w:sz="6" w:space="0"/>
            </w:tcBorders>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default"/>
                <w:color w:val="auto"/>
                <w:sz w:val="22"/>
                <w:szCs w:val="22"/>
                <w:highlight w:val="none"/>
              </w:rPr>
              <w:t>随着涪江水电梯级工程开发及河流渠化的进程，尤其是下游潼南、富金坝、安居和渭沱航电枢纽工程的兴建，阻断了长江干流及嘉陵江鱼类进入涪江繁殖、索饵的通道，涪江下游已完全渠化，鱼类洄游通道的功能已经消失。</w:t>
            </w:r>
            <w:r>
              <w:rPr>
                <w:rFonts w:hint="eastAsia"/>
                <w:color w:val="auto"/>
                <w:sz w:val="22"/>
                <w:szCs w:val="22"/>
                <w:highlight w:val="none"/>
                <w:lang w:val="en-US" w:eastAsia="zh-CN"/>
              </w:rPr>
              <w:t>本项目将新建鱼道，将有利于重新建立渭沱船闸上下游鱼类活动通道。</w:t>
            </w:r>
          </w:p>
        </w:tc>
        <w:tc>
          <w:tcPr>
            <w:tcW w:w="194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rFonts w:ascii="Times New Roman" w:hAnsi="Times New Roman" w:eastAsia="宋体" w:cs="Times New Roman"/>
                <w:b w:val="0"/>
                <w:bCs/>
                <w:color w:val="auto"/>
                <w:kern w:val="2"/>
                <w:sz w:val="22"/>
                <w:szCs w:val="22"/>
                <w:highlight w:val="none"/>
                <w:lang w:val="en-US" w:eastAsia="zh-CN" w:bidi="ar-SA"/>
              </w:rPr>
            </w:pPr>
            <w:r>
              <w:rPr>
                <w:b w:val="0"/>
                <w:bCs/>
                <w:color w:val="auto"/>
                <w:sz w:val="22"/>
                <w:szCs w:val="22"/>
                <w:highlight w:val="none"/>
              </w:rPr>
              <w:t>施工、船舶运输影响</w:t>
            </w:r>
          </w:p>
        </w:tc>
        <w:tc>
          <w:tcPr>
            <w:tcW w:w="1051" w:type="dxa"/>
            <w:tcBorders>
              <w:top w:val="single" w:color="auto" w:sz="6" w:space="0"/>
              <w:left w:val="single" w:color="auto" w:sz="6" w:space="0"/>
              <w:bottom w:val="single" w:color="auto" w:sz="6" w:space="0"/>
              <w:right w:val="single" w:color="auto" w:sz="8" w:space="0"/>
            </w:tcBorders>
            <w:vAlign w:val="center"/>
          </w:tcPr>
          <w:p>
            <w:pPr>
              <w:adjustRightInd w:val="0"/>
              <w:snapToGrid w:val="0"/>
              <w:spacing w:line="240" w:lineRule="auto"/>
              <w:ind w:firstLine="0" w:firstLineChars="0"/>
              <w:jc w:val="center"/>
              <w:rPr>
                <w:b/>
                <w:bCs/>
                <w:color w:val="auto"/>
                <w:sz w:val="22"/>
                <w:szCs w:val="22"/>
                <w:highlight w:val="none"/>
              </w:rPr>
            </w:pPr>
            <w:r>
              <w:rPr>
                <w:b/>
                <w:bCs/>
                <w:color w:val="auto"/>
                <w:sz w:val="22"/>
                <w:szCs w:val="22"/>
                <w:highlight w:val="none"/>
              </w:rPr>
              <w:t>施工期</w:t>
            </w:r>
          </w:p>
          <w:p>
            <w:pPr>
              <w:adjustRightInd w:val="0"/>
              <w:snapToGrid w:val="0"/>
              <w:spacing w:line="240" w:lineRule="auto"/>
              <w:ind w:firstLine="0" w:firstLineChars="0"/>
              <w:jc w:val="center"/>
              <w:rPr>
                <w:rFonts w:ascii="Times New Roman" w:hAnsi="Times New Roman" w:eastAsia="宋体" w:cs="Times New Roman"/>
                <w:b/>
                <w:bCs/>
                <w:color w:val="auto"/>
                <w:kern w:val="2"/>
                <w:sz w:val="22"/>
                <w:szCs w:val="22"/>
                <w:highlight w:val="none"/>
                <w:lang w:val="en-US" w:eastAsia="zh-CN" w:bidi="ar-SA"/>
              </w:rPr>
            </w:pPr>
            <w:r>
              <w:rPr>
                <w:b/>
                <w:bCs/>
                <w:color w:val="auto"/>
                <w:sz w:val="22"/>
                <w:szCs w:val="22"/>
                <w:highlight w:val="none"/>
              </w:rPr>
              <w:t>运营期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jc w:val="center"/>
        </w:trPr>
        <w:tc>
          <w:tcPr>
            <w:tcW w:w="2125"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古树名木</w:t>
            </w:r>
          </w:p>
        </w:tc>
        <w:tc>
          <w:tcPr>
            <w:tcW w:w="776"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挂牌</w:t>
            </w:r>
          </w:p>
        </w:tc>
        <w:tc>
          <w:tcPr>
            <w:tcW w:w="403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古树名木</w:t>
            </w:r>
          </w:p>
        </w:tc>
        <w:tc>
          <w:tcPr>
            <w:tcW w:w="4293" w:type="dxa"/>
            <w:tcBorders>
              <w:top w:val="single" w:color="auto" w:sz="6" w:space="0"/>
              <w:left w:val="single" w:color="auto" w:sz="6" w:space="0"/>
              <w:bottom w:val="single" w:color="auto" w:sz="6" w:space="0"/>
              <w:right w:val="single" w:color="auto" w:sz="6" w:space="0"/>
            </w:tcBorders>
            <w:tcMar>
              <w:top w:w="0" w:type="dxa"/>
              <w:left w:w="28" w:type="dxa"/>
              <w:bottom w:w="0" w:type="dxa"/>
              <w:right w:w="28" w:type="dxa"/>
            </w:tcMar>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评价范围内分布</w:t>
            </w:r>
            <w:r>
              <w:rPr>
                <w:rFonts w:hint="eastAsia"/>
                <w:color w:val="auto"/>
                <w:sz w:val="22"/>
                <w:szCs w:val="22"/>
                <w:highlight w:val="none"/>
                <w:lang w:val="en-US" w:eastAsia="zh-CN"/>
              </w:rPr>
              <w:t>3</w:t>
            </w:r>
            <w:r>
              <w:rPr>
                <w:color w:val="auto"/>
                <w:sz w:val="22"/>
                <w:szCs w:val="22"/>
                <w:highlight w:val="none"/>
              </w:rPr>
              <w:t>株，</w:t>
            </w:r>
            <w:r>
              <w:rPr>
                <w:rFonts w:hint="eastAsia"/>
                <w:color w:val="auto"/>
                <w:sz w:val="22"/>
                <w:szCs w:val="22"/>
                <w:highlight w:val="none"/>
                <w:lang w:eastAsia="zh-CN"/>
              </w:rPr>
              <w:t>位于项目对岸</w:t>
            </w:r>
            <w:r>
              <w:rPr>
                <w:color w:val="auto"/>
                <w:sz w:val="22"/>
                <w:szCs w:val="22"/>
                <w:highlight w:val="none"/>
              </w:rPr>
              <w:t>。</w:t>
            </w:r>
          </w:p>
        </w:tc>
        <w:tc>
          <w:tcPr>
            <w:tcW w:w="1940" w:type="dxa"/>
            <w:tcBorders>
              <w:top w:val="single" w:color="auto" w:sz="6" w:space="0"/>
              <w:left w:val="single" w:color="auto" w:sz="6" w:space="0"/>
              <w:bottom w:val="single" w:color="auto" w:sz="6" w:space="0"/>
              <w:right w:val="single" w:color="auto" w:sz="6" w:space="0"/>
            </w:tcBorders>
            <w:vAlign w:val="center"/>
          </w:tcPr>
          <w:p>
            <w:pPr>
              <w:pStyle w:val="6"/>
              <w:numPr>
                <w:ilvl w:val="3"/>
                <w:numId w:val="0"/>
              </w:numPr>
              <w:adjustRightInd w:val="0"/>
              <w:snapToGrid w:val="0"/>
              <w:spacing w:line="240" w:lineRule="auto"/>
              <w:jc w:val="center"/>
              <w:rPr>
                <w:rFonts w:eastAsia="宋体"/>
                <w:b w:val="0"/>
                <w:bCs/>
                <w:color w:val="auto"/>
                <w:sz w:val="22"/>
                <w:szCs w:val="22"/>
                <w:highlight w:val="none"/>
              </w:rPr>
            </w:pPr>
            <w:r>
              <w:rPr>
                <w:rFonts w:eastAsia="宋体"/>
                <w:b w:val="0"/>
                <w:bCs/>
                <w:color w:val="auto"/>
                <w:sz w:val="22"/>
                <w:szCs w:val="22"/>
                <w:highlight w:val="none"/>
              </w:rPr>
              <w:t>施工影响</w:t>
            </w:r>
          </w:p>
        </w:tc>
        <w:tc>
          <w:tcPr>
            <w:tcW w:w="1051" w:type="dxa"/>
            <w:tcBorders>
              <w:top w:val="single" w:color="auto" w:sz="6" w:space="0"/>
              <w:left w:val="single" w:color="auto" w:sz="6" w:space="0"/>
              <w:bottom w:val="single" w:color="auto" w:sz="6" w:space="0"/>
              <w:right w:val="single" w:color="auto" w:sz="8" w:space="0"/>
            </w:tcBorders>
            <w:vAlign w:val="center"/>
          </w:tcPr>
          <w:p>
            <w:pPr>
              <w:pStyle w:val="6"/>
              <w:numPr>
                <w:ilvl w:val="3"/>
                <w:numId w:val="0"/>
              </w:numPr>
              <w:adjustRightInd w:val="0"/>
              <w:snapToGrid w:val="0"/>
              <w:spacing w:line="240" w:lineRule="auto"/>
              <w:jc w:val="center"/>
              <w:rPr>
                <w:rFonts w:eastAsia="宋体"/>
                <w:b/>
                <w:bCs/>
                <w:color w:val="auto"/>
                <w:sz w:val="22"/>
                <w:szCs w:val="22"/>
                <w:highlight w:val="none"/>
              </w:rPr>
            </w:pPr>
            <w:r>
              <w:rPr>
                <w:rFonts w:eastAsia="宋体"/>
                <w:b/>
                <w:bCs/>
                <w:color w:val="auto"/>
                <w:sz w:val="22"/>
                <w:szCs w:val="22"/>
                <w:highlight w:val="none"/>
              </w:rPr>
              <w:t>施工期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90" w:hRule="atLeast"/>
          <w:jc w:val="center"/>
        </w:trPr>
        <w:tc>
          <w:tcPr>
            <w:tcW w:w="2125" w:type="dxa"/>
            <w:gridSpan w:val="2"/>
            <w:tcBorders>
              <w:left w:val="single" w:color="auto" w:sz="6" w:space="0"/>
              <w:right w:val="single" w:color="auto" w:sz="6" w:space="0"/>
            </w:tcBorders>
            <w:vAlign w:val="center"/>
          </w:tcPr>
          <w:p>
            <w:pPr>
              <w:adjustRightInd w:val="0"/>
              <w:snapToGrid w:val="0"/>
              <w:spacing w:line="240" w:lineRule="auto"/>
              <w:ind w:firstLine="0" w:firstLineChars="0"/>
              <w:jc w:val="center"/>
              <w:rPr>
                <w:rFonts w:hint="eastAsia"/>
                <w:color w:val="auto"/>
                <w:sz w:val="22"/>
                <w:szCs w:val="22"/>
                <w:highlight w:val="none"/>
                <w:lang w:eastAsia="zh-CN"/>
              </w:rPr>
            </w:pPr>
            <w:r>
              <w:rPr>
                <w:rFonts w:hint="eastAsia"/>
                <w:color w:val="auto"/>
                <w:sz w:val="22"/>
                <w:szCs w:val="22"/>
                <w:highlight w:val="none"/>
                <w:lang w:eastAsia="zh-CN"/>
              </w:rPr>
              <w:t>天然林</w:t>
            </w:r>
          </w:p>
        </w:tc>
        <w:tc>
          <w:tcPr>
            <w:tcW w:w="776"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rFonts w:hint="default"/>
                <w:color w:val="auto"/>
                <w:sz w:val="22"/>
                <w:szCs w:val="22"/>
                <w:highlight w:val="none"/>
                <w:lang w:val="en-US" w:eastAsia="zh-CN"/>
              </w:rPr>
            </w:pPr>
            <w:r>
              <w:rPr>
                <w:rFonts w:hint="eastAsia"/>
                <w:color w:val="auto"/>
                <w:sz w:val="22"/>
                <w:szCs w:val="22"/>
                <w:highlight w:val="none"/>
                <w:lang w:val="en-US" w:eastAsia="zh-CN"/>
              </w:rPr>
              <w:t>/</w:t>
            </w:r>
          </w:p>
        </w:tc>
        <w:tc>
          <w:tcPr>
            <w:tcW w:w="403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rFonts w:hint="default"/>
                <w:color w:val="auto"/>
                <w:sz w:val="22"/>
                <w:szCs w:val="22"/>
                <w:highlight w:val="none"/>
                <w:lang w:val="en-US" w:eastAsia="zh-CN"/>
              </w:rPr>
            </w:pPr>
            <w:r>
              <w:rPr>
                <w:rFonts w:hint="eastAsia"/>
                <w:color w:val="auto"/>
                <w:sz w:val="22"/>
                <w:szCs w:val="22"/>
                <w:highlight w:val="none"/>
                <w:lang w:val="en-US" w:eastAsia="zh-CN"/>
              </w:rPr>
              <w:t>青冈林、</w:t>
            </w:r>
            <w:r>
              <w:rPr>
                <w:rFonts w:hint="default"/>
                <w:color w:val="auto"/>
                <w:sz w:val="22"/>
                <w:szCs w:val="22"/>
                <w:highlight w:val="none"/>
                <w:lang w:val="en-US" w:eastAsia="zh-CN"/>
              </w:rPr>
              <w:t>慈竹林和灌木林地</w:t>
            </w:r>
          </w:p>
        </w:tc>
        <w:tc>
          <w:tcPr>
            <w:tcW w:w="4293" w:type="dxa"/>
            <w:tcBorders>
              <w:top w:val="single" w:color="auto" w:sz="6" w:space="0"/>
              <w:left w:val="single" w:color="auto" w:sz="6" w:space="0"/>
              <w:bottom w:val="single" w:color="auto" w:sz="6" w:space="0"/>
              <w:right w:val="single" w:color="auto" w:sz="6" w:space="0"/>
            </w:tcBorders>
            <w:tcMar>
              <w:top w:w="0" w:type="dxa"/>
              <w:left w:w="28" w:type="dxa"/>
              <w:bottom w:w="0" w:type="dxa"/>
              <w:right w:w="28" w:type="dxa"/>
            </w:tcMar>
            <w:vAlign w:val="center"/>
          </w:tcPr>
          <w:p>
            <w:pPr>
              <w:adjustRightInd w:val="0"/>
              <w:snapToGrid w:val="0"/>
              <w:spacing w:line="240" w:lineRule="auto"/>
              <w:ind w:firstLine="0" w:firstLineChars="0"/>
              <w:jc w:val="center"/>
              <w:rPr>
                <w:rFonts w:hint="eastAsia"/>
                <w:color w:val="auto"/>
                <w:sz w:val="22"/>
                <w:szCs w:val="22"/>
                <w:highlight w:val="none"/>
                <w:lang w:val="en-US" w:eastAsia="zh-CN"/>
              </w:rPr>
            </w:pPr>
            <w:r>
              <w:rPr>
                <w:color w:val="auto"/>
                <w:sz w:val="22"/>
                <w:szCs w:val="22"/>
                <w:highlight w:val="none"/>
              </w:rPr>
              <w:t>项目</w:t>
            </w:r>
            <w:r>
              <w:rPr>
                <w:rFonts w:hint="eastAsia"/>
                <w:color w:val="auto"/>
                <w:sz w:val="22"/>
                <w:szCs w:val="22"/>
                <w:highlight w:val="none"/>
                <w:lang w:eastAsia="zh-CN"/>
              </w:rPr>
              <w:t>占用天然林面积约</w:t>
            </w:r>
            <w:r>
              <w:rPr>
                <w:rFonts w:hint="eastAsia"/>
                <w:color w:val="auto"/>
                <w:sz w:val="22"/>
                <w:szCs w:val="22"/>
                <w:highlight w:val="none"/>
                <w:lang w:val="en-US" w:eastAsia="zh-CN"/>
              </w:rPr>
              <w:t>2.42hm</w:t>
            </w:r>
            <w:r>
              <w:rPr>
                <w:rFonts w:hint="eastAsia"/>
                <w:color w:val="auto"/>
                <w:sz w:val="22"/>
                <w:szCs w:val="22"/>
                <w:highlight w:val="none"/>
                <w:vertAlign w:val="superscript"/>
                <w:lang w:val="en-US" w:eastAsia="zh-CN"/>
              </w:rPr>
              <w:t>2</w:t>
            </w:r>
            <w:r>
              <w:rPr>
                <w:rFonts w:hint="eastAsia"/>
                <w:color w:val="auto"/>
                <w:sz w:val="22"/>
                <w:szCs w:val="22"/>
                <w:highlight w:val="none"/>
                <w:vertAlign w:val="baseline"/>
                <w:lang w:val="en-US" w:eastAsia="zh-CN"/>
              </w:rPr>
              <w:t>，主要为锚地、岸边清礁区域及1#弃渣场占用</w:t>
            </w:r>
          </w:p>
        </w:tc>
        <w:tc>
          <w:tcPr>
            <w:tcW w:w="1940" w:type="dxa"/>
            <w:tcBorders>
              <w:top w:val="single" w:color="auto" w:sz="6" w:space="0"/>
              <w:left w:val="single" w:color="auto" w:sz="6" w:space="0"/>
              <w:bottom w:val="single" w:color="auto" w:sz="6" w:space="0"/>
              <w:right w:val="single" w:color="auto" w:sz="6" w:space="0"/>
            </w:tcBorders>
            <w:vAlign w:val="center"/>
          </w:tcPr>
          <w:p>
            <w:pPr>
              <w:pStyle w:val="6"/>
              <w:numPr>
                <w:ilvl w:val="3"/>
                <w:numId w:val="0"/>
              </w:numPr>
              <w:adjustRightInd w:val="0"/>
              <w:snapToGrid w:val="0"/>
              <w:spacing w:line="240" w:lineRule="auto"/>
              <w:jc w:val="center"/>
              <w:rPr>
                <w:rFonts w:hint="default"/>
                <w:b w:val="0"/>
                <w:bCs/>
                <w:color w:val="auto"/>
                <w:sz w:val="22"/>
                <w:szCs w:val="22"/>
                <w:highlight w:val="none"/>
                <w:lang w:val="en-US" w:eastAsia="zh-CN"/>
              </w:rPr>
            </w:pPr>
            <w:r>
              <w:rPr>
                <w:rFonts w:hint="eastAsia"/>
                <w:b w:val="0"/>
                <w:bCs/>
                <w:color w:val="auto"/>
                <w:sz w:val="22"/>
                <w:szCs w:val="22"/>
                <w:highlight w:val="none"/>
                <w:lang w:val="en-US" w:eastAsia="zh-CN"/>
              </w:rPr>
              <w:t>施工占地影响</w:t>
            </w:r>
          </w:p>
        </w:tc>
        <w:tc>
          <w:tcPr>
            <w:tcW w:w="1051" w:type="dxa"/>
            <w:tcBorders>
              <w:top w:val="single" w:color="auto" w:sz="6" w:space="0"/>
              <w:left w:val="single" w:color="auto" w:sz="6" w:space="0"/>
              <w:bottom w:val="single" w:color="auto" w:sz="6" w:space="0"/>
              <w:right w:val="single" w:color="auto" w:sz="8" w:space="0"/>
            </w:tcBorders>
            <w:vAlign w:val="center"/>
          </w:tcPr>
          <w:p>
            <w:pPr>
              <w:pStyle w:val="6"/>
              <w:numPr>
                <w:ilvl w:val="3"/>
                <w:numId w:val="0"/>
              </w:numPr>
              <w:adjustRightInd w:val="0"/>
              <w:snapToGrid w:val="0"/>
              <w:spacing w:line="240" w:lineRule="auto"/>
              <w:jc w:val="center"/>
              <w:rPr>
                <w:rFonts w:hint="eastAsia"/>
                <w:b/>
                <w:bCs/>
                <w:color w:val="auto"/>
                <w:sz w:val="22"/>
                <w:szCs w:val="22"/>
                <w:highlight w:val="none"/>
                <w:lang w:eastAsia="zh-CN"/>
              </w:rPr>
            </w:pPr>
            <w:r>
              <w:rPr>
                <w:rFonts w:hint="eastAsia"/>
                <w:b/>
                <w:bCs/>
                <w:color w:val="auto"/>
                <w:sz w:val="22"/>
                <w:szCs w:val="22"/>
                <w:highlight w:val="none"/>
                <w:lang w:eastAsia="zh-CN"/>
              </w:rPr>
              <w:t>施工期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90" w:hRule="atLeast"/>
          <w:jc w:val="center"/>
        </w:trPr>
        <w:tc>
          <w:tcPr>
            <w:tcW w:w="2125" w:type="dxa"/>
            <w:gridSpan w:val="2"/>
            <w:tcBorders>
              <w:left w:val="single" w:color="auto" w:sz="6" w:space="0"/>
              <w:right w:val="single" w:color="auto" w:sz="6"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永久基本农田</w:t>
            </w:r>
          </w:p>
        </w:tc>
        <w:tc>
          <w:tcPr>
            <w:tcW w:w="776"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w:t>
            </w:r>
          </w:p>
        </w:tc>
        <w:tc>
          <w:tcPr>
            <w:tcW w:w="4030"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lang w:eastAsia="zh-CN"/>
              </w:rPr>
              <w:t>永久基本农田</w:t>
            </w:r>
          </w:p>
        </w:tc>
        <w:tc>
          <w:tcPr>
            <w:tcW w:w="4293" w:type="dxa"/>
            <w:tcBorders>
              <w:top w:val="single" w:color="auto" w:sz="6" w:space="0"/>
              <w:left w:val="single" w:color="auto" w:sz="6" w:space="0"/>
              <w:bottom w:val="single" w:color="auto" w:sz="6" w:space="0"/>
              <w:right w:val="single" w:color="auto" w:sz="6" w:space="0"/>
            </w:tcBorders>
            <w:tcMar>
              <w:top w:w="0" w:type="dxa"/>
              <w:left w:w="28" w:type="dxa"/>
              <w:bottom w:w="0" w:type="dxa"/>
              <w:right w:w="28" w:type="dxa"/>
            </w:tcMar>
            <w:vAlign w:val="center"/>
          </w:tcPr>
          <w:p>
            <w:pPr>
              <w:adjustRightInd w:val="0"/>
              <w:snapToGrid w:val="0"/>
              <w:spacing w:line="240" w:lineRule="auto"/>
              <w:ind w:firstLine="0" w:firstLineChars="0"/>
              <w:jc w:val="center"/>
              <w:rPr>
                <w:rFonts w:hint="default" w:eastAsia="宋体"/>
                <w:color w:val="auto"/>
                <w:sz w:val="22"/>
                <w:szCs w:val="22"/>
                <w:highlight w:val="none"/>
                <w:vertAlign w:val="baseline"/>
                <w:lang w:val="en-US" w:eastAsia="zh-CN"/>
              </w:rPr>
            </w:pPr>
            <w:bookmarkStart w:id="63" w:name="OLE_LINK3"/>
            <w:r>
              <w:rPr>
                <w:rFonts w:hint="eastAsia"/>
                <w:color w:val="auto"/>
                <w:sz w:val="22"/>
                <w:szCs w:val="22"/>
                <w:highlight w:val="none"/>
                <w:lang w:val="en-US" w:eastAsia="zh-CN"/>
              </w:rPr>
              <w:t>占用永久基本农田7.87hm</w:t>
            </w:r>
            <w:r>
              <w:rPr>
                <w:rFonts w:hint="eastAsia"/>
                <w:color w:val="auto"/>
                <w:sz w:val="22"/>
                <w:szCs w:val="22"/>
                <w:highlight w:val="none"/>
                <w:vertAlign w:val="superscript"/>
                <w:lang w:val="en-US" w:eastAsia="zh-CN"/>
              </w:rPr>
              <w:t>2</w:t>
            </w:r>
            <w:r>
              <w:rPr>
                <w:rFonts w:hint="eastAsia"/>
                <w:color w:val="auto"/>
                <w:sz w:val="22"/>
                <w:szCs w:val="22"/>
                <w:highlight w:val="none"/>
                <w:vertAlign w:val="baseline"/>
                <w:lang w:val="en-US" w:eastAsia="zh-CN"/>
              </w:rPr>
              <w:t>，其中永久占用0.91hm</w:t>
            </w:r>
            <w:r>
              <w:rPr>
                <w:rFonts w:hint="eastAsia"/>
                <w:color w:val="auto"/>
                <w:sz w:val="22"/>
                <w:szCs w:val="22"/>
                <w:highlight w:val="none"/>
                <w:vertAlign w:val="superscript"/>
                <w:lang w:val="en-US" w:eastAsia="zh-CN"/>
              </w:rPr>
              <w:t>2</w:t>
            </w:r>
            <w:r>
              <w:rPr>
                <w:rFonts w:hint="eastAsia"/>
                <w:color w:val="auto"/>
                <w:sz w:val="22"/>
                <w:szCs w:val="22"/>
                <w:highlight w:val="none"/>
                <w:vertAlign w:val="baseline"/>
                <w:lang w:val="en-US" w:eastAsia="zh-CN"/>
              </w:rPr>
              <w:t>，主要为下游引航道及边坡占用。临时占用6.96hm</w:t>
            </w:r>
            <w:r>
              <w:rPr>
                <w:rFonts w:hint="eastAsia"/>
                <w:color w:val="auto"/>
                <w:sz w:val="22"/>
                <w:szCs w:val="22"/>
                <w:highlight w:val="none"/>
                <w:vertAlign w:val="superscript"/>
                <w:lang w:val="en-US" w:eastAsia="zh-CN"/>
              </w:rPr>
              <w:t>2</w:t>
            </w:r>
            <w:r>
              <w:rPr>
                <w:rFonts w:hint="eastAsia"/>
                <w:color w:val="auto"/>
                <w:sz w:val="22"/>
                <w:szCs w:val="22"/>
                <w:highlight w:val="none"/>
                <w:vertAlign w:val="baseline"/>
                <w:lang w:val="en-US" w:eastAsia="zh-CN"/>
              </w:rPr>
              <w:t>，主要为弃渣场占用</w:t>
            </w:r>
            <w:bookmarkEnd w:id="63"/>
          </w:p>
        </w:tc>
        <w:tc>
          <w:tcPr>
            <w:tcW w:w="1940" w:type="dxa"/>
            <w:tcBorders>
              <w:top w:val="single" w:color="auto" w:sz="6" w:space="0"/>
              <w:left w:val="single" w:color="auto" w:sz="6" w:space="0"/>
              <w:bottom w:val="single" w:color="auto" w:sz="6" w:space="0"/>
              <w:right w:val="single" w:color="auto" w:sz="6" w:space="0"/>
            </w:tcBorders>
            <w:vAlign w:val="center"/>
          </w:tcPr>
          <w:p>
            <w:pPr>
              <w:pStyle w:val="6"/>
              <w:numPr>
                <w:ilvl w:val="3"/>
                <w:numId w:val="0"/>
              </w:numPr>
              <w:adjustRightInd w:val="0"/>
              <w:snapToGrid w:val="0"/>
              <w:spacing w:line="240" w:lineRule="auto"/>
              <w:jc w:val="center"/>
              <w:rPr>
                <w:rFonts w:hint="eastAsia" w:eastAsia="宋体"/>
                <w:b w:val="0"/>
                <w:bCs/>
                <w:color w:val="auto"/>
                <w:sz w:val="22"/>
                <w:szCs w:val="22"/>
                <w:highlight w:val="none"/>
                <w:lang w:eastAsia="zh-CN"/>
              </w:rPr>
            </w:pPr>
            <w:r>
              <w:rPr>
                <w:rFonts w:hint="eastAsia"/>
                <w:b w:val="0"/>
                <w:bCs/>
                <w:color w:val="auto"/>
                <w:sz w:val="22"/>
                <w:szCs w:val="22"/>
                <w:highlight w:val="none"/>
                <w:lang w:eastAsia="zh-CN"/>
              </w:rPr>
              <w:t>施工占地影响</w:t>
            </w:r>
          </w:p>
        </w:tc>
        <w:tc>
          <w:tcPr>
            <w:tcW w:w="1051" w:type="dxa"/>
            <w:tcBorders>
              <w:top w:val="single" w:color="auto" w:sz="6" w:space="0"/>
              <w:left w:val="single" w:color="auto" w:sz="6" w:space="0"/>
              <w:bottom w:val="single" w:color="auto" w:sz="6" w:space="0"/>
              <w:right w:val="single" w:color="auto" w:sz="8" w:space="0"/>
            </w:tcBorders>
            <w:vAlign w:val="center"/>
          </w:tcPr>
          <w:p>
            <w:pPr>
              <w:pStyle w:val="6"/>
              <w:numPr>
                <w:ilvl w:val="3"/>
                <w:numId w:val="0"/>
              </w:numPr>
              <w:adjustRightInd w:val="0"/>
              <w:snapToGrid w:val="0"/>
              <w:spacing w:line="240" w:lineRule="auto"/>
              <w:jc w:val="center"/>
              <w:rPr>
                <w:rFonts w:hint="eastAsia" w:eastAsia="宋体"/>
                <w:b/>
                <w:bCs/>
                <w:color w:val="auto"/>
                <w:sz w:val="22"/>
                <w:szCs w:val="22"/>
                <w:highlight w:val="none"/>
                <w:lang w:eastAsia="zh-CN"/>
              </w:rPr>
            </w:pPr>
            <w:r>
              <w:rPr>
                <w:rFonts w:hint="eastAsia"/>
                <w:b/>
                <w:bCs/>
                <w:color w:val="auto"/>
                <w:sz w:val="22"/>
                <w:szCs w:val="22"/>
                <w:highlight w:val="none"/>
                <w:lang w:eastAsia="zh-CN"/>
              </w:rPr>
              <w:t>施工期</w:t>
            </w:r>
          </w:p>
        </w:tc>
      </w:tr>
    </w:tbl>
    <w:p>
      <w:pPr>
        <w:adjustRightInd w:val="0"/>
        <w:snapToGrid w:val="0"/>
        <w:spacing w:line="240" w:lineRule="auto"/>
        <w:ind w:firstLine="0" w:firstLineChars="0"/>
        <w:jc w:val="both"/>
        <w:rPr>
          <w:rFonts w:hint="eastAsia" w:eastAsia="宋体"/>
          <w:color w:val="auto"/>
          <w:sz w:val="22"/>
          <w:szCs w:val="22"/>
          <w:highlight w:val="none"/>
          <w:lang w:eastAsia="zh-CN"/>
        </w:rPr>
        <w:sectPr>
          <w:pgSz w:w="16838" w:h="11906" w:orient="landscape"/>
          <w:pgMar w:top="1701" w:right="1588" w:bottom="1588" w:left="1588" w:header="1304" w:footer="1247" w:gutter="0"/>
          <w:cols w:space="425" w:num="1"/>
          <w:docGrid w:linePitch="312" w:charSpace="0"/>
        </w:sectPr>
      </w:pPr>
      <w:r>
        <w:rPr>
          <w:rFonts w:hint="eastAsia"/>
          <w:color w:val="auto"/>
          <w:sz w:val="22"/>
          <w:szCs w:val="22"/>
          <w:highlight w:val="none"/>
          <w:lang w:eastAsia="zh-CN"/>
        </w:rPr>
        <w:t>注</w:t>
      </w:r>
      <w:r>
        <w:rPr>
          <w:rFonts w:hint="eastAsia"/>
          <w:color w:val="auto"/>
          <w:sz w:val="22"/>
          <w:szCs w:val="22"/>
          <w:highlight w:val="none"/>
          <w:lang w:eastAsia="zh-CN"/>
        </w:rPr>
        <w:fldChar w:fldCharType="begin"/>
      </w:r>
      <w:r>
        <w:rPr>
          <w:rFonts w:hint="eastAsia"/>
          <w:color w:val="auto"/>
          <w:sz w:val="22"/>
          <w:szCs w:val="22"/>
          <w:highlight w:val="none"/>
          <w:lang w:eastAsia="zh-CN"/>
        </w:rPr>
        <w:instrText xml:space="preserve"> = 1 \* GB3 \* MERGEFORMAT </w:instrText>
      </w:r>
      <w:r>
        <w:rPr>
          <w:rFonts w:hint="eastAsia"/>
          <w:color w:val="auto"/>
          <w:sz w:val="22"/>
          <w:szCs w:val="22"/>
          <w:highlight w:val="none"/>
          <w:lang w:eastAsia="zh-CN"/>
        </w:rPr>
        <w:fldChar w:fldCharType="separate"/>
      </w:r>
      <w:r>
        <w:rPr>
          <w:color w:val="auto"/>
          <w:sz w:val="22"/>
          <w:szCs w:val="21"/>
          <w:highlight w:val="none"/>
        </w:rPr>
        <w:t>①</w:t>
      </w:r>
      <w:r>
        <w:rPr>
          <w:rFonts w:hint="eastAsia"/>
          <w:color w:val="auto"/>
          <w:sz w:val="22"/>
          <w:szCs w:val="22"/>
          <w:highlight w:val="none"/>
          <w:lang w:eastAsia="zh-CN"/>
        </w:rPr>
        <w:fldChar w:fldCharType="end"/>
      </w:r>
      <w:r>
        <w:rPr>
          <w:rFonts w:hint="eastAsia"/>
          <w:color w:val="auto"/>
          <w:sz w:val="22"/>
          <w:szCs w:val="22"/>
          <w:highlight w:val="none"/>
          <w:lang w:eastAsia="zh-CN"/>
        </w:rPr>
        <w:t>：湿地公园专题报告使用重庆合川三江国家湿地公园范围为现行有效的法定范围，重庆市“多规合一业务协作平台”内自然保护地范围为尚未正式批复的优化调整后自然保护地范围，导致湿地公园面积与空间检测分析报告不一致。本次评价以湿地专题报告为准。</w:t>
      </w:r>
    </w:p>
    <w:p>
      <w:pPr>
        <w:pStyle w:val="214"/>
        <w:spacing w:line="240" w:lineRule="auto"/>
        <w:ind w:firstLine="0" w:firstLineChars="0"/>
        <w:jc w:val="center"/>
        <w:rPr>
          <w:rFonts w:hint="eastAsia" w:eastAsia="宋体"/>
          <w:color w:val="auto"/>
          <w:highlight w:val="none"/>
          <w:lang w:eastAsia="zh-CN"/>
        </w:rPr>
      </w:pPr>
      <w:r>
        <w:rPr>
          <w:rFonts w:hint="eastAsia"/>
          <w:color w:val="auto"/>
          <w:highlight w:val="none"/>
        </w:rPr>
        <w:t>表</w:t>
      </w:r>
      <w:r>
        <w:rPr>
          <w:rFonts w:hint="eastAsia"/>
          <w:color w:val="auto"/>
          <w:highlight w:val="none"/>
          <w:lang w:val="en-US" w:eastAsia="zh-CN"/>
        </w:rPr>
        <w:t>1.8.2-1</w:t>
      </w:r>
      <w:r>
        <w:rPr>
          <w:rFonts w:hint="eastAsia"/>
          <w:color w:val="auto"/>
          <w:highlight w:val="none"/>
        </w:rPr>
        <w:t xml:space="preserve">  </w:t>
      </w:r>
      <w:r>
        <w:rPr>
          <w:rFonts w:hint="eastAsia"/>
          <w:color w:val="auto"/>
          <w:highlight w:val="none"/>
          <w:lang w:eastAsia="zh-CN"/>
        </w:rPr>
        <w:t>工程与上、下游取水口及饮用水水源保护区位置关系一览表</w:t>
      </w:r>
    </w:p>
    <w:tbl>
      <w:tblPr>
        <w:tblStyle w:val="28"/>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390"/>
        <w:gridCol w:w="1600"/>
        <w:gridCol w:w="1373"/>
        <w:gridCol w:w="817"/>
        <w:gridCol w:w="1632"/>
        <w:gridCol w:w="1857"/>
        <w:gridCol w:w="1744"/>
        <w:gridCol w:w="1747"/>
        <w:gridCol w:w="2522"/>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90" w:type="dxa"/>
            <w:vMerge w:val="restart"/>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序号</w:t>
            </w:r>
          </w:p>
        </w:tc>
        <w:tc>
          <w:tcPr>
            <w:tcW w:w="1601" w:type="dxa"/>
            <w:vMerge w:val="restart"/>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保护目标名称</w:t>
            </w:r>
          </w:p>
        </w:tc>
        <w:tc>
          <w:tcPr>
            <w:tcW w:w="1374" w:type="dxa"/>
            <w:vMerge w:val="restart"/>
            <w:tcMar>
              <w:left w:w="28" w:type="dxa"/>
              <w:right w:w="28" w:type="dxa"/>
            </w:tcMar>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特征</w:t>
            </w:r>
          </w:p>
        </w:tc>
        <w:tc>
          <w:tcPr>
            <w:tcW w:w="817" w:type="dxa"/>
            <w:vMerge w:val="restart"/>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所在</w:t>
            </w:r>
          </w:p>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区县</w:t>
            </w:r>
          </w:p>
        </w:tc>
        <w:tc>
          <w:tcPr>
            <w:tcW w:w="6984" w:type="dxa"/>
            <w:gridSpan w:val="4"/>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保护区范围划分</w:t>
            </w:r>
          </w:p>
        </w:tc>
        <w:tc>
          <w:tcPr>
            <w:tcW w:w="2522" w:type="dxa"/>
            <w:vMerge w:val="restart"/>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rFonts w:hint="eastAsia" w:eastAsia="宋体"/>
                <w:b w:val="0"/>
                <w:bCs/>
                <w:color w:val="auto"/>
                <w:sz w:val="22"/>
                <w:szCs w:val="22"/>
                <w:highlight w:val="none"/>
                <w:lang w:eastAsia="zh-CN"/>
              </w:rPr>
            </w:pPr>
            <w:r>
              <w:rPr>
                <w:rFonts w:hint="eastAsia"/>
                <w:b w:val="0"/>
                <w:bCs/>
                <w:color w:val="auto"/>
                <w:sz w:val="22"/>
                <w:szCs w:val="22"/>
                <w:highlight w:val="none"/>
                <w:lang w:eastAsia="zh-CN"/>
              </w:rPr>
              <w:t>与工程位置关系</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90" w:type="dxa"/>
            <w:vMerge w:val="continue"/>
            <w:vAlign w:val="center"/>
          </w:tcPr>
          <w:p>
            <w:pPr>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outlineLvl w:val="3"/>
              <w:rPr>
                <w:b w:val="0"/>
                <w:bCs/>
                <w:color w:val="auto"/>
                <w:sz w:val="22"/>
                <w:szCs w:val="22"/>
                <w:highlight w:val="none"/>
              </w:rPr>
            </w:pPr>
          </w:p>
        </w:tc>
        <w:tc>
          <w:tcPr>
            <w:tcW w:w="1601" w:type="dxa"/>
            <w:vMerge w:val="continue"/>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p>
        </w:tc>
        <w:tc>
          <w:tcPr>
            <w:tcW w:w="1374" w:type="dxa"/>
            <w:vMerge w:val="continue"/>
            <w:tcMar>
              <w:left w:w="28" w:type="dxa"/>
              <w:right w:w="28" w:type="dxa"/>
            </w:tcMar>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p>
        </w:tc>
        <w:tc>
          <w:tcPr>
            <w:tcW w:w="817" w:type="dxa"/>
            <w:vMerge w:val="continue"/>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p>
        </w:tc>
        <w:tc>
          <w:tcPr>
            <w:tcW w:w="3491" w:type="dxa"/>
            <w:gridSpan w:val="2"/>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一级保护区</w:t>
            </w:r>
          </w:p>
        </w:tc>
        <w:tc>
          <w:tcPr>
            <w:tcW w:w="3493" w:type="dxa"/>
            <w:gridSpan w:val="2"/>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二级保护区</w:t>
            </w:r>
          </w:p>
        </w:tc>
        <w:tc>
          <w:tcPr>
            <w:tcW w:w="2522" w:type="dxa"/>
            <w:vMerge w:val="continue"/>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90" w:type="dxa"/>
            <w:vMerge w:val="continue"/>
            <w:vAlign w:val="center"/>
          </w:tcPr>
          <w:p>
            <w:pPr>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outlineLvl w:val="3"/>
              <w:rPr>
                <w:b w:val="0"/>
                <w:bCs/>
                <w:color w:val="auto"/>
                <w:sz w:val="22"/>
                <w:szCs w:val="22"/>
                <w:highlight w:val="none"/>
              </w:rPr>
            </w:pPr>
          </w:p>
        </w:tc>
        <w:tc>
          <w:tcPr>
            <w:tcW w:w="1601" w:type="dxa"/>
            <w:vMerge w:val="continue"/>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p>
        </w:tc>
        <w:tc>
          <w:tcPr>
            <w:tcW w:w="1374" w:type="dxa"/>
            <w:vMerge w:val="continue"/>
            <w:tcMar>
              <w:left w:w="28" w:type="dxa"/>
              <w:right w:w="28" w:type="dxa"/>
            </w:tcMar>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p>
        </w:tc>
        <w:tc>
          <w:tcPr>
            <w:tcW w:w="817" w:type="dxa"/>
            <w:vMerge w:val="continue"/>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p>
        </w:tc>
        <w:tc>
          <w:tcPr>
            <w:tcW w:w="1633"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水域范围</w:t>
            </w:r>
          </w:p>
        </w:tc>
        <w:tc>
          <w:tcPr>
            <w:tcW w:w="1858"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陆域范围</w:t>
            </w:r>
          </w:p>
        </w:tc>
        <w:tc>
          <w:tcPr>
            <w:tcW w:w="1745"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水域范围</w:t>
            </w:r>
          </w:p>
        </w:tc>
        <w:tc>
          <w:tcPr>
            <w:tcW w:w="1748"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陆域范围</w:t>
            </w:r>
          </w:p>
        </w:tc>
        <w:tc>
          <w:tcPr>
            <w:tcW w:w="2522" w:type="dxa"/>
            <w:vMerge w:val="continue"/>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90" w:type="dxa"/>
            <w:vAlign w:val="center"/>
          </w:tcPr>
          <w:p>
            <w:pPr>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outlineLvl w:val="3"/>
              <w:rPr>
                <w:rFonts w:hint="eastAsia" w:eastAsia="宋体"/>
                <w:b w:val="0"/>
                <w:bCs/>
                <w:color w:val="auto"/>
                <w:sz w:val="22"/>
                <w:szCs w:val="22"/>
                <w:highlight w:val="none"/>
                <w:lang w:eastAsia="zh-CN"/>
              </w:rPr>
            </w:pPr>
            <w:r>
              <w:rPr>
                <w:rFonts w:hint="eastAsia"/>
                <w:b w:val="0"/>
                <w:bCs/>
                <w:color w:val="auto"/>
                <w:sz w:val="22"/>
                <w:szCs w:val="22"/>
                <w:highlight w:val="none"/>
                <w:lang w:val="en-US" w:eastAsia="zh-CN"/>
              </w:rPr>
              <w:t>1</w:t>
            </w:r>
          </w:p>
        </w:tc>
        <w:tc>
          <w:tcPr>
            <w:tcW w:w="1601"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b w:val="0"/>
                <w:bCs/>
                <w:color w:val="auto"/>
                <w:sz w:val="22"/>
                <w:szCs w:val="22"/>
                <w:highlight w:val="none"/>
              </w:rPr>
              <w:t>涪江铜溪镇圣灯村河流型水源地</w:t>
            </w:r>
          </w:p>
        </w:tc>
        <w:tc>
          <w:tcPr>
            <w:tcW w:w="1374" w:type="dxa"/>
            <w:tcMar>
              <w:left w:w="28" w:type="dxa"/>
              <w:right w:w="28" w:type="dxa"/>
            </w:tcMar>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取水口位于涪江右岸，取水规模4000m</w:t>
            </w:r>
            <w:r>
              <w:rPr>
                <w:rFonts w:hint="eastAsia"/>
                <w:b w:val="0"/>
                <w:bCs/>
                <w:color w:val="auto"/>
                <w:sz w:val="22"/>
                <w:szCs w:val="22"/>
                <w:highlight w:val="none"/>
                <w:vertAlign w:val="superscript"/>
              </w:rPr>
              <w:t>3</w:t>
            </w:r>
            <w:r>
              <w:rPr>
                <w:rFonts w:hint="eastAsia"/>
                <w:b w:val="0"/>
                <w:bCs/>
                <w:color w:val="auto"/>
                <w:sz w:val="22"/>
                <w:szCs w:val="22"/>
                <w:highlight w:val="none"/>
              </w:rPr>
              <w:t>/d</w:t>
            </w:r>
          </w:p>
        </w:tc>
        <w:tc>
          <w:tcPr>
            <w:tcW w:w="817"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合川区</w:t>
            </w:r>
          </w:p>
        </w:tc>
        <w:tc>
          <w:tcPr>
            <w:tcW w:w="1633"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取水口上游1000米，下游100米的整个水域。</w:t>
            </w:r>
          </w:p>
        </w:tc>
        <w:tc>
          <w:tcPr>
            <w:tcW w:w="1858"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洪水期正常水位河道边缘水平纵深30米，陆域沿岸长度与一级保护区水域长度相同。</w:t>
            </w:r>
          </w:p>
        </w:tc>
        <w:tc>
          <w:tcPr>
            <w:tcW w:w="1745"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取水口上游1000米至2000米，下游100米至200米的整个水域。</w:t>
            </w:r>
          </w:p>
        </w:tc>
        <w:tc>
          <w:tcPr>
            <w:tcW w:w="1748"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洪水期正常水位河道边缘水平纵深30米，陆域沿岸长度与二级保护区水域长度相同。</w:t>
            </w:r>
          </w:p>
        </w:tc>
        <w:tc>
          <w:tcPr>
            <w:tcW w:w="2522"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both"/>
              <w:textAlignment w:val="auto"/>
              <w:rPr>
                <w:b w:val="0"/>
                <w:bCs/>
                <w:color w:val="auto"/>
                <w:sz w:val="22"/>
                <w:szCs w:val="22"/>
                <w:highlight w:val="none"/>
              </w:rPr>
            </w:pPr>
            <w:r>
              <w:rPr>
                <w:rFonts w:hint="eastAsia"/>
                <w:b w:val="0"/>
                <w:bCs/>
                <w:color w:val="auto"/>
                <w:sz w:val="22"/>
                <w:szCs w:val="22"/>
                <w:highlight w:val="none"/>
              </w:rPr>
              <w:t>位于工程</w:t>
            </w:r>
            <w:r>
              <w:rPr>
                <w:rFonts w:hint="eastAsia"/>
                <w:b w:val="0"/>
                <w:bCs/>
                <w:color w:val="auto"/>
                <w:sz w:val="22"/>
                <w:szCs w:val="22"/>
                <w:highlight w:val="none"/>
                <w:lang w:eastAsia="zh-CN"/>
              </w:rPr>
              <w:t>上</w:t>
            </w:r>
            <w:r>
              <w:rPr>
                <w:rFonts w:hint="eastAsia"/>
                <w:b w:val="0"/>
                <w:bCs/>
                <w:color w:val="auto"/>
                <w:sz w:val="22"/>
                <w:szCs w:val="22"/>
                <w:highlight w:val="none"/>
              </w:rPr>
              <w:t>游</w:t>
            </w:r>
            <w:r>
              <w:rPr>
                <w:rFonts w:hint="eastAsia"/>
                <w:b w:val="0"/>
                <w:bCs/>
                <w:color w:val="auto"/>
                <w:sz w:val="22"/>
                <w:szCs w:val="22"/>
                <w:highlight w:val="none"/>
                <w:lang w:eastAsia="zh-CN"/>
              </w:rPr>
              <w:t>，距离工程最近建设内容为上游锚地，其取水口、一级保护区和二级保护区与上游锚地相距约</w:t>
            </w:r>
            <w:r>
              <w:rPr>
                <w:rFonts w:hint="eastAsia"/>
                <w:b w:val="0"/>
                <w:bCs/>
                <w:color w:val="auto"/>
                <w:sz w:val="22"/>
                <w:szCs w:val="22"/>
                <w:highlight w:val="none"/>
                <w:lang w:val="en-US" w:eastAsia="zh-CN"/>
              </w:rPr>
              <w:t>2.36</w:t>
            </w:r>
            <w:r>
              <w:rPr>
                <w:rFonts w:hint="eastAsia"/>
                <w:b w:val="0"/>
                <w:bCs/>
                <w:color w:val="auto"/>
                <w:sz w:val="22"/>
                <w:szCs w:val="22"/>
                <w:highlight w:val="none"/>
                <w:lang w:eastAsia="zh-CN"/>
              </w:rPr>
              <w:t>km、</w:t>
            </w:r>
            <w:r>
              <w:rPr>
                <w:rFonts w:hint="eastAsia"/>
                <w:b w:val="0"/>
                <w:bCs/>
                <w:color w:val="auto"/>
                <w:sz w:val="22"/>
                <w:szCs w:val="22"/>
                <w:highlight w:val="none"/>
                <w:lang w:val="en-US" w:eastAsia="zh-CN"/>
              </w:rPr>
              <w:t>2.26</w:t>
            </w:r>
            <w:r>
              <w:rPr>
                <w:rFonts w:hint="eastAsia"/>
                <w:b w:val="0"/>
                <w:bCs/>
                <w:color w:val="auto"/>
                <w:sz w:val="22"/>
                <w:szCs w:val="22"/>
                <w:highlight w:val="none"/>
                <w:lang w:eastAsia="zh-CN"/>
              </w:rPr>
              <w:t>km 和</w:t>
            </w:r>
            <w:r>
              <w:rPr>
                <w:rFonts w:hint="eastAsia"/>
                <w:b w:val="0"/>
                <w:bCs/>
                <w:color w:val="auto"/>
                <w:sz w:val="22"/>
                <w:szCs w:val="22"/>
                <w:highlight w:val="none"/>
                <w:lang w:val="en-US" w:eastAsia="zh-CN"/>
              </w:rPr>
              <w:t>2.16</w:t>
            </w:r>
            <w:r>
              <w:rPr>
                <w:rFonts w:hint="eastAsia"/>
                <w:b w:val="0"/>
                <w:bCs/>
                <w:color w:val="auto"/>
                <w:sz w:val="22"/>
                <w:szCs w:val="22"/>
                <w:highlight w:val="none"/>
                <w:lang w:eastAsia="zh-CN"/>
              </w:rPr>
              <w:t>km</w:t>
            </w:r>
            <w:r>
              <w:rPr>
                <w:rFonts w:hint="eastAsia"/>
                <w:b w:val="0"/>
                <w:bCs/>
                <w:color w:val="auto"/>
                <w:sz w:val="22"/>
                <w:szCs w:val="22"/>
                <w:highlight w:val="non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90" w:type="dxa"/>
            <w:vAlign w:val="center"/>
          </w:tcPr>
          <w:p>
            <w:pPr>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outlineLvl w:val="3"/>
              <w:rPr>
                <w:rFonts w:hint="eastAsia" w:eastAsia="宋体"/>
                <w:b w:val="0"/>
                <w:bCs/>
                <w:color w:val="auto"/>
                <w:sz w:val="22"/>
                <w:szCs w:val="22"/>
                <w:highlight w:val="none"/>
                <w:lang w:eastAsia="zh-CN"/>
              </w:rPr>
            </w:pPr>
            <w:r>
              <w:rPr>
                <w:rFonts w:hint="eastAsia"/>
                <w:b w:val="0"/>
                <w:bCs/>
                <w:color w:val="auto"/>
                <w:sz w:val="22"/>
                <w:szCs w:val="22"/>
                <w:highlight w:val="none"/>
                <w:lang w:val="en-US" w:eastAsia="zh-CN"/>
              </w:rPr>
              <w:t>2</w:t>
            </w:r>
          </w:p>
        </w:tc>
        <w:tc>
          <w:tcPr>
            <w:tcW w:w="1601"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b w:val="0"/>
                <w:bCs/>
                <w:color w:val="auto"/>
                <w:sz w:val="22"/>
                <w:szCs w:val="22"/>
                <w:highlight w:val="none"/>
              </w:rPr>
              <w:t>铜溪镇涪江重庆农安村镇供水管路有限公司（金沙水厂）水源地</w:t>
            </w:r>
          </w:p>
        </w:tc>
        <w:tc>
          <w:tcPr>
            <w:tcW w:w="1374" w:type="dxa"/>
            <w:tcMar>
              <w:left w:w="28" w:type="dxa"/>
              <w:right w:w="28" w:type="dxa"/>
            </w:tcMar>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取水口位于涪江右岸，取水规模1000m</w:t>
            </w:r>
            <w:r>
              <w:rPr>
                <w:rFonts w:hint="eastAsia"/>
                <w:b w:val="0"/>
                <w:bCs/>
                <w:color w:val="auto"/>
                <w:sz w:val="22"/>
                <w:szCs w:val="22"/>
                <w:highlight w:val="none"/>
                <w:vertAlign w:val="superscript"/>
              </w:rPr>
              <w:t>3</w:t>
            </w:r>
            <w:r>
              <w:rPr>
                <w:rFonts w:hint="eastAsia"/>
                <w:b w:val="0"/>
                <w:bCs/>
                <w:color w:val="auto"/>
                <w:sz w:val="22"/>
                <w:szCs w:val="22"/>
                <w:highlight w:val="none"/>
              </w:rPr>
              <w:t>/d</w:t>
            </w:r>
          </w:p>
        </w:tc>
        <w:tc>
          <w:tcPr>
            <w:tcW w:w="817"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合川区</w:t>
            </w:r>
          </w:p>
        </w:tc>
        <w:tc>
          <w:tcPr>
            <w:tcW w:w="1633"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取水口上游1000米至下游100米的整个水域</w:t>
            </w:r>
          </w:p>
        </w:tc>
        <w:tc>
          <w:tcPr>
            <w:tcW w:w="1858"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正常水位河道两侧边缘纵深30米范围内的陆域，但不超过分水岭，陆域沿岸长度与一级保护区水域长度相同</w:t>
            </w:r>
          </w:p>
        </w:tc>
        <w:tc>
          <w:tcPr>
            <w:tcW w:w="1745"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取水口上游1000米至3000米（包括汇入的上游支流），下游100米至300米的整个水域</w:t>
            </w:r>
          </w:p>
        </w:tc>
        <w:tc>
          <w:tcPr>
            <w:tcW w:w="1748"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正常水位河道两侧边缘纵深30米范围内的陆域，但不超过分水岭，陆域沿岸长度与二级保护区水域长度相同</w:t>
            </w:r>
          </w:p>
        </w:tc>
        <w:tc>
          <w:tcPr>
            <w:tcW w:w="2522"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位于工程</w:t>
            </w:r>
            <w:r>
              <w:rPr>
                <w:rFonts w:hint="eastAsia"/>
                <w:b w:val="0"/>
                <w:bCs/>
                <w:color w:val="auto"/>
                <w:sz w:val="22"/>
                <w:szCs w:val="22"/>
                <w:highlight w:val="none"/>
                <w:lang w:eastAsia="zh-CN"/>
              </w:rPr>
              <w:t>下</w:t>
            </w:r>
            <w:r>
              <w:rPr>
                <w:rFonts w:hint="eastAsia"/>
                <w:b w:val="0"/>
                <w:bCs/>
                <w:color w:val="auto"/>
                <w:sz w:val="22"/>
                <w:szCs w:val="22"/>
                <w:highlight w:val="none"/>
              </w:rPr>
              <w:t>游</w:t>
            </w:r>
            <w:r>
              <w:rPr>
                <w:rFonts w:hint="eastAsia"/>
                <w:b w:val="0"/>
                <w:bCs/>
                <w:color w:val="auto"/>
                <w:sz w:val="22"/>
                <w:szCs w:val="22"/>
                <w:highlight w:val="none"/>
                <w:lang w:eastAsia="zh-CN"/>
              </w:rPr>
              <w:t>，距离工程最近建设内容为下游锚地，其取水口、一级保护区和二级保护区与上游锚地相距约</w:t>
            </w:r>
            <w:r>
              <w:rPr>
                <w:rFonts w:hint="eastAsia"/>
                <w:b w:val="0"/>
                <w:bCs/>
                <w:color w:val="auto"/>
                <w:sz w:val="22"/>
                <w:szCs w:val="22"/>
                <w:highlight w:val="none"/>
                <w:lang w:val="en-US" w:eastAsia="zh-CN"/>
              </w:rPr>
              <w:t>4.52</w:t>
            </w:r>
            <w:r>
              <w:rPr>
                <w:rFonts w:hint="eastAsia"/>
                <w:b w:val="0"/>
                <w:bCs/>
                <w:color w:val="auto"/>
                <w:sz w:val="22"/>
                <w:szCs w:val="22"/>
                <w:highlight w:val="none"/>
                <w:lang w:eastAsia="zh-CN"/>
              </w:rPr>
              <w:t>km、</w:t>
            </w:r>
            <w:r>
              <w:rPr>
                <w:rFonts w:hint="eastAsia"/>
                <w:b w:val="0"/>
                <w:bCs/>
                <w:color w:val="auto"/>
                <w:sz w:val="22"/>
                <w:szCs w:val="22"/>
                <w:highlight w:val="none"/>
                <w:lang w:val="en-US" w:eastAsia="zh-CN"/>
              </w:rPr>
              <w:t>3.52</w:t>
            </w:r>
            <w:r>
              <w:rPr>
                <w:rFonts w:hint="eastAsia"/>
                <w:b w:val="0"/>
                <w:bCs/>
                <w:color w:val="auto"/>
                <w:sz w:val="22"/>
                <w:szCs w:val="22"/>
                <w:highlight w:val="none"/>
                <w:lang w:eastAsia="zh-CN"/>
              </w:rPr>
              <w:t>km 和</w:t>
            </w:r>
            <w:r>
              <w:rPr>
                <w:rFonts w:hint="eastAsia"/>
                <w:b w:val="0"/>
                <w:bCs/>
                <w:color w:val="auto"/>
                <w:sz w:val="22"/>
                <w:szCs w:val="22"/>
                <w:highlight w:val="none"/>
                <w:lang w:val="en-US" w:eastAsia="zh-CN"/>
              </w:rPr>
              <w:t>1.52</w:t>
            </w:r>
            <w:r>
              <w:rPr>
                <w:rFonts w:hint="eastAsia"/>
                <w:b w:val="0"/>
                <w:bCs/>
                <w:color w:val="auto"/>
                <w:sz w:val="22"/>
                <w:szCs w:val="22"/>
                <w:highlight w:val="none"/>
                <w:lang w:eastAsia="zh-CN"/>
              </w:rPr>
              <w:t>km</w:t>
            </w:r>
            <w:r>
              <w:rPr>
                <w:rFonts w:hint="eastAsia"/>
                <w:b w:val="0"/>
                <w:bCs/>
                <w:color w:val="auto"/>
                <w:sz w:val="22"/>
                <w:szCs w:val="22"/>
                <w:highlight w:val="non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90" w:type="dxa"/>
            <w:vAlign w:val="center"/>
          </w:tcPr>
          <w:p>
            <w:pPr>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outlineLvl w:val="3"/>
              <w:rPr>
                <w:rFonts w:hint="eastAsia" w:eastAsia="宋体"/>
                <w:b w:val="0"/>
                <w:bCs/>
                <w:color w:val="auto"/>
                <w:sz w:val="22"/>
                <w:szCs w:val="22"/>
                <w:highlight w:val="none"/>
                <w:lang w:eastAsia="zh-CN"/>
              </w:rPr>
            </w:pPr>
            <w:r>
              <w:rPr>
                <w:rFonts w:hint="eastAsia"/>
                <w:b w:val="0"/>
                <w:bCs/>
                <w:color w:val="auto"/>
                <w:sz w:val="22"/>
                <w:szCs w:val="22"/>
                <w:highlight w:val="none"/>
                <w:lang w:val="en-US" w:eastAsia="zh-CN"/>
              </w:rPr>
              <w:t>3</w:t>
            </w:r>
          </w:p>
        </w:tc>
        <w:tc>
          <w:tcPr>
            <w:tcW w:w="1601"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渭沱镇合川城区第二水源水厂水源地</w:t>
            </w:r>
          </w:p>
        </w:tc>
        <w:tc>
          <w:tcPr>
            <w:tcW w:w="1374" w:type="dxa"/>
            <w:tcMar>
              <w:left w:w="28" w:type="dxa"/>
              <w:right w:w="28" w:type="dxa"/>
            </w:tcMar>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取水口位于涪江左岸，取水规模19万m</w:t>
            </w:r>
            <w:r>
              <w:rPr>
                <w:rFonts w:hint="eastAsia"/>
                <w:b w:val="0"/>
                <w:bCs/>
                <w:color w:val="auto"/>
                <w:sz w:val="22"/>
                <w:szCs w:val="22"/>
                <w:highlight w:val="none"/>
                <w:vertAlign w:val="superscript"/>
              </w:rPr>
              <w:t>3</w:t>
            </w:r>
            <w:r>
              <w:rPr>
                <w:rFonts w:hint="eastAsia"/>
                <w:b w:val="0"/>
                <w:bCs/>
                <w:color w:val="auto"/>
                <w:sz w:val="22"/>
                <w:szCs w:val="22"/>
                <w:highlight w:val="none"/>
              </w:rPr>
              <w:t>/d</w:t>
            </w:r>
          </w:p>
        </w:tc>
        <w:tc>
          <w:tcPr>
            <w:tcW w:w="817"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合川区</w:t>
            </w:r>
          </w:p>
        </w:tc>
        <w:tc>
          <w:tcPr>
            <w:tcW w:w="1633"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取水口上游1000米至下游100米，多年平均水位对应的高程线以下的全部河道水域。</w:t>
            </w:r>
          </w:p>
        </w:tc>
        <w:tc>
          <w:tcPr>
            <w:tcW w:w="1858"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多年平均水位河道两侧边缘纵深50米范围内的陆域，但不超过流域分水岭范围，陆域沿岸长度与一级保护区水域长度相同。</w:t>
            </w:r>
          </w:p>
        </w:tc>
        <w:tc>
          <w:tcPr>
            <w:tcW w:w="1745"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取水口上游1000米至3000米，下游100米至300米，多年平均水位对应的高程线以下的全部河道水域。</w:t>
            </w:r>
          </w:p>
        </w:tc>
        <w:tc>
          <w:tcPr>
            <w:tcW w:w="1748"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多年平均水位河道两侧边缘纵深1000米范围内的陆域，但不超过流域分水岭范围，陆域沿岸长度不小于二级保护区水域长度。</w:t>
            </w:r>
          </w:p>
        </w:tc>
        <w:tc>
          <w:tcPr>
            <w:tcW w:w="2522" w:type="dxa"/>
            <w:vAlign w:val="center"/>
          </w:tcPr>
          <w:p>
            <w:pPr>
              <w:pStyle w:val="6"/>
              <w:keepLines w:val="0"/>
              <w:pageBreakBefore w:val="0"/>
              <w:widowControl w:val="0"/>
              <w:numPr>
                <w:ilvl w:val="3"/>
                <w:numId w:val="0"/>
              </w:numPr>
              <w:kinsoku/>
              <w:wordWrap/>
              <w:overflowPunct/>
              <w:topLinePunct w:val="0"/>
              <w:autoSpaceDE/>
              <w:autoSpaceDN/>
              <w:bidi w:val="0"/>
              <w:adjustRightInd w:val="0"/>
              <w:snapToGrid w:val="0"/>
              <w:spacing w:before="0" w:after="0" w:line="240" w:lineRule="auto"/>
              <w:ind w:leftChars="0"/>
              <w:jc w:val="center"/>
              <w:textAlignment w:val="auto"/>
              <w:rPr>
                <w:b w:val="0"/>
                <w:bCs/>
                <w:color w:val="auto"/>
                <w:sz w:val="22"/>
                <w:szCs w:val="22"/>
                <w:highlight w:val="none"/>
              </w:rPr>
            </w:pPr>
            <w:r>
              <w:rPr>
                <w:rFonts w:hint="eastAsia"/>
                <w:b w:val="0"/>
                <w:bCs/>
                <w:color w:val="auto"/>
                <w:sz w:val="22"/>
                <w:szCs w:val="22"/>
                <w:highlight w:val="none"/>
              </w:rPr>
              <w:t>位于工程</w:t>
            </w:r>
            <w:r>
              <w:rPr>
                <w:rFonts w:hint="eastAsia"/>
                <w:b w:val="0"/>
                <w:bCs/>
                <w:color w:val="auto"/>
                <w:sz w:val="22"/>
                <w:szCs w:val="22"/>
                <w:highlight w:val="none"/>
                <w:lang w:eastAsia="zh-CN"/>
              </w:rPr>
              <w:t>下</w:t>
            </w:r>
            <w:r>
              <w:rPr>
                <w:rFonts w:hint="eastAsia"/>
                <w:b w:val="0"/>
                <w:bCs/>
                <w:color w:val="auto"/>
                <w:sz w:val="22"/>
                <w:szCs w:val="22"/>
                <w:highlight w:val="none"/>
              </w:rPr>
              <w:t>游</w:t>
            </w:r>
            <w:r>
              <w:rPr>
                <w:rFonts w:hint="eastAsia"/>
                <w:b w:val="0"/>
                <w:bCs/>
                <w:color w:val="auto"/>
                <w:sz w:val="22"/>
                <w:szCs w:val="22"/>
                <w:highlight w:val="none"/>
                <w:lang w:eastAsia="zh-CN"/>
              </w:rPr>
              <w:t>，距离工程最近建设内容为下游锚地，其取水口、一级保护区和二级保护区与上游锚地相距约</w:t>
            </w:r>
            <w:r>
              <w:rPr>
                <w:rFonts w:hint="eastAsia"/>
                <w:b w:val="0"/>
                <w:bCs/>
                <w:color w:val="auto"/>
                <w:sz w:val="22"/>
                <w:szCs w:val="22"/>
                <w:highlight w:val="none"/>
                <w:lang w:val="en-US" w:eastAsia="zh-CN"/>
              </w:rPr>
              <w:t>6.72</w:t>
            </w:r>
            <w:r>
              <w:rPr>
                <w:rFonts w:hint="eastAsia"/>
                <w:b w:val="0"/>
                <w:bCs/>
                <w:color w:val="auto"/>
                <w:sz w:val="22"/>
                <w:szCs w:val="22"/>
                <w:highlight w:val="none"/>
                <w:lang w:eastAsia="zh-CN"/>
              </w:rPr>
              <w:t>km、</w:t>
            </w:r>
            <w:r>
              <w:rPr>
                <w:rFonts w:hint="eastAsia"/>
                <w:b w:val="0"/>
                <w:bCs/>
                <w:color w:val="auto"/>
                <w:sz w:val="22"/>
                <w:szCs w:val="22"/>
                <w:highlight w:val="none"/>
                <w:lang w:val="en-US" w:eastAsia="zh-CN"/>
              </w:rPr>
              <w:t>5.52</w:t>
            </w:r>
            <w:r>
              <w:rPr>
                <w:rFonts w:hint="eastAsia"/>
                <w:b w:val="0"/>
                <w:bCs/>
                <w:color w:val="auto"/>
                <w:sz w:val="22"/>
                <w:szCs w:val="22"/>
                <w:highlight w:val="none"/>
                <w:lang w:eastAsia="zh-CN"/>
              </w:rPr>
              <w:t>km 和</w:t>
            </w:r>
            <w:r>
              <w:rPr>
                <w:rFonts w:hint="eastAsia"/>
                <w:b w:val="0"/>
                <w:bCs/>
                <w:color w:val="auto"/>
                <w:sz w:val="22"/>
                <w:szCs w:val="22"/>
                <w:highlight w:val="none"/>
                <w:lang w:val="en-US" w:eastAsia="zh-CN"/>
              </w:rPr>
              <w:t>3.72</w:t>
            </w:r>
            <w:r>
              <w:rPr>
                <w:rFonts w:hint="eastAsia"/>
                <w:b w:val="0"/>
                <w:bCs/>
                <w:color w:val="auto"/>
                <w:sz w:val="22"/>
                <w:szCs w:val="22"/>
                <w:highlight w:val="none"/>
                <w:lang w:eastAsia="zh-CN"/>
              </w:rPr>
              <w:t>km</w:t>
            </w:r>
            <w:r>
              <w:rPr>
                <w:rFonts w:hint="eastAsia"/>
                <w:b w:val="0"/>
                <w:bCs/>
                <w:color w:val="auto"/>
                <w:sz w:val="22"/>
                <w:szCs w:val="22"/>
                <w:highlight w:val="none"/>
              </w:rPr>
              <w:t>。</w:t>
            </w:r>
          </w:p>
        </w:tc>
      </w:tr>
    </w:tbl>
    <w:p>
      <w:pPr>
        <w:pStyle w:val="36"/>
        <w:rPr>
          <w:color w:val="auto"/>
          <w:highlight w:val="none"/>
        </w:rPr>
        <w:sectPr>
          <w:pgSz w:w="16838" w:h="11906" w:orient="landscape"/>
          <w:pgMar w:top="1701" w:right="1588" w:bottom="1588" w:left="1588" w:header="1304" w:footer="1247" w:gutter="0"/>
          <w:cols w:space="425" w:num="1"/>
          <w:docGrid w:linePitch="312" w:charSpace="0"/>
        </w:sectPr>
      </w:pPr>
    </w:p>
    <w:p>
      <w:pPr>
        <w:adjustRightInd w:val="0"/>
        <w:snapToGrid w:val="0"/>
        <w:spacing w:line="240" w:lineRule="auto"/>
        <w:ind w:firstLine="520"/>
        <w:jc w:val="center"/>
        <w:rPr>
          <w:color w:val="auto"/>
          <w:szCs w:val="26"/>
          <w:highlight w:val="none"/>
        </w:rPr>
      </w:pPr>
      <w:r>
        <w:rPr>
          <w:color w:val="auto"/>
          <w:szCs w:val="26"/>
          <w:highlight w:val="none"/>
        </w:rPr>
        <w:t>表</w:t>
      </w:r>
      <w:r>
        <w:rPr>
          <w:rFonts w:hint="eastAsia"/>
          <w:color w:val="auto"/>
          <w:szCs w:val="26"/>
          <w:highlight w:val="none"/>
          <w:lang w:val="en-US" w:eastAsia="zh-CN"/>
        </w:rPr>
        <w:t>1.8.3-1</w:t>
      </w:r>
      <w:r>
        <w:rPr>
          <w:color w:val="auto"/>
          <w:szCs w:val="26"/>
          <w:highlight w:val="none"/>
        </w:rPr>
        <w:t xml:space="preserve">  </w:t>
      </w:r>
      <w:r>
        <w:rPr>
          <w:rFonts w:hint="eastAsia"/>
          <w:color w:val="auto"/>
          <w:szCs w:val="26"/>
          <w:highlight w:val="none"/>
        </w:rPr>
        <w:t>声</w:t>
      </w:r>
      <w:r>
        <w:rPr>
          <w:color w:val="auto"/>
          <w:szCs w:val="26"/>
          <w:highlight w:val="none"/>
        </w:rPr>
        <w:t>环境保护目标</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9"/>
        <w:gridCol w:w="1689"/>
        <w:gridCol w:w="966"/>
        <w:gridCol w:w="966"/>
        <w:gridCol w:w="966"/>
        <w:gridCol w:w="1245"/>
        <w:gridCol w:w="2019"/>
        <w:gridCol w:w="1295"/>
        <w:gridCol w:w="30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restart"/>
            <w:vAlign w:val="center"/>
          </w:tcPr>
          <w:p>
            <w:pPr>
              <w:adjustRightInd w:val="0"/>
              <w:snapToGrid w:val="0"/>
              <w:spacing w:line="240" w:lineRule="auto"/>
              <w:ind w:firstLine="0" w:firstLineChars="0"/>
              <w:jc w:val="center"/>
              <w:rPr>
                <w:rFonts w:hint="eastAsia" w:eastAsiaTheme="minorEastAsia"/>
                <w:color w:val="auto"/>
                <w:sz w:val="22"/>
                <w:szCs w:val="22"/>
                <w:highlight w:val="none"/>
                <w:lang w:eastAsia="zh-CN"/>
              </w:rPr>
            </w:pPr>
            <w:r>
              <w:rPr>
                <w:rFonts w:hint="eastAsia" w:eastAsiaTheme="minorEastAsia"/>
                <w:color w:val="auto"/>
                <w:sz w:val="22"/>
                <w:szCs w:val="22"/>
                <w:highlight w:val="none"/>
                <w:lang w:eastAsia="zh-CN"/>
              </w:rPr>
              <w:t>工程内容</w:t>
            </w:r>
          </w:p>
        </w:tc>
        <w:tc>
          <w:tcPr>
            <w:tcW w:w="1689" w:type="dxa"/>
            <w:vMerge w:val="restart"/>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hint="eastAsia" w:eastAsiaTheme="minorEastAsia"/>
                <w:color w:val="auto"/>
                <w:sz w:val="22"/>
                <w:szCs w:val="22"/>
                <w:highlight w:val="none"/>
              </w:rPr>
              <w:t>保护目标名称</w:t>
            </w:r>
          </w:p>
        </w:tc>
        <w:tc>
          <w:tcPr>
            <w:tcW w:w="2898" w:type="dxa"/>
            <w:gridSpan w:val="3"/>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hint="eastAsia" w:eastAsiaTheme="minorEastAsia"/>
                <w:color w:val="auto"/>
                <w:sz w:val="22"/>
                <w:szCs w:val="22"/>
                <w:highlight w:val="none"/>
              </w:rPr>
              <w:t>相对位置*</w:t>
            </w:r>
            <w:r>
              <w:rPr>
                <w:rFonts w:eastAsiaTheme="minorEastAsia"/>
                <w:color w:val="auto"/>
                <w:sz w:val="22"/>
                <w:szCs w:val="22"/>
                <w:highlight w:val="none"/>
              </w:rPr>
              <w:t>/m</w:t>
            </w:r>
          </w:p>
        </w:tc>
        <w:tc>
          <w:tcPr>
            <w:tcW w:w="1245" w:type="dxa"/>
            <w:vMerge w:val="restart"/>
            <w:vAlign w:val="center"/>
          </w:tcPr>
          <w:p>
            <w:pPr>
              <w:adjustRightInd w:val="0"/>
              <w:snapToGrid w:val="0"/>
              <w:spacing w:line="240" w:lineRule="auto"/>
              <w:ind w:firstLine="0" w:firstLineChars="0"/>
              <w:jc w:val="center"/>
              <w:rPr>
                <w:rFonts w:hint="eastAsia" w:eastAsiaTheme="minorEastAsia"/>
                <w:color w:val="auto"/>
                <w:sz w:val="22"/>
                <w:szCs w:val="22"/>
                <w:highlight w:val="none"/>
                <w:lang w:eastAsia="zh-CN"/>
              </w:rPr>
            </w:pPr>
            <w:r>
              <w:rPr>
                <w:rFonts w:hint="eastAsia" w:eastAsiaTheme="minorEastAsia"/>
                <w:color w:val="auto"/>
                <w:sz w:val="22"/>
                <w:szCs w:val="22"/>
                <w:highlight w:val="none"/>
                <w:lang w:eastAsia="zh-CN"/>
              </w:rPr>
              <w:t>方位</w:t>
            </w:r>
          </w:p>
        </w:tc>
        <w:tc>
          <w:tcPr>
            <w:tcW w:w="2019" w:type="dxa"/>
            <w:vMerge w:val="restart"/>
            <w:vAlign w:val="center"/>
          </w:tcPr>
          <w:p>
            <w:pPr>
              <w:widowControl/>
              <w:adjustRightInd w:val="0"/>
              <w:snapToGrid w:val="0"/>
              <w:spacing w:line="240" w:lineRule="auto"/>
              <w:ind w:firstLine="0" w:firstLineChars="0"/>
              <w:jc w:val="center"/>
              <w:rPr>
                <w:color w:val="auto"/>
                <w:kern w:val="0"/>
                <w:sz w:val="22"/>
                <w:highlight w:val="none"/>
              </w:rPr>
            </w:pPr>
            <w:r>
              <w:rPr>
                <w:rFonts w:hint="eastAsia" w:eastAsiaTheme="minorEastAsia"/>
                <w:color w:val="auto"/>
                <w:sz w:val="22"/>
                <w:szCs w:val="22"/>
                <w:highlight w:val="none"/>
              </w:rPr>
              <w:t>距厂界最近距离</w:t>
            </w:r>
            <w:r>
              <w:rPr>
                <w:rFonts w:eastAsiaTheme="minorEastAsia"/>
                <w:color w:val="auto"/>
                <w:sz w:val="22"/>
                <w:szCs w:val="22"/>
                <w:highlight w:val="none"/>
              </w:rPr>
              <w:t>m</w:t>
            </w:r>
          </w:p>
        </w:tc>
        <w:tc>
          <w:tcPr>
            <w:tcW w:w="1295" w:type="dxa"/>
            <w:vMerge w:val="restart"/>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hint="eastAsia" w:eastAsiaTheme="minorEastAsia"/>
                <w:color w:val="auto"/>
                <w:sz w:val="22"/>
                <w:szCs w:val="22"/>
                <w:highlight w:val="none"/>
              </w:rPr>
              <w:t>噪声执行标准</w:t>
            </w:r>
          </w:p>
        </w:tc>
        <w:tc>
          <w:tcPr>
            <w:tcW w:w="3043" w:type="dxa"/>
            <w:vMerge w:val="restart"/>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hint="eastAsia" w:eastAsiaTheme="minorEastAsia"/>
                <w:color w:val="auto"/>
                <w:sz w:val="22"/>
                <w:szCs w:val="22"/>
                <w:highlight w:val="none"/>
              </w:rPr>
              <w:t>保护目标情况说明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adjustRightInd w:val="0"/>
              <w:snapToGrid w:val="0"/>
              <w:spacing w:line="240" w:lineRule="auto"/>
              <w:ind w:firstLine="0" w:firstLineChars="0"/>
              <w:jc w:val="center"/>
              <w:rPr>
                <w:rFonts w:eastAsiaTheme="minorEastAsia"/>
                <w:color w:val="auto"/>
                <w:sz w:val="22"/>
                <w:szCs w:val="22"/>
                <w:highlight w:val="none"/>
              </w:rPr>
            </w:pPr>
          </w:p>
        </w:tc>
        <w:tc>
          <w:tcPr>
            <w:tcW w:w="1689" w:type="dxa"/>
            <w:vMerge w:val="continue"/>
            <w:vAlign w:val="center"/>
          </w:tcPr>
          <w:p>
            <w:pPr>
              <w:adjustRightInd w:val="0"/>
              <w:snapToGrid w:val="0"/>
              <w:spacing w:line="240" w:lineRule="auto"/>
              <w:ind w:firstLine="0" w:firstLineChars="0"/>
              <w:jc w:val="center"/>
              <w:rPr>
                <w:rFonts w:eastAsiaTheme="minorEastAsia"/>
                <w:color w:val="auto"/>
                <w:sz w:val="22"/>
                <w:szCs w:val="22"/>
                <w:highlight w:val="none"/>
              </w:rPr>
            </w:pPr>
          </w:p>
        </w:tc>
        <w:tc>
          <w:tcPr>
            <w:tcW w:w="966"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X</w:t>
            </w:r>
          </w:p>
        </w:tc>
        <w:tc>
          <w:tcPr>
            <w:tcW w:w="966"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hint="eastAsia" w:eastAsiaTheme="minorEastAsia"/>
                <w:color w:val="auto"/>
                <w:sz w:val="22"/>
                <w:szCs w:val="22"/>
                <w:highlight w:val="none"/>
              </w:rPr>
              <w:t>Y</w:t>
            </w:r>
          </w:p>
        </w:tc>
        <w:tc>
          <w:tcPr>
            <w:tcW w:w="966"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Z</w:t>
            </w:r>
          </w:p>
        </w:tc>
        <w:tc>
          <w:tcPr>
            <w:tcW w:w="1245" w:type="dxa"/>
            <w:vMerge w:val="continue"/>
            <w:vAlign w:val="center"/>
          </w:tcPr>
          <w:p>
            <w:pPr>
              <w:adjustRightInd w:val="0"/>
              <w:snapToGrid w:val="0"/>
              <w:spacing w:line="240" w:lineRule="auto"/>
              <w:ind w:firstLine="0" w:firstLineChars="0"/>
              <w:jc w:val="center"/>
              <w:rPr>
                <w:rFonts w:eastAsiaTheme="minorEastAsia"/>
                <w:color w:val="auto"/>
                <w:sz w:val="22"/>
                <w:szCs w:val="22"/>
                <w:highlight w:val="none"/>
              </w:rPr>
            </w:pPr>
          </w:p>
        </w:tc>
        <w:tc>
          <w:tcPr>
            <w:tcW w:w="2019" w:type="dxa"/>
            <w:vMerge w:val="continue"/>
            <w:vAlign w:val="center"/>
          </w:tcPr>
          <w:p>
            <w:pPr>
              <w:adjustRightInd w:val="0"/>
              <w:snapToGrid w:val="0"/>
              <w:spacing w:line="240" w:lineRule="auto"/>
              <w:ind w:firstLine="0" w:firstLineChars="0"/>
              <w:jc w:val="center"/>
              <w:rPr>
                <w:rFonts w:eastAsiaTheme="minorEastAsia"/>
                <w:color w:val="auto"/>
                <w:sz w:val="22"/>
                <w:szCs w:val="22"/>
                <w:highlight w:val="none"/>
              </w:rPr>
            </w:pPr>
          </w:p>
        </w:tc>
        <w:tc>
          <w:tcPr>
            <w:tcW w:w="1295" w:type="dxa"/>
            <w:vMerge w:val="continue"/>
            <w:vAlign w:val="center"/>
          </w:tcPr>
          <w:p>
            <w:pPr>
              <w:adjustRightInd w:val="0"/>
              <w:snapToGrid w:val="0"/>
              <w:spacing w:line="240" w:lineRule="auto"/>
              <w:ind w:firstLine="0" w:firstLineChars="0"/>
              <w:jc w:val="center"/>
              <w:rPr>
                <w:rFonts w:eastAsiaTheme="minorEastAsia"/>
                <w:color w:val="auto"/>
                <w:sz w:val="22"/>
                <w:szCs w:val="22"/>
                <w:highlight w:val="none"/>
              </w:rPr>
            </w:pPr>
          </w:p>
        </w:tc>
        <w:tc>
          <w:tcPr>
            <w:tcW w:w="3043" w:type="dxa"/>
            <w:vMerge w:val="continue"/>
            <w:vAlign w:val="center"/>
          </w:tcPr>
          <w:p>
            <w:pPr>
              <w:adjustRightInd w:val="0"/>
              <w:snapToGrid w:val="0"/>
              <w:spacing w:line="240" w:lineRule="auto"/>
              <w:ind w:firstLine="0" w:firstLineChars="0"/>
              <w:jc w:val="center"/>
              <w:rPr>
                <w:rFonts w:eastAsiaTheme="minorEastAsia"/>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restart"/>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eastAsia="zh-CN"/>
              </w:rPr>
              <w:t>船闸、</w:t>
            </w:r>
            <w:r>
              <w:rPr>
                <w:rFonts w:hint="eastAsia"/>
                <w:color w:val="auto"/>
                <w:kern w:val="0"/>
                <w:sz w:val="22"/>
                <w:highlight w:val="none"/>
                <w:lang w:eastAsia="zh-CN"/>
              </w:rPr>
              <w:t>疏浚区及</w:t>
            </w:r>
            <w:r>
              <w:rPr>
                <w:rFonts w:hint="eastAsia"/>
                <w:color w:val="auto"/>
                <w:kern w:val="0"/>
                <w:sz w:val="22"/>
                <w:highlight w:val="none"/>
                <w:lang w:val="en-US" w:eastAsia="zh-CN"/>
              </w:rPr>
              <w:t>1#弃渣场</w:t>
            </w:r>
          </w:p>
        </w:tc>
        <w:tc>
          <w:tcPr>
            <w:tcW w:w="1689"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1#</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152</w:t>
            </w:r>
          </w:p>
        </w:tc>
        <w:tc>
          <w:tcPr>
            <w:tcW w:w="966"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31</w:t>
            </w:r>
          </w:p>
        </w:tc>
        <w:tc>
          <w:tcPr>
            <w:tcW w:w="966"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15</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val="en-US" w:eastAsia="zh-CN"/>
              </w:rPr>
              <w:t>E</w:t>
            </w:r>
          </w:p>
        </w:tc>
        <w:tc>
          <w:tcPr>
            <w:tcW w:w="2019" w:type="dxa"/>
            <w:vAlign w:val="center"/>
          </w:tcPr>
          <w:p>
            <w:pPr>
              <w:widowControl/>
              <w:adjustRightInd w:val="0"/>
              <w:snapToGrid w:val="0"/>
              <w:spacing w:line="240" w:lineRule="auto"/>
              <w:ind w:firstLine="0" w:firstLineChars="0"/>
              <w:jc w:val="center"/>
              <w:rPr>
                <w:rFonts w:hint="eastAsia" w:eastAsia="宋体"/>
                <w:color w:val="auto"/>
                <w:kern w:val="0"/>
                <w:sz w:val="22"/>
                <w:highlight w:val="none"/>
                <w:lang w:val="en-US" w:eastAsia="zh-CN"/>
              </w:rPr>
            </w:pPr>
            <w:r>
              <w:rPr>
                <w:rFonts w:hint="eastAsia"/>
                <w:color w:val="auto"/>
                <w:kern w:val="0"/>
                <w:sz w:val="22"/>
                <w:highlight w:val="none"/>
                <w:lang w:val="en-US" w:eastAsia="zh-CN"/>
              </w:rPr>
              <w:t>8</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kern w:val="0"/>
                <w:sz w:val="22"/>
                <w:highlight w:val="none"/>
              </w:rPr>
            </w:pPr>
            <w:r>
              <w:rPr>
                <w:rFonts w:hint="eastAsia" w:eastAsiaTheme="minorEastAsia"/>
                <w:color w:val="auto"/>
                <w:sz w:val="22"/>
                <w:szCs w:val="22"/>
                <w:highlight w:val="none"/>
                <w:lang w:val="en-US" w:eastAsia="zh-CN"/>
              </w:rPr>
              <w:t>5</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20</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color w:val="auto"/>
                <w:sz w:val="22"/>
                <w:szCs w:val="22"/>
                <w:highlight w:val="none"/>
              </w:rPr>
            </w:pPr>
          </w:p>
        </w:tc>
        <w:tc>
          <w:tcPr>
            <w:tcW w:w="1689"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2#</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83</w:t>
            </w:r>
          </w:p>
        </w:tc>
        <w:tc>
          <w:tcPr>
            <w:tcW w:w="966"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-137</w:t>
            </w:r>
          </w:p>
        </w:tc>
        <w:tc>
          <w:tcPr>
            <w:tcW w:w="966"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19</w:t>
            </w:r>
          </w:p>
        </w:tc>
        <w:tc>
          <w:tcPr>
            <w:tcW w:w="1245"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SE</w:t>
            </w:r>
          </w:p>
        </w:tc>
        <w:tc>
          <w:tcPr>
            <w:tcW w:w="2019" w:type="dxa"/>
            <w:vAlign w:val="center"/>
          </w:tcPr>
          <w:p>
            <w:pPr>
              <w:widowControl/>
              <w:adjustRightInd w:val="0"/>
              <w:snapToGrid w:val="0"/>
              <w:spacing w:line="240" w:lineRule="auto"/>
              <w:ind w:firstLine="0" w:firstLineChars="0"/>
              <w:jc w:val="center"/>
              <w:rPr>
                <w:rFonts w:hint="eastAsia" w:eastAsia="宋体"/>
                <w:color w:val="auto"/>
                <w:kern w:val="0"/>
                <w:sz w:val="22"/>
                <w:highlight w:val="none"/>
                <w:lang w:val="en-US" w:eastAsia="zh-CN"/>
              </w:rPr>
            </w:pPr>
            <w:r>
              <w:rPr>
                <w:rFonts w:hint="eastAsia"/>
                <w:color w:val="auto"/>
                <w:kern w:val="0"/>
                <w:sz w:val="22"/>
                <w:highlight w:val="none"/>
                <w:lang w:val="en-US" w:eastAsia="zh-CN"/>
              </w:rPr>
              <w:t>6</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kern w:val="0"/>
                <w:sz w:val="22"/>
                <w:highlight w:val="none"/>
              </w:rPr>
            </w:pPr>
            <w:r>
              <w:rPr>
                <w:rFonts w:hint="eastAsia" w:eastAsiaTheme="minorEastAsia"/>
                <w:color w:val="auto"/>
                <w:sz w:val="22"/>
                <w:szCs w:val="22"/>
                <w:highlight w:val="none"/>
                <w:lang w:val="en-US" w:eastAsia="zh-CN"/>
              </w:rPr>
              <w:t>2</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8</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color w:val="auto"/>
                <w:sz w:val="22"/>
                <w:szCs w:val="22"/>
                <w:highlight w:val="none"/>
              </w:rPr>
            </w:pPr>
          </w:p>
        </w:tc>
        <w:tc>
          <w:tcPr>
            <w:tcW w:w="1689"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3#</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259</w:t>
            </w:r>
          </w:p>
        </w:tc>
        <w:tc>
          <w:tcPr>
            <w:tcW w:w="966"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88</w:t>
            </w:r>
          </w:p>
        </w:tc>
        <w:tc>
          <w:tcPr>
            <w:tcW w:w="966"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6</w:t>
            </w:r>
          </w:p>
        </w:tc>
        <w:tc>
          <w:tcPr>
            <w:tcW w:w="1245"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E</w:t>
            </w:r>
          </w:p>
        </w:tc>
        <w:tc>
          <w:tcPr>
            <w:tcW w:w="2019" w:type="dxa"/>
            <w:vAlign w:val="center"/>
          </w:tcPr>
          <w:p>
            <w:pPr>
              <w:widowControl/>
              <w:adjustRightInd w:val="0"/>
              <w:snapToGrid w:val="0"/>
              <w:spacing w:line="240" w:lineRule="auto"/>
              <w:ind w:firstLine="0" w:firstLineChars="0"/>
              <w:jc w:val="center"/>
              <w:rPr>
                <w:rFonts w:hint="default" w:eastAsia="宋体"/>
                <w:color w:val="auto"/>
                <w:kern w:val="0"/>
                <w:sz w:val="22"/>
                <w:highlight w:val="none"/>
                <w:lang w:val="en-US" w:eastAsia="zh-CN"/>
              </w:rPr>
            </w:pPr>
            <w:r>
              <w:rPr>
                <w:rFonts w:hint="eastAsia"/>
                <w:color w:val="auto"/>
                <w:kern w:val="0"/>
                <w:sz w:val="22"/>
                <w:highlight w:val="none"/>
                <w:lang w:val="en-US" w:eastAsia="zh-CN"/>
              </w:rPr>
              <w:t>88</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kern w:val="0"/>
                <w:sz w:val="22"/>
                <w:highlight w:val="none"/>
              </w:rPr>
            </w:pPr>
            <w:r>
              <w:rPr>
                <w:rFonts w:hint="eastAsia" w:eastAsiaTheme="minorEastAsia"/>
                <w:color w:val="auto"/>
                <w:sz w:val="22"/>
                <w:szCs w:val="22"/>
                <w:highlight w:val="none"/>
                <w:lang w:val="en-US" w:eastAsia="zh-CN"/>
              </w:rPr>
              <w:t>2</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8</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color w:val="auto"/>
                <w:sz w:val="22"/>
                <w:szCs w:val="22"/>
                <w:highlight w:val="none"/>
              </w:rPr>
            </w:pPr>
          </w:p>
        </w:tc>
        <w:tc>
          <w:tcPr>
            <w:tcW w:w="1689"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4#</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146</w:t>
            </w:r>
          </w:p>
        </w:tc>
        <w:tc>
          <w:tcPr>
            <w:tcW w:w="966"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180</w:t>
            </w:r>
          </w:p>
        </w:tc>
        <w:tc>
          <w:tcPr>
            <w:tcW w:w="966"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6</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E</w:t>
            </w:r>
          </w:p>
        </w:tc>
        <w:tc>
          <w:tcPr>
            <w:tcW w:w="2019" w:type="dxa"/>
            <w:vAlign w:val="center"/>
          </w:tcPr>
          <w:p>
            <w:pPr>
              <w:widowControl/>
              <w:adjustRightInd w:val="0"/>
              <w:snapToGrid w:val="0"/>
              <w:spacing w:line="240" w:lineRule="auto"/>
              <w:ind w:firstLine="0" w:firstLineChars="0"/>
              <w:jc w:val="center"/>
              <w:rPr>
                <w:rFonts w:hint="default" w:eastAsia="宋体"/>
                <w:color w:val="auto"/>
                <w:kern w:val="0"/>
                <w:sz w:val="22"/>
                <w:highlight w:val="none"/>
                <w:lang w:val="en-US" w:eastAsia="zh-CN"/>
              </w:rPr>
            </w:pPr>
            <w:r>
              <w:rPr>
                <w:rFonts w:hint="eastAsia"/>
                <w:color w:val="auto"/>
                <w:kern w:val="0"/>
                <w:sz w:val="22"/>
                <w:highlight w:val="none"/>
                <w:lang w:val="en-US" w:eastAsia="zh-CN"/>
              </w:rPr>
              <w:t>34</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kern w:val="0"/>
                <w:sz w:val="22"/>
                <w:highlight w:val="none"/>
              </w:rPr>
            </w:pPr>
            <w:r>
              <w:rPr>
                <w:rFonts w:hint="eastAsia" w:eastAsiaTheme="minorEastAsia"/>
                <w:color w:val="auto"/>
                <w:sz w:val="22"/>
                <w:szCs w:val="22"/>
                <w:highlight w:val="none"/>
                <w:lang w:val="en-US" w:eastAsia="zh-CN"/>
              </w:rPr>
              <w:t>2</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8</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1689"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5#</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232</w:t>
            </w:r>
          </w:p>
        </w:tc>
        <w:tc>
          <w:tcPr>
            <w:tcW w:w="966"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238</w:t>
            </w:r>
          </w:p>
        </w:tc>
        <w:tc>
          <w:tcPr>
            <w:tcW w:w="966"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5</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E</w:t>
            </w:r>
          </w:p>
        </w:tc>
        <w:tc>
          <w:tcPr>
            <w:tcW w:w="2019" w:type="dxa"/>
            <w:vAlign w:val="center"/>
          </w:tcPr>
          <w:p>
            <w:pPr>
              <w:widowControl/>
              <w:adjustRightInd w:val="0"/>
              <w:snapToGrid w:val="0"/>
              <w:spacing w:line="240" w:lineRule="auto"/>
              <w:ind w:firstLine="0" w:firstLineChars="0"/>
              <w:jc w:val="center"/>
              <w:rPr>
                <w:rFonts w:hint="default" w:eastAsia="宋体"/>
                <w:color w:val="auto"/>
                <w:kern w:val="0"/>
                <w:sz w:val="22"/>
                <w:highlight w:val="none"/>
                <w:lang w:val="en-US" w:eastAsia="zh-CN"/>
              </w:rPr>
            </w:pPr>
            <w:r>
              <w:rPr>
                <w:rFonts w:hint="eastAsia"/>
                <w:color w:val="auto"/>
                <w:kern w:val="0"/>
                <w:sz w:val="22"/>
                <w:highlight w:val="none"/>
                <w:lang w:val="en-US" w:eastAsia="zh-CN"/>
              </w:rPr>
              <w:t>135</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kern w:val="0"/>
                <w:sz w:val="22"/>
                <w:highlight w:val="none"/>
              </w:rPr>
            </w:pPr>
            <w:r>
              <w:rPr>
                <w:rFonts w:hint="eastAsia" w:eastAsiaTheme="minorEastAsia"/>
                <w:color w:val="auto"/>
                <w:sz w:val="22"/>
                <w:szCs w:val="22"/>
                <w:highlight w:val="none"/>
                <w:lang w:val="en-US" w:eastAsia="zh-CN"/>
              </w:rPr>
              <w:t>6</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24</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lang w:eastAsia="zh-CN"/>
              </w:rPr>
            </w:pPr>
          </w:p>
        </w:tc>
        <w:tc>
          <w:tcPr>
            <w:tcW w:w="1689"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color w:val="auto"/>
                <w:kern w:val="0"/>
                <w:sz w:val="22"/>
                <w:highlight w:val="none"/>
              </w:rPr>
              <w:t>6#</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130</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281</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2</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E</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28</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3</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12</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1689"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color w:val="auto"/>
                <w:kern w:val="0"/>
                <w:sz w:val="22"/>
                <w:highlight w:val="none"/>
              </w:rPr>
              <w:t>7#</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148</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390</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-4</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E</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33</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6</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24</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1689"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8</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370</w:t>
            </w:r>
          </w:p>
        </w:tc>
        <w:tc>
          <w:tcPr>
            <w:tcW w:w="966"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128</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1</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E</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122（下游锚地）</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7</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28</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1689"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9</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279</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389</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-4</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E</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150</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2</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8</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1689"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10</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387</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-30</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-4</w:t>
            </w:r>
          </w:p>
        </w:tc>
        <w:tc>
          <w:tcPr>
            <w:tcW w:w="1245" w:type="dxa"/>
            <w:vAlign w:val="center"/>
          </w:tcPr>
          <w:p>
            <w:pPr>
              <w:widowControl/>
              <w:adjustRightInd w:val="0"/>
              <w:snapToGrid w:val="0"/>
              <w:spacing w:line="240" w:lineRule="auto"/>
              <w:ind w:firstLine="0" w:firstLineChars="0"/>
              <w:jc w:val="center"/>
              <w:rPr>
                <w:rFonts w:hint="default"/>
                <w:color w:val="auto"/>
                <w:sz w:val="22"/>
                <w:szCs w:val="22"/>
                <w:highlight w:val="none"/>
                <w:lang w:val="en-US" w:eastAsia="zh-CN"/>
              </w:rPr>
            </w:pPr>
            <w:r>
              <w:rPr>
                <w:rFonts w:hint="eastAsia"/>
                <w:color w:val="auto"/>
                <w:sz w:val="22"/>
                <w:szCs w:val="22"/>
                <w:highlight w:val="none"/>
                <w:lang w:val="en-US" w:eastAsia="zh-CN"/>
              </w:rPr>
              <w:t>E</w:t>
            </w:r>
          </w:p>
        </w:tc>
        <w:tc>
          <w:tcPr>
            <w:tcW w:w="2019" w:type="dxa"/>
            <w:vAlign w:val="center"/>
          </w:tcPr>
          <w:p>
            <w:pPr>
              <w:widowControl/>
              <w:adjustRightInd w:val="0"/>
              <w:snapToGrid w:val="0"/>
              <w:spacing w:line="240" w:lineRule="auto"/>
              <w:ind w:firstLine="0" w:firstLineChars="0"/>
              <w:jc w:val="center"/>
              <w:rPr>
                <w:rFonts w:hint="default"/>
                <w:color w:val="auto"/>
                <w:sz w:val="22"/>
                <w:szCs w:val="22"/>
                <w:highlight w:val="none"/>
                <w:lang w:val="en-US" w:eastAsia="zh-CN"/>
              </w:rPr>
            </w:pPr>
            <w:r>
              <w:rPr>
                <w:rFonts w:hint="eastAsia"/>
                <w:color w:val="auto"/>
                <w:sz w:val="22"/>
                <w:szCs w:val="22"/>
                <w:highlight w:val="none"/>
                <w:lang w:val="en-US" w:eastAsia="zh-CN"/>
              </w:rPr>
              <w:t>20（下游锚地）</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5</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20</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1689"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11</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215</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-447</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27</w:t>
            </w:r>
          </w:p>
        </w:tc>
        <w:tc>
          <w:tcPr>
            <w:tcW w:w="1245"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SE</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72（1#弃渣场）</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hint="eastAsia" w:eastAsiaTheme="minorEastAsia"/>
                <w:color w:val="auto"/>
                <w:sz w:val="22"/>
                <w:szCs w:val="22"/>
                <w:highlight w:val="none"/>
                <w:lang w:val="en-US" w:eastAsia="zh-CN"/>
              </w:rPr>
              <w:t>2类</w:t>
            </w:r>
          </w:p>
        </w:tc>
        <w:tc>
          <w:tcPr>
            <w:tcW w:w="3043"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4户，</w:t>
            </w:r>
            <w:r>
              <w:rPr>
                <w:rFonts w:hint="eastAsia" w:eastAsiaTheme="minorEastAsia"/>
                <w:color w:val="auto"/>
                <w:sz w:val="22"/>
                <w:szCs w:val="22"/>
                <w:highlight w:val="none"/>
              </w:rPr>
              <w:t>约</w:t>
            </w:r>
            <w:r>
              <w:rPr>
                <w:rFonts w:hint="eastAsia"/>
                <w:color w:val="auto"/>
                <w:sz w:val="22"/>
                <w:szCs w:val="22"/>
                <w:highlight w:val="none"/>
                <w:lang w:val="en-US" w:eastAsia="zh-CN"/>
              </w:rPr>
              <w:t>16人，2F砖房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12</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210</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-817</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-4</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S</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50（上游疏浚区）</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hint="eastAsia" w:eastAsiaTheme="minorEastAsia"/>
                <w:color w:val="auto"/>
                <w:sz w:val="22"/>
                <w:szCs w:val="22"/>
                <w:highlight w:val="none"/>
                <w:lang w:val="en-US" w:eastAsia="zh-CN"/>
              </w:rPr>
              <w:t>4a</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4</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16</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13</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362</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-770</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22</w:t>
            </w:r>
          </w:p>
        </w:tc>
        <w:tc>
          <w:tcPr>
            <w:tcW w:w="124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w:t>
            </w:r>
          </w:p>
        </w:tc>
        <w:tc>
          <w:tcPr>
            <w:tcW w:w="20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192（上游疏浚区）</w:t>
            </w:r>
          </w:p>
        </w:tc>
        <w:tc>
          <w:tcPr>
            <w:tcW w:w="1295" w:type="dxa"/>
            <w:vAlign w:val="center"/>
          </w:tcPr>
          <w:p>
            <w:pPr>
              <w:adjustRightInd w:val="0"/>
              <w:snapToGrid w:val="0"/>
              <w:spacing w:line="240" w:lineRule="auto"/>
              <w:ind w:firstLine="0" w:firstLineChars="0"/>
              <w:jc w:val="center"/>
              <w:rPr>
                <w:rFonts w:hint="eastAsia" w:eastAsiaTheme="minorEastAsia"/>
                <w:color w:val="auto"/>
                <w:sz w:val="22"/>
                <w:szCs w:val="22"/>
                <w:highlight w:val="none"/>
                <w:lang w:val="en-US" w:eastAsia="zh-CN"/>
              </w:rPr>
            </w:pPr>
            <w:r>
              <w:rPr>
                <w:rFonts w:hint="eastAsia" w:eastAsiaTheme="minorEastAsia"/>
                <w:color w:val="auto"/>
                <w:sz w:val="22"/>
                <w:szCs w:val="22"/>
                <w:highlight w:val="none"/>
                <w:lang w:val="en-US" w:eastAsia="zh-CN"/>
              </w:rPr>
              <w:t>2类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7</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28</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14#散户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344</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-1054</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-2</w:t>
            </w:r>
          </w:p>
        </w:tc>
        <w:tc>
          <w:tcPr>
            <w:tcW w:w="1245"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S</w:t>
            </w:r>
          </w:p>
        </w:tc>
        <w:tc>
          <w:tcPr>
            <w:tcW w:w="2019"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lang w:val="en-US" w:eastAsia="zh-CN"/>
              </w:rPr>
              <w:t>148（上游疏浚区）</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hint="eastAsia" w:eastAsiaTheme="minorEastAsia"/>
                <w:color w:val="auto"/>
                <w:sz w:val="22"/>
                <w:szCs w:val="22"/>
                <w:highlight w:val="none"/>
                <w:lang w:val="en-US" w:eastAsia="zh-CN"/>
              </w:rPr>
              <w:t>4a</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5</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20</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15#散户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-166</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-916</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-9</w:t>
            </w:r>
          </w:p>
        </w:tc>
        <w:tc>
          <w:tcPr>
            <w:tcW w:w="124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SW</w:t>
            </w:r>
          </w:p>
        </w:tc>
        <w:tc>
          <w:tcPr>
            <w:tcW w:w="2019"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168（上游疏浚区）</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2</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8</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16#散户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sz w:val="22"/>
                <w:szCs w:val="22"/>
                <w:highlight w:val="none"/>
                <w:lang w:val="en-US"/>
              </w:rPr>
            </w:pPr>
            <w:r>
              <w:rPr>
                <w:rFonts w:hint="eastAsia" w:ascii="Times New Roman" w:hAnsi="Times New Roman" w:eastAsia="宋体" w:cs="Times New Roman"/>
                <w:color w:val="auto"/>
                <w:sz w:val="22"/>
                <w:szCs w:val="22"/>
                <w:highlight w:val="none"/>
                <w:lang w:val="en-US" w:eastAsia="zh-CN"/>
              </w:rPr>
              <w:t>-</w:t>
            </w:r>
            <w:r>
              <w:rPr>
                <w:rFonts w:hint="eastAsia" w:cs="Times New Roman"/>
                <w:color w:val="auto"/>
                <w:sz w:val="22"/>
                <w:szCs w:val="22"/>
                <w:highlight w:val="none"/>
                <w:lang w:val="en-US" w:eastAsia="zh-CN"/>
              </w:rPr>
              <w:t>550</w:t>
            </w:r>
          </w:p>
        </w:tc>
        <w:tc>
          <w:tcPr>
            <w:tcW w:w="966"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sz w:val="22"/>
                <w:szCs w:val="22"/>
                <w:highlight w:val="none"/>
                <w:lang w:val="en-US"/>
              </w:rPr>
            </w:pPr>
            <w:r>
              <w:rPr>
                <w:rFonts w:hint="eastAsia" w:cs="Times New Roman"/>
                <w:color w:val="auto"/>
                <w:sz w:val="22"/>
                <w:szCs w:val="22"/>
                <w:highlight w:val="none"/>
                <w:lang w:val="en-US" w:eastAsia="zh-CN"/>
              </w:rPr>
              <w:t>-100</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eastAsia="zh-CN"/>
              </w:rPr>
              <w:t>-8</w:t>
            </w:r>
          </w:p>
        </w:tc>
        <w:tc>
          <w:tcPr>
            <w:tcW w:w="124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SW</w:t>
            </w:r>
          </w:p>
        </w:tc>
        <w:tc>
          <w:tcPr>
            <w:tcW w:w="2019"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198（上游疏浚区）</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5</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20</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color w:val="auto"/>
                <w:kern w:val="0"/>
                <w:sz w:val="22"/>
                <w:highlight w:val="none"/>
              </w:rPr>
            </w:pPr>
            <w:r>
              <w:rPr>
                <w:rFonts w:hint="eastAsia"/>
                <w:color w:val="auto"/>
                <w:kern w:val="0"/>
                <w:sz w:val="22"/>
                <w:highlight w:val="none"/>
              </w:rPr>
              <w:t>17#散户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 xml:space="preserve">-119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 xml:space="preserve">-1392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 xml:space="preserve">-6 </w:t>
            </w:r>
          </w:p>
        </w:tc>
        <w:tc>
          <w:tcPr>
            <w:tcW w:w="124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SW</w:t>
            </w:r>
          </w:p>
        </w:tc>
        <w:tc>
          <w:tcPr>
            <w:tcW w:w="2019"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178（上游锚地）</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4</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16</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restart"/>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r>
              <w:rPr>
                <w:rFonts w:hint="eastAsia"/>
                <w:color w:val="auto"/>
                <w:kern w:val="0"/>
                <w:sz w:val="22"/>
                <w:highlight w:val="none"/>
                <w:lang w:val="en-US" w:eastAsia="zh-CN"/>
              </w:rPr>
              <w:t>2#</w:t>
            </w:r>
            <w:r>
              <w:rPr>
                <w:rFonts w:hint="eastAsia"/>
                <w:color w:val="auto"/>
                <w:kern w:val="0"/>
                <w:sz w:val="22"/>
                <w:highlight w:val="none"/>
                <w:lang w:eastAsia="zh-CN"/>
              </w:rPr>
              <w:t>弃渣场</w:t>
            </w: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18#散户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52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174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29 </w:t>
            </w:r>
          </w:p>
        </w:tc>
        <w:tc>
          <w:tcPr>
            <w:tcW w:w="124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N</w:t>
            </w:r>
          </w:p>
        </w:tc>
        <w:tc>
          <w:tcPr>
            <w:tcW w:w="20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18</w:t>
            </w:r>
          </w:p>
        </w:tc>
        <w:tc>
          <w:tcPr>
            <w:tcW w:w="1295" w:type="dxa"/>
            <w:vAlign w:val="center"/>
          </w:tcPr>
          <w:p>
            <w:pPr>
              <w:adjustRightInd w:val="0"/>
              <w:snapToGrid w:val="0"/>
              <w:spacing w:line="240" w:lineRule="auto"/>
              <w:ind w:firstLine="0" w:firstLineChars="0"/>
              <w:jc w:val="center"/>
              <w:rPr>
                <w:rFonts w:ascii="Times New Roman" w:hAnsi="Times New Roman" w:cs="Times New Roman" w:eastAsiaTheme="minorEastAsia"/>
                <w:color w:val="auto"/>
                <w:kern w:val="2"/>
                <w:sz w:val="22"/>
                <w:szCs w:val="22"/>
                <w:highlight w:val="none"/>
                <w:lang w:val="en-US" w:eastAsia="zh-CN" w:bidi="ar-SA"/>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rFonts w:hint="eastAsia" w:eastAsiaTheme="minorEastAsia"/>
                <w:color w:val="auto"/>
                <w:sz w:val="22"/>
                <w:szCs w:val="22"/>
                <w:highlight w:val="none"/>
                <w:lang w:val="en-US" w:eastAsia="zh-CN"/>
              </w:rPr>
              <w:t>2</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8</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19#散户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197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128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31 </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N</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27</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4</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16</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20</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377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173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30 </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N</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12</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10</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40</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21</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436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268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37 </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N</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115</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2</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8</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22</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516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131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39 </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N</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30</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12</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48</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23</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627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283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43 </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N</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47</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3</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12</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24</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779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374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53 </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N</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114</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3</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12</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25</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1102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528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57 </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N</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116</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4</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16</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26</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1163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364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53 </w:t>
            </w:r>
          </w:p>
        </w:tc>
        <w:tc>
          <w:tcPr>
            <w:tcW w:w="1245"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E</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38</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4</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16</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27</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1049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206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46 </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E</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42</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3</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12</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28</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780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-26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43 </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E</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70</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12</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48</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29</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618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-362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38 </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S</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32</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3</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12</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30</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380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-193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26 </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S</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20</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8</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32</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31#散户居民点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801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-468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28 </w:t>
            </w:r>
          </w:p>
        </w:tc>
        <w:tc>
          <w:tcPr>
            <w:tcW w:w="1245"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S</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15</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12</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48</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b/>
                <w:bCs/>
                <w:color w:val="auto"/>
                <w:kern w:val="0"/>
                <w:sz w:val="22"/>
                <w:szCs w:val="24"/>
                <w:highlight w:val="none"/>
                <w:lang w:val="en-US" w:eastAsia="zh-CN" w:bidi="ar-SA"/>
              </w:rPr>
            </w:pPr>
            <w:r>
              <w:rPr>
                <w:rFonts w:hint="eastAsia"/>
                <w:color w:val="auto"/>
                <w:kern w:val="0"/>
                <w:sz w:val="22"/>
                <w:highlight w:val="none"/>
                <w:lang w:val="en-US" w:eastAsia="zh-CN"/>
              </w:rPr>
              <w:t>32</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-149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20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27 </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W</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40</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5</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20</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33</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-80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20 </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S</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28</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6</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24</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34</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-68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22 </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S</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32</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3</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12</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default"/>
                <w:color w:val="auto"/>
                <w:kern w:val="0"/>
                <w:sz w:val="22"/>
                <w:highlight w:val="none"/>
                <w:lang w:val="en-US" w:eastAsia="zh-CN"/>
              </w:rPr>
            </w:pPr>
            <w:r>
              <w:rPr>
                <w:rFonts w:hint="eastAsia"/>
                <w:color w:val="auto"/>
                <w:kern w:val="0"/>
                <w:sz w:val="22"/>
                <w:highlight w:val="none"/>
                <w:lang w:val="en-US" w:eastAsia="zh-CN"/>
              </w:rPr>
              <w:t>35</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31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-108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23 </w:t>
            </w:r>
          </w:p>
        </w:tc>
        <w:tc>
          <w:tcPr>
            <w:tcW w:w="1245" w:type="dxa"/>
            <w:vAlign w:val="center"/>
          </w:tcPr>
          <w:p>
            <w:pPr>
              <w:widowControl/>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S</w:t>
            </w:r>
          </w:p>
        </w:tc>
        <w:tc>
          <w:tcPr>
            <w:tcW w:w="2019" w:type="dxa"/>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35</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widowControl/>
              <w:adjustRightInd w:val="0"/>
              <w:snapToGrid w:val="0"/>
              <w:spacing w:line="240" w:lineRule="auto"/>
              <w:ind w:firstLine="0" w:firstLineChars="0"/>
              <w:jc w:val="center"/>
              <w:rPr>
                <w:color w:val="auto"/>
                <w:sz w:val="22"/>
                <w:szCs w:val="22"/>
                <w:highlight w:val="none"/>
              </w:rPr>
            </w:pPr>
            <w:r>
              <w:rPr>
                <w:rFonts w:hint="eastAsia" w:eastAsiaTheme="minorEastAsia"/>
                <w:color w:val="auto"/>
                <w:sz w:val="22"/>
                <w:szCs w:val="22"/>
                <w:highlight w:val="none"/>
                <w:lang w:val="en-US" w:eastAsia="zh-CN"/>
              </w:rPr>
              <w:t>2</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8</w:t>
            </w:r>
            <w:r>
              <w:rPr>
                <w:rFonts w:hint="eastAsia" w:eastAsiaTheme="minorEastAsia"/>
                <w:color w:val="auto"/>
                <w:sz w:val="22"/>
                <w:szCs w:val="22"/>
                <w:highlight w:val="none"/>
              </w:rPr>
              <w:t>人,1~2F砖房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default"/>
                <w:color w:val="auto"/>
                <w:kern w:val="0"/>
                <w:sz w:val="22"/>
                <w:highlight w:val="none"/>
                <w:lang w:val="en-US" w:eastAsia="zh-CN"/>
              </w:rPr>
            </w:pPr>
            <w:r>
              <w:rPr>
                <w:rFonts w:hint="eastAsia"/>
                <w:color w:val="auto"/>
                <w:kern w:val="0"/>
                <w:sz w:val="22"/>
                <w:highlight w:val="none"/>
                <w:lang w:val="en-US" w:eastAsia="zh-CN"/>
              </w:rPr>
              <w:t>36</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204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-189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29 </w:t>
            </w:r>
          </w:p>
        </w:tc>
        <w:tc>
          <w:tcPr>
            <w:tcW w:w="1245" w:type="dxa"/>
            <w:vAlign w:val="center"/>
          </w:tcPr>
          <w:p>
            <w:pPr>
              <w:widowControl/>
              <w:adjustRightInd w:val="0"/>
              <w:snapToGrid w:val="0"/>
              <w:spacing w:line="240" w:lineRule="auto"/>
              <w:ind w:firstLine="0" w:firstLineChars="0"/>
              <w:jc w:val="center"/>
              <w:rPr>
                <w:rFonts w:hint="default"/>
                <w:color w:val="auto"/>
                <w:sz w:val="22"/>
                <w:szCs w:val="22"/>
                <w:highlight w:val="none"/>
                <w:lang w:val="en-US" w:eastAsia="zh-CN"/>
              </w:rPr>
            </w:pPr>
            <w:r>
              <w:rPr>
                <w:rFonts w:hint="eastAsia"/>
                <w:color w:val="auto"/>
                <w:sz w:val="22"/>
                <w:szCs w:val="22"/>
                <w:highlight w:val="none"/>
                <w:lang w:val="en-US" w:eastAsia="zh-CN"/>
              </w:rPr>
              <w:t>SW</w:t>
            </w:r>
          </w:p>
        </w:tc>
        <w:tc>
          <w:tcPr>
            <w:tcW w:w="2019" w:type="dxa"/>
            <w:vAlign w:val="center"/>
          </w:tcPr>
          <w:p>
            <w:pPr>
              <w:widowControl/>
              <w:adjustRightInd w:val="0"/>
              <w:snapToGrid w:val="0"/>
              <w:spacing w:line="240" w:lineRule="auto"/>
              <w:ind w:firstLine="0" w:firstLineChars="0"/>
              <w:jc w:val="center"/>
              <w:rPr>
                <w:rFonts w:hint="default"/>
                <w:color w:val="auto"/>
                <w:sz w:val="22"/>
                <w:szCs w:val="22"/>
                <w:highlight w:val="none"/>
                <w:lang w:val="en-US" w:eastAsia="zh-CN"/>
              </w:rPr>
            </w:pPr>
            <w:r>
              <w:rPr>
                <w:rFonts w:hint="eastAsia"/>
                <w:color w:val="auto"/>
                <w:sz w:val="22"/>
                <w:szCs w:val="22"/>
                <w:highlight w:val="none"/>
                <w:lang w:val="en-US" w:eastAsia="zh-CN"/>
              </w:rPr>
              <w:t>35</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1户，4人</w:t>
            </w:r>
            <w:r>
              <w:rPr>
                <w:rFonts w:hint="eastAsia" w:eastAsiaTheme="minorEastAsia"/>
                <w:color w:val="auto"/>
                <w:sz w:val="22"/>
                <w:szCs w:val="22"/>
                <w:highlight w:val="none"/>
              </w:rPr>
              <w:t>,1~2F砖房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default"/>
                <w:color w:val="auto"/>
                <w:kern w:val="0"/>
                <w:sz w:val="22"/>
                <w:highlight w:val="none"/>
                <w:lang w:val="en-US" w:eastAsia="zh-CN"/>
              </w:rPr>
            </w:pPr>
            <w:r>
              <w:rPr>
                <w:rFonts w:hint="eastAsia"/>
                <w:color w:val="auto"/>
                <w:kern w:val="0"/>
                <w:sz w:val="22"/>
                <w:highlight w:val="none"/>
                <w:lang w:val="en-US" w:eastAsia="zh-CN"/>
              </w:rPr>
              <w:t>37</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1001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-175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47 </w:t>
            </w:r>
          </w:p>
        </w:tc>
        <w:tc>
          <w:tcPr>
            <w:tcW w:w="1245" w:type="dxa"/>
            <w:vAlign w:val="center"/>
          </w:tcPr>
          <w:p>
            <w:pPr>
              <w:widowControl/>
              <w:adjustRightInd w:val="0"/>
              <w:snapToGrid w:val="0"/>
              <w:spacing w:line="240" w:lineRule="auto"/>
              <w:ind w:firstLine="0" w:firstLineChars="0"/>
              <w:jc w:val="center"/>
              <w:rPr>
                <w:rFonts w:hint="default"/>
                <w:color w:val="auto"/>
                <w:sz w:val="22"/>
                <w:szCs w:val="22"/>
                <w:highlight w:val="none"/>
                <w:lang w:val="en-US" w:eastAsia="zh-CN"/>
              </w:rPr>
            </w:pPr>
            <w:r>
              <w:rPr>
                <w:rFonts w:hint="eastAsia"/>
                <w:color w:val="auto"/>
                <w:sz w:val="22"/>
                <w:szCs w:val="22"/>
                <w:highlight w:val="none"/>
                <w:lang w:val="en-US" w:eastAsia="zh-CN"/>
              </w:rPr>
              <w:t>SE</w:t>
            </w:r>
          </w:p>
        </w:tc>
        <w:tc>
          <w:tcPr>
            <w:tcW w:w="2019" w:type="dxa"/>
            <w:vAlign w:val="center"/>
          </w:tcPr>
          <w:p>
            <w:pPr>
              <w:widowControl/>
              <w:adjustRightInd w:val="0"/>
              <w:snapToGrid w:val="0"/>
              <w:spacing w:line="240" w:lineRule="auto"/>
              <w:ind w:firstLine="0" w:firstLineChars="0"/>
              <w:jc w:val="center"/>
              <w:rPr>
                <w:rFonts w:hint="default"/>
                <w:color w:val="auto"/>
                <w:sz w:val="22"/>
                <w:szCs w:val="22"/>
                <w:highlight w:val="none"/>
                <w:lang w:val="en-US" w:eastAsia="zh-CN"/>
              </w:rPr>
            </w:pPr>
            <w:r>
              <w:rPr>
                <w:rFonts w:hint="eastAsia"/>
                <w:color w:val="auto"/>
                <w:sz w:val="22"/>
                <w:szCs w:val="22"/>
                <w:highlight w:val="none"/>
                <w:lang w:val="en-US" w:eastAsia="zh-CN"/>
              </w:rPr>
              <w:t>156</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3户，约12人</w:t>
            </w:r>
            <w:r>
              <w:rPr>
                <w:rFonts w:hint="eastAsia" w:eastAsiaTheme="minorEastAsia"/>
                <w:color w:val="auto"/>
                <w:sz w:val="22"/>
                <w:szCs w:val="22"/>
                <w:highlight w:val="none"/>
              </w:rPr>
              <w:t>,1~2F砖房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9" w:type="dxa"/>
            <w:vMerge w:val="continue"/>
            <w:vAlign w:val="center"/>
          </w:tcPr>
          <w:p>
            <w:pPr>
              <w:widowControl/>
              <w:adjustRightInd w:val="0"/>
              <w:snapToGrid w:val="0"/>
              <w:spacing w:line="240" w:lineRule="auto"/>
              <w:ind w:firstLine="0" w:firstLineChars="0"/>
              <w:jc w:val="center"/>
              <w:rPr>
                <w:rFonts w:hint="eastAsia" w:eastAsiaTheme="minorEastAsia"/>
                <w:color w:val="auto"/>
                <w:sz w:val="22"/>
                <w:szCs w:val="22"/>
                <w:highlight w:val="none"/>
              </w:rPr>
            </w:pPr>
          </w:p>
        </w:tc>
        <w:tc>
          <w:tcPr>
            <w:tcW w:w="0" w:type="auto"/>
            <w:vAlign w:val="center"/>
          </w:tcPr>
          <w:p>
            <w:pPr>
              <w:widowControl/>
              <w:adjustRightInd w:val="0"/>
              <w:snapToGrid w:val="0"/>
              <w:spacing w:line="240" w:lineRule="auto"/>
              <w:ind w:firstLine="0" w:firstLineChars="0"/>
              <w:jc w:val="center"/>
              <w:rPr>
                <w:rFonts w:hint="default"/>
                <w:color w:val="auto"/>
                <w:kern w:val="0"/>
                <w:sz w:val="22"/>
                <w:highlight w:val="none"/>
                <w:lang w:val="en-US" w:eastAsia="zh-CN"/>
              </w:rPr>
            </w:pPr>
            <w:r>
              <w:rPr>
                <w:rFonts w:hint="eastAsia"/>
                <w:color w:val="auto"/>
                <w:kern w:val="0"/>
                <w:sz w:val="22"/>
                <w:highlight w:val="none"/>
                <w:lang w:val="en-US" w:eastAsia="zh-CN"/>
              </w:rPr>
              <w:t>38</w:t>
            </w:r>
            <w:r>
              <w:rPr>
                <w:rFonts w:hint="eastAsia"/>
                <w:color w:val="auto"/>
                <w:kern w:val="0"/>
                <w:sz w:val="22"/>
                <w:highlight w:val="none"/>
              </w:rPr>
              <w:t>#散户</w:t>
            </w:r>
            <w:r>
              <w:rPr>
                <w:color w:val="auto"/>
                <w:kern w:val="0"/>
                <w:sz w:val="22"/>
                <w:highlight w:val="none"/>
              </w:rPr>
              <w:t>居民点</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924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-338 </w:t>
            </w:r>
          </w:p>
        </w:tc>
        <w:tc>
          <w:tcPr>
            <w:tcW w:w="96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43 </w:t>
            </w:r>
          </w:p>
        </w:tc>
        <w:tc>
          <w:tcPr>
            <w:tcW w:w="1245" w:type="dxa"/>
            <w:vAlign w:val="center"/>
          </w:tcPr>
          <w:p>
            <w:pPr>
              <w:widowControl/>
              <w:adjustRightInd w:val="0"/>
              <w:snapToGrid w:val="0"/>
              <w:spacing w:line="240" w:lineRule="auto"/>
              <w:ind w:firstLine="0" w:firstLineChars="0"/>
              <w:jc w:val="center"/>
              <w:rPr>
                <w:rFonts w:hint="default"/>
                <w:color w:val="auto"/>
                <w:sz w:val="22"/>
                <w:szCs w:val="22"/>
                <w:highlight w:val="none"/>
                <w:lang w:val="en-US" w:eastAsia="zh-CN"/>
              </w:rPr>
            </w:pPr>
            <w:r>
              <w:rPr>
                <w:rFonts w:hint="eastAsia"/>
                <w:color w:val="auto"/>
                <w:sz w:val="22"/>
                <w:szCs w:val="22"/>
                <w:highlight w:val="none"/>
                <w:lang w:val="en-US" w:eastAsia="zh-CN"/>
              </w:rPr>
              <w:t>SE</w:t>
            </w:r>
          </w:p>
        </w:tc>
        <w:tc>
          <w:tcPr>
            <w:tcW w:w="2019" w:type="dxa"/>
            <w:vAlign w:val="center"/>
          </w:tcPr>
          <w:p>
            <w:pPr>
              <w:widowControl/>
              <w:adjustRightInd w:val="0"/>
              <w:snapToGrid w:val="0"/>
              <w:spacing w:line="240" w:lineRule="auto"/>
              <w:ind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115</w:t>
            </w:r>
          </w:p>
        </w:tc>
        <w:tc>
          <w:tcPr>
            <w:tcW w:w="1295" w:type="dxa"/>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color w:val="auto"/>
                <w:sz w:val="22"/>
                <w:szCs w:val="22"/>
                <w:highlight w:val="none"/>
              </w:rPr>
              <w:t>2</w:t>
            </w:r>
            <w:r>
              <w:rPr>
                <w:rFonts w:hint="eastAsia" w:eastAsiaTheme="minorEastAsia"/>
                <w:color w:val="auto"/>
                <w:sz w:val="22"/>
                <w:szCs w:val="22"/>
                <w:highlight w:val="none"/>
              </w:rPr>
              <w:t>类</w:t>
            </w:r>
          </w:p>
        </w:tc>
        <w:tc>
          <w:tcPr>
            <w:tcW w:w="3043"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8户，约32人</w:t>
            </w:r>
            <w:r>
              <w:rPr>
                <w:rFonts w:hint="eastAsia" w:eastAsiaTheme="minorEastAsia"/>
                <w:color w:val="auto"/>
                <w:sz w:val="22"/>
                <w:szCs w:val="22"/>
                <w:highlight w:val="none"/>
              </w:rPr>
              <w:t>,1~2F砖房</w:t>
            </w:r>
          </w:p>
        </w:tc>
      </w:tr>
    </w:tbl>
    <w:p>
      <w:pPr>
        <w:adjustRightInd w:val="0"/>
        <w:snapToGrid w:val="0"/>
        <w:spacing w:line="240" w:lineRule="auto"/>
        <w:ind w:firstLine="440"/>
        <w:rPr>
          <w:rFonts w:hint="eastAsia" w:eastAsia="宋体"/>
          <w:color w:val="auto"/>
          <w:sz w:val="22"/>
          <w:szCs w:val="22"/>
          <w:highlight w:val="none"/>
          <w:lang w:eastAsia="zh-CN"/>
        </w:rPr>
      </w:pPr>
      <w:r>
        <w:rPr>
          <w:rFonts w:hint="eastAsia"/>
          <w:color w:val="auto"/>
          <w:sz w:val="22"/>
          <w:szCs w:val="22"/>
          <w:highlight w:val="none"/>
        </w:rPr>
        <w:t>注：</w:t>
      </w:r>
      <w:r>
        <w:rPr>
          <w:rFonts w:hint="eastAsia"/>
          <w:color w:val="auto"/>
          <w:sz w:val="22"/>
          <w:szCs w:val="22"/>
          <w:highlight w:val="none"/>
          <w:lang w:eastAsia="zh-CN"/>
        </w:rPr>
        <w:t>船闸及疏浚周边敏感点</w:t>
      </w:r>
      <w:r>
        <w:rPr>
          <w:rFonts w:hint="eastAsia"/>
          <w:color w:val="auto"/>
          <w:sz w:val="22"/>
          <w:szCs w:val="22"/>
          <w:highlight w:val="none"/>
        </w:rPr>
        <w:t>以</w:t>
      </w:r>
      <w:r>
        <w:rPr>
          <w:rFonts w:hint="eastAsia"/>
          <w:color w:val="auto"/>
          <w:sz w:val="22"/>
          <w:szCs w:val="22"/>
          <w:highlight w:val="none"/>
          <w:lang w:eastAsia="zh-CN"/>
        </w:rPr>
        <w:t>船闸</w:t>
      </w:r>
      <w:r>
        <w:rPr>
          <w:rFonts w:hint="eastAsia"/>
          <w:color w:val="auto"/>
          <w:sz w:val="22"/>
          <w:szCs w:val="22"/>
          <w:highlight w:val="none"/>
        </w:rPr>
        <w:t>中心为原点。</w:t>
      </w:r>
      <w:r>
        <w:rPr>
          <w:rFonts w:hint="eastAsia"/>
          <w:color w:val="auto"/>
          <w:sz w:val="22"/>
          <w:szCs w:val="22"/>
          <w:highlight w:val="none"/>
          <w:lang w:eastAsia="zh-CN"/>
        </w:rPr>
        <w:t>弃渣场周边敏感点以弃渣场坝址处为原点。</w:t>
      </w:r>
    </w:p>
    <w:p>
      <w:pPr>
        <w:pStyle w:val="214"/>
        <w:ind w:firstLine="0" w:firstLineChars="0"/>
        <w:jc w:val="center"/>
        <w:rPr>
          <w:color w:val="auto"/>
          <w:highlight w:val="none"/>
        </w:rPr>
      </w:pPr>
    </w:p>
    <w:p>
      <w:pPr>
        <w:ind w:firstLine="520"/>
        <w:rPr>
          <w:color w:val="auto"/>
          <w:highlight w:val="none"/>
        </w:rPr>
        <w:sectPr>
          <w:pgSz w:w="16838" w:h="11906" w:orient="landscape"/>
          <w:pgMar w:top="1701" w:right="1588" w:bottom="1588" w:left="1588" w:header="1304" w:footer="1247" w:gutter="0"/>
          <w:cols w:space="425" w:num="1"/>
          <w:docGrid w:linePitch="312" w:charSpace="0"/>
        </w:sectPr>
      </w:pPr>
    </w:p>
    <w:p>
      <w:pPr>
        <w:adjustRightInd w:val="0"/>
        <w:snapToGrid w:val="0"/>
        <w:spacing w:line="240" w:lineRule="auto"/>
        <w:ind w:firstLine="520"/>
        <w:jc w:val="center"/>
        <w:rPr>
          <w:color w:val="auto"/>
          <w:szCs w:val="26"/>
          <w:highlight w:val="none"/>
        </w:rPr>
      </w:pPr>
      <w:r>
        <w:rPr>
          <w:color w:val="auto"/>
          <w:szCs w:val="26"/>
          <w:highlight w:val="none"/>
        </w:rPr>
        <w:t>表</w:t>
      </w:r>
      <w:r>
        <w:rPr>
          <w:rFonts w:hint="eastAsia"/>
          <w:color w:val="auto"/>
          <w:szCs w:val="26"/>
          <w:highlight w:val="none"/>
          <w:lang w:val="en-US" w:eastAsia="zh-CN"/>
        </w:rPr>
        <w:t>1.8.4</w:t>
      </w:r>
      <w:r>
        <w:rPr>
          <w:rFonts w:hint="eastAsia"/>
          <w:color w:val="auto"/>
          <w:szCs w:val="26"/>
          <w:highlight w:val="none"/>
        </w:rPr>
        <w:t>-</w:t>
      </w:r>
      <w:r>
        <w:rPr>
          <w:rFonts w:hint="eastAsia"/>
          <w:color w:val="auto"/>
          <w:szCs w:val="26"/>
          <w:highlight w:val="none"/>
          <w:lang w:val="en-US" w:eastAsia="zh-CN"/>
        </w:rPr>
        <w:t>1</w:t>
      </w:r>
      <w:r>
        <w:rPr>
          <w:color w:val="auto"/>
          <w:szCs w:val="26"/>
          <w:highlight w:val="none"/>
        </w:rPr>
        <w:t xml:space="preserve">  </w:t>
      </w:r>
      <w:r>
        <w:rPr>
          <w:rFonts w:hint="eastAsia"/>
          <w:color w:val="auto"/>
          <w:szCs w:val="26"/>
          <w:highlight w:val="none"/>
          <w:lang w:eastAsia="zh-CN"/>
        </w:rPr>
        <w:t>环境空气</w:t>
      </w:r>
      <w:r>
        <w:rPr>
          <w:color w:val="auto"/>
          <w:szCs w:val="26"/>
          <w:highlight w:val="none"/>
        </w:rPr>
        <w:t>环境保护目标</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3"/>
        <w:gridCol w:w="1940"/>
        <w:gridCol w:w="1209"/>
        <w:gridCol w:w="1120"/>
        <w:gridCol w:w="988"/>
        <w:gridCol w:w="2650"/>
        <w:gridCol w:w="1501"/>
        <w:gridCol w:w="1181"/>
        <w:gridCol w:w="1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kern w:val="0"/>
                <w:sz w:val="22"/>
                <w:highlight w:val="none"/>
                <w:lang w:eastAsia="zh-CN"/>
              </w:rPr>
            </w:pPr>
            <w:r>
              <w:rPr>
                <w:rFonts w:hint="eastAsia"/>
                <w:color w:val="auto"/>
                <w:kern w:val="0"/>
                <w:sz w:val="22"/>
                <w:highlight w:val="none"/>
                <w:lang w:eastAsia="zh-CN"/>
              </w:rPr>
              <w:t>工程内容</w:t>
            </w:r>
          </w:p>
        </w:tc>
        <w:tc>
          <w:tcPr>
            <w:tcW w:w="1940"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保护目标名称</w:t>
            </w:r>
          </w:p>
        </w:tc>
        <w:tc>
          <w:tcPr>
            <w:tcW w:w="2329"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坐标/°</w:t>
            </w:r>
          </w:p>
        </w:tc>
        <w:tc>
          <w:tcPr>
            <w:tcW w:w="988"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保护</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对象</w:t>
            </w:r>
          </w:p>
        </w:tc>
        <w:tc>
          <w:tcPr>
            <w:tcW w:w="2650"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保护内容</w:t>
            </w:r>
          </w:p>
        </w:tc>
        <w:tc>
          <w:tcPr>
            <w:tcW w:w="1501"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环境功能区</w:t>
            </w:r>
          </w:p>
        </w:tc>
        <w:tc>
          <w:tcPr>
            <w:tcW w:w="1181"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相对方位</w:t>
            </w:r>
          </w:p>
        </w:tc>
        <w:tc>
          <w:tcPr>
            <w:tcW w:w="1616"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rFonts w:hint="eastAsia"/>
                <w:color w:val="auto"/>
                <w:kern w:val="0"/>
                <w:sz w:val="22"/>
                <w:highlight w:val="none"/>
                <w:shd w:val="clear" w:fill="FFFFFF"/>
              </w:rPr>
              <w:t>相对厂</w:t>
            </w:r>
            <w:r>
              <w:rPr>
                <w:rFonts w:hint="eastAsia"/>
                <w:color w:val="auto"/>
                <w:kern w:val="0"/>
                <w:sz w:val="22"/>
                <w:highlight w:val="none"/>
              </w:rPr>
              <w:t>界最近距离</w:t>
            </w:r>
            <w:r>
              <w:rPr>
                <w:color w:val="auto"/>
                <w:kern w:val="0"/>
                <w:sz w:val="22"/>
                <w:highlight w:val="none"/>
              </w:rPr>
              <w:t>（</w:t>
            </w:r>
            <w:r>
              <w:rPr>
                <w:rFonts w:hint="eastAsia"/>
                <w:color w:val="auto"/>
                <w:kern w:val="0"/>
                <w:sz w:val="22"/>
                <w:highlight w:val="none"/>
              </w:rPr>
              <w:t>m</w:t>
            </w:r>
            <w:r>
              <w:rPr>
                <w:color w:val="auto"/>
                <w:kern w:val="0"/>
                <w:sz w:val="22"/>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p>
        </w:tc>
        <w:tc>
          <w:tcPr>
            <w:tcW w:w="1940"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X</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Y</w:t>
            </w:r>
          </w:p>
        </w:tc>
        <w:tc>
          <w:tcPr>
            <w:tcW w:w="988"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p>
        </w:tc>
        <w:tc>
          <w:tcPr>
            <w:tcW w:w="2650"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p>
        </w:tc>
        <w:tc>
          <w:tcPr>
            <w:tcW w:w="1501"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p>
        </w:tc>
        <w:tc>
          <w:tcPr>
            <w:tcW w:w="1181"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color w:val="auto"/>
                <w:sz w:val="22"/>
                <w:szCs w:val="22"/>
                <w:highlight w:val="none"/>
              </w:rPr>
            </w:pPr>
          </w:p>
        </w:tc>
        <w:tc>
          <w:tcPr>
            <w:tcW w:w="1616"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restart"/>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kern w:val="0"/>
                <w:sz w:val="22"/>
                <w:highlight w:val="none"/>
                <w:lang w:eastAsia="zh-CN"/>
              </w:rPr>
            </w:pPr>
            <w:r>
              <w:rPr>
                <w:rFonts w:hint="eastAsia"/>
                <w:color w:val="auto"/>
                <w:sz w:val="22"/>
                <w:szCs w:val="22"/>
                <w:highlight w:val="none"/>
                <w:lang w:eastAsia="zh-CN"/>
              </w:rPr>
              <w:t>船闸、</w:t>
            </w:r>
            <w:r>
              <w:rPr>
                <w:rFonts w:hint="eastAsia"/>
                <w:color w:val="auto"/>
                <w:kern w:val="0"/>
                <w:sz w:val="22"/>
                <w:highlight w:val="none"/>
                <w:lang w:eastAsia="zh-CN"/>
              </w:rPr>
              <w:t>疏浚区及</w:t>
            </w:r>
            <w:r>
              <w:rPr>
                <w:rFonts w:hint="eastAsia"/>
                <w:color w:val="auto"/>
                <w:kern w:val="0"/>
                <w:sz w:val="22"/>
                <w:highlight w:val="none"/>
                <w:lang w:val="en-US" w:eastAsia="zh-CN"/>
              </w:rPr>
              <w:t>1#弃渣场</w:t>
            </w: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1#</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35610319</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3324225</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hint="eastAsia" w:eastAsiaTheme="minorEastAsia"/>
                <w:color w:val="auto"/>
                <w:sz w:val="22"/>
                <w:szCs w:val="22"/>
                <w:highlight w:val="none"/>
                <w:lang w:val="en-US" w:eastAsia="zh-CN"/>
              </w:rPr>
              <w:t>5</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20</w:t>
            </w:r>
            <w:r>
              <w:rPr>
                <w:rFonts w:hint="eastAsia" w:eastAsiaTheme="minorEastAsia"/>
                <w:color w:val="auto"/>
                <w:sz w:val="22"/>
                <w:szCs w:val="22"/>
                <w:highlight w:val="none"/>
              </w:rPr>
              <w:t>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E</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2#</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35610250</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3324057</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hint="eastAsia" w:eastAsiaTheme="minorEastAsia"/>
                <w:color w:val="auto"/>
                <w:sz w:val="22"/>
                <w:szCs w:val="22"/>
                <w:highlight w:val="none"/>
                <w:lang w:val="en-US" w:eastAsia="zh-CN"/>
              </w:rPr>
              <w:t>2</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8</w:t>
            </w:r>
            <w:r>
              <w:rPr>
                <w:rFonts w:hint="eastAsia" w:eastAsiaTheme="minorEastAsia"/>
                <w:color w:val="auto"/>
                <w:sz w:val="22"/>
                <w:szCs w:val="22"/>
                <w:highlight w:val="none"/>
              </w:rPr>
              <w:t>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SE</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3#</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35610425</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3324282</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hint="eastAsia" w:eastAsiaTheme="minorEastAsia"/>
                <w:color w:val="auto"/>
                <w:sz w:val="22"/>
                <w:szCs w:val="22"/>
                <w:highlight w:val="none"/>
                <w:lang w:val="en-US" w:eastAsia="zh-CN"/>
              </w:rPr>
              <w:t>2</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8</w:t>
            </w:r>
            <w:r>
              <w:rPr>
                <w:rFonts w:hint="eastAsia" w:eastAsiaTheme="minorEastAsia"/>
                <w:color w:val="auto"/>
                <w:sz w:val="22"/>
                <w:szCs w:val="22"/>
                <w:highlight w:val="none"/>
              </w:rPr>
              <w:t>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E</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4#</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35610312</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3324374</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hint="eastAsia" w:eastAsiaTheme="minorEastAsia"/>
                <w:color w:val="auto"/>
                <w:sz w:val="22"/>
                <w:szCs w:val="22"/>
                <w:highlight w:val="none"/>
                <w:lang w:val="en-US" w:eastAsia="zh-CN"/>
              </w:rPr>
              <w:t>2</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8</w:t>
            </w:r>
            <w:r>
              <w:rPr>
                <w:rFonts w:hint="eastAsia" w:eastAsiaTheme="minorEastAsia"/>
                <w:color w:val="auto"/>
                <w:sz w:val="22"/>
                <w:szCs w:val="22"/>
                <w:highlight w:val="none"/>
              </w:rPr>
              <w:t>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E</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5#</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35610398</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3324432</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hint="eastAsia" w:eastAsiaTheme="minorEastAsia"/>
                <w:color w:val="auto"/>
                <w:sz w:val="22"/>
                <w:szCs w:val="22"/>
                <w:highlight w:val="none"/>
                <w:lang w:val="en-US" w:eastAsia="zh-CN"/>
              </w:rPr>
              <w:t>6</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24</w:t>
            </w:r>
            <w:r>
              <w:rPr>
                <w:rFonts w:hint="eastAsia" w:eastAsiaTheme="minorEastAsia"/>
                <w:color w:val="auto"/>
                <w:sz w:val="22"/>
                <w:szCs w:val="22"/>
                <w:highlight w:val="none"/>
              </w:rPr>
              <w:t>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szCs w:val="21"/>
                <w:highlight w:val="none"/>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E</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6#</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35610296</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3324475</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2"/>
                <w:sz w:val="22"/>
                <w:szCs w:val="22"/>
                <w:highlight w:val="none"/>
                <w:lang w:val="en-US" w:eastAsia="zh-CN" w:bidi="ar-SA"/>
              </w:rPr>
            </w:pPr>
            <w:r>
              <w:rPr>
                <w:rFonts w:hint="eastAsia" w:eastAsiaTheme="minorEastAsia"/>
                <w:color w:val="auto"/>
                <w:sz w:val="22"/>
                <w:szCs w:val="22"/>
                <w:highlight w:val="none"/>
                <w:lang w:val="en-US" w:eastAsia="zh-CN"/>
              </w:rPr>
              <w:t>3</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12</w:t>
            </w:r>
            <w:r>
              <w:rPr>
                <w:rFonts w:hint="eastAsia" w:eastAsiaTheme="minorEastAsia"/>
                <w:color w:val="auto"/>
                <w:sz w:val="22"/>
                <w:szCs w:val="22"/>
                <w:highlight w:val="none"/>
              </w:rPr>
              <w:t>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szCs w:val="21"/>
                <w:highlight w:val="none"/>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E</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7#</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35610315</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3324583</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2"/>
                <w:sz w:val="22"/>
                <w:szCs w:val="22"/>
                <w:highlight w:val="none"/>
                <w:lang w:val="en-US" w:eastAsia="zh-CN" w:bidi="ar-SA"/>
              </w:rPr>
            </w:pPr>
            <w:r>
              <w:rPr>
                <w:rFonts w:hint="eastAsia" w:eastAsiaTheme="minorEastAsia"/>
                <w:color w:val="auto"/>
                <w:sz w:val="22"/>
                <w:szCs w:val="22"/>
                <w:highlight w:val="none"/>
                <w:lang w:val="en-US" w:eastAsia="zh-CN"/>
              </w:rPr>
              <w:t>6</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24</w:t>
            </w:r>
            <w:r>
              <w:rPr>
                <w:rFonts w:hint="eastAsia" w:eastAsiaTheme="minorEastAsia"/>
                <w:color w:val="auto"/>
                <w:sz w:val="22"/>
                <w:szCs w:val="22"/>
                <w:highlight w:val="none"/>
              </w:rPr>
              <w:t>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szCs w:val="21"/>
                <w:highlight w:val="none"/>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E</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rFonts w:hint="eastAsia"/>
                <w:color w:val="auto"/>
                <w:kern w:val="0"/>
                <w:sz w:val="22"/>
                <w:highlight w:val="none"/>
              </w:rPr>
              <w:t>8</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highlight w:val="none"/>
                <w:lang w:val="en-US" w:eastAsia="zh-CN"/>
              </w:rPr>
            </w:pPr>
            <w:r>
              <w:rPr>
                <w:rFonts w:hint="eastAsia" w:cs="Times New Roman"/>
                <w:color w:val="auto"/>
                <w:kern w:val="0"/>
                <w:sz w:val="22"/>
                <w:highlight w:val="none"/>
                <w:lang w:val="en-US" w:eastAsia="zh-CN"/>
              </w:rPr>
              <w:t>35610582</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highlight w:val="none"/>
                <w:lang w:val="en-US" w:eastAsia="zh-CN"/>
              </w:rPr>
            </w:pPr>
            <w:r>
              <w:rPr>
                <w:rFonts w:hint="eastAsia" w:cs="Times New Roman"/>
                <w:color w:val="auto"/>
                <w:kern w:val="0"/>
                <w:sz w:val="22"/>
                <w:highlight w:val="none"/>
                <w:lang w:val="en-US" w:eastAsia="zh-CN"/>
              </w:rPr>
              <w:t>3324377</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2"/>
                <w:sz w:val="22"/>
                <w:szCs w:val="22"/>
                <w:highlight w:val="none"/>
                <w:lang w:val="en-US" w:eastAsia="zh-CN" w:bidi="ar-SA"/>
              </w:rPr>
            </w:pPr>
            <w:r>
              <w:rPr>
                <w:rFonts w:hint="eastAsia" w:eastAsiaTheme="minorEastAsia"/>
                <w:color w:val="auto"/>
                <w:sz w:val="22"/>
                <w:szCs w:val="22"/>
                <w:highlight w:val="none"/>
                <w:lang w:val="en-US" w:eastAsia="zh-CN"/>
              </w:rPr>
              <w:t>7</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28</w:t>
            </w:r>
            <w:r>
              <w:rPr>
                <w:rFonts w:hint="eastAsia" w:eastAsiaTheme="minorEastAsia"/>
                <w:color w:val="auto"/>
                <w:sz w:val="22"/>
                <w:szCs w:val="22"/>
                <w:highlight w:val="none"/>
              </w:rPr>
              <w:t>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E</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271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rFonts w:hint="eastAsia"/>
                <w:color w:val="auto"/>
                <w:kern w:val="0"/>
                <w:sz w:val="22"/>
                <w:highlight w:val="none"/>
              </w:rPr>
              <w:t>9</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35610446</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3324583</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2"/>
                <w:sz w:val="22"/>
                <w:szCs w:val="22"/>
                <w:highlight w:val="none"/>
                <w:lang w:val="en-US" w:eastAsia="zh-CN" w:bidi="ar-SA"/>
              </w:rPr>
            </w:pPr>
            <w:r>
              <w:rPr>
                <w:rFonts w:hint="eastAsia" w:eastAsiaTheme="minorEastAsia"/>
                <w:color w:val="auto"/>
                <w:sz w:val="22"/>
                <w:szCs w:val="22"/>
                <w:highlight w:val="none"/>
                <w:lang w:val="en-US" w:eastAsia="zh-CN"/>
              </w:rPr>
              <w:t>2</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8</w:t>
            </w:r>
            <w:r>
              <w:rPr>
                <w:rFonts w:hint="eastAsia" w:eastAsiaTheme="minorEastAsia"/>
                <w:color w:val="auto"/>
                <w:sz w:val="22"/>
                <w:szCs w:val="22"/>
                <w:highlight w:val="none"/>
              </w:rPr>
              <w:t>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E</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rFonts w:hint="eastAsia"/>
                <w:color w:val="auto"/>
                <w:kern w:val="0"/>
                <w:sz w:val="22"/>
                <w:highlight w:val="none"/>
              </w:rPr>
              <w:t>10</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35610553</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3324164</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2"/>
                <w:sz w:val="22"/>
                <w:szCs w:val="22"/>
                <w:highlight w:val="none"/>
                <w:lang w:val="en-US" w:eastAsia="zh-CN" w:bidi="ar-SA"/>
              </w:rPr>
            </w:pPr>
            <w:r>
              <w:rPr>
                <w:rFonts w:hint="eastAsia" w:eastAsiaTheme="minorEastAsia"/>
                <w:color w:val="auto"/>
                <w:sz w:val="22"/>
                <w:szCs w:val="22"/>
                <w:highlight w:val="none"/>
                <w:lang w:val="en-US" w:eastAsia="zh-CN"/>
              </w:rPr>
              <w:t>5</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20</w:t>
            </w:r>
            <w:r>
              <w:rPr>
                <w:rFonts w:hint="eastAsia" w:eastAsiaTheme="minorEastAsia"/>
                <w:color w:val="auto"/>
                <w:sz w:val="22"/>
                <w:szCs w:val="22"/>
                <w:highlight w:val="none"/>
              </w:rPr>
              <w:t>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highlight w:val="none"/>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E</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202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11</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ascii="Times New Roman" w:hAnsi="Times New Roman" w:eastAsia="宋体" w:cs="Times New Roman"/>
                <w:color w:val="auto"/>
                <w:kern w:val="0"/>
                <w:sz w:val="22"/>
                <w:highlight w:val="none"/>
                <w:lang w:val="en-US" w:eastAsia="zh-CN"/>
              </w:rPr>
              <w:t>35610381</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ascii="Times New Roman" w:hAnsi="Times New Roman" w:eastAsia="宋体" w:cs="Times New Roman"/>
                <w:color w:val="auto"/>
                <w:kern w:val="0"/>
                <w:sz w:val="22"/>
                <w:highlight w:val="none"/>
                <w:lang w:val="en-US" w:eastAsia="zh-CN"/>
              </w:rPr>
              <w:t>3323747</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color w:val="auto"/>
                <w:kern w:val="2"/>
                <w:sz w:val="22"/>
                <w:szCs w:val="22"/>
                <w:highlight w:val="none"/>
                <w:lang w:val="en-US" w:eastAsia="zh-CN" w:bidi="ar-SA"/>
              </w:rPr>
            </w:pPr>
            <w:r>
              <w:rPr>
                <w:rFonts w:hint="eastAsia"/>
                <w:color w:val="auto"/>
                <w:sz w:val="21"/>
                <w:szCs w:val="21"/>
                <w:highlight w:val="none"/>
                <w:lang w:val="en-US" w:eastAsia="zh-CN"/>
              </w:rPr>
              <w:t>4</w:t>
            </w:r>
            <w:r>
              <w:rPr>
                <w:rFonts w:hint="eastAsia"/>
                <w:color w:val="auto"/>
                <w:sz w:val="22"/>
                <w:szCs w:val="22"/>
                <w:highlight w:val="none"/>
                <w:lang w:val="en-US" w:eastAsia="zh-CN"/>
              </w:rPr>
              <w:t>户，月16人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SE</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72（1#弃渣场）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12</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ascii="Times New Roman" w:hAnsi="Times New Roman" w:eastAsia="宋体" w:cs="Times New Roman"/>
                <w:color w:val="auto"/>
                <w:kern w:val="0"/>
                <w:sz w:val="22"/>
                <w:highlight w:val="none"/>
                <w:lang w:val="en-US" w:eastAsia="zh-CN"/>
              </w:rPr>
              <w:t>35610377</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ascii="Times New Roman" w:hAnsi="Times New Roman" w:eastAsia="宋体" w:cs="Times New Roman"/>
                <w:color w:val="auto"/>
                <w:kern w:val="0"/>
                <w:sz w:val="22"/>
                <w:highlight w:val="none"/>
                <w:lang w:val="en-US" w:eastAsia="zh-CN"/>
              </w:rPr>
              <w:t>3323377</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eastAsiaTheme="minorEastAsia"/>
                <w:color w:val="auto"/>
                <w:sz w:val="22"/>
                <w:szCs w:val="22"/>
                <w:highlight w:val="none"/>
                <w:lang w:val="en-US" w:eastAsia="zh-CN"/>
              </w:rPr>
              <w:t>4</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16</w:t>
            </w:r>
            <w:r>
              <w:rPr>
                <w:rFonts w:hint="eastAsia" w:eastAsiaTheme="minorEastAsia"/>
                <w:color w:val="auto"/>
                <w:sz w:val="22"/>
                <w:szCs w:val="22"/>
                <w:highlight w:val="none"/>
              </w:rPr>
              <w:t>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13</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ascii="Times New Roman" w:hAnsi="Times New Roman" w:eastAsia="宋体" w:cs="Times New Roman"/>
                <w:color w:val="auto"/>
                <w:kern w:val="0"/>
                <w:sz w:val="22"/>
                <w:highlight w:val="none"/>
                <w:lang w:val="en-US" w:eastAsia="zh-CN"/>
              </w:rPr>
              <w:t>35610529</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ascii="Times New Roman" w:hAnsi="Times New Roman" w:eastAsia="宋体" w:cs="Times New Roman"/>
                <w:color w:val="auto"/>
                <w:kern w:val="0"/>
                <w:sz w:val="22"/>
                <w:highlight w:val="none"/>
                <w:lang w:val="en-US" w:eastAsia="zh-CN"/>
              </w:rPr>
              <w:t>3323424</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eastAsiaTheme="minorEastAsia"/>
                <w:color w:val="auto"/>
                <w:sz w:val="22"/>
                <w:szCs w:val="22"/>
                <w:highlight w:val="none"/>
                <w:lang w:val="en-US" w:eastAsia="zh-CN"/>
              </w:rPr>
              <w:t>7</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28</w:t>
            </w:r>
            <w:r>
              <w:rPr>
                <w:rFonts w:hint="eastAsia" w:eastAsiaTheme="minorEastAsia"/>
                <w:color w:val="auto"/>
                <w:sz w:val="22"/>
                <w:szCs w:val="22"/>
                <w:highlight w:val="none"/>
              </w:rPr>
              <w:t>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auto"/>
                <w:kern w:val="0"/>
                <w:sz w:val="22"/>
                <w:szCs w:val="24"/>
                <w:highlight w:val="none"/>
                <w:lang w:val="en-US" w:eastAsia="zh-CN" w:bidi="ar-SA"/>
              </w:rPr>
            </w:pPr>
            <w:r>
              <w:rPr>
                <w:rFonts w:hint="eastAsia"/>
                <w:color w:val="auto"/>
                <w:kern w:val="0"/>
                <w:sz w:val="22"/>
                <w:highlight w:val="none"/>
                <w:lang w:val="en-US" w:eastAsia="zh-CN"/>
              </w:rPr>
              <w:t>16#</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ascii="Times New Roman" w:hAnsi="Times New Roman" w:eastAsia="宋体" w:cs="Times New Roman"/>
                <w:color w:val="auto"/>
                <w:kern w:val="0"/>
                <w:sz w:val="22"/>
                <w:highlight w:val="none"/>
                <w:lang w:val="en-US" w:eastAsia="zh-CN"/>
              </w:rPr>
              <w:t>35609855</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ascii="Times New Roman" w:hAnsi="Times New Roman" w:eastAsia="宋体" w:cs="Times New Roman"/>
                <w:color w:val="auto"/>
                <w:kern w:val="0"/>
                <w:sz w:val="22"/>
                <w:highlight w:val="none"/>
                <w:lang w:val="en-US" w:eastAsia="zh-CN"/>
              </w:rPr>
              <w:t>3323559</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color w:val="auto"/>
                <w:kern w:val="2"/>
                <w:sz w:val="22"/>
                <w:szCs w:val="22"/>
                <w:highlight w:val="none"/>
                <w:lang w:val="en-US" w:eastAsia="zh-CN" w:bidi="ar-SA"/>
              </w:rPr>
            </w:pPr>
            <w:r>
              <w:rPr>
                <w:rFonts w:hint="eastAsia"/>
                <w:color w:val="auto"/>
                <w:sz w:val="22"/>
                <w:szCs w:val="22"/>
                <w:highlight w:val="none"/>
                <w:lang w:val="en-US" w:eastAsia="zh-CN"/>
              </w:rPr>
              <w:t>1户，4人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SW</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442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G</w:t>
            </w:r>
            <w:r>
              <w:rPr>
                <w:rFonts w:hint="eastAsia"/>
                <w:color w:val="auto"/>
                <w:kern w:val="0"/>
                <w:sz w:val="22"/>
                <w:highlight w:val="none"/>
              </w:rPr>
              <w:t>1</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35610707</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3323808</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8户，约32人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sz w:val="22"/>
                <w:szCs w:val="22"/>
                <w:highlight w:val="none"/>
                <w:lang w:val="en-US" w:eastAsia="zh-CN"/>
              </w:rPr>
              <w:t>SE</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218(1#弃渣场</w:t>
            </w:r>
            <w:r>
              <w:rPr>
                <w:rFonts w:hint="eastAsia"/>
                <w:color w:val="auto"/>
                <w:kern w:val="0"/>
                <w:sz w:val="22"/>
                <w:highlight w:val="none"/>
                <w:shd w:val="clear" w:fill="FFFFFF"/>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G</w:t>
            </w:r>
            <w:r>
              <w:rPr>
                <w:rFonts w:hint="eastAsia"/>
                <w:color w:val="auto"/>
                <w:kern w:val="0"/>
                <w:sz w:val="22"/>
                <w:highlight w:val="none"/>
              </w:rPr>
              <w:t>2</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35610573</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3323713</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color w:val="auto"/>
                <w:kern w:val="2"/>
                <w:sz w:val="22"/>
                <w:szCs w:val="22"/>
                <w:highlight w:val="none"/>
                <w:lang w:val="en-US" w:eastAsia="zh-CN" w:bidi="ar-SA"/>
              </w:rPr>
            </w:pPr>
            <w:r>
              <w:rPr>
                <w:rFonts w:hint="eastAsia" w:eastAsiaTheme="minorEastAsia"/>
                <w:color w:val="auto"/>
                <w:sz w:val="22"/>
                <w:szCs w:val="22"/>
                <w:highlight w:val="none"/>
                <w:lang w:val="en-US" w:eastAsia="zh-CN"/>
              </w:rPr>
              <w:t>3</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12</w:t>
            </w:r>
            <w:r>
              <w:rPr>
                <w:rFonts w:hint="eastAsia" w:eastAsiaTheme="minorEastAsia"/>
                <w:color w:val="auto"/>
                <w:sz w:val="22"/>
                <w:szCs w:val="22"/>
                <w:highlight w:val="none"/>
              </w:rPr>
              <w:t>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sz w:val="22"/>
                <w:szCs w:val="22"/>
                <w:highlight w:val="none"/>
                <w:lang w:val="en-US" w:eastAsia="zh-CN"/>
              </w:rPr>
              <w:t>SE</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205(1#弃渣场</w:t>
            </w:r>
            <w:r>
              <w:rPr>
                <w:rFonts w:hint="eastAsia"/>
                <w:color w:val="auto"/>
                <w:kern w:val="0"/>
                <w:sz w:val="22"/>
                <w:highlight w:val="none"/>
                <w:shd w:val="clear" w:fill="FFFFFF"/>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G3</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35610583</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3323578</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color w:val="auto"/>
                <w:kern w:val="2"/>
                <w:sz w:val="22"/>
                <w:szCs w:val="22"/>
                <w:highlight w:val="none"/>
                <w:lang w:val="en-US" w:eastAsia="zh-CN" w:bidi="ar-SA"/>
              </w:rPr>
            </w:pPr>
            <w:r>
              <w:rPr>
                <w:rFonts w:hint="eastAsia"/>
                <w:color w:val="auto"/>
                <w:kern w:val="0"/>
                <w:sz w:val="22"/>
                <w:highlight w:val="none"/>
                <w:lang w:val="en-US" w:eastAsia="zh-CN"/>
              </w:rPr>
              <w:t>3户，约12人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sz w:val="22"/>
                <w:szCs w:val="22"/>
                <w:highlight w:val="none"/>
                <w:lang w:val="en-US" w:eastAsia="zh-CN"/>
              </w:rPr>
              <w:t>SE</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333(1#弃渣场</w:t>
            </w:r>
            <w:r>
              <w:rPr>
                <w:rFonts w:hint="eastAsia"/>
                <w:color w:val="auto"/>
                <w:kern w:val="0"/>
                <w:sz w:val="22"/>
                <w:highlight w:val="none"/>
                <w:shd w:val="clear" w:fill="FFFFFF"/>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G4</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35610809</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3323575</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color w:val="auto"/>
                <w:kern w:val="2"/>
                <w:sz w:val="22"/>
                <w:szCs w:val="22"/>
                <w:highlight w:val="none"/>
                <w:lang w:val="en-US" w:eastAsia="zh-CN" w:bidi="ar-SA"/>
              </w:rPr>
            </w:pPr>
            <w:r>
              <w:rPr>
                <w:rFonts w:hint="eastAsia" w:eastAsiaTheme="minorEastAsia"/>
                <w:color w:val="auto"/>
                <w:sz w:val="22"/>
                <w:szCs w:val="22"/>
                <w:highlight w:val="none"/>
                <w:lang w:val="en-US" w:eastAsia="zh-CN"/>
              </w:rPr>
              <w:t>2</w:t>
            </w:r>
            <w:r>
              <w:rPr>
                <w:rFonts w:hint="eastAsia" w:eastAsiaTheme="minorEastAsia"/>
                <w:color w:val="auto"/>
                <w:sz w:val="22"/>
                <w:szCs w:val="22"/>
                <w:highlight w:val="none"/>
              </w:rPr>
              <w:t>户，约</w:t>
            </w:r>
            <w:r>
              <w:rPr>
                <w:rFonts w:hint="eastAsia" w:eastAsiaTheme="minorEastAsia"/>
                <w:color w:val="auto"/>
                <w:sz w:val="22"/>
                <w:szCs w:val="22"/>
                <w:highlight w:val="none"/>
                <w:lang w:val="en-US" w:eastAsia="zh-CN"/>
              </w:rPr>
              <w:t>8</w:t>
            </w:r>
            <w:r>
              <w:rPr>
                <w:rFonts w:hint="eastAsia" w:eastAsiaTheme="minorEastAsia"/>
                <w:color w:val="auto"/>
                <w:sz w:val="22"/>
                <w:szCs w:val="22"/>
                <w:highlight w:val="none"/>
              </w:rPr>
              <w:t>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sz w:val="22"/>
                <w:szCs w:val="22"/>
                <w:highlight w:val="none"/>
                <w:lang w:val="en-US" w:eastAsia="zh-CN"/>
              </w:rPr>
              <w:t>SE</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470(1#弃渣场</w:t>
            </w:r>
            <w:r>
              <w:rPr>
                <w:rFonts w:hint="eastAsia"/>
                <w:color w:val="auto"/>
                <w:kern w:val="0"/>
                <w:sz w:val="22"/>
                <w:highlight w:val="none"/>
                <w:shd w:val="clear" w:fill="FFFFFF"/>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六角村居民点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35609693</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3324595</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color w:val="auto"/>
                <w:kern w:val="2"/>
                <w:sz w:val="22"/>
                <w:szCs w:val="22"/>
                <w:highlight w:val="none"/>
                <w:lang w:val="en-US" w:eastAsia="zh-CN" w:bidi="ar-SA"/>
              </w:rPr>
            </w:pPr>
            <w:r>
              <w:rPr>
                <w:rFonts w:hint="eastAsia" w:eastAsiaTheme="minorEastAsia"/>
                <w:color w:val="auto"/>
                <w:sz w:val="22"/>
                <w:szCs w:val="22"/>
                <w:highlight w:val="none"/>
                <w:lang w:val="en-US" w:eastAsia="zh-CN"/>
              </w:rPr>
              <w:t>20户，约80人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NW</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渭沱镇区</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35610023</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3324917</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eastAsia="zh-CN"/>
              </w:rPr>
              <w:t>集中居住区</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color w:val="auto"/>
                <w:kern w:val="2"/>
                <w:sz w:val="22"/>
                <w:szCs w:val="22"/>
                <w:highlight w:val="none"/>
                <w:lang w:val="en-US" w:eastAsia="zh-CN" w:bidi="ar-SA"/>
              </w:rPr>
            </w:pPr>
            <w:r>
              <w:rPr>
                <w:rFonts w:hint="eastAsia" w:eastAsiaTheme="minorEastAsia"/>
                <w:color w:val="auto"/>
                <w:sz w:val="22"/>
                <w:szCs w:val="22"/>
                <w:highlight w:val="none"/>
                <w:lang w:eastAsia="zh-CN"/>
              </w:rPr>
              <w:t>镇区</w:t>
            </w:r>
            <w:r>
              <w:rPr>
                <w:rFonts w:hint="eastAsia" w:eastAsiaTheme="minorEastAsia"/>
                <w:color w:val="auto"/>
                <w:sz w:val="22"/>
                <w:szCs w:val="22"/>
                <w:highlight w:val="none"/>
                <w:shd w:val="clear" w:fill="FFFFFF"/>
                <w:lang w:eastAsia="zh-CN"/>
              </w:rPr>
              <w:t>常住人口</w:t>
            </w:r>
            <w:r>
              <w:rPr>
                <w:rFonts w:hint="eastAsia" w:eastAsiaTheme="minorEastAsia"/>
                <w:color w:val="auto"/>
                <w:sz w:val="22"/>
                <w:szCs w:val="22"/>
                <w:highlight w:val="none"/>
                <w:lang w:eastAsia="zh-CN"/>
              </w:rPr>
              <w:t>约</w:t>
            </w:r>
            <w:r>
              <w:rPr>
                <w:rFonts w:hint="eastAsia" w:eastAsiaTheme="minorEastAsia"/>
                <w:color w:val="auto"/>
                <w:sz w:val="22"/>
                <w:szCs w:val="22"/>
                <w:highlight w:val="none"/>
                <w:lang w:val="en-US" w:eastAsia="zh-CN"/>
              </w:rPr>
              <w:t>8300人</w:t>
            </w:r>
          </w:p>
        </w:tc>
        <w:tc>
          <w:tcPr>
            <w:tcW w:w="1501" w:type="dxa"/>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kern w:val="0"/>
                <w:sz w:val="22"/>
                <w:highlight w:val="none"/>
              </w:rPr>
              <w:t>二类区</w:t>
            </w:r>
          </w:p>
        </w:tc>
        <w:tc>
          <w:tcPr>
            <w:tcW w:w="118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N</w:t>
            </w:r>
          </w:p>
        </w:tc>
        <w:tc>
          <w:tcPr>
            <w:tcW w:w="1616"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673" w:type="dxa"/>
            <w:vMerge w:val="restart"/>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kern w:val="0"/>
                <w:sz w:val="22"/>
                <w:highlight w:val="none"/>
                <w:lang w:eastAsia="zh-CN"/>
              </w:rPr>
            </w:pPr>
            <w:r>
              <w:rPr>
                <w:rFonts w:hint="eastAsia"/>
                <w:color w:val="auto"/>
                <w:kern w:val="0"/>
                <w:sz w:val="22"/>
                <w:highlight w:val="none"/>
                <w:lang w:val="en-US" w:eastAsia="zh-CN"/>
              </w:rPr>
              <w:t>2#</w:t>
            </w:r>
            <w:r>
              <w:rPr>
                <w:rFonts w:hint="eastAsia"/>
                <w:color w:val="auto"/>
                <w:kern w:val="0"/>
                <w:sz w:val="22"/>
                <w:highlight w:val="none"/>
                <w:lang w:eastAsia="zh-CN"/>
              </w:rPr>
              <w:t>弃渣场</w:t>
            </w: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18#散户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35612567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3319453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2户，约8人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N</w:t>
            </w:r>
          </w:p>
        </w:tc>
        <w:tc>
          <w:tcPr>
            <w:tcW w:w="1616"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kern w:val="0"/>
                <w:sz w:val="22"/>
                <w:highlight w:val="none"/>
                <w:lang w:eastAsia="zh-CN"/>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19#散户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35612711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3319408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4户，约16人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N</w:t>
            </w:r>
          </w:p>
        </w:tc>
        <w:tc>
          <w:tcPr>
            <w:tcW w:w="1616" w:type="dxa"/>
            <w:noWrap/>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20</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35612892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3319452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10户，约40人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N</w:t>
            </w:r>
          </w:p>
        </w:tc>
        <w:tc>
          <w:tcPr>
            <w:tcW w:w="1616" w:type="dxa"/>
            <w:noWrap/>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21</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35612950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3319547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2户，约8人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N</w:t>
            </w:r>
          </w:p>
        </w:tc>
        <w:tc>
          <w:tcPr>
            <w:tcW w:w="1616" w:type="dxa"/>
            <w:noWrap/>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22</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35613030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3319411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12户，约48人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N</w:t>
            </w:r>
          </w:p>
        </w:tc>
        <w:tc>
          <w:tcPr>
            <w:tcW w:w="1616" w:type="dxa"/>
            <w:noWrap/>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23</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35613142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3319562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3户，约12人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N</w:t>
            </w:r>
          </w:p>
        </w:tc>
        <w:tc>
          <w:tcPr>
            <w:tcW w:w="1616" w:type="dxa"/>
            <w:noWrap/>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24</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35613294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3319653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3户，约12人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N</w:t>
            </w:r>
          </w:p>
        </w:tc>
        <w:tc>
          <w:tcPr>
            <w:tcW w:w="1616" w:type="dxa"/>
            <w:noWrap/>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25</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35613617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3319807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4户，约16人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N</w:t>
            </w:r>
          </w:p>
        </w:tc>
        <w:tc>
          <w:tcPr>
            <w:tcW w:w="1616" w:type="dxa"/>
            <w:noWrap/>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26</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35613678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3319643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4户，约16人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E</w:t>
            </w:r>
          </w:p>
        </w:tc>
        <w:tc>
          <w:tcPr>
            <w:tcW w:w="1616" w:type="dxa"/>
            <w:noWrap/>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27</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35613564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3319486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3户，约12人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E</w:t>
            </w:r>
          </w:p>
        </w:tc>
        <w:tc>
          <w:tcPr>
            <w:tcW w:w="1616"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28</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35613295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3319253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12户，约48人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E</w:t>
            </w:r>
          </w:p>
        </w:tc>
        <w:tc>
          <w:tcPr>
            <w:tcW w:w="1616"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29</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35613133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3318917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3</w:t>
            </w:r>
            <w:r>
              <w:rPr>
                <w:rFonts w:hint="eastAsia" w:ascii="Times New Roman" w:hAnsi="Times New Roman" w:eastAsia="宋体" w:cs="Times New Roman"/>
                <w:color w:val="auto"/>
                <w:kern w:val="2"/>
                <w:sz w:val="22"/>
                <w:szCs w:val="22"/>
                <w:highlight w:val="none"/>
                <w:lang w:val="en-US" w:eastAsia="zh-CN" w:bidi="ar-SA"/>
              </w:rPr>
              <w:t>户，约</w:t>
            </w:r>
            <w:r>
              <w:rPr>
                <w:rFonts w:hint="eastAsia" w:cs="Times New Roman"/>
                <w:color w:val="auto"/>
                <w:kern w:val="2"/>
                <w:sz w:val="22"/>
                <w:szCs w:val="22"/>
                <w:highlight w:val="none"/>
                <w:lang w:val="en-US" w:eastAsia="zh-CN" w:bidi="ar-SA"/>
              </w:rPr>
              <w:t>12</w:t>
            </w:r>
            <w:r>
              <w:rPr>
                <w:rFonts w:hint="eastAsia" w:ascii="Times New Roman" w:hAnsi="Times New Roman" w:eastAsia="宋体" w:cs="Times New Roman"/>
                <w:color w:val="auto"/>
                <w:kern w:val="2"/>
                <w:sz w:val="22"/>
                <w:szCs w:val="22"/>
                <w:highlight w:val="none"/>
                <w:lang w:val="en-US" w:eastAsia="zh-CN" w:bidi="ar-SA"/>
              </w:rPr>
              <w:t>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w:t>
            </w:r>
          </w:p>
        </w:tc>
        <w:tc>
          <w:tcPr>
            <w:tcW w:w="1616"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30</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35612895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3319087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8户，约32人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w:t>
            </w:r>
          </w:p>
        </w:tc>
        <w:tc>
          <w:tcPr>
            <w:tcW w:w="1616"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31</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35613316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3318811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10户，约40人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w:t>
            </w:r>
          </w:p>
        </w:tc>
        <w:tc>
          <w:tcPr>
            <w:tcW w:w="1616"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auto"/>
                <w:kern w:val="0"/>
                <w:sz w:val="22"/>
                <w:szCs w:val="24"/>
                <w:highlight w:val="none"/>
                <w:lang w:val="en-US" w:eastAsia="zh-CN" w:bidi="ar-SA"/>
              </w:rPr>
            </w:pPr>
            <w:r>
              <w:rPr>
                <w:rFonts w:hint="eastAsia"/>
                <w:color w:val="auto"/>
                <w:kern w:val="0"/>
                <w:sz w:val="22"/>
                <w:highlight w:val="none"/>
                <w:lang w:val="en-US" w:eastAsia="zh-CN"/>
              </w:rPr>
              <w:t>32</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35612366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3319300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5户，约20人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W</w:t>
            </w:r>
          </w:p>
        </w:tc>
        <w:tc>
          <w:tcPr>
            <w:tcW w:w="1616"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33</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35612434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3319276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6户，约24人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w:t>
            </w:r>
          </w:p>
        </w:tc>
        <w:tc>
          <w:tcPr>
            <w:tcW w:w="1616"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34</w:t>
            </w:r>
            <w:r>
              <w:rPr>
                <w:rFonts w:hint="eastAsia"/>
                <w:color w:val="auto"/>
                <w:kern w:val="0"/>
                <w:sz w:val="22"/>
                <w:highlight w:val="none"/>
              </w:rPr>
              <w:t>#散户</w:t>
            </w:r>
            <w:r>
              <w:rPr>
                <w:color w:val="auto"/>
                <w:kern w:val="0"/>
                <w:sz w:val="22"/>
                <w:highlight w:val="none"/>
              </w:rPr>
              <w:t>居民点</w:t>
            </w:r>
          </w:p>
        </w:tc>
        <w:tc>
          <w:tcPr>
            <w:tcW w:w="1209"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35612480 </w:t>
            </w:r>
          </w:p>
        </w:tc>
        <w:tc>
          <w:tcPr>
            <w:tcW w:w="1120" w:type="dxa"/>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3319211 </w:t>
            </w:r>
          </w:p>
        </w:tc>
        <w:tc>
          <w:tcPr>
            <w:tcW w:w="988"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26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3户，约12人</w:t>
            </w:r>
          </w:p>
        </w:tc>
        <w:tc>
          <w:tcPr>
            <w:tcW w:w="1501"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w:t>
            </w:r>
          </w:p>
        </w:tc>
        <w:tc>
          <w:tcPr>
            <w:tcW w:w="1616"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35</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35612546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3319171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2户，约8人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w:t>
            </w:r>
          </w:p>
        </w:tc>
        <w:tc>
          <w:tcPr>
            <w:tcW w:w="161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36#散户居民点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35612719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3319090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kern w:val="0"/>
                <w:sz w:val="22"/>
                <w:highlight w:val="none"/>
                <w:lang w:eastAsia="zh-CN"/>
              </w:rPr>
            </w:pPr>
            <w:r>
              <w:rPr>
                <w:rFonts w:hint="eastAsia"/>
                <w:color w:val="auto"/>
                <w:kern w:val="0"/>
                <w:sz w:val="22"/>
                <w:highlight w:val="none"/>
                <w:lang w:eastAsia="zh-CN"/>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1户，4人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kern w:val="0"/>
                <w:sz w:val="22"/>
                <w:highlight w:val="none"/>
                <w:lang w:eastAsia="zh-CN"/>
              </w:rPr>
            </w:pPr>
            <w:r>
              <w:rPr>
                <w:rFonts w:hint="eastAsia"/>
                <w:color w:val="auto"/>
                <w:kern w:val="0"/>
                <w:sz w:val="22"/>
                <w:highlight w:val="none"/>
                <w:lang w:eastAsia="zh-CN"/>
              </w:rPr>
              <w:t>二类区</w:t>
            </w:r>
          </w:p>
        </w:tc>
        <w:tc>
          <w:tcPr>
            <w:tcW w:w="1181"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SW</w:t>
            </w:r>
          </w:p>
        </w:tc>
        <w:tc>
          <w:tcPr>
            <w:tcW w:w="1616"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37</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35613516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3319105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3户，约12人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SE</w:t>
            </w:r>
          </w:p>
        </w:tc>
        <w:tc>
          <w:tcPr>
            <w:tcW w:w="161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38</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35613439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3318941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8户，约32人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SE</w:t>
            </w:r>
          </w:p>
        </w:tc>
        <w:tc>
          <w:tcPr>
            <w:tcW w:w="1616"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G-5</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35613947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3319628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8户，约32人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NE</w:t>
            </w:r>
          </w:p>
        </w:tc>
        <w:tc>
          <w:tcPr>
            <w:tcW w:w="161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G-6</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35613927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3319998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6户，约24人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NE</w:t>
            </w:r>
          </w:p>
        </w:tc>
        <w:tc>
          <w:tcPr>
            <w:tcW w:w="161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G-7</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35613482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3320054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4户，约16人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N</w:t>
            </w:r>
          </w:p>
        </w:tc>
        <w:tc>
          <w:tcPr>
            <w:tcW w:w="161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332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G-8</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35613414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3319842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3户，约12人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N</w:t>
            </w:r>
          </w:p>
        </w:tc>
        <w:tc>
          <w:tcPr>
            <w:tcW w:w="161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G-9</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35612787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3319779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2户，约8人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N</w:t>
            </w:r>
          </w:p>
        </w:tc>
        <w:tc>
          <w:tcPr>
            <w:tcW w:w="161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G-10</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35612587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3319744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3户，约12人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N</w:t>
            </w:r>
          </w:p>
        </w:tc>
        <w:tc>
          <w:tcPr>
            <w:tcW w:w="161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G-11</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35612267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3319481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2户，约8人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NW</w:t>
            </w:r>
          </w:p>
        </w:tc>
        <w:tc>
          <w:tcPr>
            <w:tcW w:w="161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G-12</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35613540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3318728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4户，约16人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SE</w:t>
            </w:r>
          </w:p>
        </w:tc>
        <w:tc>
          <w:tcPr>
            <w:tcW w:w="161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G-13</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35612133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3319498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3户，约12人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N</w:t>
            </w:r>
            <w:r>
              <w:rPr>
                <w:rFonts w:hint="eastAsia" w:ascii="Times New Roman" w:hAnsi="Times New Roman" w:eastAsia="宋体" w:cs="Times New Roman"/>
                <w:color w:val="auto"/>
                <w:kern w:val="2"/>
                <w:sz w:val="22"/>
                <w:szCs w:val="22"/>
                <w:highlight w:val="none"/>
                <w:lang w:val="en-US" w:eastAsia="zh-CN" w:bidi="ar-SA"/>
              </w:rPr>
              <w:t>W</w:t>
            </w:r>
          </w:p>
        </w:tc>
        <w:tc>
          <w:tcPr>
            <w:tcW w:w="161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G-14</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35613740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3318803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5户，约20人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SE</w:t>
            </w:r>
          </w:p>
        </w:tc>
        <w:tc>
          <w:tcPr>
            <w:tcW w:w="161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425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G-15</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35613574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3318576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6户，约24人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SE</w:t>
            </w:r>
          </w:p>
        </w:tc>
        <w:tc>
          <w:tcPr>
            <w:tcW w:w="161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345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G-16</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35612105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3319040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7户，约28人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W</w:t>
            </w:r>
          </w:p>
        </w:tc>
        <w:tc>
          <w:tcPr>
            <w:tcW w:w="161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G-17</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35612828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3318845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5户，约20人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S</w:t>
            </w:r>
          </w:p>
        </w:tc>
        <w:tc>
          <w:tcPr>
            <w:tcW w:w="161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202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G-18</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35613284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3319948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3户，约12人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N</w:t>
            </w:r>
          </w:p>
        </w:tc>
        <w:tc>
          <w:tcPr>
            <w:tcW w:w="161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highlight w:val="none"/>
              </w:rPr>
            </w:pPr>
          </w:p>
        </w:tc>
        <w:tc>
          <w:tcPr>
            <w:tcW w:w="19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G-19</w:t>
            </w:r>
            <w:r>
              <w:rPr>
                <w:rFonts w:hint="eastAsia"/>
                <w:color w:val="auto"/>
                <w:kern w:val="0"/>
                <w:sz w:val="22"/>
                <w:highlight w:val="none"/>
              </w:rPr>
              <w:t>#散户</w:t>
            </w:r>
            <w:r>
              <w:rPr>
                <w:color w:val="auto"/>
                <w:kern w:val="0"/>
                <w:sz w:val="22"/>
                <w:highlight w:val="none"/>
              </w:rPr>
              <w:t>居民点</w:t>
            </w:r>
          </w:p>
        </w:tc>
        <w:tc>
          <w:tcPr>
            <w:tcW w:w="1209"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35613010 </w:t>
            </w:r>
          </w:p>
        </w:tc>
        <w:tc>
          <w:tcPr>
            <w:tcW w:w="1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 xml:space="preserve">3319949 </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居民点</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2户，约8人</w:t>
            </w:r>
          </w:p>
        </w:tc>
        <w:tc>
          <w:tcPr>
            <w:tcW w:w="0" w:type="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color w:val="auto"/>
                <w:kern w:val="0"/>
                <w:sz w:val="22"/>
                <w:highlight w:val="none"/>
              </w:rPr>
              <w:t>二类区</w:t>
            </w:r>
          </w:p>
        </w:tc>
        <w:tc>
          <w:tcPr>
            <w:tcW w:w="1181"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N</w:t>
            </w:r>
          </w:p>
        </w:tc>
        <w:tc>
          <w:tcPr>
            <w:tcW w:w="161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426</w:t>
            </w:r>
          </w:p>
        </w:tc>
      </w:tr>
    </w:tbl>
    <w:p>
      <w:pPr>
        <w:adjustRightInd w:val="0"/>
        <w:snapToGrid w:val="0"/>
        <w:spacing w:line="240" w:lineRule="auto"/>
        <w:ind w:firstLine="520"/>
        <w:jc w:val="center"/>
        <w:rPr>
          <w:color w:val="auto"/>
          <w:szCs w:val="26"/>
          <w:highlight w:val="none"/>
        </w:rPr>
      </w:pPr>
    </w:p>
    <w:p>
      <w:pPr>
        <w:adjustRightInd w:val="0"/>
        <w:snapToGrid w:val="0"/>
        <w:spacing w:line="240" w:lineRule="auto"/>
        <w:ind w:firstLine="520"/>
        <w:jc w:val="center"/>
        <w:rPr>
          <w:color w:val="auto"/>
          <w:szCs w:val="26"/>
          <w:highlight w:val="none"/>
        </w:rPr>
      </w:pPr>
    </w:p>
    <w:p>
      <w:pPr>
        <w:adjustRightInd w:val="0"/>
        <w:snapToGrid w:val="0"/>
        <w:spacing w:line="240" w:lineRule="auto"/>
        <w:ind w:firstLine="520"/>
        <w:jc w:val="center"/>
        <w:rPr>
          <w:color w:val="auto"/>
          <w:szCs w:val="26"/>
          <w:highlight w:val="none"/>
        </w:rPr>
      </w:pPr>
    </w:p>
    <w:p>
      <w:pPr>
        <w:adjustRightInd w:val="0"/>
        <w:snapToGrid w:val="0"/>
        <w:spacing w:line="240" w:lineRule="auto"/>
        <w:ind w:firstLine="440"/>
        <w:rPr>
          <w:color w:val="auto"/>
          <w:sz w:val="22"/>
          <w:szCs w:val="22"/>
          <w:highlight w:val="none"/>
        </w:rPr>
      </w:pPr>
    </w:p>
    <w:p>
      <w:pPr>
        <w:adjustRightInd w:val="0"/>
        <w:snapToGrid w:val="0"/>
        <w:spacing w:line="240" w:lineRule="auto"/>
        <w:ind w:firstLine="520"/>
        <w:jc w:val="center"/>
        <w:rPr>
          <w:color w:val="auto"/>
          <w:szCs w:val="26"/>
          <w:highlight w:val="none"/>
        </w:rPr>
      </w:pPr>
    </w:p>
    <w:p>
      <w:pPr>
        <w:tabs>
          <w:tab w:val="left" w:pos="5287"/>
        </w:tabs>
        <w:ind w:firstLine="520"/>
        <w:rPr>
          <w:color w:val="auto"/>
          <w:highlight w:val="none"/>
        </w:rPr>
        <w:sectPr>
          <w:pgSz w:w="16838" w:h="11906" w:orient="landscape"/>
          <w:pgMar w:top="1701" w:right="1588" w:bottom="1588" w:left="1588" w:header="1304" w:footer="1247" w:gutter="0"/>
          <w:cols w:space="425" w:num="1"/>
          <w:docGrid w:linePitch="354" w:charSpace="0"/>
        </w:sectPr>
      </w:pPr>
    </w:p>
    <w:p>
      <w:pPr>
        <w:pStyle w:val="4"/>
        <w:rPr>
          <w:color w:val="auto"/>
          <w:highlight w:val="none"/>
        </w:rPr>
      </w:pPr>
      <w:bookmarkStart w:id="64" w:name="_Toc21026"/>
      <w:r>
        <w:rPr>
          <w:rFonts w:hint="eastAsia"/>
          <w:color w:val="auto"/>
          <w:highlight w:val="none"/>
        </w:rPr>
        <w:t>相关</w:t>
      </w:r>
      <w:r>
        <w:rPr>
          <w:color w:val="auto"/>
          <w:highlight w:val="none"/>
        </w:rPr>
        <w:t>政策及规划符合性分析</w:t>
      </w:r>
      <w:bookmarkEnd w:id="64"/>
    </w:p>
    <w:p>
      <w:pPr>
        <w:pStyle w:val="5"/>
        <w:ind w:firstLine="522"/>
        <w:rPr>
          <w:color w:val="auto"/>
          <w:highlight w:val="none"/>
        </w:rPr>
      </w:pPr>
      <w:r>
        <w:rPr>
          <w:rFonts w:hint="eastAsia"/>
          <w:color w:val="auto"/>
          <w:highlight w:val="none"/>
        </w:rPr>
        <w:t>产业</w:t>
      </w:r>
      <w:r>
        <w:rPr>
          <w:color w:val="auto"/>
          <w:highlight w:val="none"/>
        </w:rPr>
        <w:t>政策符合性分析</w:t>
      </w:r>
    </w:p>
    <w:p>
      <w:pPr>
        <w:snapToGrid w:val="0"/>
        <w:ind w:firstLine="520"/>
        <w:rPr>
          <w:bCs/>
          <w:color w:val="auto"/>
          <w:szCs w:val="26"/>
          <w:highlight w:val="none"/>
        </w:rPr>
      </w:pPr>
      <w:r>
        <w:rPr>
          <w:rFonts w:hint="eastAsia"/>
          <w:bCs/>
          <w:color w:val="auto"/>
          <w:szCs w:val="26"/>
          <w:highlight w:val="none"/>
        </w:rPr>
        <w:t>（1）与《产业结构调整指导目录（2024年本）》的符合性</w:t>
      </w:r>
    </w:p>
    <w:p>
      <w:pPr>
        <w:snapToGrid w:val="0"/>
        <w:ind w:firstLine="520"/>
        <w:rPr>
          <w:color w:val="auto"/>
          <w:szCs w:val="26"/>
          <w:highlight w:val="none"/>
        </w:rPr>
      </w:pPr>
      <w:r>
        <w:rPr>
          <w:rFonts w:hint="eastAsia"/>
          <w:bCs/>
          <w:color w:val="auto"/>
          <w:szCs w:val="26"/>
          <w:highlight w:val="none"/>
        </w:rPr>
        <w:t>本项目为</w:t>
      </w:r>
      <w:r>
        <w:rPr>
          <w:rFonts w:hint="eastAsia"/>
          <w:bCs/>
          <w:color w:val="auto"/>
          <w:szCs w:val="26"/>
          <w:highlight w:val="none"/>
          <w:lang w:eastAsia="zh-CN"/>
        </w:rPr>
        <w:t>船闸扩能升级改造</w:t>
      </w:r>
      <w:r>
        <w:rPr>
          <w:rFonts w:hint="eastAsia"/>
          <w:bCs/>
          <w:color w:val="auto"/>
          <w:szCs w:val="26"/>
          <w:highlight w:val="none"/>
        </w:rPr>
        <w:t>工程，属于《产业结构调整指导目录（2024年本）》中</w:t>
      </w:r>
      <w:r>
        <w:rPr>
          <w:rFonts w:hint="eastAsia"/>
          <w:color w:val="auto"/>
          <w:highlight w:val="none"/>
          <w:lang w:eastAsia="zh-CN"/>
        </w:rPr>
        <w:t>“</w:t>
      </w:r>
      <w:r>
        <w:rPr>
          <w:color w:val="auto"/>
          <w:highlight w:val="none"/>
        </w:rPr>
        <w:t>第一类 鼓励类</w:t>
      </w:r>
      <w:r>
        <w:rPr>
          <w:rFonts w:hint="eastAsia"/>
          <w:color w:val="auto"/>
          <w:highlight w:val="none"/>
          <w:lang w:eastAsia="zh-CN"/>
        </w:rPr>
        <w:t>”——</w:t>
      </w:r>
      <w:r>
        <w:rPr>
          <w:rFonts w:ascii="宋体" w:hAnsi="宋体"/>
          <w:color w:val="auto"/>
          <w:highlight w:val="none"/>
        </w:rPr>
        <w:t>“</w:t>
      </w:r>
      <w:r>
        <w:rPr>
          <w:rFonts w:hint="eastAsia" w:ascii="宋体" w:hAnsi="宋体"/>
          <w:color w:val="auto"/>
          <w:highlight w:val="none"/>
        </w:rPr>
        <w:t>二十五、水运</w:t>
      </w:r>
      <w:r>
        <w:rPr>
          <w:rFonts w:ascii="宋体" w:hAnsi="宋体"/>
          <w:color w:val="auto"/>
          <w:highlight w:val="none"/>
        </w:rPr>
        <w:t>”中“</w:t>
      </w:r>
      <w:r>
        <w:rPr>
          <w:rFonts w:hint="eastAsia"/>
          <w:color w:val="auto"/>
          <w:highlight w:val="none"/>
        </w:rPr>
        <w:t>1．高等级航道建设：通航建筑物</w:t>
      </w:r>
      <w:r>
        <w:rPr>
          <w:rFonts w:ascii="宋体" w:hAnsi="宋体"/>
          <w:color w:val="auto"/>
          <w:highlight w:val="none"/>
        </w:rPr>
        <w:t>”</w:t>
      </w:r>
      <w:r>
        <w:rPr>
          <w:rFonts w:hint="eastAsia"/>
          <w:bCs/>
          <w:color w:val="auto"/>
          <w:szCs w:val="26"/>
          <w:highlight w:val="none"/>
        </w:rPr>
        <w:t>，符合国家产业政策</w:t>
      </w:r>
      <w:r>
        <w:rPr>
          <w:rFonts w:hint="eastAsia"/>
          <w:color w:val="auto"/>
          <w:szCs w:val="26"/>
          <w:highlight w:val="none"/>
        </w:rPr>
        <w:t>。</w:t>
      </w:r>
    </w:p>
    <w:p>
      <w:pPr>
        <w:adjustRightInd w:val="0"/>
        <w:snapToGrid w:val="0"/>
        <w:spacing w:line="460" w:lineRule="exact"/>
        <w:ind w:firstLine="520"/>
        <w:rPr>
          <w:color w:val="auto"/>
          <w:szCs w:val="26"/>
          <w:highlight w:val="none"/>
        </w:rPr>
      </w:pPr>
      <w:r>
        <w:rPr>
          <w:color w:val="auto"/>
          <w:szCs w:val="26"/>
          <w:highlight w:val="none"/>
        </w:rPr>
        <w:t>（2）</w:t>
      </w:r>
      <w:r>
        <w:rPr>
          <w:rFonts w:hint="eastAsia"/>
          <w:color w:val="auto"/>
          <w:szCs w:val="26"/>
          <w:highlight w:val="none"/>
        </w:rPr>
        <w:t>与《长江</w:t>
      </w:r>
      <w:r>
        <w:rPr>
          <w:color w:val="auto"/>
          <w:szCs w:val="26"/>
          <w:highlight w:val="none"/>
        </w:rPr>
        <w:t>经济带发展负面清单指南</w:t>
      </w:r>
      <w:r>
        <w:rPr>
          <w:rFonts w:hint="eastAsia"/>
          <w:color w:val="auto"/>
          <w:szCs w:val="26"/>
          <w:highlight w:val="none"/>
        </w:rPr>
        <w:t>（试行，2022年</w:t>
      </w:r>
      <w:r>
        <w:rPr>
          <w:color w:val="auto"/>
          <w:szCs w:val="26"/>
          <w:highlight w:val="none"/>
        </w:rPr>
        <w:t>版</w:t>
      </w:r>
      <w:r>
        <w:rPr>
          <w:rFonts w:hint="eastAsia"/>
          <w:color w:val="auto"/>
          <w:szCs w:val="26"/>
          <w:highlight w:val="none"/>
        </w:rPr>
        <w:t>）》的</w:t>
      </w:r>
      <w:r>
        <w:rPr>
          <w:color w:val="auto"/>
          <w:szCs w:val="26"/>
          <w:highlight w:val="none"/>
        </w:rPr>
        <w:t>符合性</w:t>
      </w:r>
    </w:p>
    <w:p>
      <w:pPr>
        <w:adjustRightInd w:val="0"/>
        <w:snapToGrid w:val="0"/>
        <w:spacing w:line="460" w:lineRule="exact"/>
        <w:ind w:firstLine="520"/>
        <w:rPr>
          <w:color w:val="auto"/>
          <w:szCs w:val="26"/>
          <w:highlight w:val="none"/>
        </w:rPr>
      </w:pPr>
      <w:r>
        <w:rPr>
          <w:rFonts w:hint="eastAsia"/>
          <w:bCs/>
          <w:color w:val="auto"/>
          <w:szCs w:val="26"/>
          <w:highlight w:val="none"/>
        </w:rPr>
        <w:t>为深入贯彻落实</w:t>
      </w:r>
      <w:r>
        <w:rPr>
          <w:bCs/>
          <w:color w:val="auto"/>
          <w:szCs w:val="26"/>
          <w:highlight w:val="none"/>
        </w:rPr>
        <w:t>习近平总书记关于推动长江经济带发展的重要讲话和指示批示精神，认真落实长江保护法，进一步</w:t>
      </w:r>
      <w:r>
        <w:rPr>
          <w:rFonts w:hint="eastAsia"/>
          <w:bCs/>
          <w:color w:val="auto"/>
          <w:szCs w:val="26"/>
          <w:highlight w:val="none"/>
        </w:rPr>
        <w:t>完善</w:t>
      </w:r>
      <w:r>
        <w:rPr>
          <w:bCs/>
          <w:color w:val="auto"/>
          <w:szCs w:val="26"/>
          <w:highlight w:val="none"/>
        </w:rPr>
        <w:t>长江经济带负面清单管理体制体系，</w:t>
      </w:r>
      <w:r>
        <w:rPr>
          <w:rFonts w:hint="eastAsia"/>
          <w:bCs/>
          <w:color w:val="auto"/>
          <w:szCs w:val="26"/>
          <w:highlight w:val="none"/>
        </w:rPr>
        <w:t>推动长江经济带</w:t>
      </w:r>
      <w:r>
        <w:rPr>
          <w:bCs/>
          <w:color w:val="auto"/>
          <w:szCs w:val="26"/>
          <w:highlight w:val="none"/>
        </w:rPr>
        <w:t>发展领导小组办公室印发了</w:t>
      </w:r>
      <w:r>
        <w:rPr>
          <w:rFonts w:hint="eastAsia"/>
          <w:color w:val="auto"/>
          <w:szCs w:val="26"/>
          <w:highlight w:val="none"/>
        </w:rPr>
        <w:t>《长江</w:t>
      </w:r>
      <w:r>
        <w:rPr>
          <w:color w:val="auto"/>
          <w:szCs w:val="26"/>
          <w:highlight w:val="none"/>
        </w:rPr>
        <w:t>经济带发展负面清单指南</w:t>
      </w:r>
      <w:r>
        <w:rPr>
          <w:rFonts w:hint="eastAsia"/>
          <w:color w:val="auto"/>
          <w:szCs w:val="26"/>
          <w:highlight w:val="none"/>
        </w:rPr>
        <w:t>（试行，2022年</w:t>
      </w:r>
      <w:r>
        <w:rPr>
          <w:color w:val="auto"/>
          <w:szCs w:val="26"/>
          <w:highlight w:val="none"/>
        </w:rPr>
        <w:t>版</w:t>
      </w:r>
      <w:r>
        <w:rPr>
          <w:rFonts w:hint="eastAsia"/>
          <w:color w:val="auto"/>
          <w:szCs w:val="26"/>
          <w:highlight w:val="none"/>
        </w:rPr>
        <w:t>）》，</w:t>
      </w:r>
      <w:r>
        <w:rPr>
          <w:bCs/>
          <w:color w:val="auto"/>
          <w:szCs w:val="26"/>
          <w:highlight w:val="none"/>
        </w:rPr>
        <w:t>项目与</w:t>
      </w:r>
      <w:r>
        <w:rPr>
          <w:rFonts w:hint="eastAsia"/>
          <w:bCs/>
          <w:color w:val="auto"/>
          <w:szCs w:val="26"/>
          <w:highlight w:val="none"/>
        </w:rPr>
        <w:t>指南的</w:t>
      </w:r>
      <w:r>
        <w:rPr>
          <w:bCs/>
          <w:color w:val="auto"/>
          <w:szCs w:val="26"/>
          <w:highlight w:val="none"/>
        </w:rPr>
        <w:t>对比分析详见</w:t>
      </w:r>
      <w:r>
        <w:rPr>
          <w:rFonts w:hint="eastAsia"/>
          <w:bCs/>
          <w:color w:val="auto"/>
          <w:szCs w:val="26"/>
          <w:highlight w:val="none"/>
        </w:rPr>
        <w:t>下表：</w:t>
      </w:r>
    </w:p>
    <w:p>
      <w:pPr>
        <w:adjustRightInd w:val="0"/>
        <w:snapToGrid w:val="0"/>
        <w:spacing w:line="240" w:lineRule="auto"/>
        <w:ind w:firstLine="520"/>
        <w:rPr>
          <w:color w:val="auto"/>
          <w:szCs w:val="26"/>
          <w:highlight w:val="none"/>
        </w:rPr>
      </w:pPr>
    </w:p>
    <w:p>
      <w:pPr>
        <w:adjustRightInd w:val="0"/>
        <w:snapToGrid w:val="0"/>
        <w:spacing w:line="240" w:lineRule="auto"/>
        <w:ind w:firstLine="0" w:firstLineChars="0"/>
        <w:jc w:val="center"/>
        <w:rPr>
          <w:color w:val="auto"/>
          <w:szCs w:val="26"/>
          <w:highlight w:val="none"/>
        </w:rPr>
      </w:pPr>
      <w:r>
        <w:rPr>
          <w:rFonts w:hint="eastAsia"/>
          <w:color w:val="auto"/>
          <w:szCs w:val="26"/>
          <w:highlight w:val="none"/>
        </w:rPr>
        <w:t>表1.9.1-1</w:t>
      </w:r>
      <w:r>
        <w:rPr>
          <w:rFonts w:hint="eastAsia"/>
          <w:color w:val="auto"/>
          <w:szCs w:val="26"/>
          <w:highlight w:val="none"/>
          <w:lang w:val="en-US" w:eastAsia="zh-CN"/>
        </w:rPr>
        <w:t xml:space="preserve">  </w:t>
      </w:r>
      <w:r>
        <w:rPr>
          <w:rFonts w:hint="eastAsia"/>
          <w:color w:val="auto"/>
          <w:szCs w:val="26"/>
          <w:highlight w:val="none"/>
        </w:rPr>
        <w:t>与《长江</w:t>
      </w:r>
      <w:r>
        <w:rPr>
          <w:color w:val="auto"/>
          <w:szCs w:val="26"/>
          <w:highlight w:val="none"/>
        </w:rPr>
        <w:t>经济带发展负面清单指南</w:t>
      </w:r>
      <w:r>
        <w:rPr>
          <w:rFonts w:hint="eastAsia"/>
          <w:color w:val="auto"/>
          <w:szCs w:val="26"/>
          <w:highlight w:val="none"/>
        </w:rPr>
        <w:t>》符合性</w:t>
      </w:r>
      <w:r>
        <w:rPr>
          <w:color w:val="auto"/>
          <w:szCs w:val="26"/>
          <w:highlight w:val="none"/>
        </w:rPr>
        <w:t>分析</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8"/>
        <w:gridCol w:w="4936"/>
        <w:gridCol w:w="2283"/>
        <w:gridCol w:w="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序号</w:t>
            </w:r>
          </w:p>
        </w:tc>
        <w:tc>
          <w:tcPr>
            <w:tcW w:w="4936"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清单</w:t>
            </w:r>
            <w:r>
              <w:rPr>
                <w:color w:val="auto"/>
                <w:sz w:val="20"/>
                <w:szCs w:val="20"/>
                <w:highlight w:val="none"/>
              </w:rPr>
              <w:t>内容</w:t>
            </w:r>
          </w:p>
        </w:tc>
        <w:tc>
          <w:tcPr>
            <w:tcW w:w="2283"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本工程</w:t>
            </w:r>
            <w:r>
              <w:rPr>
                <w:color w:val="auto"/>
                <w:sz w:val="20"/>
                <w:szCs w:val="20"/>
                <w:highlight w:val="none"/>
              </w:rPr>
              <w:t>情况</w:t>
            </w:r>
          </w:p>
        </w:tc>
        <w:tc>
          <w:tcPr>
            <w:tcW w:w="842"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1</w:t>
            </w:r>
          </w:p>
        </w:tc>
        <w:tc>
          <w:tcPr>
            <w:tcW w:w="4936"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禁止</w:t>
            </w:r>
            <w:r>
              <w:rPr>
                <w:color w:val="auto"/>
                <w:sz w:val="20"/>
                <w:szCs w:val="20"/>
                <w:highlight w:val="none"/>
              </w:rPr>
              <w:t>建设不符合</w:t>
            </w:r>
            <w:r>
              <w:rPr>
                <w:rFonts w:hint="eastAsia"/>
                <w:color w:val="auto"/>
                <w:sz w:val="20"/>
                <w:szCs w:val="20"/>
                <w:highlight w:val="none"/>
              </w:rPr>
              <w:t>全国</w:t>
            </w:r>
            <w:r>
              <w:rPr>
                <w:color w:val="auto"/>
                <w:sz w:val="20"/>
                <w:szCs w:val="20"/>
                <w:highlight w:val="none"/>
              </w:rPr>
              <w:t>和省级港口布局规划以及港口总体规划</w:t>
            </w:r>
            <w:r>
              <w:rPr>
                <w:rFonts w:hint="eastAsia"/>
                <w:color w:val="auto"/>
                <w:sz w:val="20"/>
                <w:szCs w:val="20"/>
                <w:highlight w:val="none"/>
              </w:rPr>
              <w:t>的</w:t>
            </w:r>
            <w:r>
              <w:rPr>
                <w:color w:val="auto"/>
                <w:sz w:val="20"/>
                <w:szCs w:val="20"/>
                <w:highlight w:val="none"/>
              </w:rPr>
              <w:t>码头项目，禁止建设不符合《</w:t>
            </w:r>
            <w:r>
              <w:rPr>
                <w:rFonts w:hint="eastAsia"/>
                <w:color w:val="auto"/>
                <w:sz w:val="20"/>
                <w:szCs w:val="20"/>
                <w:highlight w:val="none"/>
              </w:rPr>
              <w:t>长江干线</w:t>
            </w:r>
            <w:r>
              <w:rPr>
                <w:color w:val="auto"/>
                <w:sz w:val="20"/>
                <w:szCs w:val="20"/>
                <w:highlight w:val="none"/>
              </w:rPr>
              <w:t>过江通道布局规划》</w:t>
            </w:r>
            <w:r>
              <w:rPr>
                <w:rFonts w:hint="eastAsia"/>
                <w:color w:val="auto"/>
                <w:sz w:val="20"/>
                <w:szCs w:val="20"/>
                <w:highlight w:val="none"/>
                <w:shd w:val="clear" w:fill="FFFFFF"/>
              </w:rPr>
              <w:t>的</w:t>
            </w:r>
            <w:r>
              <w:rPr>
                <w:color w:val="auto"/>
                <w:sz w:val="20"/>
                <w:szCs w:val="20"/>
                <w:highlight w:val="none"/>
                <w:shd w:val="clear" w:fill="FFFFFF"/>
              </w:rPr>
              <w:t>过</w:t>
            </w:r>
            <w:r>
              <w:rPr>
                <w:color w:val="auto"/>
                <w:sz w:val="20"/>
                <w:szCs w:val="20"/>
                <w:highlight w:val="none"/>
              </w:rPr>
              <w:t>长江通道项目。</w:t>
            </w:r>
          </w:p>
        </w:tc>
        <w:tc>
          <w:tcPr>
            <w:tcW w:w="2283" w:type="dxa"/>
            <w:vAlign w:val="center"/>
          </w:tcPr>
          <w:p>
            <w:pPr>
              <w:adjustRightInd w:val="0"/>
              <w:snapToGrid w:val="0"/>
              <w:spacing w:line="240" w:lineRule="auto"/>
              <w:ind w:firstLine="0" w:firstLineChars="0"/>
              <w:jc w:val="center"/>
              <w:rPr>
                <w:rFonts w:hint="eastAsia" w:eastAsia="宋体"/>
                <w:color w:val="auto"/>
                <w:sz w:val="20"/>
                <w:szCs w:val="20"/>
                <w:highlight w:val="none"/>
                <w:lang w:eastAsia="zh-CN"/>
              </w:rPr>
            </w:pPr>
            <w:r>
              <w:rPr>
                <w:rFonts w:hint="eastAsia"/>
                <w:color w:val="auto"/>
                <w:sz w:val="20"/>
                <w:szCs w:val="20"/>
                <w:highlight w:val="none"/>
                <w:lang w:eastAsia="zh-CN"/>
              </w:rPr>
              <w:t>项目为船闸工程，</w:t>
            </w:r>
            <w:r>
              <w:rPr>
                <w:rFonts w:hint="eastAsia"/>
                <w:color w:val="auto"/>
                <w:sz w:val="20"/>
                <w:szCs w:val="20"/>
                <w:highlight w:val="none"/>
              </w:rPr>
              <w:t>不涉及</w:t>
            </w:r>
            <w:r>
              <w:rPr>
                <w:rFonts w:hint="eastAsia"/>
                <w:color w:val="auto"/>
                <w:sz w:val="20"/>
                <w:szCs w:val="20"/>
                <w:highlight w:val="none"/>
                <w:lang w:eastAsia="zh-CN"/>
              </w:rPr>
              <w:t>码头及过江通道建</w:t>
            </w:r>
          </w:p>
        </w:tc>
        <w:tc>
          <w:tcPr>
            <w:tcW w:w="842"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2</w:t>
            </w:r>
          </w:p>
        </w:tc>
        <w:tc>
          <w:tcPr>
            <w:tcW w:w="4936"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禁止</w:t>
            </w:r>
            <w:r>
              <w:rPr>
                <w:color w:val="auto"/>
                <w:sz w:val="20"/>
                <w:szCs w:val="20"/>
                <w:highlight w:val="none"/>
              </w:rPr>
              <w:t>在自然保护区核心区、缓冲区的岸线和河段范围内投资建设旅游和生产经营项目</w:t>
            </w:r>
            <w:r>
              <w:rPr>
                <w:rFonts w:hint="eastAsia"/>
                <w:color w:val="auto"/>
                <w:sz w:val="20"/>
                <w:szCs w:val="20"/>
                <w:highlight w:val="none"/>
              </w:rPr>
              <w:t>。</w:t>
            </w:r>
            <w:r>
              <w:rPr>
                <w:color w:val="auto"/>
                <w:sz w:val="20"/>
                <w:szCs w:val="20"/>
                <w:highlight w:val="none"/>
              </w:rPr>
              <w:t>禁止</w:t>
            </w:r>
            <w:r>
              <w:rPr>
                <w:rFonts w:hint="eastAsia"/>
                <w:color w:val="auto"/>
                <w:sz w:val="20"/>
                <w:szCs w:val="20"/>
                <w:highlight w:val="none"/>
              </w:rPr>
              <w:t>在风景</w:t>
            </w:r>
            <w:r>
              <w:rPr>
                <w:color w:val="auto"/>
                <w:sz w:val="20"/>
                <w:szCs w:val="20"/>
                <w:highlight w:val="none"/>
              </w:rPr>
              <w:t>名胜区核心景区的岸线和河段范围内投资建设与风景名</w:t>
            </w:r>
            <w:r>
              <w:rPr>
                <w:color w:val="auto"/>
                <w:sz w:val="20"/>
                <w:szCs w:val="20"/>
                <w:highlight w:val="none"/>
                <w:shd w:val="clear" w:fill="FFFFFF"/>
              </w:rPr>
              <w:t>胜</w:t>
            </w:r>
            <w:r>
              <w:rPr>
                <w:color w:val="auto"/>
                <w:sz w:val="20"/>
                <w:szCs w:val="20"/>
                <w:highlight w:val="none"/>
              </w:rPr>
              <w:t>资源保护</w:t>
            </w:r>
            <w:r>
              <w:rPr>
                <w:rFonts w:hint="eastAsia"/>
                <w:color w:val="auto"/>
                <w:sz w:val="20"/>
                <w:szCs w:val="20"/>
                <w:highlight w:val="none"/>
              </w:rPr>
              <w:t>无关</w:t>
            </w:r>
            <w:r>
              <w:rPr>
                <w:color w:val="auto"/>
                <w:sz w:val="20"/>
                <w:szCs w:val="20"/>
                <w:highlight w:val="none"/>
              </w:rPr>
              <w:t>的项目。</w:t>
            </w:r>
          </w:p>
        </w:tc>
        <w:tc>
          <w:tcPr>
            <w:tcW w:w="2283"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建设内容不占用</w:t>
            </w:r>
            <w:r>
              <w:rPr>
                <w:color w:val="auto"/>
                <w:sz w:val="20"/>
                <w:szCs w:val="20"/>
                <w:highlight w:val="none"/>
              </w:rPr>
              <w:t>自然保护区、</w:t>
            </w:r>
            <w:r>
              <w:rPr>
                <w:rFonts w:hint="eastAsia"/>
                <w:color w:val="auto"/>
                <w:sz w:val="20"/>
                <w:szCs w:val="20"/>
                <w:highlight w:val="none"/>
              </w:rPr>
              <w:t>风景</w:t>
            </w:r>
            <w:r>
              <w:rPr>
                <w:color w:val="auto"/>
                <w:sz w:val="20"/>
                <w:szCs w:val="20"/>
                <w:highlight w:val="none"/>
              </w:rPr>
              <w:t>名胜区</w:t>
            </w:r>
            <w:r>
              <w:rPr>
                <w:rFonts w:hint="eastAsia"/>
                <w:color w:val="auto"/>
                <w:sz w:val="20"/>
                <w:szCs w:val="20"/>
                <w:highlight w:val="none"/>
              </w:rPr>
              <w:t>等</w:t>
            </w:r>
            <w:r>
              <w:rPr>
                <w:color w:val="auto"/>
                <w:sz w:val="20"/>
                <w:szCs w:val="20"/>
                <w:highlight w:val="none"/>
              </w:rPr>
              <w:t>生态敏感区。</w:t>
            </w:r>
          </w:p>
        </w:tc>
        <w:tc>
          <w:tcPr>
            <w:tcW w:w="842"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3</w:t>
            </w:r>
          </w:p>
        </w:tc>
        <w:tc>
          <w:tcPr>
            <w:tcW w:w="4936"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禁止</w:t>
            </w:r>
            <w:r>
              <w:rPr>
                <w:color w:val="auto"/>
                <w:sz w:val="20"/>
                <w:szCs w:val="20"/>
                <w:highlight w:val="none"/>
              </w:rPr>
              <w:t>在饮用水源一级保护区的岸线和</w:t>
            </w:r>
            <w:r>
              <w:rPr>
                <w:rFonts w:hint="eastAsia"/>
                <w:color w:val="auto"/>
                <w:sz w:val="20"/>
                <w:szCs w:val="20"/>
                <w:highlight w:val="none"/>
              </w:rPr>
              <w:t>河段</w:t>
            </w:r>
            <w:r>
              <w:rPr>
                <w:color w:val="auto"/>
                <w:sz w:val="20"/>
                <w:szCs w:val="20"/>
                <w:highlight w:val="none"/>
              </w:rPr>
              <w:t>范围内新建、改建</w:t>
            </w:r>
            <w:r>
              <w:rPr>
                <w:rFonts w:hint="eastAsia"/>
                <w:color w:val="auto"/>
                <w:sz w:val="20"/>
                <w:szCs w:val="20"/>
                <w:highlight w:val="none"/>
              </w:rPr>
              <w:t>、</w:t>
            </w:r>
            <w:r>
              <w:rPr>
                <w:color w:val="auto"/>
                <w:sz w:val="20"/>
                <w:szCs w:val="20"/>
                <w:highlight w:val="none"/>
              </w:rPr>
              <w:t>扩建与供水设施和保护水源</w:t>
            </w:r>
            <w:r>
              <w:rPr>
                <w:rFonts w:hint="eastAsia"/>
                <w:color w:val="auto"/>
                <w:sz w:val="20"/>
                <w:szCs w:val="20"/>
                <w:highlight w:val="none"/>
              </w:rPr>
              <w:t>无关</w:t>
            </w:r>
            <w:r>
              <w:rPr>
                <w:color w:val="auto"/>
                <w:sz w:val="20"/>
                <w:szCs w:val="20"/>
                <w:highlight w:val="none"/>
              </w:rPr>
              <w:t>的项目，</w:t>
            </w:r>
            <w:r>
              <w:rPr>
                <w:rFonts w:hint="eastAsia"/>
                <w:color w:val="auto"/>
                <w:sz w:val="20"/>
                <w:szCs w:val="20"/>
                <w:highlight w:val="none"/>
              </w:rPr>
              <w:t>以及</w:t>
            </w:r>
            <w:r>
              <w:rPr>
                <w:color w:val="auto"/>
                <w:sz w:val="20"/>
                <w:szCs w:val="20"/>
                <w:highlight w:val="none"/>
              </w:rPr>
              <w:t>网箱养殖、畜禽养殖、旅游等有可能污染饮用</w:t>
            </w:r>
            <w:r>
              <w:rPr>
                <w:rFonts w:hint="eastAsia"/>
                <w:color w:val="auto"/>
                <w:sz w:val="20"/>
                <w:szCs w:val="20"/>
                <w:highlight w:val="none"/>
              </w:rPr>
              <w:t>水</w:t>
            </w:r>
            <w:r>
              <w:rPr>
                <w:color w:val="auto"/>
                <w:sz w:val="20"/>
                <w:szCs w:val="20"/>
                <w:highlight w:val="none"/>
              </w:rPr>
              <w:t>水体的投资建设项目。禁止在饮用水源二级保护区的岸线和河段范围内新建、改建、扩建排放污染物的投资建设项目。</w:t>
            </w:r>
          </w:p>
        </w:tc>
        <w:tc>
          <w:tcPr>
            <w:tcW w:w="2283"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拟建</w:t>
            </w:r>
            <w:r>
              <w:rPr>
                <w:color w:val="auto"/>
                <w:sz w:val="20"/>
                <w:szCs w:val="20"/>
                <w:highlight w:val="none"/>
              </w:rPr>
              <w:t>工程不</w:t>
            </w:r>
            <w:r>
              <w:rPr>
                <w:rFonts w:hint="eastAsia"/>
                <w:color w:val="auto"/>
                <w:sz w:val="20"/>
                <w:szCs w:val="20"/>
                <w:highlight w:val="none"/>
              </w:rPr>
              <w:t>位于饮用水源保护区</w:t>
            </w:r>
            <w:r>
              <w:rPr>
                <w:color w:val="auto"/>
                <w:sz w:val="20"/>
                <w:szCs w:val="20"/>
                <w:highlight w:val="none"/>
              </w:rPr>
              <w:t>内</w:t>
            </w:r>
            <w:r>
              <w:rPr>
                <w:rFonts w:hint="eastAsia"/>
                <w:color w:val="auto"/>
                <w:sz w:val="20"/>
                <w:szCs w:val="20"/>
                <w:highlight w:val="none"/>
              </w:rPr>
              <w:t>。</w:t>
            </w:r>
          </w:p>
        </w:tc>
        <w:tc>
          <w:tcPr>
            <w:tcW w:w="842"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8" w:type="dxa"/>
            <w:vAlign w:val="center"/>
          </w:tcPr>
          <w:p>
            <w:pPr>
              <w:adjustRightInd w:val="0"/>
              <w:snapToGrid w:val="0"/>
              <w:spacing w:line="240" w:lineRule="auto"/>
              <w:ind w:firstLine="0" w:firstLineChars="0"/>
              <w:jc w:val="center"/>
              <w:rPr>
                <w:color w:val="auto"/>
                <w:sz w:val="20"/>
                <w:szCs w:val="20"/>
                <w:highlight w:val="none"/>
              </w:rPr>
            </w:pPr>
            <w:r>
              <w:rPr>
                <w:color w:val="auto"/>
                <w:sz w:val="20"/>
                <w:szCs w:val="20"/>
                <w:highlight w:val="none"/>
              </w:rPr>
              <w:t>4</w:t>
            </w:r>
          </w:p>
        </w:tc>
        <w:tc>
          <w:tcPr>
            <w:tcW w:w="4936"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禁止</w:t>
            </w:r>
            <w:r>
              <w:rPr>
                <w:color w:val="auto"/>
                <w:sz w:val="20"/>
                <w:szCs w:val="20"/>
                <w:highlight w:val="none"/>
              </w:rPr>
              <w:t>在水产种质资源保护区的岸线和河段范围内新建</w:t>
            </w:r>
            <w:r>
              <w:rPr>
                <w:rFonts w:hint="eastAsia"/>
                <w:color w:val="auto"/>
                <w:sz w:val="20"/>
                <w:szCs w:val="20"/>
                <w:highlight w:val="none"/>
              </w:rPr>
              <w:t>围湖造田</w:t>
            </w:r>
            <w:r>
              <w:rPr>
                <w:color w:val="auto"/>
                <w:sz w:val="20"/>
                <w:szCs w:val="20"/>
                <w:highlight w:val="none"/>
              </w:rPr>
              <w:t>、围海造地或围填海等投资建设项目。禁止在</w:t>
            </w:r>
            <w:r>
              <w:rPr>
                <w:rFonts w:hint="eastAsia"/>
                <w:color w:val="auto"/>
                <w:sz w:val="20"/>
                <w:szCs w:val="20"/>
                <w:highlight w:val="none"/>
              </w:rPr>
              <w:t>国家</w:t>
            </w:r>
            <w:r>
              <w:rPr>
                <w:color w:val="auto"/>
                <w:sz w:val="20"/>
                <w:szCs w:val="20"/>
                <w:highlight w:val="none"/>
              </w:rPr>
              <w:t>湿地公园的岸线和河段范围内挖沙、采矿以及</w:t>
            </w:r>
            <w:r>
              <w:rPr>
                <w:rFonts w:hint="eastAsia"/>
                <w:color w:val="auto"/>
                <w:sz w:val="20"/>
                <w:szCs w:val="20"/>
                <w:highlight w:val="none"/>
              </w:rPr>
              <w:t>任何</w:t>
            </w:r>
            <w:r>
              <w:rPr>
                <w:color w:val="auto"/>
                <w:sz w:val="20"/>
                <w:szCs w:val="20"/>
                <w:highlight w:val="none"/>
              </w:rPr>
              <w:t>不符合主体功能定位的投资建设项目。</w:t>
            </w:r>
          </w:p>
        </w:tc>
        <w:tc>
          <w:tcPr>
            <w:tcW w:w="2283" w:type="dxa"/>
            <w:vAlign w:val="center"/>
          </w:tcPr>
          <w:p>
            <w:pPr>
              <w:adjustRightInd w:val="0"/>
              <w:snapToGrid w:val="0"/>
              <w:spacing w:line="240" w:lineRule="auto"/>
              <w:ind w:firstLine="0" w:firstLineChars="0"/>
              <w:rPr>
                <w:color w:val="auto"/>
                <w:sz w:val="20"/>
                <w:szCs w:val="20"/>
                <w:highlight w:val="none"/>
              </w:rPr>
            </w:pPr>
            <w:r>
              <w:rPr>
                <w:color w:val="auto"/>
                <w:sz w:val="20"/>
                <w:szCs w:val="20"/>
                <w:highlight w:val="none"/>
              </w:rPr>
              <w:t>项目不涉及</w:t>
            </w:r>
            <w:r>
              <w:rPr>
                <w:rFonts w:hint="eastAsia"/>
                <w:color w:val="auto"/>
                <w:sz w:val="20"/>
                <w:szCs w:val="20"/>
                <w:highlight w:val="none"/>
              </w:rPr>
              <w:t>水产</w:t>
            </w:r>
            <w:r>
              <w:rPr>
                <w:color w:val="auto"/>
                <w:sz w:val="20"/>
                <w:szCs w:val="20"/>
                <w:highlight w:val="none"/>
              </w:rPr>
              <w:t>种质资源保护区</w:t>
            </w:r>
            <w:r>
              <w:rPr>
                <w:rFonts w:hint="eastAsia"/>
                <w:color w:val="auto"/>
                <w:sz w:val="20"/>
                <w:szCs w:val="20"/>
                <w:highlight w:val="none"/>
                <w:lang w:eastAsia="zh-CN"/>
              </w:rPr>
              <w:t>；部分占地涉及重庆合川三江国家湿地公园，已编制湿地公园专题报告，不属于挖沙、采矿以及不符合主体功能定位的投资建设项目</w:t>
            </w:r>
            <w:r>
              <w:rPr>
                <w:color w:val="auto"/>
                <w:sz w:val="20"/>
                <w:szCs w:val="20"/>
                <w:highlight w:val="none"/>
              </w:rPr>
              <w:t>。</w:t>
            </w:r>
          </w:p>
        </w:tc>
        <w:tc>
          <w:tcPr>
            <w:tcW w:w="842"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5</w:t>
            </w:r>
          </w:p>
        </w:tc>
        <w:tc>
          <w:tcPr>
            <w:tcW w:w="4936"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禁止</w:t>
            </w:r>
            <w:r>
              <w:rPr>
                <w:color w:val="auto"/>
                <w:sz w:val="20"/>
                <w:szCs w:val="20"/>
                <w:highlight w:val="none"/>
              </w:rPr>
              <w:t>违法利用、占用长江流域河湖岸线。禁止在《</w:t>
            </w:r>
            <w:r>
              <w:rPr>
                <w:rFonts w:hint="eastAsia"/>
                <w:color w:val="auto"/>
                <w:sz w:val="20"/>
                <w:szCs w:val="20"/>
                <w:highlight w:val="none"/>
              </w:rPr>
              <w:t>长江</w:t>
            </w:r>
            <w:r>
              <w:rPr>
                <w:color w:val="auto"/>
                <w:sz w:val="20"/>
                <w:szCs w:val="20"/>
                <w:highlight w:val="none"/>
              </w:rPr>
              <w:t>岸线</w:t>
            </w:r>
            <w:r>
              <w:rPr>
                <w:rFonts w:hint="eastAsia"/>
                <w:color w:val="auto"/>
                <w:sz w:val="20"/>
                <w:szCs w:val="20"/>
                <w:highlight w:val="none"/>
              </w:rPr>
              <w:t>保护</w:t>
            </w:r>
            <w:r>
              <w:rPr>
                <w:color w:val="auto"/>
                <w:sz w:val="20"/>
                <w:szCs w:val="20"/>
                <w:highlight w:val="none"/>
              </w:rPr>
              <w:t>和开发</w:t>
            </w:r>
            <w:r>
              <w:rPr>
                <w:rFonts w:hint="eastAsia"/>
                <w:color w:val="auto"/>
                <w:sz w:val="20"/>
                <w:szCs w:val="20"/>
                <w:highlight w:val="none"/>
              </w:rPr>
              <w:t>利用</w:t>
            </w:r>
            <w:r>
              <w:rPr>
                <w:color w:val="auto"/>
                <w:sz w:val="20"/>
                <w:szCs w:val="20"/>
                <w:highlight w:val="none"/>
              </w:rPr>
              <w:t>总体规划》</w:t>
            </w:r>
            <w:r>
              <w:rPr>
                <w:rFonts w:hint="eastAsia"/>
                <w:color w:val="auto"/>
                <w:sz w:val="20"/>
                <w:szCs w:val="20"/>
                <w:highlight w:val="none"/>
              </w:rPr>
              <w:t>划定</w:t>
            </w:r>
            <w:r>
              <w:rPr>
                <w:color w:val="auto"/>
                <w:sz w:val="20"/>
                <w:szCs w:val="20"/>
                <w:highlight w:val="none"/>
              </w:rPr>
              <w:t>的岸线保护区和保留区内投资建设除事关公共安全及公众利益的防洪护岸、河道治理、供水、生态环境保护、航道整治、</w:t>
            </w:r>
            <w:r>
              <w:rPr>
                <w:rFonts w:hint="eastAsia"/>
                <w:color w:val="auto"/>
                <w:sz w:val="20"/>
                <w:szCs w:val="20"/>
                <w:highlight w:val="none"/>
              </w:rPr>
              <w:t>国家</w:t>
            </w:r>
            <w:r>
              <w:rPr>
                <w:color w:val="auto"/>
                <w:sz w:val="20"/>
                <w:szCs w:val="20"/>
                <w:highlight w:val="none"/>
              </w:rPr>
              <w:t>重要基础设施以外的项目。禁止在《</w:t>
            </w:r>
            <w:r>
              <w:rPr>
                <w:rFonts w:hint="eastAsia"/>
                <w:color w:val="auto"/>
                <w:sz w:val="20"/>
                <w:szCs w:val="20"/>
                <w:highlight w:val="none"/>
              </w:rPr>
              <w:t>全国重要</w:t>
            </w:r>
            <w:r>
              <w:rPr>
                <w:color w:val="auto"/>
                <w:sz w:val="20"/>
                <w:szCs w:val="20"/>
                <w:highlight w:val="none"/>
              </w:rPr>
              <w:t>江河湖泊水功能区划》</w:t>
            </w:r>
            <w:r>
              <w:rPr>
                <w:rFonts w:hint="eastAsia"/>
                <w:color w:val="auto"/>
                <w:sz w:val="20"/>
                <w:szCs w:val="20"/>
                <w:highlight w:val="none"/>
              </w:rPr>
              <w:t>划定</w:t>
            </w:r>
            <w:r>
              <w:rPr>
                <w:color w:val="auto"/>
                <w:sz w:val="20"/>
                <w:szCs w:val="20"/>
                <w:highlight w:val="none"/>
              </w:rPr>
              <w:t>的河段及湖泊保护区、保留区内投资建设不利于水资源及自然生态保护的项目。</w:t>
            </w:r>
          </w:p>
        </w:tc>
        <w:tc>
          <w:tcPr>
            <w:tcW w:w="2283" w:type="dxa"/>
            <w:vAlign w:val="center"/>
          </w:tcPr>
          <w:p>
            <w:pPr>
              <w:adjustRightInd w:val="0"/>
              <w:snapToGrid w:val="0"/>
              <w:spacing w:line="240" w:lineRule="auto"/>
              <w:ind w:firstLine="0" w:firstLineChars="0"/>
              <w:rPr>
                <w:rFonts w:hint="eastAsia"/>
                <w:color w:val="auto"/>
                <w:sz w:val="20"/>
                <w:szCs w:val="20"/>
                <w:highlight w:val="none"/>
                <w:lang w:eastAsia="zh-CN"/>
              </w:rPr>
            </w:pPr>
            <w:r>
              <w:rPr>
                <w:rFonts w:hint="eastAsia"/>
                <w:color w:val="auto"/>
                <w:sz w:val="20"/>
                <w:szCs w:val="20"/>
                <w:highlight w:val="none"/>
                <w:lang w:eastAsia="zh-CN"/>
              </w:rPr>
              <w:t>项目为通航建筑物建设，所在岸线不属于</w:t>
            </w:r>
            <w:r>
              <w:rPr>
                <w:color w:val="auto"/>
                <w:sz w:val="20"/>
                <w:szCs w:val="20"/>
                <w:highlight w:val="none"/>
              </w:rPr>
              <w:t>《</w:t>
            </w:r>
            <w:r>
              <w:rPr>
                <w:rFonts w:hint="eastAsia"/>
                <w:color w:val="auto"/>
                <w:sz w:val="20"/>
                <w:szCs w:val="20"/>
                <w:highlight w:val="none"/>
              </w:rPr>
              <w:t>长江</w:t>
            </w:r>
            <w:r>
              <w:rPr>
                <w:color w:val="auto"/>
                <w:sz w:val="20"/>
                <w:szCs w:val="20"/>
                <w:highlight w:val="none"/>
              </w:rPr>
              <w:t>岸线</w:t>
            </w:r>
            <w:r>
              <w:rPr>
                <w:rFonts w:hint="eastAsia"/>
                <w:color w:val="auto"/>
                <w:sz w:val="20"/>
                <w:szCs w:val="20"/>
                <w:highlight w:val="none"/>
              </w:rPr>
              <w:t>保护</w:t>
            </w:r>
            <w:r>
              <w:rPr>
                <w:color w:val="auto"/>
                <w:sz w:val="20"/>
                <w:szCs w:val="20"/>
                <w:highlight w:val="none"/>
              </w:rPr>
              <w:t>和开发</w:t>
            </w:r>
            <w:r>
              <w:rPr>
                <w:rFonts w:hint="eastAsia"/>
                <w:color w:val="auto"/>
                <w:sz w:val="20"/>
                <w:szCs w:val="20"/>
                <w:highlight w:val="none"/>
              </w:rPr>
              <w:t>利用</w:t>
            </w:r>
            <w:r>
              <w:rPr>
                <w:color w:val="auto"/>
                <w:sz w:val="20"/>
                <w:szCs w:val="20"/>
                <w:highlight w:val="none"/>
              </w:rPr>
              <w:t>总体规划》</w:t>
            </w:r>
            <w:r>
              <w:rPr>
                <w:rFonts w:hint="eastAsia"/>
                <w:color w:val="auto"/>
                <w:sz w:val="20"/>
                <w:szCs w:val="20"/>
                <w:highlight w:val="none"/>
              </w:rPr>
              <w:t>划定</w:t>
            </w:r>
            <w:r>
              <w:rPr>
                <w:color w:val="auto"/>
                <w:sz w:val="20"/>
                <w:szCs w:val="20"/>
                <w:highlight w:val="none"/>
              </w:rPr>
              <w:t>的岸线保护区和保留区</w:t>
            </w:r>
            <w:r>
              <w:rPr>
                <w:rFonts w:hint="eastAsia"/>
                <w:color w:val="auto"/>
                <w:sz w:val="20"/>
                <w:szCs w:val="20"/>
                <w:highlight w:val="none"/>
                <w:lang w:eastAsia="zh-CN"/>
              </w:rPr>
              <w:t>；</w:t>
            </w:r>
          </w:p>
          <w:p>
            <w:pPr>
              <w:adjustRightInd w:val="0"/>
              <w:snapToGrid w:val="0"/>
              <w:spacing w:line="240" w:lineRule="auto"/>
              <w:ind w:firstLine="0" w:firstLineChars="0"/>
              <w:rPr>
                <w:rFonts w:hint="eastAsia" w:eastAsia="宋体"/>
                <w:color w:val="auto"/>
                <w:sz w:val="20"/>
                <w:szCs w:val="20"/>
                <w:highlight w:val="none"/>
                <w:lang w:eastAsia="zh-CN"/>
              </w:rPr>
            </w:pPr>
            <w:r>
              <w:rPr>
                <w:rFonts w:hint="eastAsia"/>
                <w:color w:val="auto"/>
                <w:sz w:val="20"/>
                <w:szCs w:val="20"/>
                <w:highlight w:val="none"/>
                <w:lang w:eastAsia="zh-CN"/>
              </w:rPr>
              <w:t>项目位于</w:t>
            </w:r>
            <w:r>
              <w:rPr>
                <w:color w:val="auto"/>
                <w:sz w:val="20"/>
                <w:szCs w:val="20"/>
                <w:highlight w:val="none"/>
              </w:rPr>
              <w:t>《</w:t>
            </w:r>
            <w:r>
              <w:rPr>
                <w:rFonts w:hint="eastAsia"/>
                <w:color w:val="auto"/>
                <w:sz w:val="20"/>
                <w:szCs w:val="20"/>
                <w:highlight w:val="none"/>
              </w:rPr>
              <w:t>全国重要</w:t>
            </w:r>
            <w:r>
              <w:rPr>
                <w:color w:val="auto"/>
                <w:sz w:val="20"/>
                <w:szCs w:val="20"/>
                <w:highlight w:val="none"/>
              </w:rPr>
              <w:t>江河湖泊水功能区划》</w:t>
            </w:r>
            <w:r>
              <w:rPr>
                <w:rFonts w:hint="eastAsia"/>
                <w:color w:val="auto"/>
                <w:sz w:val="20"/>
                <w:szCs w:val="20"/>
                <w:highlight w:val="none"/>
              </w:rPr>
              <w:t>划定</w:t>
            </w:r>
            <w:r>
              <w:rPr>
                <w:color w:val="auto"/>
                <w:sz w:val="20"/>
                <w:szCs w:val="20"/>
                <w:highlight w:val="none"/>
              </w:rPr>
              <w:t>的</w:t>
            </w:r>
            <w:r>
              <w:rPr>
                <w:rFonts w:hint="eastAsia"/>
                <w:color w:val="auto"/>
                <w:sz w:val="20"/>
                <w:szCs w:val="20"/>
                <w:highlight w:val="none"/>
                <w:lang w:eastAsia="zh-CN"/>
              </w:rPr>
              <w:t>涪江铜梁、合川保留区内，项目为船闸扩能升级改造，同步建设鱼道，有利于</w:t>
            </w:r>
            <w:r>
              <w:rPr>
                <w:color w:val="auto"/>
                <w:sz w:val="20"/>
                <w:szCs w:val="20"/>
                <w:highlight w:val="none"/>
              </w:rPr>
              <w:t>水资源及自然生态保护</w:t>
            </w:r>
            <w:r>
              <w:rPr>
                <w:rFonts w:hint="eastAsia"/>
                <w:color w:val="auto"/>
                <w:sz w:val="20"/>
                <w:szCs w:val="20"/>
                <w:highlight w:val="none"/>
                <w:lang w:eastAsia="zh-CN"/>
              </w:rPr>
              <w:t>。</w:t>
            </w:r>
          </w:p>
        </w:tc>
        <w:tc>
          <w:tcPr>
            <w:tcW w:w="842"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6</w:t>
            </w:r>
          </w:p>
        </w:tc>
        <w:tc>
          <w:tcPr>
            <w:tcW w:w="4936"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禁止</w:t>
            </w:r>
            <w:r>
              <w:rPr>
                <w:color w:val="auto"/>
                <w:sz w:val="20"/>
                <w:szCs w:val="20"/>
                <w:highlight w:val="none"/>
              </w:rPr>
              <w:t>未经</w:t>
            </w:r>
            <w:r>
              <w:rPr>
                <w:rFonts w:hint="eastAsia"/>
                <w:color w:val="auto"/>
                <w:sz w:val="20"/>
                <w:szCs w:val="20"/>
                <w:highlight w:val="none"/>
              </w:rPr>
              <w:t>许可</w:t>
            </w:r>
            <w:r>
              <w:rPr>
                <w:color w:val="auto"/>
                <w:sz w:val="20"/>
                <w:szCs w:val="20"/>
                <w:highlight w:val="none"/>
              </w:rPr>
              <w:t>在长江干支流及湖泊新建、改设</w:t>
            </w:r>
            <w:r>
              <w:rPr>
                <w:rFonts w:hint="eastAsia"/>
                <w:color w:val="auto"/>
                <w:sz w:val="20"/>
                <w:szCs w:val="20"/>
                <w:highlight w:val="none"/>
              </w:rPr>
              <w:t>或</w:t>
            </w:r>
            <w:r>
              <w:rPr>
                <w:color w:val="auto"/>
                <w:sz w:val="20"/>
                <w:szCs w:val="20"/>
                <w:highlight w:val="none"/>
              </w:rPr>
              <w:t>扩大排污口。</w:t>
            </w:r>
          </w:p>
        </w:tc>
        <w:tc>
          <w:tcPr>
            <w:tcW w:w="2283" w:type="dxa"/>
            <w:vAlign w:val="center"/>
          </w:tcPr>
          <w:p>
            <w:pPr>
              <w:adjustRightInd w:val="0"/>
              <w:snapToGrid w:val="0"/>
              <w:spacing w:line="240" w:lineRule="auto"/>
              <w:ind w:firstLine="0" w:firstLineChars="0"/>
              <w:rPr>
                <w:rFonts w:hint="eastAsia" w:eastAsia="宋体"/>
                <w:color w:val="auto"/>
                <w:sz w:val="20"/>
                <w:szCs w:val="20"/>
                <w:highlight w:val="none"/>
                <w:lang w:eastAsia="zh-CN"/>
              </w:rPr>
            </w:pPr>
            <w:r>
              <w:rPr>
                <w:rFonts w:hint="eastAsia"/>
                <w:color w:val="auto"/>
                <w:sz w:val="20"/>
                <w:szCs w:val="20"/>
                <w:highlight w:val="none"/>
                <w:lang w:eastAsia="zh-CN"/>
              </w:rPr>
              <w:t>运营期废水经处理后回用，不新设排污口。</w:t>
            </w:r>
          </w:p>
        </w:tc>
        <w:tc>
          <w:tcPr>
            <w:tcW w:w="842"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7</w:t>
            </w:r>
          </w:p>
        </w:tc>
        <w:tc>
          <w:tcPr>
            <w:tcW w:w="4936"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禁止</w:t>
            </w:r>
            <w:r>
              <w:rPr>
                <w:color w:val="auto"/>
                <w:sz w:val="20"/>
                <w:szCs w:val="20"/>
                <w:highlight w:val="none"/>
              </w:rPr>
              <w:t>在“</w:t>
            </w:r>
            <w:r>
              <w:rPr>
                <w:rFonts w:hint="eastAsia"/>
                <w:color w:val="auto"/>
                <w:sz w:val="20"/>
                <w:szCs w:val="20"/>
                <w:highlight w:val="none"/>
              </w:rPr>
              <w:t>一江</w:t>
            </w:r>
            <w:r>
              <w:rPr>
                <w:color w:val="auto"/>
                <w:sz w:val="20"/>
                <w:szCs w:val="20"/>
                <w:highlight w:val="none"/>
              </w:rPr>
              <w:t>一口两湖七河”</w:t>
            </w:r>
            <w:r>
              <w:rPr>
                <w:rFonts w:hint="eastAsia"/>
                <w:color w:val="auto"/>
                <w:sz w:val="20"/>
                <w:szCs w:val="20"/>
                <w:highlight w:val="none"/>
              </w:rPr>
              <w:t>和332个</w:t>
            </w:r>
            <w:r>
              <w:rPr>
                <w:color w:val="auto"/>
                <w:sz w:val="20"/>
                <w:szCs w:val="20"/>
                <w:highlight w:val="none"/>
              </w:rPr>
              <w:t>水生生物保护区开展生产</w:t>
            </w:r>
            <w:r>
              <w:rPr>
                <w:rFonts w:hint="eastAsia"/>
                <w:color w:val="auto"/>
                <w:sz w:val="20"/>
                <w:szCs w:val="20"/>
                <w:highlight w:val="none"/>
              </w:rPr>
              <w:t>性</w:t>
            </w:r>
            <w:r>
              <w:rPr>
                <w:color w:val="auto"/>
                <w:sz w:val="20"/>
                <w:szCs w:val="20"/>
                <w:highlight w:val="none"/>
              </w:rPr>
              <w:t>捕捞。</w:t>
            </w:r>
          </w:p>
        </w:tc>
        <w:tc>
          <w:tcPr>
            <w:tcW w:w="2283"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不涉及</w:t>
            </w:r>
          </w:p>
        </w:tc>
        <w:tc>
          <w:tcPr>
            <w:tcW w:w="842"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8</w:t>
            </w:r>
          </w:p>
        </w:tc>
        <w:tc>
          <w:tcPr>
            <w:tcW w:w="4936"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禁止</w:t>
            </w:r>
            <w:r>
              <w:rPr>
                <w:color w:val="auto"/>
                <w:sz w:val="20"/>
                <w:szCs w:val="20"/>
                <w:highlight w:val="none"/>
              </w:rPr>
              <w:t>在长江干流、重要湖泊</w:t>
            </w:r>
            <w:r>
              <w:rPr>
                <w:rFonts w:hint="eastAsia"/>
                <w:color w:val="auto"/>
                <w:sz w:val="20"/>
                <w:szCs w:val="20"/>
                <w:highlight w:val="none"/>
              </w:rPr>
              <w:t>岸线</w:t>
            </w:r>
            <w:r>
              <w:rPr>
                <w:color w:val="auto"/>
                <w:sz w:val="20"/>
                <w:szCs w:val="20"/>
                <w:highlight w:val="none"/>
              </w:rPr>
              <w:t>一公里范围内新建、</w:t>
            </w:r>
            <w:r>
              <w:rPr>
                <w:rFonts w:hint="eastAsia"/>
                <w:color w:val="auto"/>
                <w:sz w:val="20"/>
                <w:szCs w:val="20"/>
                <w:highlight w:val="none"/>
              </w:rPr>
              <w:t>扩建</w:t>
            </w:r>
            <w:r>
              <w:rPr>
                <w:color w:val="auto"/>
                <w:sz w:val="20"/>
                <w:szCs w:val="20"/>
                <w:highlight w:val="none"/>
              </w:rPr>
              <w:t>化工园区和化工项目。禁止在长江干流岸线三公里范围内和重要支流岸线一公里范围新建、改建、扩建尾矿库、冶炼渣库和磷石膏库</w:t>
            </w:r>
            <w:r>
              <w:rPr>
                <w:rFonts w:hint="eastAsia"/>
                <w:color w:val="auto"/>
                <w:sz w:val="20"/>
                <w:szCs w:val="20"/>
                <w:highlight w:val="none"/>
              </w:rPr>
              <w:t>，以</w:t>
            </w:r>
            <w:r>
              <w:rPr>
                <w:color w:val="auto"/>
                <w:sz w:val="20"/>
                <w:szCs w:val="20"/>
                <w:highlight w:val="none"/>
              </w:rPr>
              <w:t>提升安全、生态环境保护水平为目的的改建除外。</w:t>
            </w:r>
          </w:p>
        </w:tc>
        <w:tc>
          <w:tcPr>
            <w:tcW w:w="2283"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lang w:eastAsia="zh-CN"/>
              </w:rPr>
              <w:t>不</w:t>
            </w:r>
            <w:r>
              <w:rPr>
                <w:rFonts w:hint="eastAsia"/>
                <w:color w:val="auto"/>
                <w:sz w:val="20"/>
                <w:szCs w:val="20"/>
                <w:highlight w:val="none"/>
              </w:rPr>
              <w:t>属于化工项目，</w:t>
            </w:r>
            <w:r>
              <w:rPr>
                <w:color w:val="auto"/>
                <w:sz w:val="20"/>
                <w:szCs w:val="20"/>
                <w:highlight w:val="none"/>
              </w:rPr>
              <w:t>不新建尾矿库、冶炼渣库和磷石膏库</w:t>
            </w:r>
            <w:r>
              <w:rPr>
                <w:rFonts w:hint="eastAsia"/>
                <w:color w:val="auto"/>
                <w:sz w:val="20"/>
                <w:szCs w:val="20"/>
                <w:highlight w:val="none"/>
              </w:rPr>
              <w:t>。</w:t>
            </w:r>
          </w:p>
        </w:tc>
        <w:tc>
          <w:tcPr>
            <w:tcW w:w="842"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dxa"/>
            <w:vAlign w:val="center"/>
          </w:tcPr>
          <w:p>
            <w:pPr>
              <w:adjustRightInd w:val="0"/>
              <w:snapToGrid w:val="0"/>
              <w:spacing w:line="240" w:lineRule="auto"/>
              <w:ind w:firstLine="0" w:firstLineChars="0"/>
              <w:jc w:val="center"/>
              <w:rPr>
                <w:color w:val="auto"/>
                <w:sz w:val="20"/>
                <w:szCs w:val="20"/>
                <w:highlight w:val="none"/>
              </w:rPr>
            </w:pPr>
            <w:r>
              <w:rPr>
                <w:color w:val="auto"/>
                <w:sz w:val="20"/>
                <w:szCs w:val="20"/>
                <w:highlight w:val="none"/>
              </w:rPr>
              <w:t>9</w:t>
            </w:r>
          </w:p>
        </w:tc>
        <w:tc>
          <w:tcPr>
            <w:tcW w:w="4936"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禁止</w:t>
            </w:r>
            <w:r>
              <w:rPr>
                <w:color w:val="auto"/>
                <w:sz w:val="20"/>
                <w:szCs w:val="20"/>
                <w:highlight w:val="none"/>
              </w:rPr>
              <w:t>在合规园区外新建、扩建钢铁、石化、化工、焦化、建材、有色、制浆造纸等高污染项目。</w:t>
            </w:r>
          </w:p>
        </w:tc>
        <w:tc>
          <w:tcPr>
            <w:tcW w:w="2283"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不属于</w:t>
            </w:r>
            <w:r>
              <w:rPr>
                <w:color w:val="auto"/>
                <w:sz w:val="20"/>
                <w:szCs w:val="20"/>
                <w:highlight w:val="none"/>
              </w:rPr>
              <w:t>高污染项目</w:t>
            </w:r>
            <w:r>
              <w:rPr>
                <w:rFonts w:hint="eastAsia"/>
                <w:color w:val="auto"/>
                <w:sz w:val="20"/>
                <w:szCs w:val="20"/>
                <w:highlight w:val="none"/>
              </w:rPr>
              <w:t>。</w:t>
            </w:r>
          </w:p>
        </w:tc>
        <w:tc>
          <w:tcPr>
            <w:tcW w:w="842"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dxa"/>
            <w:vAlign w:val="center"/>
          </w:tcPr>
          <w:p>
            <w:pPr>
              <w:adjustRightInd w:val="0"/>
              <w:snapToGrid w:val="0"/>
              <w:spacing w:line="240" w:lineRule="auto"/>
              <w:ind w:firstLine="0" w:firstLineChars="0"/>
              <w:jc w:val="center"/>
              <w:rPr>
                <w:color w:val="auto"/>
                <w:sz w:val="20"/>
                <w:szCs w:val="20"/>
                <w:highlight w:val="none"/>
              </w:rPr>
            </w:pPr>
            <w:r>
              <w:rPr>
                <w:color w:val="auto"/>
                <w:sz w:val="20"/>
                <w:szCs w:val="20"/>
                <w:highlight w:val="none"/>
              </w:rPr>
              <w:t>10</w:t>
            </w:r>
          </w:p>
        </w:tc>
        <w:tc>
          <w:tcPr>
            <w:tcW w:w="4936"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禁止新建</w:t>
            </w:r>
            <w:r>
              <w:rPr>
                <w:color w:val="auto"/>
                <w:sz w:val="20"/>
                <w:szCs w:val="20"/>
                <w:highlight w:val="none"/>
              </w:rPr>
              <w:t>、扩建不符合国家石化、现代煤化工等产业</w:t>
            </w:r>
            <w:r>
              <w:rPr>
                <w:rFonts w:hint="eastAsia"/>
                <w:color w:val="auto"/>
                <w:sz w:val="20"/>
                <w:szCs w:val="20"/>
                <w:highlight w:val="none"/>
              </w:rPr>
              <w:t>布局</w:t>
            </w:r>
            <w:r>
              <w:rPr>
                <w:color w:val="auto"/>
                <w:sz w:val="20"/>
                <w:szCs w:val="20"/>
                <w:highlight w:val="none"/>
              </w:rPr>
              <w:t>规划的项目</w:t>
            </w:r>
            <w:r>
              <w:rPr>
                <w:rFonts w:hint="eastAsia"/>
                <w:color w:val="auto"/>
                <w:sz w:val="20"/>
                <w:szCs w:val="20"/>
                <w:highlight w:val="none"/>
              </w:rPr>
              <w:t>。</w:t>
            </w:r>
          </w:p>
        </w:tc>
        <w:tc>
          <w:tcPr>
            <w:tcW w:w="2283"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不属于</w:t>
            </w:r>
            <w:r>
              <w:rPr>
                <w:color w:val="auto"/>
                <w:sz w:val="20"/>
                <w:szCs w:val="20"/>
                <w:highlight w:val="none"/>
              </w:rPr>
              <w:t>石化、现代煤化工项目</w:t>
            </w:r>
            <w:r>
              <w:rPr>
                <w:rFonts w:hint="eastAsia"/>
                <w:color w:val="auto"/>
                <w:sz w:val="20"/>
                <w:szCs w:val="20"/>
                <w:highlight w:val="none"/>
              </w:rPr>
              <w:t>。</w:t>
            </w:r>
          </w:p>
        </w:tc>
        <w:tc>
          <w:tcPr>
            <w:tcW w:w="842"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11</w:t>
            </w:r>
          </w:p>
        </w:tc>
        <w:tc>
          <w:tcPr>
            <w:tcW w:w="4936"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禁止</w:t>
            </w:r>
            <w:r>
              <w:rPr>
                <w:color w:val="auto"/>
                <w:sz w:val="20"/>
                <w:szCs w:val="20"/>
                <w:highlight w:val="none"/>
              </w:rPr>
              <w:t>新建、扩建法律法规和相关政策明令禁止的</w:t>
            </w:r>
            <w:r>
              <w:rPr>
                <w:rFonts w:hint="eastAsia"/>
                <w:color w:val="auto"/>
                <w:sz w:val="20"/>
                <w:szCs w:val="20"/>
                <w:highlight w:val="none"/>
              </w:rPr>
              <w:t>落后产能</w:t>
            </w:r>
            <w:r>
              <w:rPr>
                <w:color w:val="auto"/>
                <w:sz w:val="20"/>
                <w:szCs w:val="20"/>
                <w:highlight w:val="none"/>
              </w:rPr>
              <w:t>项目。禁止</w:t>
            </w:r>
            <w:r>
              <w:rPr>
                <w:rFonts w:hint="eastAsia"/>
                <w:color w:val="auto"/>
                <w:sz w:val="20"/>
                <w:szCs w:val="20"/>
                <w:highlight w:val="none"/>
              </w:rPr>
              <w:t>新建</w:t>
            </w:r>
            <w:r>
              <w:rPr>
                <w:color w:val="auto"/>
                <w:sz w:val="20"/>
                <w:szCs w:val="20"/>
                <w:highlight w:val="none"/>
              </w:rPr>
              <w:t>、扩建</w:t>
            </w:r>
            <w:r>
              <w:rPr>
                <w:rFonts w:hint="eastAsia"/>
                <w:color w:val="auto"/>
                <w:sz w:val="20"/>
                <w:szCs w:val="20"/>
                <w:highlight w:val="none"/>
              </w:rPr>
              <w:t>不符合国家</w:t>
            </w:r>
            <w:r>
              <w:rPr>
                <w:color w:val="auto"/>
                <w:sz w:val="20"/>
                <w:szCs w:val="20"/>
                <w:highlight w:val="none"/>
              </w:rPr>
              <w:t>产能置换要求的严重</w:t>
            </w:r>
            <w:r>
              <w:rPr>
                <w:rFonts w:hint="eastAsia"/>
                <w:color w:val="auto"/>
                <w:sz w:val="20"/>
                <w:szCs w:val="20"/>
                <w:highlight w:val="none"/>
              </w:rPr>
              <w:t>过剩</w:t>
            </w:r>
            <w:r>
              <w:rPr>
                <w:color w:val="auto"/>
                <w:sz w:val="20"/>
                <w:szCs w:val="20"/>
                <w:highlight w:val="none"/>
              </w:rPr>
              <w:t>产能行业的项目。禁止</w:t>
            </w:r>
            <w:r>
              <w:rPr>
                <w:rFonts w:hint="eastAsia"/>
                <w:color w:val="auto"/>
                <w:sz w:val="20"/>
                <w:szCs w:val="20"/>
                <w:highlight w:val="none"/>
              </w:rPr>
              <w:t>新建</w:t>
            </w:r>
            <w:r>
              <w:rPr>
                <w:color w:val="auto"/>
                <w:sz w:val="20"/>
                <w:szCs w:val="20"/>
                <w:highlight w:val="none"/>
              </w:rPr>
              <w:t>、扩建不符合要求的高</w:t>
            </w:r>
            <w:r>
              <w:rPr>
                <w:rFonts w:hint="eastAsia"/>
                <w:color w:val="auto"/>
                <w:sz w:val="20"/>
                <w:szCs w:val="20"/>
                <w:highlight w:val="none"/>
              </w:rPr>
              <w:t>耗能</w:t>
            </w:r>
            <w:r>
              <w:rPr>
                <w:color w:val="auto"/>
                <w:sz w:val="20"/>
                <w:szCs w:val="20"/>
                <w:highlight w:val="none"/>
              </w:rPr>
              <w:t>、高排放</w:t>
            </w:r>
            <w:r>
              <w:rPr>
                <w:rFonts w:hint="eastAsia"/>
                <w:color w:val="auto"/>
                <w:sz w:val="20"/>
                <w:szCs w:val="20"/>
                <w:highlight w:val="none"/>
              </w:rPr>
              <w:t>项目</w:t>
            </w:r>
            <w:r>
              <w:rPr>
                <w:color w:val="auto"/>
                <w:sz w:val="20"/>
                <w:szCs w:val="20"/>
                <w:highlight w:val="none"/>
              </w:rPr>
              <w:t>。</w:t>
            </w:r>
          </w:p>
        </w:tc>
        <w:tc>
          <w:tcPr>
            <w:tcW w:w="2283" w:type="dxa"/>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不属于落后</w:t>
            </w:r>
            <w:r>
              <w:rPr>
                <w:color w:val="auto"/>
                <w:sz w:val="20"/>
                <w:szCs w:val="20"/>
                <w:highlight w:val="none"/>
              </w:rPr>
              <w:t>产能</w:t>
            </w:r>
            <w:r>
              <w:rPr>
                <w:rFonts w:hint="eastAsia"/>
                <w:color w:val="auto"/>
                <w:sz w:val="20"/>
                <w:szCs w:val="20"/>
                <w:highlight w:val="none"/>
              </w:rPr>
              <w:t>、</w:t>
            </w:r>
            <w:r>
              <w:rPr>
                <w:color w:val="auto"/>
                <w:sz w:val="20"/>
                <w:szCs w:val="20"/>
                <w:highlight w:val="none"/>
              </w:rPr>
              <w:t>产能过剩项目，也不属于高</w:t>
            </w:r>
            <w:r>
              <w:rPr>
                <w:rFonts w:hint="eastAsia"/>
                <w:color w:val="auto"/>
                <w:sz w:val="20"/>
                <w:szCs w:val="20"/>
                <w:highlight w:val="none"/>
              </w:rPr>
              <w:t>耗能</w:t>
            </w:r>
            <w:r>
              <w:rPr>
                <w:color w:val="auto"/>
                <w:sz w:val="20"/>
                <w:szCs w:val="20"/>
                <w:highlight w:val="none"/>
              </w:rPr>
              <w:t>、高排放</w:t>
            </w:r>
            <w:r>
              <w:rPr>
                <w:rFonts w:hint="eastAsia"/>
                <w:color w:val="auto"/>
                <w:sz w:val="20"/>
                <w:szCs w:val="20"/>
                <w:highlight w:val="none"/>
              </w:rPr>
              <w:t>项目。</w:t>
            </w:r>
          </w:p>
        </w:tc>
        <w:tc>
          <w:tcPr>
            <w:tcW w:w="842" w:type="dxa"/>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9" w:type="dxa"/>
            <w:gridSpan w:val="4"/>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注</w:t>
            </w:r>
            <w:r>
              <w:rPr>
                <w:color w:val="auto"/>
                <w:sz w:val="20"/>
                <w:szCs w:val="20"/>
                <w:highlight w:val="none"/>
              </w:rPr>
              <w:t>：</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1、长江</w:t>
            </w:r>
            <w:r>
              <w:rPr>
                <w:color w:val="auto"/>
                <w:sz w:val="20"/>
                <w:szCs w:val="20"/>
                <w:highlight w:val="none"/>
              </w:rPr>
              <w:t>干流指流经长江</w:t>
            </w:r>
            <w:r>
              <w:rPr>
                <w:rFonts w:hint="eastAsia"/>
                <w:color w:val="auto"/>
                <w:sz w:val="20"/>
                <w:szCs w:val="20"/>
                <w:highlight w:val="none"/>
              </w:rPr>
              <w:t>经济带</w:t>
            </w:r>
            <w:r>
              <w:rPr>
                <w:color w:val="auto"/>
                <w:sz w:val="20"/>
                <w:szCs w:val="20"/>
                <w:highlight w:val="none"/>
              </w:rPr>
              <w:t>四川省、云南省、重庆市、湖北省、湖南省、江西省、安徽省、江苏省、上海市的长江主河</w:t>
            </w:r>
            <w:r>
              <w:rPr>
                <w:rFonts w:hint="eastAsia"/>
                <w:color w:val="auto"/>
                <w:sz w:val="20"/>
                <w:szCs w:val="20"/>
                <w:highlight w:val="none"/>
              </w:rPr>
              <w:t>段</w:t>
            </w:r>
            <w:r>
              <w:rPr>
                <w:color w:val="auto"/>
                <w:sz w:val="20"/>
                <w:szCs w:val="20"/>
                <w:highlight w:val="none"/>
              </w:rPr>
              <w:t>。</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2、长江</w:t>
            </w:r>
            <w:r>
              <w:rPr>
                <w:color w:val="auto"/>
                <w:sz w:val="20"/>
                <w:szCs w:val="20"/>
                <w:highlight w:val="none"/>
              </w:rPr>
              <w:t>支流指直接</w:t>
            </w:r>
            <w:r>
              <w:rPr>
                <w:rFonts w:hint="eastAsia"/>
                <w:color w:val="auto"/>
                <w:sz w:val="20"/>
                <w:szCs w:val="20"/>
                <w:highlight w:val="none"/>
              </w:rPr>
              <w:t>或者</w:t>
            </w:r>
            <w:r>
              <w:rPr>
                <w:color w:val="auto"/>
                <w:sz w:val="20"/>
                <w:szCs w:val="20"/>
                <w:highlight w:val="none"/>
              </w:rPr>
              <w:t>间接</w:t>
            </w:r>
            <w:r>
              <w:rPr>
                <w:rFonts w:hint="eastAsia"/>
                <w:color w:val="auto"/>
                <w:sz w:val="20"/>
                <w:szCs w:val="20"/>
                <w:highlight w:val="none"/>
              </w:rPr>
              <w:t>流入</w:t>
            </w:r>
            <w:r>
              <w:rPr>
                <w:color w:val="auto"/>
                <w:sz w:val="20"/>
                <w:szCs w:val="20"/>
                <w:highlight w:val="none"/>
              </w:rPr>
              <w:t>长江干流的河流，可以分为一级支流、二级支流等。</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3、</w:t>
            </w:r>
            <w:r>
              <w:rPr>
                <w:color w:val="auto"/>
                <w:sz w:val="20"/>
                <w:szCs w:val="20"/>
                <w:highlight w:val="none"/>
              </w:rPr>
              <w:t>长江重要支流指流域面积</w:t>
            </w:r>
            <w:r>
              <w:rPr>
                <w:rFonts w:hint="eastAsia"/>
                <w:color w:val="auto"/>
                <w:sz w:val="20"/>
                <w:szCs w:val="20"/>
                <w:highlight w:val="none"/>
              </w:rPr>
              <w:t>1万</w:t>
            </w:r>
            <w:r>
              <w:rPr>
                <w:color w:val="auto"/>
                <w:sz w:val="20"/>
                <w:szCs w:val="20"/>
                <w:highlight w:val="none"/>
              </w:rPr>
              <w:t>平方公里以上的支流。</w:t>
            </w:r>
          </w:p>
          <w:p>
            <w:pPr>
              <w:adjustRightInd w:val="0"/>
              <w:snapToGrid w:val="0"/>
              <w:spacing w:line="240" w:lineRule="auto"/>
              <w:ind w:firstLine="0" w:firstLineChars="0"/>
              <w:rPr>
                <w:color w:val="auto"/>
                <w:sz w:val="20"/>
                <w:szCs w:val="20"/>
                <w:highlight w:val="none"/>
              </w:rPr>
            </w:pPr>
            <w:r>
              <w:rPr>
                <w:color w:val="auto"/>
                <w:sz w:val="20"/>
                <w:szCs w:val="20"/>
                <w:highlight w:val="none"/>
              </w:rPr>
              <w:t>4</w:t>
            </w:r>
            <w:r>
              <w:rPr>
                <w:rFonts w:hint="eastAsia"/>
                <w:color w:val="auto"/>
                <w:sz w:val="20"/>
                <w:szCs w:val="20"/>
                <w:highlight w:val="none"/>
              </w:rPr>
              <w:t>、</w:t>
            </w:r>
            <w:r>
              <w:rPr>
                <w:color w:val="auto"/>
                <w:sz w:val="20"/>
                <w:szCs w:val="20"/>
                <w:highlight w:val="none"/>
              </w:rPr>
              <w:t>“</w:t>
            </w:r>
            <w:r>
              <w:rPr>
                <w:rFonts w:hint="eastAsia"/>
                <w:color w:val="auto"/>
                <w:sz w:val="20"/>
                <w:szCs w:val="20"/>
                <w:highlight w:val="none"/>
              </w:rPr>
              <w:t>一江</w:t>
            </w:r>
            <w:r>
              <w:rPr>
                <w:color w:val="auto"/>
                <w:sz w:val="20"/>
                <w:szCs w:val="20"/>
                <w:highlight w:val="none"/>
              </w:rPr>
              <w:t>一口</w:t>
            </w:r>
            <w:r>
              <w:rPr>
                <w:rFonts w:hint="eastAsia"/>
                <w:color w:val="auto"/>
                <w:sz w:val="20"/>
                <w:szCs w:val="20"/>
                <w:highlight w:val="none"/>
              </w:rPr>
              <w:t>两湖</w:t>
            </w:r>
            <w:r>
              <w:rPr>
                <w:color w:val="auto"/>
                <w:sz w:val="20"/>
                <w:szCs w:val="20"/>
                <w:highlight w:val="none"/>
              </w:rPr>
              <w:t>七河”</w:t>
            </w:r>
            <w:r>
              <w:rPr>
                <w:rFonts w:hint="eastAsia"/>
                <w:color w:val="auto"/>
                <w:sz w:val="20"/>
                <w:szCs w:val="20"/>
                <w:highlight w:val="none"/>
              </w:rPr>
              <w:t>至</w:t>
            </w:r>
            <w:r>
              <w:rPr>
                <w:color w:val="auto"/>
                <w:sz w:val="20"/>
                <w:szCs w:val="20"/>
                <w:highlight w:val="none"/>
              </w:rPr>
              <w:t>长江干流、长江口、鄱阳湖、洞庭湖、</w:t>
            </w:r>
            <w:r>
              <w:rPr>
                <w:rFonts w:hint="eastAsia"/>
                <w:color w:val="auto"/>
                <w:sz w:val="20"/>
                <w:szCs w:val="20"/>
                <w:highlight w:val="none"/>
              </w:rPr>
              <w:t>大渡河</w:t>
            </w:r>
            <w:r>
              <w:rPr>
                <w:color w:val="auto"/>
                <w:sz w:val="20"/>
                <w:szCs w:val="20"/>
                <w:highlight w:val="none"/>
              </w:rPr>
              <w:t>、岷江、赤水河、沱江、嘉陵江、乌江、汉江</w:t>
            </w:r>
            <w:r>
              <w:rPr>
                <w:rFonts w:hint="eastAsia"/>
                <w:color w:val="auto"/>
                <w:sz w:val="20"/>
                <w:szCs w:val="20"/>
                <w:highlight w:val="none"/>
              </w:rPr>
              <w:t>；332个</w:t>
            </w:r>
            <w:r>
              <w:rPr>
                <w:color w:val="auto"/>
                <w:sz w:val="20"/>
                <w:szCs w:val="20"/>
                <w:highlight w:val="none"/>
              </w:rPr>
              <w:t>水生生物保护区指《</w:t>
            </w:r>
            <w:r>
              <w:rPr>
                <w:rFonts w:hint="eastAsia"/>
                <w:color w:val="auto"/>
                <w:sz w:val="20"/>
                <w:szCs w:val="20"/>
                <w:highlight w:val="none"/>
              </w:rPr>
              <w:t>率先</w:t>
            </w:r>
            <w:r>
              <w:rPr>
                <w:color w:val="auto"/>
                <w:sz w:val="20"/>
                <w:szCs w:val="20"/>
                <w:highlight w:val="none"/>
              </w:rPr>
              <w:t>全面禁捕的长江流域水生生物保护区</w:t>
            </w:r>
            <w:r>
              <w:rPr>
                <w:rFonts w:hint="eastAsia"/>
                <w:color w:val="auto"/>
                <w:sz w:val="20"/>
                <w:szCs w:val="20"/>
                <w:highlight w:val="none"/>
              </w:rPr>
              <w:t>名录</w:t>
            </w:r>
            <w:r>
              <w:rPr>
                <w:color w:val="auto"/>
                <w:sz w:val="20"/>
                <w:szCs w:val="20"/>
                <w:highlight w:val="none"/>
              </w:rPr>
              <w:t>》</w:t>
            </w:r>
            <w:r>
              <w:rPr>
                <w:rFonts w:hint="eastAsia"/>
                <w:color w:val="auto"/>
                <w:sz w:val="20"/>
                <w:szCs w:val="20"/>
                <w:highlight w:val="none"/>
              </w:rPr>
              <w:t>中</w:t>
            </w:r>
            <w:r>
              <w:rPr>
                <w:color w:val="auto"/>
                <w:sz w:val="20"/>
                <w:szCs w:val="20"/>
                <w:highlight w:val="none"/>
              </w:rPr>
              <w:t>的水生动植物</w:t>
            </w:r>
            <w:r>
              <w:rPr>
                <w:rFonts w:hint="eastAsia"/>
                <w:color w:val="auto"/>
                <w:sz w:val="20"/>
                <w:szCs w:val="20"/>
                <w:highlight w:val="none"/>
              </w:rPr>
              <w:t>自然</w:t>
            </w:r>
            <w:r>
              <w:rPr>
                <w:color w:val="auto"/>
                <w:sz w:val="20"/>
                <w:szCs w:val="20"/>
                <w:highlight w:val="none"/>
              </w:rPr>
              <w:t>保护区和水产种质资源保护区。</w:t>
            </w:r>
          </w:p>
          <w:p>
            <w:pPr>
              <w:adjustRightInd w:val="0"/>
              <w:snapToGrid w:val="0"/>
              <w:spacing w:line="240" w:lineRule="auto"/>
              <w:ind w:firstLine="0" w:firstLineChars="0"/>
              <w:rPr>
                <w:color w:val="auto"/>
                <w:sz w:val="20"/>
                <w:szCs w:val="20"/>
                <w:highlight w:val="none"/>
              </w:rPr>
            </w:pPr>
            <w:r>
              <w:rPr>
                <w:color w:val="auto"/>
                <w:sz w:val="20"/>
                <w:szCs w:val="20"/>
                <w:highlight w:val="none"/>
              </w:rPr>
              <w:t>5</w:t>
            </w:r>
            <w:r>
              <w:rPr>
                <w:rFonts w:hint="eastAsia"/>
                <w:color w:val="auto"/>
                <w:sz w:val="20"/>
                <w:szCs w:val="20"/>
                <w:highlight w:val="none"/>
              </w:rPr>
              <w:t>、</w:t>
            </w:r>
            <w:r>
              <w:rPr>
                <w:color w:val="auto"/>
                <w:sz w:val="20"/>
                <w:szCs w:val="20"/>
                <w:highlight w:val="none"/>
              </w:rPr>
              <w:t>长江干</w:t>
            </w:r>
            <w:r>
              <w:rPr>
                <w:rFonts w:hint="eastAsia"/>
                <w:color w:val="auto"/>
                <w:sz w:val="20"/>
                <w:szCs w:val="20"/>
                <w:highlight w:val="none"/>
              </w:rPr>
              <w:t>支</w:t>
            </w:r>
            <w:r>
              <w:rPr>
                <w:color w:val="auto"/>
                <w:sz w:val="20"/>
                <w:szCs w:val="20"/>
                <w:highlight w:val="none"/>
              </w:rPr>
              <w:t>流、重要湖泊岸线一公里范围指长江干支流、重要</w:t>
            </w:r>
            <w:r>
              <w:rPr>
                <w:rFonts w:hint="eastAsia"/>
                <w:color w:val="auto"/>
                <w:sz w:val="20"/>
                <w:szCs w:val="20"/>
                <w:highlight w:val="none"/>
              </w:rPr>
              <w:t>湖泊</w:t>
            </w:r>
            <w:r>
              <w:rPr>
                <w:color w:val="auto"/>
                <w:sz w:val="20"/>
                <w:szCs w:val="20"/>
                <w:highlight w:val="none"/>
              </w:rPr>
              <w:t>岸线边界（</w:t>
            </w:r>
            <w:r>
              <w:rPr>
                <w:rFonts w:hint="eastAsia"/>
                <w:color w:val="auto"/>
                <w:sz w:val="20"/>
                <w:szCs w:val="20"/>
                <w:highlight w:val="none"/>
              </w:rPr>
              <w:t>即</w:t>
            </w:r>
            <w:r>
              <w:rPr>
                <w:color w:val="auto"/>
                <w:sz w:val="20"/>
                <w:szCs w:val="20"/>
                <w:highlight w:val="none"/>
              </w:rPr>
              <w:t>水利部门河道管理范围边界）</w:t>
            </w:r>
            <w:r>
              <w:rPr>
                <w:rFonts w:hint="eastAsia"/>
                <w:color w:val="auto"/>
                <w:sz w:val="20"/>
                <w:szCs w:val="20"/>
                <w:highlight w:val="none"/>
              </w:rPr>
              <w:t>向</w:t>
            </w:r>
            <w:r>
              <w:rPr>
                <w:color w:val="auto"/>
                <w:sz w:val="20"/>
                <w:szCs w:val="20"/>
                <w:highlight w:val="none"/>
              </w:rPr>
              <w:t>陆域纵深一公里</w:t>
            </w:r>
            <w:r>
              <w:rPr>
                <w:rFonts w:hint="eastAsia"/>
                <w:color w:val="auto"/>
                <w:sz w:val="20"/>
                <w:szCs w:val="20"/>
                <w:highlight w:val="none"/>
              </w:rPr>
              <w:t>。</w:t>
            </w:r>
          </w:p>
          <w:p>
            <w:pPr>
              <w:adjustRightInd w:val="0"/>
              <w:snapToGrid w:val="0"/>
              <w:spacing w:line="240" w:lineRule="auto"/>
              <w:ind w:firstLine="0" w:firstLineChars="0"/>
              <w:rPr>
                <w:color w:val="auto"/>
                <w:sz w:val="20"/>
                <w:szCs w:val="20"/>
                <w:highlight w:val="none"/>
              </w:rPr>
            </w:pPr>
            <w:r>
              <w:rPr>
                <w:color w:val="auto"/>
                <w:sz w:val="20"/>
                <w:szCs w:val="20"/>
                <w:highlight w:val="none"/>
              </w:rPr>
              <w:t>6</w:t>
            </w:r>
            <w:r>
              <w:rPr>
                <w:rFonts w:hint="eastAsia"/>
                <w:color w:val="auto"/>
                <w:sz w:val="20"/>
                <w:szCs w:val="20"/>
                <w:highlight w:val="none"/>
              </w:rPr>
              <w:t>、</w:t>
            </w:r>
            <w:r>
              <w:rPr>
                <w:color w:val="auto"/>
                <w:sz w:val="20"/>
                <w:szCs w:val="20"/>
                <w:highlight w:val="none"/>
              </w:rPr>
              <w:t>合规</w:t>
            </w:r>
            <w:r>
              <w:rPr>
                <w:rFonts w:hint="eastAsia"/>
                <w:color w:val="auto"/>
                <w:sz w:val="20"/>
                <w:szCs w:val="20"/>
                <w:highlight w:val="none"/>
              </w:rPr>
              <w:t>园区</w:t>
            </w:r>
            <w:r>
              <w:rPr>
                <w:color w:val="auto"/>
                <w:sz w:val="20"/>
                <w:szCs w:val="20"/>
                <w:highlight w:val="none"/>
              </w:rPr>
              <w:t>指已列入《</w:t>
            </w:r>
            <w:r>
              <w:rPr>
                <w:rFonts w:hint="eastAsia"/>
                <w:color w:val="auto"/>
                <w:sz w:val="20"/>
                <w:szCs w:val="20"/>
                <w:highlight w:val="none"/>
              </w:rPr>
              <w:t>中国</w:t>
            </w:r>
            <w:r>
              <w:rPr>
                <w:color w:val="auto"/>
                <w:sz w:val="20"/>
                <w:szCs w:val="20"/>
                <w:highlight w:val="none"/>
              </w:rPr>
              <w:t>开发区审核</w:t>
            </w:r>
            <w:r>
              <w:rPr>
                <w:rFonts w:hint="eastAsia"/>
                <w:color w:val="auto"/>
                <w:sz w:val="20"/>
                <w:szCs w:val="20"/>
                <w:highlight w:val="none"/>
              </w:rPr>
              <w:t>公告</w:t>
            </w:r>
            <w:r>
              <w:rPr>
                <w:color w:val="auto"/>
                <w:sz w:val="20"/>
                <w:szCs w:val="20"/>
                <w:highlight w:val="none"/>
              </w:rPr>
              <w:t>目录》</w:t>
            </w:r>
            <w:r>
              <w:rPr>
                <w:rFonts w:hint="eastAsia"/>
                <w:color w:val="auto"/>
                <w:sz w:val="20"/>
                <w:szCs w:val="20"/>
                <w:highlight w:val="none"/>
              </w:rPr>
              <w:t>或</w:t>
            </w:r>
            <w:r>
              <w:rPr>
                <w:color w:val="auto"/>
                <w:sz w:val="20"/>
                <w:szCs w:val="20"/>
                <w:highlight w:val="none"/>
              </w:rPr>
              <w:t>由省级人民政府批</w:t>
            </w:r>
            <w:r>
              <w:rPr>
                <w:rFonts w:hint="eastAsia"/>
                <w:color w:val="auto"/>
                <w:sz w:val="20"/>
                <w:szCs w:val="20"/>
                <w:highlight w:val="none"/>
              </w:rPr>
              <w:t>准</w:t>
            </w:r>
            <w:r>
              <w:rPr>
                <w:color w:val="auto"/>
                <w:sz w:val="20"/>
                <w:szCs w:val="20"/>
                <w:highlight w:val="none"/>
              </w:rPr>
              <w:t>设立、审核认定的园区。</w:t>
            </w:r>
          </w:p>
        </w:tc>
      </w:tr>
    </w:tbl>
    <w:p>
      <w:pPr>
        <w:adjustRightInd w:val="0"/>
        <w:snapToGrid w:val="0"/>
        <w:spacing w:line="240" w:lineRule="auto"/>
        <w:ind w:firstLine="520"/>
        <w:rPr>
          <w:bCs/>
          <w:color w:val="auto"/>
          <w:szCs w:val="26"/>
          <w:highlight w:val="none"/>
        </w:rPr>
      </w:pPr>
    </w:p>
    <w:p>
      <w:pPr>
        <w:adjustRightInd w:val="0"/>
        <w:snapToGrid w:val="0"/>
        <w:spacing w:line="460" w:lineRule="exact"/>
        <w:ind w:firstLine="520"/>
        <w:rPr>
          <w:rFonts w:hint="eastAsia"/>
          <w:color w:val="auto"/>
          <w:szCs w:val="26"/>
          <w:highlight w:val="none"/>
        </w:rPr>
      </w:pPr>
      <w:r>
        <w:rPr>
          <w:rFonts w:hint="eastAsia"/>
          <w:bCs/>
          <w:color w:val="auto"/>
          <w:szCs w:val="26"/>
          <w:highlight w:val="none"/>
        </w:rPr>
        <w:t>根据对比分析</w:t>
      </w:r>
      <w:r>
        <w:rPr>
          <w:bCs/>
          <w:color w:val="auto"/>
          <w:szCs w:val="26"/>
          <w:highlight w:val="none"/>
        </w:rPr>
        <w:t>，本项目</w:t>
      </w:r>
      <w:r>
        <w:rPr>
          <w:rFonts w:hint="eastAsia"/>
          <w:bCs/>
          <w:color w:val="auto"/>
          <w:szCs w:val="26"/>
          <w:highlight w:val="none"/>
        </w:rPr>
        <w:t>属于</w:t>
      </w:r>
      <w:r>
        <w:rPr>
          <w:rFonts w:hint="eastAsia"/>
          <w:bCs/>
          <w:color w:val="auto"/>
          <w:szCs w:val="26"/>
          <w:highlight w:val="none"/>
          <w:lang w:eastAsia="zh-CN"/>
        </w:rPr>
        <w:t>船闸扩能升级改造</w:t>
      </w:r>
      <w:r>
        <w:rPr>
          <w:rFonts w:hint="eastAsia"/>
          <w:bCs/>
          <w:color w:val="auto"/>
          <w:szCs w:val="26"/>
          <w:highlight w:val="none"/>
        </w:rPr>
        <w:t>工程，</w:t>
      </w:r>
      <w:r>
        <w:rPr>
          <w:rFonts w:hint="eastAsia"/>
          <w:bCs/>
          <w:color w:val="auto"/>
          <w:szCs w:val="26"/>
          <w:highlight w:val="none"/>
          <w:lang w:eastAsia="zh-CN"/>
        </w:rPr>
        <w:t>占用了部分重庆合川三江国家湿地公园，不属于挖沙、采矿以及不符合主体功能定位的投资建设项目，项目已编制湿地公园专题报告，与</w:t>
      </w:r>
      <w:r>
        <w:rPr>
          <w:rFonts w:hint="eastAsia"/>
          <w:color w:val="auto"/>
          <w:szCs w:val="26"/>
          <w:highlight w:val="none"/>
        </w:rPr>
        <w:t>《长江</w:t>
      </w:r>
      <w:r>
        <w:rPr>
          <w:color w:val="auto"/>
          <w:szCs w:val="26"/>
          <w:highlight w:val="none"/>
        </w:rPr>
        <w:t>经济带发展负面清单指南</w:t>
      </w:r>
      <w:r>
        <w:rPr>
          <w:rFonts w:hint="eastAsia"/>
          <w:color w:val="auto"/>
          <w:szCs w:val="26"/>
          <w:highlight w:val="none"/>
        </w:rPr>
        <w:t>（试行，2022年</w:t>
      </w:r>
      <w:r>
        <w:rPr>
          <w:color w:val="auto"/>
          <w:szCs w:val="26"/>
          <w:highlight w:val="none"/>
        </w:rPr>
        <w:t>版</w:t>
      </w:r>
      <w:r>
        <w:rPr>
          <w:rFonts w:hint="eastAsia"/>
          <w:color w:val="auto"/>
          <w:szCs w:val="26"/>
          <w:highlight w:val="none"/>
        </w:rPr>
        <w:t>）》</w:t>
      </w:r>
      <w:r>
        <w:rPr>
          <w:bCs/>
          <w:color w:val="auto"/>
          <w:szCs w:val="26"/>
          <w:highlight w:val="none"/>
        </w:rPr>
        <w:t>的相关要求</w:t>
      </w:r>
      <w:r>
        <w:rPr>
          <w:rFonts w:hint="eastAsia"/>
          <w:bCs/>
          <w:color w:val="auto"/>
          <w:szCs w:val="26"/>
          <w:highlight w:val="none"/>
          <w:lang w:eastAsia="zh-CN"/>
        </w:rPr>
        <w:t>不冲突</w:t>
      </w:r>
      <w:r>
        <w:rPr>
          <w:bCs/>
          <w:color w:val="auto"/>
          <w:szCs w:val="26"/>
          <w:highlight w:val="none"/>
        </w:rPr>
        <w:t>。</w:t>
      </w:r>
    </w:p>
    <w:p>
      <w:pPr>
        <w:adjustRightInd w:val="0"/>
        <w:snapToGrid w:val="0"/>
        <w:spacing w:line="460" w:lineRule="exact"/>
        <w:ind w:firstLine="520"/>
        <w:rPr>
          <w:color w:val="auto"/>
          <w:szCs w:val="26"/>
          <w:highlight w:val="none"/>
        </w:rPr>
      </w:pPr>
      <w:r>
        <w:rPr>
          <w:rFonts w:hint="eastAsia"/>
          <w:color w:val="auto"/>
          <w:szCs w:val="26"/>
          <w:highlight w:val="none"/>
        </w:rPr>
        <w:t>（3）与《重庆市</w:t>
      </w:r>
      <w:r>
        <w:rPr>
          <w:color w:val="auto"/>
          <w:szCs w:val="26"/>
          <w:highlight w:val="none"/>
        </w:rPr>
        <w:t>产业</w:t>
      </w:r>
      <w:r>
        <w:rPr>
          <w:rFonts w:hint="eastAsia"/>
          <w:color w:val="auto"/>
          <w:szCs w:val="26"/>
          <w:highlight w:val="none"/>
        </w:rPr>
        <w:t>投资</w:t>
      </w:r>
      <w:r>
        <w:rPr>
          <w:color w:val="auto"/>
          <w:szCs w:val="26"/>
          <w:highlight w:val="none"/>
        </w:rPr>
        <w:t>准入工作手册</w:t>
      </w:r>
      <w:r>
        <w:rPr>
          <w:rFonts w:hint="eastAsia"/>
          <w:color w:val="auto"/>
          <w:szCs w:val="26"/>
          <w:highlight w:val="none"/>
        </w:rPr>
        <w:t>》的符合性</w:t>
      </w:r>
    </w:p>
    <w:p>
      <w:pPr>
        <w:adjustRightInd w:val="0"/>
        <w:ind w:firstLine="520"/>
        <w:rPr>
          <w:color w:val="auto"/>
          <w:szCs w:val="26"/>
          <w:highlight w:val="none"/>
        </w:rPr>
      </w:pPr>
      <w:r>
        <w:rPr>
          <w:color w:val="auto"/>
          <w:szCs w:val="26"/>
          <w:highlight w:val="none"/>
        </w:rPr>
        <w:t>《重庆市产业投资准入工作手册》中产业准入政策包括不予准入、限制准入两类目录。</w:t>
      </w:r>
      <w:r>
        <w:rPr>
          <w:rFonts w:hint="eastAsia"/>
          <w:color w:val="auto"/>
          <w:szCs w:val="26"/>
          <w:highlight w:val="none"/>
        </w:rPr>
        <w:t>不予准入类主要指国家及我市相关规定明令禁止的项目；限制准入类主要指国家及我市相关规定明确予以限制的行业或项目，主要分为行业限制、区域限制。根据对比分析</w:t>
      </w:r>
      <w:r>
        <w:rPr>
          <w:color w:val="auto"/>
          <w:szCs w:val="26"/>
          <w:highlight w:val="none"/>
        </w:rPr>
        <w:t>，本项目不属于准入工作手册中不予准入、限制准入类项目，与《重庆市产业投资准入工作手册》中相关规定是相符合的。</w:t>
      </w:r>
    </w:p>
    <w:p>
      <w:pPr>
        <w:adjustRightInd w:val="0"/>
        <w:ind w:firstLine="520"/>
        <w:rPr>
          <w:color w:val="auto"/>
          <w:szCs w:val="26"/>
          <w:highlight w:val="none"/>
        </w:rPr>
      </w:pPr>
      <w:r>
        <w:rPr>
          <w:rFonts w:hint="eastAsia"/>
          <w:color w:val="auto"/>
          <w:szCs w:val="26"/>
          <w:highlight w:val="none"/>
        </w:rPr>
        <w:t>拟建</w:t>
      </w:r>
      <w:r>
        <w:rPr>
          <w:color w:val="auto"/>
          <w:szCs w:val="26"/>
          <w:highlight w:val="none"/>
        </w:rPr>
        <w:t>项目与《重庆市产业投资准入工作手册》</w:t>
      </w:r>
      <w:r>
        <w:rPr>
          <w:rFonts w:hint="eastAsia"/>
          <w:color w:val="auto"/>
          <w:szCs w:val="26"/>
          <w:highlight w:val="none"/>
        </w:rPr>
        <w:t>的符合性分析</w:t>
      </w:r>
      <w:r>
        <w:rPr>
          <w:color w:val="auto"/>
          <w:szCs w:val="26"/>
          <w:highlight w:val="none"/>
        </w:rPr>
        <w:t>见</w:t>
      </w:r>
      <w:r>
        <w:rPr>
          <w:rFonts w:hint="eastAsia"/>
          <w:color w:val="auto"/>
          <w:szCs w:val="26"/>
          <w:highlight w:val="none"/>
        </w:rPr>
        <w:t>下表：</w:t>
      </w:r>
    </w:p>
    <w:p>
      <w:pPr>
        <w:spacing w:line="240" w:lineRule="auto"/>
        <w:ind w:firstLine="520"/>
        <w:rPr>
          <w:color w:val="auto"/>
          <w:highlight w:val="none"/>
        </w:rPr>
      </w:pPr>
    </w:p>
    <w:p>
      <w:pPr>
        <w:spacing w:line="240" w:lineRule="auto"/>
        <w:ind w:firstLine="520"/>
        <w:rPr>
          <w:color w:val="auto"/>
          <w:highlight w:val="none"/>
        </w:rPr>
      </w:pPr>
      <w:r>
        <w:rPr>
          <w:rFonts w:hint="eastAsia"/>
          <w:color w:val="auto"/>
          <w:highlight w:val="none"/>
        </w:rPr>
        <w:t xml:space="preserve">表1.9.1-2  </w:t>
      </w:r>
      <w:r>
        <w:rPr>
          <w:color w:val="auto"/>
          <w:highlight w:val="none"/>
        </w:rPr>
        <w:t>与《重庆市产业投资准入工作手册》符合性分析</w:t>
      </w:r>
    </w:p>
    <w:tbl>
      <w:tblPr>
        <w:tblStyle w:val="28"/>
        <w:tblW w:w="485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971"/>
        <w:gridCol w:w="660"/>
        <w:gridCol w:w="1400"/>
        <w:gridCol w:w="64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186"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jc w:val="center"/>
              <w:rPr>
                <w:color w:val="auto"/>
                <w:sz w:val="20"/>
                <w:szCs w:val="20"/>
                <w:highlight w:val="none"/>
              </w:rPr>
            </w:pPr>
            <w:r>
              <w:rPr>
                <w:color w:val="auto"/>
                <w:sz w:val="20"/>
                <w:szCs w:val="20"/>
                <w:highlight w:val="none"/>
              </w:rPr>
              <w:t>行业</w:t>
            </w:r>
          </w:p>
        </w:tc>
        <w:tc>
          <w:tcPr>
            <w:tcW w:w="670"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准入要求</w:t>
            </w:r>
          </w:p>
        </w:tc>
        <w:tc>
          <w:tcPr>
            <w:tcW w:w="1433"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工程概况</w:t>
            </w:r>
          </w:p>
        </w:tc>
        <w:tc>
          <w:tcPr>
            <w:tcW w:w="658"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186"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（一）全市范围内不予准入的产业</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1．国家产业结构调整指导目录中的淘汰类项目。</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2．天然林商业性采伐。</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3．法律法规和相关政策明令不予准入的其他项目。</w:t>
            </w:r>
          </w:p>
        </w:tc>
        <w:tc>
          <w:tcPr>
            <w:tcW w:w="670" w:type="dxa"/>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不予准入类</w:t>
            </w:r>
          </w:p>
        </w:tc>
        <w:tc>
          <w:tcPr>
            <w:tcW w:w="1433"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jc w:val="both"/>
              <w:rPr>
                <w:color w:val="auto"/>
                <w:sz w:val="20"/>
                <w:szCs w:val="20"/>
                <w:highlight w:val="none"/>
              </w:rPr>
            </w:pPr>
            <w:r>
              <w:rPr>
                <w:rFonts w:hint="eastAsia"/>
                <w:color w:val="auto"/>
                <w:sz w:val="20"/>
                <w:szCs w:val="20"/>
                <w:highlight w:val="none"/>
              </w:rPr>
              <w:t>拟建工程</w:t>
            </w:r>
            <w:r>
              <w:rPr>
                <w:color w:val="auto"/>
                <w:sz w:val="20"/>
                <w:szCs w:val="20"/>
                <w:highlight w:val="none"/>
              </w:rPr>
              <w:t>属于</w:t>
            </w:r>
            <w:r>
              <w:rPr>
                <w:rFonts w:hint="eastAsia"/>
                <w:color w:val="auto"/>
                <w:sz w:val="20"/>
                <w:szCs w:val="20"/>
                <w:highlight w:val="none"/>
                <w:lang w:eastAsia="zh-CN"/>
              </w:rPr>
              <w:t>鼓励类项目</w:t>
            </w:r>
            <w:r>
              <w:rPr>
                <w:color w:val="auto"/>
                <w:sz w:val="20"/>
                <w:szCs w:val="20"/>
                <w:highlight w:val="none"/>
              </w:rPr>
              <w:t>，不属于不予准入产业</w:t>
            </w:r>
          </w:p>
        </w:tc>
        <w:tc>
          <w:tcPr>
            <w:tcW w:w="658"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186"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（二）重点区域不予准入的产业</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1．外环绕城高速公路以内长江、嘉陵江水域采砂。</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2．二十五度以上陡坡地开垦种植农作物。</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3．在自然保护区核心区、缓冲区的岸线和河段范围内投资建设旅游和生产经营项目。</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4．饮用水水源一级保护区的岸线和河段范围内新建、改建、扩建与供水设施和保护水源无关的项目，以及网箱养殖、畜禽养殖、放养畜禽、旅游等可能污染饮用水水体的投资建设项目。在饮用水水源二级保护区的岸线和河段范围内新建、改建、扩建排放污染物的投资建设项目。</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5．长江干流岸线3公里范围内和重要支流岸线1公里范围内新建、改建、扩建尾矿库、冶炼渣库和磷石膏库（以提升安全、生态环境保护水平为目的的改建除外）。</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6．在风景名胜区核心景区的岸线和河段范围内投资建设与风景名胜资源保护无关的项目。</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7．在国家湿地公园的岸线和河段范围内挖沙、采矿，以及任何不符合主体功能定位的投资建设项目。</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8．在《长江岸线保护和开发利用总体规划》划定的岸线保护区和保留区内投资建设除事关公共安全及公众利益的防洪护岸、河道治理、供水、生态环境保护、航道整治、国家重要基础设施以外的项目。</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9．在《全国重要江河湖泊水功能区划》划定的河段及湖泊保护区、保留区内投资建设不利于水资源及自然生态保护的项目。</w:t>
            </w:r>
          </w:p>
        </w:tc>
        <w:tc>
          <w:tcPr>
            <w:tcW w:w="670" w:type="dxa"/>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jc w:val="center"/>
              <w:rPr>
                <w:color w:val="auto"/>
                <w:sz w:val="20"/>
                <w:szCs w:val="20"/>
                <w:highlight w:val="none"/>
              </w:rPr>
            </w:pPr>
          </w:p>
        </w:tc>
        <w:tc>
          <w:tcPr>
            <w:tcW w:w="1433"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jc w:val="both"/>
              <w:rPr>
                <w:rFonts w:hint="eastAsia"/>
                <w:color w:val="auto"/>
                <w:sz w:val="20"/>
                <w:szCs w:val="20"/>
                <w:highlight w:val="none"/>
                <w:lang w:eastAsia="zh-CN"/>
              </w:rPr>
            </w:pPr>
            <w:r>
              <w:rPr>
                <w:rFonts w:hint="eastAsia"/>
                <w:color w:val="auto"/>
                <w:sz w:val="20"/>
                <w:szCs w:val="20"/>
                <w:highlight w:val="none"/>
              </w:rPr>
              <w:t>拟建工程位于</w:t>
            </w:r>
            <w:r>
              <w:rPr>
                <w:rFonts w:hint="eastAsia"/>
                <w:color w:val="auto"/>
                <w:sz w:val="20"/>
                <w:szCs w:val="20"/>
                <w:highlight w:val="none"/>
                <w:lang w:eastAsia="zh-CN"/>
              </w:rPr>
              <w:t>合川</w:t>
            </w:r>
            <w:r>
              <w:rPr>
                <w:rFonts w:hint="eastAsia"/>
                <w:color w:val="auto"/>
                <w:sz w:val="20"/>
                <w:szCs w:val="20"/>
                <w:highlight w:val="none"/>
              </w:rPr>
              <w:t>区</w:t>
            </w:r>
            <w:r>
              <w:rPr>
                <w:color w:val="auto"/>
                <w:sz w:val="20"/>
                <w:szCs w:val="20"/>
                <w:highlight w:val="none"/>
              </w:rPr>
              <w:t>，</w:t>
            </w:r>
            <w:r>
              <w:rPr>
                <w:rFonts w:hint="eastAsia"/>
                <w:color w:val="auto"/>
                <w:sz w:val="20"/>
                <w:szCs w:val="20"/>
                <w:highlight w:val="none"/>
              </w:rPr>
              <w:t>部分占地涉及重庆合川三江国家湿地公园，已编制湿地公园专题报告，不属于挖沙、采矿以及不符合主体功能定位的投资建设项目</w:t>
            </w:r>
            <w:r>
              <w:rPr>
                <w:color w:val="auto"/>
                <w:sz w:val="20"/>
                <w:szCs w:val="20"/>
                <w:highlight w:val="none"/>
              </w:rPr>
              <w:t>。</w:t>
            </w:r>
          </w:p>
          <w:p>
            <w:pPr>
              <w:adjustRightInd w:val="0"/>
              <w:snapToGrid w:val="0"/>
              <w:spacing w:line="240" w:lineRule="auto"/>
              <w:ind w:firstLine="0" w:firstLineChars="0"/>
              <w:jc w:val="both"/>
              <w:rPr>
                <w:color w:val="auto"/>
                <w:sz w:val="20"/>
                <w:szCs w:val="20"/>
                <w:highlight w:val="none"/>
              </w:rPr>
            </w:pPr>
            <w:r>
              <w:rPr>
                <w:rFonts w:hint="eastAsia"/>
                <w:color w:val="auto"/>
                <w:sz w:val="20"/>
                <w:szCs w:val="20"/>
                <w:highlight w:val="none"/>
                <w:lang w:eastAsia="zh-CN"/>
              </w:rPr>
              <w:t>项目位于</w:t>
            </w:r>
            <w:r>
              <w:rPr>
                <w:color w:val="auto"/>
                <w:sz w:val="20"/>
                <w:szCs w:val="20"/>
                <w:highlight w:val="none"/>
              </w:rPr>
              <w:t>《</w:t>
            </w:r>
            <w:r>
              <w:rPr>
                <w:rFonts w:hint="eastAsia"/>
                <w:color w:val="auto"/>
                <w:sz w:val="20"/>
                <w:szCs w:val="20"/>
                <w:highlight w:val="none"/>
              </w:rPr>
              <w:t>全国重要</w:t>
            </w:r>
            <w:r>
              <w:rPr>
                <w:color w:val="auto"/>
                <w:sz w:val="20"/>
                <w:szCs w:val="20"/>
                <w:highlight w:val="none"/>
              </w:rPr>
              <w:t>江河湖泊水功能区划》</w:t>
            </w:r>
            <w:r>
              <w:rPr>
                <w:rFonts w:hint="eastAsia"/>
                <w:color w:val="auto"/>
                <w:sz w:val="20"/>
                <w:szCs w:val="20"/>
                <w:highlight w:val="none"/>
              </w:rPr>
              <w:t>划定</w:t>
            </w:r>
            <w:r>
              <w:rPr>
                <w:color w:val="auto"/>
                <w:sz w:val="20"/>
                <w:szCs w:val="20"/>
                <w:highlight w:val="none"/>
              </w:rPr>
              <w:t>的</w:t>
            </w:r>
            <w:r>
              <w:rPr>
                <w:rFonts w:hint="eastAsia"/>
                <w:color w:val="auto"/>
                <w:sz w:val="20"/>
                <w:szCs w:val="20"/>
                <w:highlight w:val="none"/>
                <w:lang w:eastAsia="zh-CN"/>
              </w:rPr>
              <w:t>涪江铜梁、合川保留区内，项目为船闸扩能升级改造，同步建设鱼道，有利于</w:t>
            </w:r>
            <w:r>
              <w:rPr>
                <w:color w:val="auto"/>
                <w:sz w:val="20"/>
                <w:szCs w:val="20"/>
                <w:highlight w:val="none"/>
              </w:rPr>
              <w:t>水资源及自然生态保护</w:t>
            </w:r>
            <w:r>
              <w:rPr>
                <w:rFonts w:hint="eastAsia"/>
                <w:color w:val="auto"/>
                <w:sz w:val="20"/>
                <w:szCs w:val="20"/>
                <w:highlight w:val="none"/>
                <w:lang w:eastAsia="zh-CN"/>
              </w:rPr>
              <w:t>。</w:t>
            </w:r>
          </w:p>
        </w:tc>
        <w:tc>
          <w:tcPr>
            <w:tcW w:w="658"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186"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（一）全市范围内限制准入的产业</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1．新建、扩建不符合国家产能置换要求的严重过剩产能行业的项目。新建、扩建不符合要求的高耗能高排放项目。</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2．新建、扩建不符合国家石化、现代煤化工等产业布局规划的项目。</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3．在合规园区外新建、扩建钢铁、石化、化工、焦化、建材、有色、制浆造纸等高污染项目。</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4．《汽车产业投资管理规定》（国家发展和改革委员会令第22号）明确禁止建设的汽车投资项目。</w:t>
            </w:r>
          </w:p>
        </w:tc>
        <w:tc>
          <w:tcPr>
            <w:tcW w:w="670" w:type="dxa"/>
            <w:vMerge w:val="restart"/>
            <w:tcBorders>
              <w:top w:val="single" w:color="000000" w:sz="8" w:space="0"/>
              <w:left w:val="single" w:color="000000" w:sz="8" w:space="0"/>
              <w:right w:val="single" w:color="000000" w:sz="8" w:space="0"/>
            </w:tcBorders>
            <w:shd w:val="clear" w:color="auto" w:fill="FFFFFF"/>
            <w:vAlign w:val="center"/>
          </w:tcPr>
          <w:p>
            <w:pPr>
              <w:adjustRightInd w:val="0"/>
              <w:snapToGrid w:val="0"/>
              <w:spacing w:line="240" w:lineRule="auto"/>
              <w:ind w:firstLine="0" w:firstLineChars="0"/>
              <w:jc w:val="center"/>
              <w:rPr>
                <w:color w:val="auto"/>
                <w:sz w:val="20"/>
                <w:szCs w:val="20"/>
                <w:highlight w:val="none"/>
              </w:rPr>
            </w:pPr>
            <w:r>
              <w:rPr>
                <w:color w:val="auto"/>
                <w:sz w:val="20"/>
                <w:szCs w:val="20"/>
                <w:highlight w:val="none"/>
              </w:rPr>
              <w:t>限制准入类</w:t>
            </w:r>
          </w:p>
        </w:tc>
        <w:tc>
          <w:tcPr>
            <w:tcW w:w="1433"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jc w:val="center"/>
              <w:rPr>
                <w:color w:val="auto"/>
                <w:sz w:val="20"/>
                <w:szCs w:val="20"/>
                <w:highlight w:val="none"/>
              </w:rPr>
            </w:pPr>
            <w:r>
              <w:rPr>
                <w:color w:val="auto"/>
                <w:sz w:val="20"/>
                <w:szCs w:val="20"/>
                <w:highlight w:val="none"/>
              </w:rPr>
              <w:t>不涉及</w:t>
            </w:r>
            <w:r>
              <w:rPr>
                <w:rFonts w:hint="eastAsia"/>
                <w:color w:val="auto"/>
                <w:sz w:val="20"/>
                <w:szCs w:val="20"/>
                <w:highlight w:val="none"/>
              </w:rPr>
              <w:t>限制</w:t>
            </w:r>
            <w:r>
              <w:rPr>
                <w:color w:val="auto"/>
                <w:sz w:val="20"/>
                <w:szCs w:val="20"/>
                <w:highlight w:val="none"/>
              </w:rPr>
              <w:t>准入类</w:t>
            </w:r>
          </w:p>
        </w:tc>
        <w:tc>
          <w:tcPr>
            <w:tcW w:w="658"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186"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（二）重点区域范围内限制准入的产业</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1．长江干支流、重要湖泊岸线1公里范围内新建、扩建化工园区和化工项目，长江、嘉陵江、乌江岸线1公里范围内布局新建纸浆制造、印染等存在环境风险的项目。</w:t>
            </w:r>
          </w:p>
          <w:p>
            <w:pPr>
              <w:adjustRightInd w:val="0"/>
              <w:snapToGrid w:val="0"/>
              <w:spacing w:line="240" w:lineRule="auto"/>
              <w:ind w:firstLine="0" w:firstLineChars="0"/>
              <w:rPr>
                <w:color w:val="auto"/>
                <w:sz w:val="20"/>
                <w:szCs w:val="20"/>
                <w:highlight w:val="none"/>
              </w:rPr>
            </w:pPr>
            <w:r>
              <w:rPr>
                <w:rFonts w:hint="eastAsia"/>
                <w:color w:val="auto"/>
                <w:sz w:val="20"/>
                <w:szCs w:val="20"/>
                <w:highlight w:val="none"/>
              </w:rPr>
              <w:t>2．在水产种质资源保护区的岸线和河段范围内新建围湖造田等投资建设项目。</w:t>
            </w:r>
          </w:p>
        </w:tc>
        <w:tc>
          <w:tcPr>
            <w:tcW w:w="670" w:type="dxa"/>
            <w:vMerge w:val="continue"/>
            <w:tcBorders>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jc w:val="center"/>
              <w:rPr>
                <w:color w:val="auto"/>
                <w:sz w:val="20"/>
                <w:szCs w:val="20"/>
                <w:highlight w:val="none"/>
              </w:rPr>
            </w:pPr>
          </w:p>
        </w:tc>
        <w:tc>
          <w:tcPr>
            <w:tcW w:w="1433"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jc w:val="center"/>
              <w:rPr>
                <w:color w:val="auto"/>
                <w:sz w:val="20"/>
                <w:szCs w:val="20"/>
                <w:highlight w:val="none"/>
              </w:rPr>
            </w:pPr>
            <w:r>
              <w:rPr>
                <w:color w:val="auto"/>
                <w:sz w:val="20"/>
                <w:szCs w:val="20"/>
                <w:highlight w:val="none"/>
              </w:rPr>
              <w:t>不涉及</w:t>
            </w:r>
            <w:r>
              <w:rPr>
                <w:rFonts w:hint="eastAsia"/>
                <w:color w:val="auto"/>
                <w:sz w:val="20"/>
                <w:szCs w:val="20"/>
                <w:highlight w:val="none"/>
              </w:rPr>
              <w:t>限制</w:t>
            </w:r>
            <w:r>
              <w:rPr>
                <w:color w:val="auto"/>
                <w:sz w:val="20"/>
                <w:szCs w:val="20"/>
                <w:highlight w:val="none"/>
              </w:rPr>
              <w:t>准入类</w:t>
            </w:r>
          </w:p>
        </w:tc>
        <w:tc>
          <w:tcPr>
            <w:tcW w:w="658"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0" w:firstLineChars="0"/>
              <w:jc w:val="center"/>
              <w:rPr>
                <w:color w:val="auto"/>
                <w:sz w:val="20"/>
                <w:szCs w:val="20"/>
                <w:highlight w:val="none"/>
              </w:rPr>
            </w:pPr>
            <w:r>
              <w:rPr>
                <w:rFonts w:hint="eastAsia"/>
                <w:color w:val="auto"/>
                <w:sz w:val="20"/>
                <w:szCs w:val="20"/>
                <w:highlight w:val="none"/>
              </w:rPr>
              <w:t>符合</w:t>
            </w:r>
          </w:p>
        </w:tc>
      </w:tr>
    </w:tbl>
    <w:p>
      <w:pPr>
        <w:adjustRightInd w:val="0"/>
        <w:spacing w:line="240" w:lineRule="auto"/>
        <w:ind w:firstLine="520"/>
        <w:rPr>
          <w:color w:val="auto"/>
          <w:szCs w:val="26"/>
          <w:highlight w:val="none"/>
        </w:rPr>
      </w:pPr>
    </w:p>
    <w:p>
      <w:pPr>
        <w:pStyle w:val="5"/>
        <w:ind w:firstLine="522"/>
        <w:rPr>
          <w:rFonts w:hint="eastAsia"/>
          <w:color w:val="auto"/>
          <w:highlight w:val="none"/>
        </w:rPr>
      </w:pPr>
      <w:r>
        <w:rPr>
          <w:rFonts w:hint="eastAsia"/>
          <w:color w:val="auto"/>
          <w:highlight w:val="none"/>
        </w:rPr>
        <w:t>与</w:t>
      </w:r>
      <w:r>
        <w:rPr>
          <w:color w:val="auto"/>
          <w:highlight w:val="none"/>
        </w:rPr>
        <w:t>相关政策</w:t>
      </w:r>
      <w:r>
        <w:rPr>
          <w:rFonts w:hint="eastAsia"/>
          <w:color w:val="auto"/>
          <w:highlight w:val="none"/>
          <w:lang w:eastAsia="zh-CN"/>
        </w:rPr>
        <w:t>的</w:t>
      </w:r>
      <w:r>
        <w:rPr>
          <w:color w:val="auto"/>
          <w:highlight w:val="none"/>
        </w:rPr>
        <w:t>符合性分析</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color w:val="auto"/>
          <w:highlight w:val="none"/>
        </w:rPr>
        <w:t>与</w:t>
      </w:r>
      <w:r>
        <w:rPr>
          <w:rFonts w:hint="eastAsia"/>
          <w:color w:val="auto"/>
          <w:highlight w:val="none"/>
          <w:lang w:eastAsia="zh-CN"/>
        </w:rPr>
        <w:t>长江流域有关政策的</w:t>
      </w:r>
      <w:r>
        <w:rPr>
          <w:color w:val="auto"/>
          <w:highlight w:val="none"/>
        </w:rPr>
        <w:t>符合性分析</w:t>
      </w:r>
    </w:p>
    <w:p>
      <w:pPr>
        <w:ind w:left="0" w:leftChars="0" w:firstLine="520" w:firstLineChars="200"/>
        <w:jc w:val="both"/>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shd w:val="clear" w:fill="FFFFFF"/>
          <w:lang w:val="en-US" w:eastAsia="zh-CN"/>
        </w:rPr>
        <w:t>根据与</w:t>
      </w:r>
      <w:r>
        <w:rPr>
          <w:rFonts w:hint="eastAsia" w:ascii="Times New Roman" w:hAnsi="Times New Roman" w:eastAsia="宋体" w:cs="Times New Roman"/>
          <w:color w:val="auto"/>
          <w:highlight w:val="none"/>
          <w:lang w:val="en-US" w:eastAsia="zh-CN"/>
        </w:rPr>
        <w:t>《中华人民共和国长江保护法</w:t>
      </w:r>
      <w:r>
        <w:rPr>
          <w:rFonts w:hint="eastAsia" w:cs="Times New Roman"/>
          <w:color w:val="auto"/>
          <w:highlight w:val="none"/>
          <w:shd w:val="clear" w:fill="FFFFFF"/>
          <w:lang w:val="en-US" w:eastAsia="zh-CN"/>
        </w:rPr>
        <w:t>》《</w:t>
      </w:r>
      <w:r>
        <w:rPr>
          <w:rFonts w:hint="eastAsia" w:ascii="Times New Roman" w:hAnsi="Times New Roman" w:eastAsia="宋体" w:cs="Times New Roman"/>
          <w:color w:val="auto"/>
          <w:highlight w:val="none"/>
          <w:lang w:val="en-US" w:eastAsia="zh-CN"/>
        </w:rPr>
        <w:t>深入打好长江保护修复攻坚战行动方案》（环水体〔2022〕55号）等长江流域有关政策符合性分析，项目建设符合</w:t>
      </w:r>
      <w:r>
        <w:rPr>
          <w:rFonts w:hint="eastAsia"/>
          <w:color w:val="auto"/>
          <w:highlight w:val="none"/>
          <w:lang w:eastAsia="zh-CN"/>
        </w:rPr>
        <w:t>长江流域有关政策要求。</w:t>
      </w:r>
      <w:r>
        <w:rPr>
          <w:rFonts w:hint="eastAsia" w:ascii="Times New Roman" w:hAnsi="Times New Roman" w:eastAsia="宋体" w:cs="Times New Roman"/>
          <w:color w:val="auto"/>
          <w:highlight w:val="none"/>
          <w:lang w:val="en-US" w:eastAsia="zh-CN"/>
        </w:rPr>
        <w:t>符合性详见表1.9.2-1。</w:t>
      </w:r>
    </w:p>
    <w:p>
      <w:pPr>
        <w:snapToGrid w:val="0"/>
        <w:ind w:firstLine="522"/>
        <w:rPr>
          <w:rFonts w:hint="eastAsia"/>
          <w:b/>
          <w:bCs/>
          <w:color w:val="auto"/>
          <w:szCs w:val="26"/>
          <w:highlight w:val="none"/>
        </w:rPr>
      </w:pPr>
      <w:r>
        <w:rPr>
          <w:rFonts w:hint="eastAsia"/>
          <w:b/>
          <w:bCs/>
          <w:color w:val="auto"/>
          <w:szCs w:val="26"/>
          <w:highlight w:val="none"/>
        </w:rPr>
        <w:t>（</w:t>
      </w:r>
      <w:r>
        <w:rPr>
          <w:rFonts w:hint="eastAsia"/>
          <w:b/>
          <w:bCs/>
          <w:color w:val="auto"/>
          <w:szCs w:val="26"/>
          <w:highlight w:val="none"/>
          <w:lang w:val="en-US" w:eastAsia="zh-CN"/>
        </w:rPr>
        <w:t>2</w:t>
      </w:r>
      <w:r>
        <w:rPr>
          <w:rFonts w:hint="eastAsia"/>
          <w:b/>
          <w:bCs/>
          <w:color w:val="auto"/>
          <w:szCs w:val="26"/>
          <w:highlight w:val="none"/>
        </w:rPr>
        <w:t>）与</w:t>
      </w:r>
      <w:r>
        <w:rPr>
          <w:rFonts w:hint="eastAsia"/>
          <w:b/>
          <w:bCs/>
          <w:color w:val="auto"/>
          <w:szCs w:val="26"/>
          <w:highlight w:val="none"/>
          <w:lang w:eastAsia="zh-CN"/>
        </w:rPr>
        <w:t>生态保护红线有关管理要求的</w:t>
      </w:r>
      <w:r>
        <w:rPr>
          <w:rFonts w:hint="eastAsia"/>
          <w:b/>
          <w:bCs/>
          <w:color w:val="auto"/>
          <w:szCs w:val="26"/>
          <w:highlight w:val="none"/>
        </w:rPr>
        <w:t>符合性分析</w:t>
      </w:r>
    </w:p>
    <w:p>
      <w:pPr>
        <w:ind w:left="0" w:leftChars="0" w:firstLine="520" w:firstLineChars="200"/>
        <w:jc w:val="both"/>
        <w:rPr>
          <w:rFonts w:hint="default" w:eastAsia="宋体"/>
          <w:color w:val="auto"/>
          <w:highlight w:val="none"/>
          <w:lang w:val="en-US" w:eastAsia="zh-CN"/>
        </w:rPr>
      </w:pPr>
      <w:r>
        <w:rPr>
          <w:rFonts w:hint="eastAsia"/>
          <w:color w:val="auto"/>
          <w:highlight w:val="none"/>
          <w:lang w:val="en-US" w:eastAsia="zh-CN"/>
        </w:rPr>
        <w:t>项</w:t>
      </w:r>
      <w:r>
        <w:rPr>
          <w:rFonts w:hint="eastAsia"/>
          <w:color w:val="auto"/>
          <w:sz w:val="26"/>
          <w:szCs w:val="26"/>
          <w:highlight w:val="none"/>
          <w:lang w:val="en-US" w:eastAsia="zh-CN"/>
        </w:rPr>
        <w:t>目</w:t>
      </w:r>
      <w:r>
        <w:rPr>
          <w:rFonts w:hint="eastAsia"/>
          <w:color w:val="auto"/>
          <w:sz w:val="26"/>
          <w:szCs w:val="26"/>
          <w:highlight w:val="none"/>
          <w:lang w:eastAsia="zh-CN"/>
        </w:rPr>
        <w:t>船闸下游引航道、下游疏浚区、锚地等位于生态保护红线内，根据《涪江干流渭沱电厂船闸扩能升级改造工程不可避让生态保护红线论证报告》，项目永久占用生态保护红线面积</w:t>
      </w:r>
      <w:r>
        <w:rPr>
          <w:rFonts w:hint="eastAsia"/>
          <w:color w:val="auto"/>
          <w:sz w:val="26"/>
          <w:szCs w:val="26"/>
          <w:highlight w:val="none"/>
          <w:lang w:val="en-US" w:eastAsia="zh-CN"/>
        </w:rPr>
        <w:t>约1.5568hm</w:t>
      </w:r>
      <w:r>
        <w:rPr>
          <w:rFonts w:hint="eastAsia"/>
          <w:color w:val="auto"/>
          <w:sz w:val="26"/>
          <w:szCs w:val="26"/>
          <w:highlight w:val="none"/>
          <w:vertAlign w:val="superscript"/>
          <w:lang w:val="en-US" w:eastAsia="zh-CN"/>
        </w:rPr>
        <w:t>2</w:t>
      </w:r>
      <w:r>
        <w:rPr>
          <w:rFonts w:hint="eastAsia"/>
          <w:color w:val="auto"/>
          <w:sz w:val="26"/>
          <w:szCs w:val="26"/>
          <w:highlight w:val="none"/>
          <w:lang w:val="en-US" w:eastAsia="zh-CN"/>
        </w:rPr>
        <w:t>。</w:t>
      </w:r>
      <w:r>
        <w:rPr>
          <w:rFonts w:hint="eastAsia"/>
          <w:color w:val="auto"/>
          <w:sz w:val="26"/>
          <w:szCs w:val="26"/>
          <w:highlight w:val="none"/>
          <w:lang w:eastAsia="zh-CN"/>
        </w:rPr>
        <w:t>根</w:t>
      </w:r>
      <w:r>
        <w:rPr>
          <w:rFonts w:hint="eastAsia"/>
          <w:color w:val="auto"/>
          <w:highlight w:val="none"/>
          <w:lang w:eastAsia="zh-CN"/>
        </w:rPr>
        <w:t>据分析，项目属于现有渭沱枢纽船闸扩容升级改造工程，拟建船闸下游区域生态保护红线连续分布，且紧邻现有渭沱枢纽，受船闸建设条件限制，经选址论证，项目用地确实难以完全避让生态保护，项目已明确列入《全国港口与航道布局规划》《水运“十四五”发展规划》《共建长江上游航运中心实施方案》《重庆市综合交通运输“十四五”规划（2021—2025 年）》《重庆市航道规划（2035 年）》，属于确需占用生态保护红线的国家重大项目，目前正在开展“</w:t>
      </w:r>
      <w:r>
        <w:rPr>
          <w:rFonts w:hint="eastAsia"/>
          <w:color w:val="auto"/>
          <w:highlight w:val="none"/>
          <w:shd w:val="clear" w:fill="FFFFFF"/>
          <w:lang w:eastAsia="zh-CN"/>
        </w:rPr>
        <w:t>不可避让</w:t>
      </w:r>
      <w:r>
        <w:rPr>
          <w:rFonts w:hint="eastAsia"/>
          <w:color w:val="auto"/>
          <w:highlight w:val="none"/>
          <w:lang w:eastAsia="zh-CN"/>
        </w:rPr>
        <w:t>论证意见”办理，与生态保护红线有关管理要求不冲突。项目</w:t>
      </w:r>
      <w:r>
        <w:rPr>
          <w:rFonts w:hint="eastAsia"/>
          <w:color w:val="auto"/>
          <w:highlight w:val="none"/>
          <w:vertAlign w:val="baseline"/>
          <w:lang w:val="en-US" w:eastAsia="zh-CN"/>
        </w:rPr>
        <w:t>与生态保护红线有关管理要求的符合性详见表1.9.2-2。</w:t>
      </w:r>
    </w:p>
    <w:p>
      <w:pPr>
        <w:spacing w:line="480" w:lineRule="atLeast"/>
        <w:ind w:firstLine="522" w:firstLineChars="0"/>
        <w:rPr>
          <w:rFonts w:hint="eastAsia" w:eastAsia="宋体"/>
          <w:b/>
          <w:bCs/>
          <w:color w:val="auto"/>
          <w:highlight w:val="none"/>
          <w:lang w:eastAsia="zh-CN"/>
        </w:rPr>
      </w:pPr>
      <w:r>
        <w:rPr>
          <w:rFonts w:hint="eastAsia"/>
          <w:b/>
          <w:bCs/>
          <w:color w:val="auto"/>
          <w:highlight w:val="none"/>
          <w:lang w:eastAsia="zh-CN"/>
        </w:rPr>
        <w:t>（</w:t>
      </w:r>
      <w:r>
        <w:rPr>
          <w:rFonts w:hint="eastAsia"/>
          <w:b/>
          <w:bCs/>
          <w:color w:val="auto"/>
          <w:highlight w:val="none"/>
          <w:lang w:val="en-US" w:eastAsia="zh-CN"/>
        </w:rPr>
        <w:t>3</w:t>
      </w:r>
      <w:r>
        <w:rPr>
          <w:rFonts w:hint="eastAsia"/>
          <w:b/>
          <w:bCs/>
          <w:color w:val="auto"/>
          <w:highlight w:val="none"/>
          <w:lang w:eastAsia="zh-CN"/>
        </w:rPr>
        <w:t>）与国家湿地公园有关管理要求的符合性分析</w:t>
      </w:r>
    </w:p>
    <w:p>
      <w:pPr>
        <w:ind w:left="0" w:leftChars="0" w:firstLine="520" w:firstLineChars="200"/>
        <w:jc w:val="both"/>
        <w:rPr>
          <w:rFonts w:hint="eastAsia"/>
          <w:color w:val="auto"/>
          <w:highlight w:val="none"/>
          <w:vertAlign w:val="baseline"/>
          <w:lang w:val="en-US" w:eastAsia="zh-CN"/>
        </w:rPr>
      </w:pPr>
      <w:r>
        <w:rPr>
          <w:rFonts w:hint="eastAsia"/>
          <w:color w:val="auto"/>
          <w:highlight w:val="none"/>
          <w:vertAlign w:val="baseline"/>
          <w:lang w:val="en-US" w:eastAsia="zh-CN"/>
        </w:rPr>
        <w:t>本项目涉及湿地公园保护保育区及恢复重建区，占用总面积约7.4678hm</w:t>
      </w:r>
      <w:r>
        <w:rPr>
          <w:rFonts w:hint="eastAsia"/>
          <w:color w:val="auto"/>
          <w:highlight w:val="none"/>
          <w:vertAlign w:val="superscript"/>
          <w:lang w:val="en-US" w:eastAsia="zh-CN"/>
        </w:rPr>
        <w:t>2</w:t>
      </w:r>
      <w:r>
        <w:rPr>
          <w:rFonts w:hint="eastAsia"/>
          <w:color w:val="auto"/>
          <w:highlight w:val="none"/>
          <w:vertAlign w:val="baseline"/>
          <w:lang w:val="en-US" w:eastAsia="zh-CN"/>
        </w:rPr>
        <w:t>，其中保护保育区占用4.9715hm</w:t>
      </w:r>
      <w:r>
        <w:rPr>
          <w:rFonts w:hint="eastAsia"/>
          <w:color w:val="auto"/>
          <w:highlight w:val="none"/>
          <w:vertAlign w:val="superscript"/>
          <w:lang w:val="en-US" w:eastAsia="zh-CN"/>
        </w:rPr>
        <w:t>2</w:t>
      </w:r>
      <w:r>
        <w:rPr>
          <w:rFonts w:hint="eastAsia"/>
          <w:color w:val="auto"/>
          <w:highlight w:val="none"/>
          <w:vertAlign w:val="baseline"/>
          <w:lang w:val="en-US" w:eastAsia="zh-CN"/>
        </w:rPr>
        <w:t>，恢复重建区占用2.4963hm</w:t>
      </w:r>
      <w:r>
        <w:rPr>
          <w:rFonts w:hint="eastAsia"/>
          <w:color w:val="auto"/>
          <w:highlight w:val="none"/>
          <w:vertAlign w:val="superscript"/>
          <w:lang w:val="en-US" w:eastAsia="zh-CN"/>
        </w:rPr>
        <w:t>2</w:t>
      </w:r>
      <w:r>
        <w:rPr>
          <w:rFonts w:hint="eastAsia"/>
          <w:color w:val="auto"/>
          <w:highlight w:val="none"/>
          <w:vertAlign w:val="baseline"/>
          <w:lang w:val="en-US" w:eastAsia="zh-CN"/>
        </w:rPr>
        <w:t>。由于项目属于渭沱枢纽现有船闸扩能升级改造工程，项目选址、选线因水域分布具有唯一性，无法避让重庆合川三江国家湿地公园。项目已纳入水运“十四五”</w:t>
      </w:r>
      <w:r>
        <w:rPr>
          <w:rFonts w:hint="eastAsia"/>
          <w:bCs/>
          <w:color w:val="auto"/>
          <w:szCs w:val="26"/>
          <w:highlight w:val="none"/>
          <w:vertAlign w:val="baseline"/>
          <w:lang w:val="en-US" w:eastAsia="zh-CN"/>
        </w:rPr>
        <w:t>发展规划</w:t>
      </w:r>
      <w:r>
        <w:rPr>
          <w:rFonts w:hint="eastAsia"/>
          <w:color w:val="auto"/>
          <w:highlight w:val="none"/>
          <w:vertAlign w:val="baseline"/>
          <w:lang w:val="en-US" w:eastAsia="zh-CN"/>
        </w:rPr>
        <w:t>重点建设项目，不属于不符合管控要求的开发活动项目，目前，项目正在开展对湿地公园生态影响专题评价，在落实专项评价提出的湿地保护与修复方案，以及各项生态环境保护措施，同时依法办理相关手续</w:t>
      </w:r>
      <w:r>
        <w:rPr>
          <w:rFonts w:hint="eastAsia"/>
          <w:color w:val="auto"/>
          <w:highlight w:val="none"/>
          <w:shd w:val="clear" w:fill="FFFFFF"/>
          <w:vertAlign w:val="baseline"/>
          <w:lang w:val="en-US" w:eastAsia="zh-CN"/>
        </w:rPr>
        <w:t>，</w:t>
      </w:r>
      <w:r>
        <w:rPr>
          <w:rFonts w:hint="eastAsia"/>
          <w:color w:val="auto"/>
          <w:highlight w:val="none"/>
          <w:vertAlign w:val="baseline"/>
          <w:lang w:val="en-US" w:eastAsia="zh-CN"/>
        </w:rPr>
        <w:t>征求本级林业主管部门意见后，本项目与湿地公园有关管理要求不冲突，在依法取得相关手续之前，项目不得开工建设。项目与国家湿地公园及湿地有关要求的符合性详见表1.9.2-3。</w:t>
      </w:r>
    </w:p>
    <w:p>
      <w:pPr>
        <w:spacing w:line="480" w:lineRule="atLeast"/>
        <w:ind w:firstLine="522" w:firstLineChars="0"/>
        <w:rPr>
          <w:b/>
          <w:bCs/>
          <w:color w:val="auto"/>
          <w:highlight w:val="none"/>
        </w:rPr>
      </w:pPr>
      <w:r>
        <w:rPr>
          <w:rFonts w:hint="eastAsia"/>
          <w:b/>
          <w:bCs/>
          <w:color w:val="auto"/>
          <w:highlight w:val="none"/>
        </w:rPr>
        <w:t>（</w:t>
      </w:r>
      <w:r>
        <w:rPr>
          <w:rFonts w:hint="eastAsia"/>
          <w:b/>
          <w:bCs/>
          <w:color w:val="auto"/>
          <w:highlight w:val="none"/>
          <w:lang w:val="en-US" w:eastAsia="zh-CN"/>
        </w:rPr>
        <w:t>4</w:t>
      </w:r>
      <w:r>
        <w:rPr>
          <w:rFonts w:hint="eastAsia"/>
          <w:b/>
          <w:bCs/>
          <w:color w:val="auto"/>
          <w:highlight w:val="none"/>
        </w:rPr>
        <w:t>）与永久基本农田、临时占地相关政策的符合性分析</w:t>
      </w:r>
    </w:p>
    <w:p>
      <w:pPr>
        <w:snapToGrid w:val="0"/>
        <w:spacing w:line="460" w:lineRule="exact"/>
        <w:ind w:firstLine="520"/>
        <w:rPr>
          <w:bCs/>
          <w:color w:val="auto"/>
          <w:szCs w:val="26"/>
          <w:highlight w:val="none"/>
        </w:rPr>
      </w:pPr>
      <w:r>
        <w:rPr>
          <w:bCs/>
          <w:color w:val="auto"/>
          <w:szCs w:val="26"/>
          <w:highlight w:val="none"/>
        </w:rPr>
        <w:t>项目</w:t>
      </w:r>
      <w:r>
        <w:rPr>
          <w:rFonts w:hint="eastAsia"/>
          <w:bCs/>
          <w:color w:val="auto"/>
          <w:szCs w:val="26"/>
          <w:highlight w:val="none"/>
          <w:lang w:eastAsia="zh-CN"/>
        </w:rPr>
        <w:t>用地红线</w:t>
      </w:r>
      <w:r>
        <w:rPr>
          <w:rFonts w:hint="eastAsia"/>
          <w:bCs/>
          <w:color w:val="auto"/>
          <w:szCs w:val="26"/>
          <w:highlight w:val="none"/>
        </w:rPr>
        <w:t>占用部分耕地及永久基本农田，</w:t>
      </w:r>
      <w:r>
        <w:rPr>
          <w:rFonts w:hint="eastAsia"/>
          <w:bCs/>
          <w:color w:val="auto"/>
          <w:szCs w:val="26"/>
          <w:highlight w:val="none"/>
          <w:lang w:eastAsia="zh-CN"/>
        </w:rPr>
        <w:t>其中耕地</w:t>
      </w:r>
      <w:r>
        <w:rPr>
          <w:rFonts w:hint="eastAsia"/>
          <w:bCs/>
          <w:color w:val="auto"/>
          <w:szCs w:val="26"/>
          <w:highlight w:val="none"/>
          <w:lang w:val="en-US" w:eastAsia="zh-CN"/>
        </w:rPr>
        <w:t>11.54hm</w:t>
      </w:r>
      <w:r>
        <w:rPr>
          <w:rFonts w:hint="eastAsia"/>
          <w:bCs/>
          <w:color w:val="auto"/>
          <w:szCs w:val="26"/>
          <w:highlight w:val="none"/>
          <w:vertAlign w:val="superscript"/>
          <w:lang w:val="en-US" w:eastAsia="zh-CN"/>
        </w:rPr>
        <w:t>2</w:t>
      </w:r>
      <w:r>
        <w:rPr>
          <w:rFonts w:hint="eastAsia"/>
          <w:bCs/>
          <w:color w:val="auto"/>
          <w:szCs w:val="26"/>
          <w:highlight w:val="none"/>
          <w:vertAlign w:val="baseline"/>
          <w:lang w:val="en-US" w:eastAsia="zh-CN"/>
        </w:rPr>
        <w:t>，永久基本农田7.87</w:t>
      </w:r>
      <w:r>
        <w:rPr>
          <w:rFonts w:hint="eastAsia"/>
          <w:bCs/>
          <w:color w:val="auto"/>
          <w:szCs w:val="26"/>
          <w:highlight w:val="none"/>
          <w:lang w:val="en-US" w:eastAsia="zh-CN"/>
        </w:rPr>
        <w:t>hm</w:t>
      </w:r>
      <w:r>
        <w:rPr>
          <w:rFonts w:hint="eastAsia"/>
          <w:bCs/>
          <w:color w:val="auto"/>
          <w:szCs w:val="26"/>
          <w:highlight w:val="none"/>
          <w:vertAlign w:val="superscript"/>
          <w:lang w:val="en-US" w:eastAsia="zh-CN"/>
        </w:rPr>
        <w:t>2</w:t>
      </w:r>
      <w:r>
        <w:rPr>
          <w:rFonts w:hint="eastAsia"/>
          <w:bCs/>
          <w:color w:val="auto"/>
          <w:szCs w:val="26"/>
          <w:highlight w:val="none"/>
          <w:vertAlign w:val="baseline"/>
          <w:lang w:val="en-US" w:eastAsia="zh-CN"/>
        </w:rPr>
        <w:t>，项目已纳入《全国港口与航道布局规划》《水运“十四五”发展规划》，用地符合规定要求，项目于2024年取得自然资源部用地预审意见，初设阶段由于项目平面布置调整等因素，导致用地面积较预审阶段增加，后续建设单位应按照《自然资源部关于进一步改进优化能源、交通、水利等重大建设项目用地组卷报批工作的通知》（自然资发〔2024〕36号）等有关要求申报农用地转用和土地征收，同时</w:t>
      </w:r>
      <w:r>
        <w:rPr>
          <w:rFonts w:hint="eastAsia"/>
          <w:bCs/>
          <w:color w:val="auto"/>
          <w:szCs w:val="26"/>
          <w:highlight w:val="none"/>
        </w:rPr>
        <w:t>在严格落实永久基本农田</w:t>
      </w:r>
      <w:r>
        <w:rPr>
          <w:rFonts w:hint="eastAsia"/>
          <w:bCs/>
          <w:color w:val="auto"/>
          <w:szCs w:val="26"/>
          <w:highlight w:val="none"/>
          <w:lang w:eastAsia="zh-CN"/>
        </w:rPr>
        <w:t>、临时用地等</w:t>
      </w:r>
      <w:r>
        <w:rPr>
          <w:rFonts w:hint="eastAsia"/>
          <w:bCs/>
          <w:color w:val="auto"/>
          <w:szCs w:val="26"/>
          <w:highlight w:val="none"/>
        </w:rPr>
        <w:t>有关审批手续及保护措施后，</w:t>
      </w:r>
      <w:r>
        <w:rPr>
          <w:bCs/>
          <w:color w:val="auto"/>
          <w:szCs w:val="26"/>
          <w:highlight w:val="none"/>
        </w:rPr>
        <w:t>符合</w:t>
      </w:r>
      <w:r>
        <w:rPr>
          <w:rFonts w:hint="eastAsia" w:eastAsiaTheme="minorEastAsia"/>
          <w:bCs/>
          <w:color w:val="auto"/>
          <w:kern w:val="2"/>
          <w:highlight w:val="none"/>
          <w:lang w:eastAsia="zh-CN"/>
        </w:rPr>
        <w:t>《基本农田保护条例</w:t>
      </w:r>
      <w:r>
        <w:rPr>
          <w:rFonts w:hint="eastAsia" w:eastAsiaTheme="minorEastAsia"/>
          <w:bCs/>
          <w:color w:val="auto"/>
          <w:kern w:val="2"/>
          <w:highlight w:val="none"/>
          <w:shd w:val="clear" w:fill="FFFFFF"/>
          <w:lang w:eastAsia="zh-CN"/>
        </w:rPr>
        <w:t>》《</w:t>
      </w:r>
      <w:r>
        <w:rPr>
          <w:rFonts w:hint="eastAsia" w:eastAsiaTheme="minorEastAsia"/>
          <w:bCs/>
          <w:color w:val="auto"/>
          <w:kern w:val="2"/>
          <w:highlight w:val="none"/>
          <w:lang w:eastAsia="zh-CN"/>
        </w:rPr>
        <w:t>永久基本农田保护红线管理办法》等有关</w:t>
      </w:r>
      <w:r>
        <w:rPr>
          <w:bCs/>
          <w:color w:val="auto"/>
          <w:szCs w:val="26"/>
          <w:highlight w:val="none"/>
        </w:rPr>
        <w:t>文件中相关要求。</w:t>
      </w:r>
    </w:p>
    <w:p>
      <w:pPr>
        <w:snapToGrid w:val="0"/>
        <w:spacing w:line="460" w:lineRule="exact"/>
        <w:ind w:firstLine="520"/>
        <w:rPr>
          <w:bCs/>
          <w:color w:val="auto"/>
          <w:szCs w:val="26"/>
          <w:highlight w:val="none"/>
        </w:rPr>
      </w:pPr>
      <w:r>
        <w:rPr>
          <w:rFonts w:hint="eastAsia"/>
          <w:bCs/>
          <w:color w:val="auto"/>
          <w:szCs w:val="26"/>
          <w:highlight w:val="none"/>
        </w:rPr>
        <w:t>项目</w:t>
      </w:r>
      <w:r>
        <w:rPr>
          <w:bCs/>
          <w:color w:val="auto"/>
          <w:szCs w:val="26"/>
          <w:highlight w:val="none"/>
        </w:rPr>
        <w:t>与</w:t>
      </w:r>
      <w:r>
        <w:rPr>
          <w:rFonts w:hint="eastAsia"/>
          <w:bCs/>
          <w:color w:val="auto"/>
          <w:szCs w:val="26"/>
          <w:highlight w:val="none"/>
        </w:rPr>
        <w:t>永久</w:t>
      </w:r>
      <w:r>
        <w:rPr>
          <w:bCs/>
          <w:color w:val="auto"/>
          <w:szCs w:val="26"/>
          <w:highlight w:val="none"/>
        </w:rPr>
        <w:t>基本农田</w:t>
      </w:r>
      <w:r>
        <w:rPr>
          <w:rFonts w:hint="eastAsia"/>
          <w:bCs/>
          <w:color w:val="auto"/>
          <w:szCs w:val="26"/>
          <w:highlight w:val="none"/>
        </w:rPr>
        <w:t>、临时占地</w:t>
      </w:r>
      <w:r>
        <w:rPr>
          <w:bCs/>
          <w:color w:val="auto"/>
          <w:szCs w:val="26"/>
          <w:highlight w:val="none"/>
        </w:rPr>
        <w:t>相关政策符合性分析</w:t>
      </w:r>
      <w:r>
        <w:rPr>
          <w:rFonts w:hint="eastAsia"/>
          <w:bCs/>
          <w:color w:val="auto"/>
          <w:szCs w:val="26"/>
          <w:highlight w:val="none"/>
          <w:lang w:eastAsia="zh-CN"/>
        </w:rPr>
        <w:t>详见表</w:t>
      </w:r>
      <w:r>
        <w:rPr>
          <w:rFonts w:hint="eastAsia"/>
          <w:bCs/>
          <w:color w:val="auto"/>
          <w:szCs w:val="26"/>
          <w:highlight w:val="none"/>
          <w:lang w:val="en-US" w:eastAsia="zh-CN"/>
        </w:rPr>
        <w:t>1.9.2-4。</w:t>
      </w:r>
    </w:p>
    <w:p>
      <w:pPr>
        <w:spacing w:line="480" w:lineRule="atLeast"/>
        <w:ind w:firstLine="522" w:firstLineChars="0"/>
        <w:rPr>
          <w:rFonts w:hint="eastAsia"/>
          <w:b/>
          <w:bCs/>
          <w:color w:val="auto"/>
          <w:highlight w:val="none"/>
        </w:rPr>
      </w:pPr>
      <w:r>
        <w:rPr>
          <w:rFonts w:hint="eastAsia"/>
          <w:b/>
          <w:bCs/>
          <w:color w:val="auto"/>
          <w:highlight w:val="none"/>
        </w:rPr>
        <w:t>（</w:t>
      </w:r>
      <w:r>
        <w:rPr>
          <w:rFonts w:hint="eastAsia"/>
          <w:b/>
          <w:bCs/>
          <w:color w:val="auto"/>
          <w:highlight w:val="none"/>
          <w:lang w:val="en-US" w:eastAsia="zh-CN"/>
        </w:rPr>
        <w:t>5</w:t>
      </w:r>
      <w:r>
        <w:rPr>
          <w:rFonts w:hint="eastAsia"/>
          <w:b/>
          <w:bCs/>
          <w:color w:val="auto"/>
          <w:highlight w:val="none"/>
        </w:rPr>
        <w:t>）与天然林相关政策</w:t>
      </w:r>
      <w:r>
        <w:rPr>
          <w:rFonts w:hint="eastAsia"/>
          <w:b/>
          <w:bCs/>
          <w:color w:val="auto"/>
          <w:highlight w:val="none"/>
          <w:lang w:eastAsia="zh-CN"/>
        </w:rPr>
        <w:t>的</w:t>
      </w:r>
      <w:r>
        <w:rPr>
          <w:rFonts w:hint="eastAsia"/>
          <w:b/>
          <w:bCs/>
          <w:color w:val="auto"/>
          <w:highlight w:val="none"/>
        </w:rPr>
        <w:t>符合性分析</w:t>
      </w:r>
    </w:p>
    <w:p>
      <w:pPr>
        <w:pStyle w:val="36"/>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rPr>
        <w:t>根据与合川区天然林及公益林分布情况叠图对比分析，项目占用天然林面积约2.42hm</w:t>
      </w:r>
      <w:r>
        <w:rPr>
          <w:rFonts w:hint="default" w:ascii="Times New Roman" w:hAnsi="Times New Roman" w:cs="Times New Roman"/>
          <w:color w:val="auto"/>
          <w:sz w:val="26"/>
          <w:szCs w:val="26"/>
          <w:highlight w:val="none"/>
          <w:vertAlign w:val="superscript"/>
        </w:rPr>
        <w:t>2</w:t>
      </w:r>
      <w:r>
        <w:rPr>
          <w:rFonts w:hint="default" w:ascii="Times New Roman" w:hAnsi="Times New Roman" w:cs="Times New Roman"/>
          <w:color w:val="auto"/>
          <w:sz w:val="26"/>
          <w:szCs w:val="26"/>
          <w:highlight w:val="none"/>
        </w:rPr>
        <w:t>，主要为锚地、岸边清礁区及1#弃渣场占用，植被类型为青冈林、慈竹林和灌木林地</w:t>
      </w:r>
      <w:r>
        <w:rPr>
          <w:rFonts w:hint="eastAsia" w:ascii="Times New Roman" w:hAnsi="Times New Roman" w:cs="Times New Roman"/>
          <w:color w:val="auto"/>
          <w:sz w:val="26"/>
          <w:szCs w:val="26"/>
          <w:highlight w:val="none"/>
          <w:lang w:eastAsia="zh-CN"/>
        </w:rPr>
        <w:t>，无重点保护野生植物、古树名木等。</w:t>
      </w:r>
      <w:r>
        <w:rPr>
          <w:rFonts w:hint="eastAsia"/>
          <w:bCs/>
          <w:color w:val="auto"/>
          <w:szCs w:val="26"/>
          <w:highlight w:val="none"/>
          <w:vertAlign w:val="baseline"/>
          <w:lang w:val="en-US" w:eastAsia="zh-CN"/>
        </w:rPr>
        <w:t>项目已纳入《全国港口与航道布局规划》《水运“十四五”发展规划》，属于国家重点项目，后续</w:t>
      </w:r>
      <w:r>
        <w:rPr>
          <w:rFonts w:hint="eastAsia" w:eastAsiaTheme="minorEastAsia"/>
          <w:color w:val="auto"/>
          <w:kern w:val="2"/>
          <w:highlight w:val="none"/>
          <w:lang w:eastAsia="zh-CN"/>
        </w:rPr>
        <w:t>将在施工前取得林业部门合法手续，</w:t>
      </w:r>
      <w:r>
        <w:rPr>
          <w:rFonts w:hint="eastAsia"/>
          <w:bCs/>
          <w:color w:val="auto"/>
          <w:szCs w:val="26"/>
          <w:highlight w:val="none"/>
          <w:vertAlign w:val="baseline"/>
          <w:lang w:val="en-US" w:eastAsia="zh-CN"/>
        </w:rPr>
        <w:t>与天然林相关管理要求不冲突</w:t>
      </w:r>
      <w:r>
        <w:rPr>
          <w:rFonts w:hint="default" w:ascii="Times New Roman" w:hAnsi="Times New Roman" w:cs="Times New Roman"/>
          <w:color w:val="auto"/>
          <w:sz w:val="26"/>
          <w:szCs w:val="26"/>
          <w:highlight w:val="none"/>
        </w:rPr>
        <w:t>。</w:t>
      </w:r>
    </w:p>
    <w:p>
      <w:pPr>
        <w:snapToGrid w:val="0"/>
        <w:spacing w:line="460" w:lineRule="exact"/>
        <w:ind w:firstLine="520"/>
        <w:rPr>
          <w:bCs/>
          <w:color w:val="auto"/>
          <w:szCs w:val="26"/>
          <w:highlight w:val="none"/>
        </w:rPr>
      </w:pPr>
      <w:r>
        <w:rPr>
          <w:rFonts w:hint="eastAsia"/>
          <w:bCs/>
          <w:color w:val="auto"/>
          <w:szCs w:val="26"/>
          <w:highlight w:val="none"/>
        </w:rPr>
        <w:t>项目</w:t>
      </w:r>
      <w:r>
        <w:rPr>
          <w:bCs/>
          <w:color w:val="auto"/>
          <w:szCs w:val="26"/>
          <w:highlight w:val="none"/>
        </w:rPr>
        <w:t>与</w:t>
      </w:r>
      <w:r>
        <w:rPr>
          <w:rFonts w:hint="eastAsia"/>
          <w:bCs/>
          <w:color w:val="auto"/>
          <w:szCs w:val="26"/>
          <w:highlight w:val="none"/>
          <w:lang w:eastAsia="zh-CN"/>
        </w:rPr>
        <w:t>天然林</w:t>
      </w:r>
      <w:r>
        <w:rPr>
          <w:bCs/>
          <w:color w:val="auto"/>
          <w:szCs w:val="26"/>
          <w:highlight w:val="none"/>
        </w:rPr>
        <w:t>相关政策符合性分析</w:t>
      </w:r>
      <w:r>
        <w:rPr>
          <w:rFonts w:hint="eastAsia"/>
          <w:bCs/>
          <w:color w:val="auto"/>
          <w:szCs w:val="26"/>
          <w:highlight w:val="none"/>
          <w:lang w:eastAsia="zh-CN"/>
        </w:rPr>
        <w:t>详见表</w:t>
      </w:r>
      <w:r>
        <w:rPr>
          <w:rFonts w:hint="eastAsia"/>
          <w:bCs/>
          <w:color w:val="auto"/>
          <w:szCs w:val="26"/>
          <w:highlight w:val="none"/>
          <w:lang w:val="en-US" w:eastAsia="zh-CN"/>
        </w:rPr>
        <w:t>1.9.2-5。</w:t>
      </w:r>
    </w:p>
    <w:p>
      <w:pPr>
        <w:pStyle w:val="2"/>
        <w:rPr>
          <w:rFonts w:hint="default"/>
          <w:color w:val="auto"/>
          <w:highlight w:val="none"/>
          <w:lang w:val="en-US" w:eastAsia="zh-CN"/>
        </w:rPr>
        <w:sectPr>
          <w:pgSz w:w="11907" w:h="16840"/>
          <w:pgMar w:top="1701" w:right="1588" w:bottom="1588" w:left="1588" w:header="1304" w:footer="1247" w:gutter="0"/>
          <w:cols w:space="720" w:num="1"/>
          <w:docGrid w:linePitch="354" w:charSpace="0"/>
        </w:sectPr>
      </w:pPr>
    </w:p>
    <w:p>
      <w:pPr>
        <w:pStyle w:val="2"/>
        <w:jc w:val="center"/>
        <w:rPr>
          <w:rFonts w:hint="eastAsia" w:eastAsia="宋体"/>
          <w:color w:val="auto"/>
          <w:highlight w:val="none"/>
          <w:lang w:eastAsia="zh-CN"/>
        </w:rPr>
      </w:pPr>
      <w:r>
        <w:rPr>
          <w:rFonts w:hint="eastAsia"/>
          <w:color w:val="auto"/>
          <w:highlight w:val="none"/>
          <w:lang w:eastAsia="zh-CN"/>
        </w:rPr>
        <w:t>表</w:t>
      </w:r>
      <w:r>
        <w:rPr>
          <w:rFonts w:hint="eastAsia"/>
          <w:color w:val="auto"/>
          <w:highlight w:val="none"/>
          <w:lang w:val="en-US" w:eastAsia="zh-CN"/>
        </w:rPr>
        <w:t xml:space="preserve">1.9.2-2  </w:t>
      </w:r>
      <w:r>
        <w:rPr>
          <w:rFonts w:hint="eastAsia"/>
          <w:color w:val="auto"/>
          <w:highlight w:val="none"/>
          <w:lang w:eastAsia="zh-CN"/>
        </w:rPr>
        <w:t>项目与长江流域有关管理要求的符合性分析</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4"/>
        <w:gridCol w:w="1948"/>
        <w:gridCol w:w="7450"/>
        <w:gridCol w:w="2850"/>
        <w:gridCol w:w="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序号</w:t>
            </w:r>
          </w:p>
        </w:tc>
        <w:tc>
          <w:tcPr>
            <w:tcW w:w="194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政策文件</w:t>
            </w:r>
          </w:p>
        </w:tc>
        <w:tc>
          <w:tcPr>
            <w:tcW w:w="74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有关要求</w:t>
            </w:r>
          </w:p>
        </w:tc>
        <w:tc>
          <w:tcPr>
            <w:tcW w:w="28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项目有关情况</w:t>
            </w:r>
          </w:p>
        </w:tc>
        <w:tc>
          <w:tcPr>
            <w:tcW w:w="9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1</w:t>
            </w:r>
          </w:p>
        </w:tc>
        <w:tc>
          <w:tcPr>
            <w:tcW w:w="1948"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《中华人民共和国长江保护法》</w:t>
            </w:r>
          </w:p>
        </w:tc>
        <w:tc>
          <w:tcPr>
            <w:tcW w:w="74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第二十六条　国家对长江流域河湖岸线实施特殊管制。国家长江流域协调机制统筹协调国务院自然资源、水行政、生态环境、住房和城乡建设、农业农村、交通运输、林业和草原等部门和长江流域省级人民政府划定河湖岸线保护范围，制定河湖岸线保护规划，严格控制岸线开发建设，促进岸线合理高效利用。</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禁止在长江干支流岸线一公里范围内新建、扩建化工园区和化工项目。</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禁止在长江干流岸线三公里范围内和重要支流岸线一公里范围内新建、改建、扩建尾矿库；但是以提升安全、生态环境保护水平为目的的改建除外。</w:t>
            </w:r>
          </w:p>
        </w:tc>
        <w:tc>
          <w:tcPr>
            <w:tcW w:w="28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项目不属于化工项目，项目建设有利于提供涪江流域航运能力，有利于涪江岸线高效利用，不属于违法利用、占用长江流域河湖岸线的项目。</w:t>
            </w:r>
          </w:p>
        </w:tc>
        <w:tc>
          <w:tcPr>
            <w:tcW w:w="9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c>
          <w:tcPr>
            <w:tcW w:w="194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p>
        </w:tc>
        <w:tc>
          <w:tcPr>
            <w:tcW w:w="74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第二十七条　国务院交通运输主管部门会同国务院自然资源、水行政、生态环境、农业农村、林业和草原主管部门在长江流域水生生物重要栖息地科学划定禁止航行区域和限制航行区域。</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禁止船舶在划定的禁止航行区域内航行。因国家发展战略和国计民生需要，在水生生物重要栖息地禁止航行区域内航行的，应当由国务院交通运输主管部门商国务院农业农村主管部门同意，并应当采取必要措施，减少对重要水生生物的干扰。</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严格限制在长江流域生态保护红线、自然保护地、水生生物重要栖息地水域实施航道整治工程；确需整治的，应当经科学论证，并依法办理相关手续。</w:t>
            </w:r>
          </w:p>
        </w:tc>
        <w:tc>
          <w:tcPr>
            <w:tcW w:w="28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项目不占用水生生物重要栖息地，占用部分生态保护红线、重庆合川三江国家湿地公园，</w:t>
            </w:r>
            <w:r>
              <w:rPr>
                <w:rFonts w:hint="eastAsia"/>
                <w:color w:val="auto"/>
                <w:sz w:val="22"/>
                <w:szCs w:val="22"/>
                <w:highlight w:val="none"/>
                <w:shd w:val="clear" w:fill="FFFFFF"/>
                <w:vertAlign w:val="baseline"/>
                <w:lang w:eastAsia="zh-CN"/>
              </w:rPr>
              <w:t>属于</w:t>
            </w:r>
            <w:r>
              <w:rPr>
                <w:rFonts w:hint="eastAsia"/>
                <w:color w:val="auto"/>
                <w:sz w:val="22"/>
                <w:szCs w:val="22"/>
                <w:highlight w:val="none"/>
                <w:vertAlign w:val="baseline"/>
                <w:lang w:eastAsia="zh-CN"/>
              </w:rPr>
              <w:t>确需占用生态保护红线的国家重大项目，目前正在开展专题论证，并依法办理相关手续，符合生态保护红线、国家湿地公园有关管理要求。</w:t>
            </w:r>
          </w:p>
        </w:tc>
        <w:tc>
          <w:tcPr>
            <w:tcW w:w="9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194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p>
        </w:tc>
        <w:tc>
          <w:tcPr>
            <w:tcW w:w="74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第五十五条　国家长江流域协调机制统筹协调国务院自然资源、水行政、生态环境、住房和城乡建设、农业农村、交通运输、林业和草原等部门和长江流域省级人民政府制定长江流域河湖岸线修复规范，确定岸线修复指标。</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长江流域县级以上地方人民政府按照长江流域河湖岸线保护规划、修复规范和指标要求，制定并组织实施河湖岸线修复计划，保障自然岸线比例，恢复河湖岸线生态功能。</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禁止违法利用、占用长江流域河湖岸线。</w:t>
            </w:r>
          </w:p>
        </w:tc>
        <w:tc>
          <w:tcPr>
            <w:tcW w:w="28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eastAsia="宋体"/>
                <w:color w:val="auto"/>
                <w:sz w:val="22"/>
                <w:szCs w:val="22"/>
                <w:highlight w:val="none"/>
                <w:vertAlign w:val="baseline"/>
                <w:lang w:eastAsia="zh-CN"/>
              </w:rPr>
            </w:pPr>
            <w:r>
              <w:rPr>
                <w:rFonts w:hint="eastAsia"/>
                <w:color w:val="auto"/>
                <w:sz w:val="22"/>
                <w:szCs w:val="22"/>
                <w:highlight w:val="none"/>
                <w:vertAlign w:val="baseline"/>
                <w:lang w:eastAsia="zh-CN"/>
              </w:rPr>
              <w:t>项目位于涪江岸线保护区（河咀—三节石）、保留区（三节石—游家院子）</w:t>
            </w:r>
            <w:r>
              <w:rPr>
                <w:rFonts w:hint="eastAsia"/>
                <w:color w:val="auto"/>
                <w:sz w:val="22"/>
                <w:szCs w:val="22"/>
                <w:highlight w:val="none"/>
                <w:lang w:eastAsia="zh-CN"/>
              </w:rPr>
              <w:t>，项目为通航构筑物，不属于岸线保护区、保留区禁止建设的项目。</w:t>
            </w:r>
          </w:p>
        </w:tc>
        <w:tc>
          <w:tcPr>
            <w:tcW w:w="9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194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p>
        </w:tc>
        <w:tc>
          <w:tcPr>
            <w:tcW w:w="74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五十九条　国务院林业和草原、农业农村主管部门应当对长江流域数量急剧下降或者极度濒危的野生动植物和受到严重破坏的栖息地、天然集中分布区、破碎化的典型生态系统制定修复方案和行动计划，修建迁地保护设施，建立野生动植物遗传资源基因库，进行抢救性修复。</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在长江流域水生生物产卵场、索饵场、越冬场和洄游通道等重要栖息地应当实施生态环境修复和其他保护措施。对鱼类等水生生物洄游产生阻隔的涉水工程应当结合实际采取建设过鱼设施、河湖连通、生态调度、灌江纳苗、基因保存、增殖放流、人工繁育等多种措施，充分满足水生生物的生态需求。</w:t>
            </w:r>
          </w:p>
        </w:tc>
        <w:tc>
          <w:tcPr>
            <w:tcW w:w="28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eastAsia="zh-CN"/>
              </w:rPr>
              <w:t>本次为渭沱枢纽船闸扩能升级改造</w:t>
            </w:r>
            <w:r>
              <w:rPr>
                <w:rFonts w:hint="eastAsia"/>
                <w:color w:val="auto"/>
                <w:sz w:val="22"/>
                <w:szCs w:val="22"/>
                <w:highlight w:val="none"/>
                <w:shd w:val="clear" w:fill="FFFFFF"/>
                <w:vertAlign w:val="baseline"/>
                <w:lang w:eastAsia="zh-CN"/>
              </w:rPr>
              <w:t>项目</w:t>
            </w:r>
            <w:r>
              <w:rPr>
                <w:rFonts w:hint="eastAsia"/>
                <w:color w:val="auto"/>
                <w:sz w:val="22"/>
                <w:szCs w:val="22"/>
                <w:highlight w:val="none"/>
                <w:vertAlign w:val="baseline"/>
                <w:lang w:eastAsia="zh-CN"/>
              </w:rPr>
              <w:t>，</w:t>
            </w:r>
            <w:r>
              <w:rPr>
                <w:rFonts w:hint="eastAsia"/>
                <w:color w:val="auto"/>
                <w:sz w:val="22"/>
                <w:szCs w:val="22"/>
                <w:highlight w:val="none"/>
                <w:vertAlign w:val="baseline"/>
                <w:lang w:val="en-US" w:eastAsia="zh-CN"/>
              </w:rPr>
              <w:t>由于渭沱枢纽建设时间较早，未设置过鱼设施，本次工程利用现有船闸进行鱼道建设，有利于减缓渭沱枢纽</w:t>
            </w:r>
            <w:r>
              <w:rPr>
                <w:rFonts w:hint="eastAsia"/>
                <w:color w:val="auto"/>
                <w:sz w:val="22"/>
                <w:szCs w:val="22"/>
                <w:highlight w:val="none"/>
                <w:shd w:val="clear" w:fill="FFFFFF"/>
                <w:vertAlign w:val="baseline"/>
                <w:lang w:val="en-US" w:eastAsia="zh-CN"/>
              </w:rPr>
              <w:t>对</w:t>
            </w:r>
            <w:r>
              <w:rPr>
                <w:rFonts w:hint="eastAsia"/>
                <w:color w:val="auto"/>
                <w:sz w:val="22"/>
                <w:szCs w:val="22"/>
                <w:highlight w:val="none"/>
                <w:vertAlign w:val="baseline"/>
                <w:lang w:val="en-US" w:eastAsia="zh-CN"/>
              </w:rPr>
              <w:t>鱼类等水生生物的阻隔效应。</w:t>
            </w:r>
          </w:p>
        </w:tc>
        <w:tc>
          <w:tcPr>
            <w:tcW w:w="9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2</w:t>
            </w:r>
          </w:p>
        </w:tc>
        <w:tc>
          <w:tcPr>
            <w:tcW w:w="1948"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《深入打好长江保护修复攻坚战行动方案》（环水体〔2022〕55号）</w:t>
            </w:r>
          </w:p>
        </w:tc>
        <w:tc>
          <w:tcPr>
            <w:tcW w:w="74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（十八）扎实推进水生生物多样性恢复。</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实施长江生物多样性保护实施方案（2021—2025年）和中华鲟等珍稀水生生物拯救行动计划，建立健全长江流域水生生物监测体系，开展水生生物完整性指数评价，科学评估长江禁渔和物种保护成效，科学规范开展水生生物增殖放流。发布重要栖息地名录，强化关键栖息地保护与修复。加强涉渔工程水生生物专题影响评价，督促落实生态保护措施，减缓涉渔工程建设对水生生物及其栖息生境影响。推动国家重要江河湖库水生生物洄游通道恢复，增强河流连通性。到2025年年底，长江水生生物资源监测网络体系较为健全，中华鲟、长江鲟和长江江豚等珍稀濒危物种保护项目顺利实施，长江生物完整性持续提升。</w:t>
            </w:r>
          </w:p>
        </w:tc>
        <w:tc>
          <w:tcPr>
            <w:tcW w:w="28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本次为渭沱枢纽船闸扩能升级改造</w:t>
            </w:r>
            <w:r>
              <w:rPr>
                <w:rFonts w:hint="eastAsia"/>
                <w:color w:val="auto"/>
                <w:sz w:val="22"/>
                <w:szCs w:val="22"/>
                <w:highlight w:val="none"/>
                <w:shd w:val="clear" w:fill="FFFFFF"/>
                <w:vertAlign w:val="baseline"/>
                <w:lang w:eastAsia="zh-CN"/>
              </w:rPr>
              <w:t>项目</w:t>
            </w:r>
            <w:r>
              <w:rPr>
                <w:rFonts w:hint="eastAsia"/>
                <w:color w:val="auto"/>
                <w:sz w:val="22"/>
                <w:szCs w:val="22"/>
                <w:highlight w:val="none"/>
                <w:vertAlign w:val="baseline"/>
                <w:lang w:eastAsia="zh-CN"/>
              </w:rPr>
              <w:t>，</w:t>
            </w:r>
            <w:r>
              <w:rPr>
                <w:rFonts w:hint="eastAsia"/>
                <w:color w:val="auto"/>
                <w:sz w:val="22"/>
                <w:szCs w:val="22"/>
                <w:highlight w:val="none"/>
                <w:vertAlign w:val="baseline"/>
                <w:lang w:val="en-US" w:eastAsia="zh-CN"/>
              </w:rPr>
              <w:t>由于渭沱枢纽建设时间较早，未设置过鱼设施，本次工程利用现有船闸进行鱼道建设，有利于减缓渭沱枢纽对水鱼类等水生生物的阻隔效应，有利于水生生物多样性的恢复。</w:t>
            </w:r>
          </w:p>
        </w:tc>
        <w:tc>
          <w:tcPr>
            <w:tcW w:w="9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194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p>
        </w:tc>
        <w:tc>
          <w:tcPr>
            <w:tcW w:w="74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（二十一）深入实施自然岸线生态修复。</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划定河湖管理范围，严格岸线功能分区管控，严格河湖管理范围内建设项目工程建设方案审查制度，严禁非法侵占河湖水域岸线。合理安排沿江工业和港口岸线、过江通道岸线、取排水口岸线，提高岸线利用效率。保护自然岸线，结合河道整治等工程推进实施河湖岸线修复，恢复河湖岸线生态功能，深化美丽岸线建设。深入推进河湖“清四乱”常态化规范化。加强长江中下游崩岸治理。</w:t>
            </w:r>
          </w:p>
        </w:tc>
        <w:tc>
          <w:tcPr>
            <w:tcW w:w="28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项目位于涪江岸线保护区（河咀—三节石）、保留区（三节石—游家院子）</w:t>
            </w:r>
            <w:r>
              <w:rPr>
                <w:rFonts w:hint="eastAsia"/>
                <w:color w:val="auto"/>
                <w:sz w:val="22"/>
                <w:szCs w:val="22"/>
                <w:highlight w:val="none"/>
                <w:lang w:eastAsia="zh-CN"/>
              </w:rPr>
              <w:t>，项目为通航构筑物，不属于岸线保护区、保留区禁止建设的项目。</w:t>
            </w:r>
          </w:p>
        </w:tc>
        <w:tc>
          <w:tcPr>
            <w:tcW w:w="9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bl>
    <w:p>
      <w:pPr>
        <w:pStyle w:val="2"/>
        <w:jc w:val="center"/>
        <w:rPr>
          <w:rFonts w:hint="eastAsia"/>
          <w:color w:val="auto"/>
          <w:highlight w:val="none"/>
          <w:lang w:eastAsia="zh-CN"/>
        </w:rPr>
      </w:pPr>
    </w:p>
    <w:p>
      <w:pPr>
        <w:pStyle w:val="2"/>
        <w:jc w:val="center"/>
        <w:rPr>
          <w:rFonts w:hint="eastAsia"/>
          <w:color w:val="auto"/>
          <w:highlight w:val="none"/>
          <w:lang w:eastAsia="zh-CN"/>
        </w:rPr>
      </w:pPr>
    </w:p>
    <w:p>
      <w:pPr>
        <w:pStyle w:val="2"/>
        <w:jc w:val="center"/>
        <w:rPr>
          <w:rFonts w:hint="eastAsia"/>
          <w:color w:val="auto"/>
          <w:highlight w:val="none"/>
          <w:lang w:eastAsia="zh-CN"/>
        </w:rPr>
        <w:sectPr>
          <w:pgSz w:w="16840" w:h="11907" w:orient="landscape"/>
          <w:pgMar w:top="1701" w:right="1588" w:bottom="1588" w:left="1588" w:header="1304" w:footer="1247" w:gutter="0"/>
          <w:cols w:space="720" w:num="1"/>
          <w:docGrid w:linePitch="354" w:charSpace="0"/>
        </w:sectPr>
      </w:pPr>
    </w:p>
    <w:p>
      <w:pPr>
        <w:pStyle w:val="2"/>
        <w:jc w:val="center"/>
        <w:rPr>
          <w:rFonts w:hint="eastAsia" w:eastAsia="宋体"/>
          <w:color w:val="auto"/>
          <w:highlight w:val="none"/>
          <w:lang w:eastAsia="zh-CN"/>
        </w:rPr>
      </w:pPr>
      <w:r>
        <w:rPr>
          <w:rFonts w:hint="eastAsia"/>
          <w:color w:val="auto"/>
          <w:highlight w:val="none"/>
          <w:lang w:eastAsia="zh-CN"/>
        </w:rPr>
        <w:t>表</w:t>
      </w:r>
      <w:r>
        <w:rPr>
          <w:rFonts w:hint="eastAsia"/>
          <w:color w:val="auto"/>
          <w:highlight w:val="none"/>
          <w:lang w:val="en-US" w:eastAsia="zh-CN"/>
        </w:rPr>
        <w:t xml:space="preserve">1.9.2-2  </w:t>
      </w:r>
      <w:r>
        <w:rPr>
          <w:rFonts w:hint="eastAsia"/>
          <w:color w:val="auto"/>
          <w:highlight w:val="none"/>
          <w:lang w:eastAsia="zh-CN"/>
        </w:rPr>
        <w:t>项目与生态保护红线有关管理要求的符合性分析</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
        <w:gridCol w:w="1952"/>
        <w:gridCol w:w="7382"/>
        <w:gridCol w:w="2850"/>
        <w:gridCol w:w="1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序号</w:t>
            </w:r>
          </w:p>
        </w:tc>
        <w:tc>
          <w:tcPr>
            <w:tcW w:w="195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政策文件</w:t>
            </w:r>
          </w:p>
        </w:tc>
        <w:tc>
          <w:tcPr>
            <w:tcW w:w="738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有关要求</w:t>
            </w:r>
          </w:p>
        </w:tc>
        <w:tc>
          <w:tcPr>
            <w:tcW w:w="28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项目有关情况</w:t>
            </w:r>
          </w:p>
        </w:tc>
        <w:tc>
          <w:tcPr>
            <w:tcW w:w="102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1</w:t>
            </w:r>
          </w:p>
        </w:tc>
        <w:tc>
          <w:tcPr>
            <w:tcW w:w="195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《自然资源部生态环境部国家林业和草原局关于加强生态保护红线管理的通知（试行）》（自然资发〔2022〕142号）</w:t>
            </w:r>
          </w:p>
        </w:tc>
        <w:tc>
          <w:tcPr>
            <w:tcW w:w="738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eastAsia="zh-CN"/>
              </w:rPr>
            </w:pPr>
            <w:r>
              <w:rPr>
                <w:rFonts w:hint="default" w:ascii="Times New Roman" w:hAnsi="Times New Roman" w:eastAsia="宋体" w:cs="Times New Roman"/>
                <w:color w:val="auto"/>
                <w:sz w:val="22"/>
                <w:szCs w:val="22"/>
                <w:highlight w:val="none"/>
                <w:vertAlign w:val="baseline"/>
                <w:lang w:eastAsia="zh-CN"/>
              </w:rPr>
              <w:t xml:space="preserve"> 二、规范占用生态保护红线用地用海用岛审批</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eastAsia="zh-CN"/>
              </w:rPr>
            </w:pPr>
            <w:r>
              <w:rPr>
                <w:rFonts w:hint="default" w:ascii="Times New Roman" w:hAnsi="Times New Roman" w:eastAsia="宋体" w:cs="Times New Roman"/>
                <w:color w:val="auto"/>
                <w:sz w:val="22"/>
                <w:szCs w:val="22"/>
                <w:highlight w:val="none"/>
                <w:vertAlign w:val="baseline"/>
                <w:lang w:eastAsia="zh-CN"/>
              </w:rPr>
              <w:t>上述允许的有限人为活动之外，确需占用生态保护红线的国家重大项目，按照以下规定办理用地用海用岛审批。</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default" w:ascii="Times New Roman" w:hAnsi="Times New Roman" w:eastAsia="宋体" w:cs="Times New Roman"/>
                <w:color w:val="auto"/>
                <w:sz w:val="22"/>
                <w:szCs w:val="22"/>
                <w:highlight w:val="none"/>
                <w:vertAlign w:val="baseline"/>
                <w:lang w:eastAsia="zh-CN"/>
              </w:rPr>
              <w:t>（一）项目范围。党中央、国务院发布文件或批准规划中明确具体名称的项目和国务院批准的项目；中央军委及其有关部门批准的军事国防项目；国家级规划（指国务院及其有关部门正式颁布）明确的交通、水利项目；国家级规划明确的电网项目，国家级规划明确的且符合国家产业政策的能源矿产勘查开采、油气管线、水电、核电项目；为贯彻落实党中央、国务院重大决策部署，</w:t>
            </w:r>
            <w:r>
              <w:rPr>
                <w:rFonts w:hint="default" w:ascii="Times New Roman" w:hAnsi="Times New Roman" w:eastAsia="宋体" w:cs="Times New Roman"/>
                <w:b/>
                <w:bCs/>
                <w:color w:val="auto"/>
                <w:sz w:val="22"/>
                <w:szCs w:val="22"/>
                <w:highlight w:val="none"/>
                <w:vertAlign w:val="baseline"/>
                <w:lang w:eastAsia="zh-CN"/>
              </w:rPr>
              <w:t>国务院投资主管部门或国务院投资主管部门会同有关部门确认的交通、能源、水利等基础设施项目</w:t>
            </w:r>
            <w:r>
              <w:rPr>
                <w:rFonts w:hint="default" w:ascii="Times New Roman" w:hAnsi="Times New Roman" w:eastAsia="宋体" w:cs="Times New Roman"/>
                <w:color w:val="auto"/>
                <w:sz w:val="22"/>
                <w:szCs w:val="22"/>
                <w:highlight w:val="none"/>
                <w:vertAlign w:val="baseline"/>
                <w:lang w:eastAsia="zh-CN"/>
              </w:rPr>
              <w:t>；按照国家重大项目用地保障工作机制要求</w:t>
            </w:r>
            <w:r>
              <w:rPr>
                <w:rFonts w:hint="eastAsia" w:ascii="Times New Roman" w:hAnsi="Times New Roman" w:eastAsia="宋体" w:cs="Times New Roman"/>
                <w:color w:val="auto"/>
                <w:sz w:val="22"/>
                <w:szCs w:val="22"/>
                <w:highlight w:val="none"/>
                <w:vertAlign w:val="baseline"/>
                <w:lang w:eastAsia="zh-CN"/>
              </w:rPr>
              <w:t>，</w:t>
            </w:r>
            <w:r>
              <w:rPr>
                <w:rFonts w:hint="default" w:ascii="Times New Roman" w:hAnsi="Times New Roman" w:eastAsia="宋体" w:cs="Times New Roman"/>
                <w:color w:val="auto"/>
                <w:sz w:val="22"/>
                <w:szCs w:val="22"/>
                <w:highlight w:val="none"/>
                <w:vertAlign w:val="baseline"/>
                <w:lang w:eastAsia="zh-CN"/>
              </w:rPr>
              <w:t>国家发展改革委会同有关部门确认的需中央加大建设用地保障力度，确实难以避让的国家重大项目。</w:t>
            </w:r>
          </w:p>
        </w:tc>
        <w:tc>
          <w:tcPr>
            <w:tcW w:w="2850"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本工程为渭沱枢纽现有船闸扩容升级改造工程，拟建船闸下游区域生态保护红线连续分布，且紧邻现有渭沱枢纽，受船闸建设条件限制，经选址论证，项目用地确实难以完全避让生态保护，项目已明确列入《全国港口与航道布局规划》《水运“十四五”发展规划》《共建长江上游航运中心实施方案》《重庆市综合交通运输“十四五”规划（2021—2025年）》《重庆市航道规划（2035年）》，属于国家级规划明确的交通项目，目前正在开展“不可避让论证意见”办理。</w:t>
            </w:r>
          </w:p>
        </w:tc>
        <w:tc>
          <w:tcPr>
            <w:tcW w:w="102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2</w:t>
            </w:r>
          </w:p>
        </w:tc>
        <w:tc>
          <w:tcPr>
            <w:tcW w:w="195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《关于加强生态保护红线实施管理的通知》（渝规资〔2023〕323号）</w:t>
            </w:r>
          </w:p>
        </w:tc>
        <w:tc>
          <w:tcPr>
            <w:tcW w:w="7382" w:type="dxa"/>
            <w:vAlign w:val="center"/>
          </w:tcPr>
          <w:p>
            <w:pPr>
              <w:keepNext w:val="0"/>
              <w:keepLines w:val="0"/>
              <w:pageBreakBefore w:val="0"/>
              <w:widowControl w:val="0"/>
              <w:numPr>
                <w:ilvl w:val="0"/>
                <w:numId w:val="10"/>
              </w:numPr>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规范占用生态保护红线“不可避让论证意见”办理</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六)明确占用生态保护红线项目类型及审批层级。生态保护红线内允许有限人为活动之外，确需占用生态保护红线的国家重大项目，由自然资源部进行用地预审后，农用地转用和土地征收报国务院批准，具体项目范围如下：</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1.党中央、国务院发布文件或批准规划中明确具体名称的项目和国务院批准的项目。</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2.中央军委及其有关部门批准的军事国防项目。</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
                <w:bCs/>
                <w:color w:val="auto"/>
                <w:sz w:val="22"/>
                <w:szCs w:val="22"/>
                <w:highlight w:val="none"/>
                <w:vertAlign w:val="baseline"/>
                <w:lang w:eastAsia="zh-CN"/>
              </w:rPr>
            </w:pPr>
            <w:r>
              <w:rPr>
                <w:rFonts w:hint="eastAsia" w:ascii="Times New Roman" w:hAnsi="Times New Roman" w:eastAsia="宋体" w:cs="Times New Roman"/>
                <w:b/>
                <w:bCs/>
                <w:color w:val="auto"/>
                <w:sz w:val="22"/>
                <w:szCs w:val="22"/>
                <w:highlight w:val="none"/>
                <w:vertAlign w:val="baseline"/>
                <w:lang w:eastAsia="zh-CN"/>
              </w:rPr>
              <w:t>3.国家级规划(指国务院及其有关部门正式颁布)明确的交通、水利项目。</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4.国家级规划明确的电网项目，国家级规划明确的且符合国家产业政策的能源矿产勘查开采、油气管线、水电、核电项目。5.为贯彻落实党中央、国务院重大决策部署</w:t>
            </w:r>
            <w:r>
              <w:rPr>
                <w:rFonts w:hint="eastAsia" w:ascii="Times New Roman" w:hAnsi="Times New Roman" w:eastAsia="宋体" w:cs="Times New Roman"/>
                <w:color w:val="auto"/>
                <w:sz w:val="22"/>
                <w:szCs w:val="22"/>
                <w:highlight w:val="none"/>
                <w:shd w:val="clear" w:fill="FFFFFF"/>
                <w:vertAlign w:val="baseline"/>
                <w:lang w:eastAsia="zh-CN"/>
              </w:rPr>
              <w:t>，</w:t>
            </w:r>
            <w:r>
              <w:rPr>
                <w:rFonts w:hint="eastAsia" w:ascii="Times New Roman" w:hAnsi="Times New Roman" w:eastAsia="宋体" w:cs="Times New Roman"/>
                <w:color w:val="auto"/>
                <w:sz w:val="22"/>
                <w:szCs w:val="22"/>
                <w:highlight w:val="none"/>
                <w:vertAlign w:val="baseline"/>
                <w:lang w:eastAsia="zh-CN"/>
              </w:rPr>
              <w:t>国务院投资主管部门或国务院投资主管部门会同有关部门确认的交通、能源、水利等基础设施项目。</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6.按照国家重大项目用地保障工作机制要求,国家发展改革委会同有关部门确认的需中央加大建设用地保障力度，确实难以避让的国家重大项目。</w:t>
            </w:r>
          </w:p>
        </w:tc>
        <w:tc>
          <w:tcPr>
            <w:tcW w:w="2850"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102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bl>
    <w:p>
      <w:pPr>
        <w:pStyle w:val="2"/>
        <w:jc w:val="center"/>
        <w:rPr>
          <w:rFonts w:hint="eastAsia"/>
          <w:color w:val="auto"/>
          <w:highlight w:val="none"/>
          <w:lang w:eastAsia="zh-CN"/>
        </w:rPr>
      </w:pPr>
    </w:p>
    <w:p>
      <w:pPr>
        <w:pStyle w:val="2"/>
        <w:jc w:val="center"/>
        <w:rPr>
          <w:rFonts w:hint="eastAsia"/>
          <w:color w:val="auto"/>
          <w:highlight w:val="none"/>
          <w:lang w:eastAsia="zh-CN"/>
        </w:rPr>
        <w:sectPr>
          <w:pgSz w:w="16840" w:h="11907" w:orient="landscape"/>
          <w:pgMar w:top="1701" w:right="1588" w:bottom="1588" w:left="1588" w:header="1304" w:footer="1247" w:gutter="0"/>
          <w:cols w:space="720" w:num="1"/>
          <w:docGrid w:linePitch="354" w:charSpace="0"/>
        </w:sectPr>
      </w:pPr>
    </w:p>
    <w:p>
      <w:pPr>
        <w:pStyle w:val="2"/>
        <w:jc w:val="center"/>
        <w:rPr>
          <w:rFonts w:hint="eastAsia" w:eastAsia="宋体"/>
          <w:color w:val="auto"/>
          <w:highlight w:val="none"/>
          <w:lang w:eastAsia="zh-CN"/>
        </w:rPr>
      </w:pPr>
      <w:r>
        <w:rPr>
          <w:rFonts w:hint="eastAsia"/>
          <w:color w:val="auto"/>
          <w:highlight w:val="none"/>
          <w:lang w:eastAsia="zh-CN"/>
        </w:rPr>
        <w:t>表</w:t>
      </w:r>
      <w:r>
        <w:rPr>
          <w:rFonts w:hint="eastAsia"/>
          <w:color w:val="auto"/>
          <w:highlight w:val="none"/>
          <w:lang w:val="en-US" w:eastAsia="zh-CN"/>
        </w:rPr>
        <w:t xml:space="preserve">1.9.2-3  </w:t>
      </w:r>
      <w:r>
        <w:rPr>
          <w:rFonts w:hint="eastAsia"/>
          <w:color w:val="auto"/>
          <w:highlight w:val="none"/>
          <w:lang w:eastAsia="zh-CN"/>
        </w:rPr>
        <w:t>项目与国家湿地公园及湿地有关管理要求的符合性分析</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
        <w:gridCol w:w="1964"/>
        <w:gridCol w:w="7253"/>
        <w:gridCol w:w="2952"/>
        <w:gridCol w:w="10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序号</w:t>
            </w:r>
          </w:p>
        </w:tc>
        <w:tc>
          <w:tcPr>
            <w:tcW w:w="19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政策文件</w:t>
            </w:r>
          </w:p>
        </w:tc>
        <w:tc>
          <w:tcPr>
            <w:tcW w:w="7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有关要求</w:t>
            </w:r>
          </w:p>
        </w:tc>
        <w:tc>
          <w:tcPr>
            <w:tcW w:w="295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项目有关情况</w:t>
            </w:r>
          </w:p>
        </w:tc>
        <w:tc>
          <w:tcPr>
            <w:tcW w:w="103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1</w:t>
            </w:r>
          </w:p>
        </w:tc>
        <w:tc>
          <w:tcPr>
            <w:tcW w:w="196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《中华人民共和国湿地保护法》</w:t>
            </w:r>
          </w:p>
        </w:tc>
        <w:tc>
          <w:tcPr>
            <w:tcW w:w="7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第十九条  国家严格控制占用湿地。</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禁止占用国家重要湿地，国家重大项目、防灾减灾项目、重要水利及保护设施项目、湿地保护项目等除外。</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建设项目选址、选线应当避让湿地，无法避让的应当尽量减少占用，并采取必要措施减轻对湿地生态功能的不利影响。</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建设项目规划选址、选线审批或者核准时，涉及国家重要湿地的，应当征求国务院林业草原主管部门的意见；涉及省级重要湿地或者一般湿地的，应当按照管理权限，征求县级以上地方人民政府授权的部门的意见。</w:t>
            </w:r>
          </w:p>
        </w:tc>
        <w:tc>
          <w:tcPr>
            <w:tcW w:w="2952"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根据《全国湿地保护规划（2022—2030年）》，重庆合川三江国家湿地公园不属于国家重要湿地；项目选址、选线因水域分布具有唯一性，无法避让湿地；由于项目施工不会出现第二十八条中禁止破坏湿地及其生态功能的行为。目前，项目正在开展对湿地公园生态影响专题评价，专项评价将制定湿地保护与修复方案并在施工、运营期落实其提出的各项生态环境保护措施，同时依法办理相关手续</w:t>
            </w:r>
            <w:r>
              <w:rPr>
                <w:rFonts w:hint="eastAsia"/>
                <w:color w:val="auto"/>
                <w:sz w:val="22"/>
                <w:szCs w:val="22"/>
                <w:highlight w:val="none"/>
                <w:shd w:val="clear" w:fill="FFFFFF"/>
                <w:vertAlign w:val="baseline"/>
                <w:lang w:eastAsia="zh-CN"/>
              </w:rPr>
              <w:t>，在</w:t>
            </w:r>
            <w:r>
              <w:rPr>
                <w:rFonts w:hint="eastAsia"/>
                <w:color w:val="auto"/>
                <w:sz w:val="22"/>
                <w:szCs w:val="22"/>
                <w:highlight w:val="none"/>
                <w:vertAlign w:val="baseline"/>
                <w:lang w:eastAsia="zh-CN"/>
              </w:rPr>
              <w:t>征求本级林业主管部门意见后，本项目与《中华人民共和国湿地保护法》不冲突。</w:t>
            </w:r>
          </w:p>
        </w:tc>
        <w:tc>
          <w:tcPr>
            <w:tcW w:w="103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c>
          <w:tcPr>
            <w:tcW w:w="19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7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第二十条  建设项目确需临时占用湿地的，应当依照《中华人民共和国土地管理法</w:t>
            </w:r>
            <w:r>
              <w:rPr>
                <w:rFonts w:hint="eastAsia"/>
                <w:color w:val="auto"/>
                <w:sz w:val="22"/>
                <w:szCs w:val="22"/>
                <w:highlight w:val="none"/>
                <w:shd w:val="clear" w:fill="FFFFFF"/>
                <w:vertAlign w:val="baseline"/>
                <w:lang w:eastAsia="zh-CN"/>
              </w:rPr>
              <w:t>》、《</w:t>
            </w:r>
            <w:r>
              <w:rPr>
                <w:rFonts w:hint="eastAsia"/>
                <w:color w:val="auto"/>
                <w:sz w:val="22"/>
                <w:szCs w:val="22"/>
                <w:highlight w:val="none"/>
                <w:vertAlign w:val="baseline"/>
                <w:lang w:eastAsia="zh-CN"/>
              </w:rPr>
              <w:t>中华人民共和国水法</w:t>
            </w:r>
            <w:r>
              <w:rPr>
                <w:rFonts w:hint="eastAsia"/>
                <w:color w:val="auto"/>
                <w:sz w:val="22"/>
                <w:szCs w:val="22"/>
                <w:highlight w:val="none"/>
                <w:shd w:val="clear" w:fill="FFFFFF"/>
                <w:vertAlign w:val="baseline"/>
                <w:lang w:eastAsia="zh-CN"/>
              </w:rPr>
              <w:t>》、《</w:t>
            </w:r>
            <w:r>
              <w:rPr>
                <w:rFonts w:hint="eastAsia"/>
                <w:color w:val="auto"/>
                <w:sz w:val="22"/>
                <w:szCs w:val="22"/>
                <w:highlight w:val="none"/>
                <w:vertAlign w:val="baseline"/>
                <w:lang w:eastAsia="zh-CN"/>
              </w:rPr>
              <w:t>中华人民共和国森林法</w:t>
            </w:r>
            <w:r>
              <w:rPr>
                <w:rFonts w:hint="eastAsia"/>
                <w:color w:val="auto"/>
                <w:sz w:val="22"/>
                <w:szCs w:val="22"/>
                <w:highlight w:val="none"/>
                <w:shd w:val="clear" w:fill="FFFFFF"/>
                <w:vertAlign w:val="baseline"/>
                <w:lang w:eastAsia="zh-CN"/>
              </w:rPr>
              <w:t>》、《</w:t>
            </w:r>
            <w:r>
              <w:rPr>
                <w:rFonts w:hint="eastAsia"/>
                <w:color w:val="auto"/>
                <w:sz w:val="22"/>
                <w:szCs w:val="22"/>
                <w:highlight w:val="none"/>
                <w:vertAlign w:val="baseline"/>
                <w:lang w:eastAsia="zh-CN"/>
              </w:rPr>
              <w:t>中华人民共和国草原法</w:t>
            </w:r>
            <w:r>
              <w:rPr>
                <w:rFonts w:hint="eastAsia"/>
                <w:color w:val="auto"/>
                <w:sz w:val="22"/>
                <w:szCs w:val="22"/>
                <w:highlight w:val="none"/>
                <w:shd w:val="clear" w:fill="FFFFFF"/>
                <w:vertAlign w:val="baseline"/>
                <w:lang w:eastAsia="zh-CN"/>
              </w:rPr>
              <w:t>》、《</w:t>
            </w:r>
            <w:r>
              <w:rPr>
                <w:rFonts w:hint="eastAsia"/>
                <w:color w:val="auto"/>
                <w:sz w:val="22"/>
                <w:szCs w:val="22"/>
                <w:highlight w:val="none"/>
                <w:vertAlign w:val="baseline"/>
                <w:lang w:eastAsia="zh-CN"/>
              </w:rPr>
              <w:t>中华人民共和国海域使用管理法》等有关法律法规的规定办理。临时占用湿地的期限一般不得超过二年，并不得在临时占用的湿地上修建永久性建筑物。</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临时占用湿地期满后一年内，用地单位或者个人应当恢复湿地面积和生态条件。</w:t>
            </w:r>
          </w:p>
        </w:tc>
        <w:tc>
          <w:tcPr>
            <w:tcW w:w="2952"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p>
        </w:tc>
        <w:tc>
          <w:tcPr>
            <w:tcW w:w="103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c>
          <w:tcPr>
            <w:tcW w:w="19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7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第二十八条  禁止下列破坏湿地及其生态功能的行为：</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（一）开（围）垦、排干自然湿地，永久性截断自然湿地水源；</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（二）擅自填埋自然湿地，擅自采砂、采矿、取土；</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（三）排放不符合水污染物排放标准的工业废水、生活污水及其他污染湿地的废水、污水，倾倒、堆放、丢弃、遗撒固体废物；</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（四）过度放牧或者滥采野生植物，过度捕捞或者灭绝式捕捞，过度施肥、投药、投放饵料等污染湿地的种植养殖行为；</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（五）其他破坏湿地及其生态功能的行为。</w:t>
            </w:r>
          </w:p>
        </w:tc>
        <w:tc>
          <w:tcPr>
            <w:tcW w:w="2952"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p>
        </w:tc>
        <w:tc>
          <w:tcPr>
            <w:tcW w:w="103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2</w:t>
            </w:r>
          </w:p>
        </w:tc>
        <w:tc>
          <w:tcPr>
            <w:tcW w:w="19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《湿地保护管理规定》（</w:t>
            </w:r>
            <w:r>
              <w:rPr>
                <w:rFonts w:hint="eastAsia"/>
                <w:color w:val="auto"/>
                <w:sz w:val="22"/>
                <w:szCs w:val="22"/>
                <w:highlight w:val="none"/>
                <w:shd w:val="clear" w:fill="FFFFFF"/>
                <w:vertAlign w:val="baseline"/>
                <w:lang w:eastAsia="zh-CN"/>
              </w:rPr>
              <w:t>国家林业局</w:t>
            </w:r>
            <w:r>
              <w:rPr>
                <w:rFonts w:hint="eastAsia"/>
                <w:color w:val="auto"/>
                <w:sz w:val="22"/>
                <w:szCs w:val="22"/>
                <w:highlight w:val="none"/>
                <w:vertAlign w:val="baseline"/>
                <w:lang w:eastAsia="zh-CN"/>
              </w:rPr>
              <w:t>令第48号）</w:t>
            </w:r>
          </w:p>
        </w:tc>
        <w:tc>
          <w:tcPr>
            <w:tcW w:w="7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第二十九条，除法律法规有特别规定的以外，在湿地内禁止从事下列活动：</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（一）开（围）垦、填埋或者排干湿地；</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（二）永久性截断湿地水源；</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（三）挖沙、采矿；</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（四）倾倒有毒有害物质、废弃物、垃圾；</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（五）破坏野生动物栖息地和迁徙通道、鱼类洄游通道，滥采滥捕野生动植物；</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（六）引进外来物种；</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（七）擅自放牧、捕捞、取土、取水、排污、放生；</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（八）其他破坏湿地及其生态功能的活动。</w:t>
            </w:r>
          </w:p>
        </w:tc>
        <w:tc>
          <w:tcPr>
            <w:tcW w:w="295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项目施工及运营过程中利用渭沱枢纽下泄流量，不会永久性截断湿地水源，不会从事上述禁止活动。</w:t>
            </w:r>
          </w:p>
        </w:tc>
        <w:tc>
          <w:tcPr>
            <w:tcW w:w="103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3</w:t>
            </w:r>
          </w:p>
        </w:tc>
        <w:tc>
          <w:tcPr>
            <w:tcW w:w="196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《国家级自然公园管理办法（试行）》（林保规〔2023〕4号）</w:t>
            </w:r>
          </w:p>
        </w:tc>
        <w:tc>
          <w:tcPr>
            <w:tcW w:w="7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第十八条　严格保护国家级自然公园内的森林、草原、湿地、荒漠、海洋、水域、生物等珍贵自然资源，以及自然遗迹、自然景观和文物古迹等人文景观。在国家级自然公园内开展相关活动和设施建设，不得擅自改变其自然状态和历史风貌。</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禁止擅自在国家级自然公园内从事采矿、房地产、开发区、高尔夫球场、风力光伏电场等不符合管控要求的开发活动。禁止违规侵占国家级自然公园，排放不符合水污染物排放标准的工业废水、生活污水及其</w:t>
            </w:r>
            <w:r>
              <w:rPr>
                <w:rFonts w:hint="eastAsia"/>
                <w:color w:val="auto"/>
                <w:sz w:val="22"/>
                <w:szCs w:val="22"/>
                <w:highlight w:val="none"/>
                <w:shd w:val="clear" w:fill="FFFFFF"/>
                <w:vertAlign w:val="baseline"/>
                <w:lang w:eastAsia="zh-CN"/>
              </w:rPr>
              <w:t>他的</w:t>
            </w:r>
            <w:r>
              <w:rPr>
                <w:rFonts w:hint="eastAsia"/>
                <w:color w:val="auto"/>
                <w:sz w:val="22"/>
                <w:szCs w:val="22"/>
                <w:highlight w:val="none"/>
                <w:vertAlign w:val="baseline"/>
                <w:lang w:eastAsia="zh-CN"/>
              </w:rPr>
              <w:t>废水、污水，倾倒、堆放、丢弃、遗撒固体废物等污染生态环境的行为。</w:t>
            </w:r>
          </w:p>
        </w:tc>
        <w:tc>
          <w:tcPr>
            <w:tcW w:w="2952"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本项目为船闸扩能升级改造工程，占用湿地公园面积较小，不会改变湿地公园内的自然状态和历史风貌，不属于禁止建设的开发活动，施工期及运营期将采取严格的环保措施，保护湿地公园的生态环境。项目属于确需占用生态保护红线的国家重大项目，符合生态保护红线管控要求。</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本项目</w:t>
            </w:r>
            <w:r>
              <w:rPr>
                <w:rFonts w:hint="eastAsia"/>
                <w:color w:val="auto"/>
                <w:sz w:val="22"/>
                <w:szCs w:val="22"/>
                <w:highlight w:val="none"/>
                <w:shd w:val="clear" w:fill="FFFFFF"/>
                <w:vertAlign w:val="baseline"/>
                <w:lang w:eastAsia="zh-CN"/>
              </w:rPr>
              <w:t>属于</w:t>
            </w:r>
            <w:r>
              <w:rPr>
                <w:rFonts w:hint="eastAsia"/>
                <w:color w:val="auto"/>
                <w:sz w:val="22"/>
                <w:szCs w:val="22"/>
                <w:highlight w:val="none"/>
                <w:vertAlign w:val="baseline"/>
                <w:lang w:eastAsia="zh-CN"/>
              </w:rPr>
              <w:t>内河水运“十四五”重点建设项目，涉及国家湿地公园，不属于湿地公园内禁止建设项目，在完成项目对国家湿地公园生态影响专题报告后征求省级林业主管部门的意见，再依法办理相关手续。</w:t>
            </w:r>
          </w:p>
        </w:tc>
        <w:tc>
          <w:tcPr>
            <w:tcW w:w="103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c>
          <w:tcPr>
            <w:tcW w:w="19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7253" w:type="dxa"/>
            <w:vAlign w:val="center"/>
          </w:tcPr>
          <w:p>
            <w:pPr>
              <w:keepNext w:val="0"/>
              <w:keepLines w:val="0"/>
              <w:pageBreakBefore w:val="0"/>
              <w:widowControl w:val="0"/>
              <w:numPr>
                <w:ilvl w:val="0"/>
                <w:numId w:val="11"/>
              </w:numPr>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国家级自然公园范围内除国家重大项目外，仅允许对生态功能不造成破坏的有限人为活动：</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130" w:leftChars="-50" w:right="-130" w:rightChars="-5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（一）自然公园内居民和其他合法权益主体依法依规开展的生产生活及设施建设。</w:t>
            </w:r>
          </w:p>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（二）符合自然公园保护管理要求的文化、体育活动和必要的配套设施建设。</w:t>
            </w:r>
          </w:p>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（三）符合生态保护红线管控要求的其他活动和设施建设。</w:t>
            </w:r>
          </w:p>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（四）法律法规和国家政策允许在自然公园内开展的其他活动。</w:t>
            </w:r>
          </w:p>
        </w:tc>
        <w:tc>
          <w:tcPr>
            <w:tcW w:w="2952"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103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c>
          <w:tcPr>
            <w:tcW w:w="19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7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在国家级自然公园内开展第十九条规定的活动和设施建设，应当征求国家级自然公园管理单位的意见。其中，国家重大项目建设还应当征求省级以上林业和草原主管部门意见；开展第十九条（三）、（四）项的设施建设，自然公园规划确定的索道、滑雪场、游乐场等对生态和景观影响较大的项目建设，以及考古发掘、古生物化石发掘、航道疏浚清淤、矿产资源勘查等活动，应当征求省级林业和草原主管部门意见。</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林业和草原主管部门或者国家级自然公园管理单位应当加强对设施建设必要性、方案合理性、设施建设对自然公园影响等的审查，必要时组织专家进行论证。</w:t>
            </w:r>
          </w:p>
        </w:tc>
        <w:tc>
          <w:tcPr>
            <w:tcW w:w="2952"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103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4</w:t>
            </w:r>
          </w:p>
        </w:tc>
        <w:tc>
          <w:tcPr>
            <w:tcW w:w="19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《重庆市湿地保护条例》</w:t>
            </w:r>
          </w:p>
        </w:tc>
        <w:tc>
          <w:tcPr>
            <w:tcW w:w="7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第二十四条：“建设项目应当不占或者少占湿地。因依法批准立项的国家和本市重大建设工程，确需占用、临时占用湿地的，建设单位应当开展湿地生态功能影响评价，制定湿地保护与修复方案，并依法办理相关手续。相关部门在办理相关手续时，应当征求本级林业主管部门意见。建设单位应当按照湿地保护与修复方案恢复或者重建湿地，按照湿地保护与修复方案中的保护措施进行施工，减少对湿地生态系统的影响，避免对湿地生态功能的损害。因占用、临时占用湿地致使湿地所有者、使用者合法权益受到损害的，应当按照有关规定给予补偿；造成湿地生态功能退化的，应当按照“谁破坏、谁修复”原则和相关规定自行开展湿地修复或者委托具备修复能力的第三方机构进行修复。临时占用湿地期限不超过两年；临时占用期满后，占用单位应当对所占用的湿地进行生态修复。”</w:t>
            </w:r>
          </w:p>
        </w:tc>
        <w:tc>
          <w:tcPr>
            <w:tcW w:w="295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本项目</w:t>
            </w:r>
            <w:r>
              <w:rPr>
                <w:rFonts w:hint="eastAsia"/>
                <w:color w:val="auto"/>
                <w:sz w:val="22"/>
                <w:szCs w:val="22"/>
                <w:highlight w:val="none"/>
                <w:shd w:val="clear" w:fill="FFFFFF"/>
                <w:vertAlign w:val="baseline"/>
                <w:lang w:eastAsia="zh-CN"/>
              </w:rPr>
              <w:t>属于</w:t>
            </w:r>
            <w:r>
              <w:rPr>
                <w:rFonts w:hint="eastAsia"/>
                <w:color w:val="auto"/>
                <w:sz w:val="22"/>
                <w:szCs w:val="22"/>
                <w:highlight w:val="none"/>
                <w:vertAlign w:val="baseline"/>
                <w:lang w:eastAsia="zh-CN"/>
              </w:rPr>
              <w:t>内河水运“十四五”重点建设项目，项目选址、选线因水域分布具有唯一性，无法避让湿地；项目施工不会出现破坏湿地及其生态功能的行为。目前，项目正在开展对湿地公园生态影响专题评价，制定湿地保护与修复方案并在施工、运营期落实其提出的各项生态环境保护措施，同时依法办理相关手续</w:t>
            </w:r>
            <w:r>
              <w:rPr>
                <w:rFonts w:hint="eastAsia"/>
                <w:color w:val="auto"/>
                <w:sz w:val="22"/>
                <w:szCs w:val="22"/>
                <w:highlight w:val="none"/>
                <w:shd w:val="clear" w:fill="FFFFFF"/>
                <w:vertAlign w:val="baseline"/>
                <w:lang w:eastAsia="zh-CN"/>
              </w:rPr>
              <w:t>，在</w:t>
            </w:r>
            <w:r>
              <w:rPr>
                <w:rFonts w:hint="eastAsia"/>
                <w:color w:val="auto"/>
                <w:sz w:val="22"/>
                <w:szCs w:val="22"/>
                <w:highlight w:val="none"/>
                <w:vertAlign w:val="baseline"/>
                <w:lang w:eastAsia="zh-CN"/>
              </w:rPr>
              <w:t>征求本级林业主管部门意见后，本项目与《重庆市湿地保护条例》不冲突。</w:t>
            </w:r>
          </w:p>
        </w:tc>
        <w:tc>
          <w:tcPr>
            <w:tcW w:w="103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5</w:t>
            </w:r>
          </w:p>
        </w:tc>
        <w:tc>
          <w:tcPr>
            <w:tcW w:w="19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《重庆市林业局关于进一步规范建设项目占用湿地管理的通知》（渝林规范〔2024〕9号）</w:t>
            </w:r>
          </w:p>
        </w:tc>
        <w:tc>
          <w:tcPr>
            <w:tcW w:w="7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二、严格控制占用湿地 </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坚持保护优先原则，建设项目应当不占或者少占湿地。确因建设项目选址、选线无法避让的，应当采取必要措施减轻对湿地生态功能的不利影响。</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（一）禁止下列破坏湿地及其生态功能的项目：</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1.实施开（围）垦、排干自然湿地，永久性截断自然湿地水源的项目；</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2.擅自填埋自然湿地，擅自挖砂、采矿、取土的项目；</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3.排放不符合水污染物排放标准工业废水、生活污水及其他污染湿地污废水</w:t>
            </w:r>
            <w:r>
              <w:rPr>
                <w:rFonts w:hint="eastAsia"/>
                <w:color w:val="auto"/>
                <w:sz w:val="22"/>
                <w:szCs w:val="22"/>
                <w:highlight w:val="none"/>
                <w:shd w:val="clear" w:fill="FFFFFF"/>
                <w:vertAlign w:val="baseline"/>
                <w:lang w:eastAsia="zh-CN"/>
              </w:rPr>
              <w:t>，</w:t>
            </w:r>
            <w:r>
              <w:rPr>
                <w:rFonts w:hint="eastAsia"/>
                <w:color w:val="auto"/>
                <w:sz w:val="22"/>
                <w:szCs w:val="22"/>
                <w:highlight w:val="none"/>
                <w:vertAlign w:val="baseline"/>
                <w:lang w:eastAsia="zh-CN"/>
              </w:rPr>
              <w:t>及倾倒、堆放固体废物的项目；</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4.过度施肥、投药、投放饵料等污染湿地的种植养殖项目。</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（二）禁止占用国家重要湿地，国家重大项目、防灾减灾项目、重要水利及保护设施项目、湿地保护项目等除外。</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（三）重要湿地（含国家级和市级）与自然保护地重叠的，应当同时符合重要湿地和自然保护地管控要求。</w:t>
            </w:r>
          </w:p>
        </w:tc>
        <w:tc>
          <w:tcPr>
            <w:tcW w:w="295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本项目</w:t>
            </w:r>
            <w:r>
              <w:rPr>
                <w:rFonts w:hint="eastAsia"/>
                <w:color w:val="auto"/>
                <w:sz w:val="22"/>
                <w:szCs w:val="22"/>
                <w:highlight w:val="none"/>
                <w:shd w:val="clear" w:fill="FFFFFF"/>
                <w:vertAlign w:val="baseline"/>
                <w:lang w:eastAsia="zh-CN"/>
              </w:rPr>
              <w:t>属于</w:t>
            </w:r>
            <w:r>
              <w:rPr>
                <w:rFonts w:hint="eastAsia"/>
                <w:color w:val="auto"/>
                <w:sz w:val="22"/>
                <w:szCs w:val="22"/>
                <w:highlight w:val="none"/>
                <w:vertAlign w:val="baseline"/>
                <w:lang w:eastAsia="zh-CN"/>
              </w:rPr>
              <w:t>内河水运“十四五”重点建设项目，项目选址、选线因水域分布具有唯一性，无法避让湿地；项目施工不会出现破坏湿地及其生态功能的行为。目前，项目正在开展对湿地公园生态影响专题评价，通过落实各项生态环境保护措施，并依法办理相关手续</w:t>
            </w:r>
            <w:r>
              <w:rPr>
                <w:rFonts w:hint="eastAsia"/>
                <w:color w:val="auto"/>
                <w:sz w:val="22"/>
                <w:szCs w:val="22"/>
                <w:highlight w:val="none"/>
                <w:shd w:val="clear" w:fill="FFFFFF"/>
                <w:vertAlign w:val="baseline"/>
                <w:lang w:eastAsia="zh-CN"/>
              </w:rPr>
              <w:t>，</w:t>
            </w:r>
            <w:r>
              <w:rPr>
                <w:rFonts w:hint="eastAsia"/>
                <w:color w:val="auto"/>
                <w:sz w:val="22"/>
                <w:szCs w:val="22"/>
                <w:highlight w:val="none"/>
                <w:vertAlign w:val="baseline"/>
                <w:lang w:eastAsia="zh-CN"/>
              </w:rPr>
              <w:t>征求本级林业主管部门意见后，本项目与通知不冲突。</w:t>
            </w:r>
          </w:p>
        </w:tc>
        <w:tc>
          <w:tcPr>
            <w:tcW w:w="103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bl>
    <w:p>
      <w:pPr>
        <w:adjustRightInd w:val="0"/>
        <w:snapToGrid w:val="0"/>
        <w:spacing w:line="240" w:lineRule="auto"/>
        <w:ind w:firstLine="0" w:firstLineChars="0"/>
        <w:jc w:val="center"/>
        <w:rPr>
          <w:bCs/>
          <w:color w:val="auto"/>
          <w:szCs w:val="26"/>
          <w:highlight w:val="none"/>
        </w:rPr>
      </w:pPr>
    </w:p>
    <w:p>
      <w:pPr>
        <w:adjustRightInd w:val="0"/>
        <w:snapToGrid w:val="0"/>
        <w:spacing w:line="240" w:lineRule="auto"/>
        <w:ind w:firstLine="0" w:firstLineChars="0"/>
        <w:jc w:val="center"/>
        <w:rPr>
          <w:bCs/>
          <w:color w:val="auto"/>
          <w:szCs w:val="26"/>
          <w:highlight w:val="none"/>
        </w:rPr>
      </w:pPr>
    </w:p>
    <w:p>
      <w:pPr>
        <w:adjustRightInd w:val="0"/>
        <w:snapToGrid w:val="0"/>
        <w:spacing w:line="240" w:lineRule="auto"/>
        <w:ind w:firstLine="0" w:firstLineChars="0"/>
        <w:jc w:val="center"/>
        <w:rPr>
          <w:bCs/>
          <w:color w:val="auto"/>
          <w:szCs w:val="26"/>
          <w:highlight w:val="none"/>
        </w:rPr>
        <w:sectPr>
          <w:pgSz w:w="16840" w:h="11907" w:orient="landscape"/>
          <w:pgMar w:top="1701" w:right="1588" w:bottom="1588" w:left="1588" w:header="1304" w:footer="1247" w:gutter="0"/>
          <w:cols w:space="720" w:num="1"/>
          <w:docGrid w:linePitch="354" w:charSpace="0"/>
        </w:sectPr>
      </w:pPr>
    </w:p>
    <w:p>
      <w:pPr>
        <w:adjustRightInd w:val="0"/>
        <w:snapToGrid w:val="0"/>
        <w:spacing w:line="240" w:lineRule="auto"/>
        <w:ind w:firstLine="0" w:firstLineChars="0"/>
        <w:jc w:val="center"/>
        <w:rPr>
          <w:bCs/>
          <w:color w:val="auto"/>
          <w:szCs w:val="26"/>
          <w:highlight w:val="none"/>
        </w:rPr>
      </w:pPr>
      <w:r>
        <w:rPr>
          <w:bCs/>
          <w:color w:val="auto"/>
          <w:szCs w:val="26"/>
          <w:highlight w:val="none"/>
        </w:rPr>
        <w:t>表</w:t>
      </w:r>
      <w:r>
        <w:rPr>
          <w:rFonts w:hint="eastAsia"/>
          <w:bCs/>
          <w:color w:val="auto"/>
          <w:szCs w:val="26"/>
          <w:highlight w:val="none"/>
        </w:rPr>
        <w:t xml:space="preserve">1.9.2-4  </w:t>
      </w:r>
      <w:r>
        <w:rPr>
          <w:bCs/>
          <w:color w:val="auto"/>
          <w:szCs w:val="26"/>
          <w:highlight w:val="none"/>
        </w:rPr>
        <w:t>项目与</w:t>
      </w:r>
      <w:r>
        <w:rPr>
          <w:rFonts w:hint="eastAsia"/>
          <w:bCs/>
          <w:color w:val="auto"/>
          <w:szCs w:val="26"/>
          <w:highlight w:val="none"/>
        </w:rPr>
        <w:t>永久</w:t>
      </w:r>
      <w:r>
        <w:rPr>
          <w:bCs/>
          <w:color w:val="auto"/>
          <w:szCs w:val="26"/>
          <w:highlight w:val="none"/>
        </w:rPr>
        <w:t>基本农田</w:t>
      </w:r>
      <w:r>
        <w:rPr>
          <w:rFonts w:hint="eastAsia"/>
          <w:bCs/>
          <w:color w:val="auto"/>
          <w:szCs w:val="26"/>
          <w:highlight w:val="none"/>
        </w:rPr>
        <w:t>、耕地、临时用地</w:t>
      </w:r>
      <w:r>
        <w:rPr>
          <w:bCs/>
          <w:color w:val="auto"/>
          <w:szCs w:val="26"/>
          <w:highlight w:val="none"/>
        </w:rPr>
        <w:t>相关政策符合性分析</w:t>
      </w:r>
    </w:p>
    <w:tbl>
      <w:tblPr>
        <w:tblStyle w:val="28"/>
        <w:tblW w:w="50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71"/>
        <w:gridCol w:w="2223"/>
        <w:gridCol w:w="906"/>
        <w:gridCol w:w="8070"/>
        <w:gridCol w:w="1358"/>
        <w:gridCol w:w="8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序号</w:t>
            </w:r>
          </w:p>
        </w:tc>
        <w:tc>
          <w:tcPr>
            <w:tcW w:w="797"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文件名称</w:t>
            </w:r>
          </w:p>
        </w:tc>
        <w:tc>
          <w:tcPr>
            <w:tcW w:w="3219" w:type="pct"/>
            <w:gridSpan w:val="2"/>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政策要求</w:t>
            </w:r>
          </w:p>
        </w:tc>
        <w:tc>
          <w:tcPr>
            <w:tcW w:w="487"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项目情况</w:t>
            </w:r>
          </w:p>
        </w:tc>
        <w:tc>
          <w:tcPr>
            <w:tcW w:w="290"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Merge w:val="restart"/>
            <w:vAlign w:val="center"/>
          </w:tcPr>
          <w:p>
            <w:pPr>
              <w:pStyle w:val="167"/>
              <w:autoSpaceDE/>
              <w:autoSpaceDN/>
              <w:adjustRightInd w:val="0"/>
              <w:snapToGrid w:val="0"/>
              <w:rPr>
                <w:rFonts w:hint="default" w:eastAsiaTheme="minorEastAsia"/>
                <w:bCs/>
                <w:color w:val="auto"/>
                <w:kern w:val="2"/>
                <w:highlight w:val="none"/>
                <w:lang w:val="en-US" w:eastAsia="zh-CN"/>
              </w:rPr>
            </w:pPr>
            <w:r>
              <w:rPr>
                <w:rFonts w:hint="eastAsia" w:eastAsiaTheme="minorEastAsia"/>
                <w:bCs/>
                <w:color w:val="auto"/>
                <w:kern w:val="2"/>
                <w:highlight w:val="none"/>
                <w:lang w:val="en-US" w:eastAsia="zh-CN"/>
              </w:rPr>
              <w:t>1</w:t>
            </w:r>
          </w:p>
        </w:tc>
        <w:tc>
          <w:tcPr>
            <w:tcW w:w="797" w:type="pct"/>
            <w:vMerge w:val="restart"/>
            <w:vAlign w:val="center"/>
          </w:tcPr>
          <w:p>
            <w:pPr>
              <w:pStyle w:val="167"/>
              <w:autoSpaceDE/>
              <w:autoSpaceDN/>
              <w:adjustRightInd w:val="0"/>
              <w:snapToGrid w:val="0"/>
              <w:rPr>
                <w:rFonts w:eastAsiaTheme="minorEastAsia"/>
                <w:bCs/>
                <w:color w:val="auto"/>
                <w:kern w:val="2"/>
                <w:highlight w:val="none"/>
                <w:lang w:eastAsia="zh-CN"/>
              </w:rPr>
            </w:pPr>
            <w:r>
              <w:rPr>
                <w:rFonts w:hint="eastAsia" w:eastAsiaTheme="minorEastAsia"/>
                <w:bCs/>
                <w:color w:val="auto"/>
                <w:kern w:val="2"/>
                <w:highlight w:val="none"/>
                <w:lang w:eastAsia="zh-CN"/>
              </w:rPr>
              <w:t>《基本农田保护条例》</w:t>
            </w:r>
          </w:p>
        </w:tc>
        <w:tc>
          <w:tcPr>
            <w:tcW w:w="3219" w:type="pct"/>
            <w:gridSpan w:val="2"/>
            <w:vAlign w:val="center"/>
          </w:tcPr>
          <w:p>
            <w:pPr>
              <w:pStyle w:val="167"/>
              <w:autoSpaceDE/>
              <w:autoSpaceDN/>
              <w:adjustRightInd w:val="0"/>
              <w:snapToGrid w:val="0"/>
              <w:jc w:val="both"/>
              <w:rPr>
                <w:rFonts w:eastAsiaTheme="minorEastAsia"/>
                <w:bCs/>
                <w:color w:val="auto"/>
                <w:kern w:val="2"/>
                <w:highlight w:val="none"/>
                <w:lang w:eastAsia="zh-CN"/>
              </w:rPr>
            </w:pPr>
            <w:r>
              <w:rPr>
                <w:rFonts w:hint="eastAsia" w:eastAsiaTheme="minorEastAsia"/>
                <w:bCs/>
                <w:color w:val="auto"/>
                <w:kern w:val="2"/>
                <w:highlight w:val="none"/>
                <w:lang w:eastAsia="zh-CN"/>
              </w:rPr>
              <w:t>第十五条 基本农田保护区经依法划定后，任何单位和个人不得改变或者占用。国家能源、交通、水利、军事设施等重点建设项目选址确实无法避开基本农田保护区，需要占用基本农田，涉及农用地转用或者征用土地的，必须经国务院批准。</w:t>
            </w:r>
          </w:p>
        </w:tc>
        <w:tc>
          <w:tcPr>
            <w:tcW w:w="487" w:type="pct"/>
            <w:vMerge w:val="restart"/>
            <w:vAlign w:val="center"/>
          </w:tcPr>
          <w:p>
            <w:pPr>
              <w:pStyle w:val="167"/>
              <w:autoSpaceDE/>
              <w:autoSpaceDN/>
              <w:adjustRightInd w:val="0"/>
              <w:snapToGrid w:val="0"/>
              <w:jc w:val="both"/>
              <w:rPr>
                <w:rFonts w:eastAsiaTheme="minorEastAsia"/>
                <w:color w:val="auto"/>
                <w:kern w:val="2"/>
                <w:highlight w:val="none"/>
                <w:lang w:eastAsia="zh-CN"/>
              </w:rPr>
            </w:pPr>
            <w:r>
              <w:rPr>
                <w:rFonts w:hint="eastAsia"/>
                <w:bCs/>
                <w:color w:val="auto"/>
                <w:szCs w:val="26"/>
                <w:highlight w:val="none"/>
                <w:vertAlign w:val="baseline"/>
                <w:lang w:val="en-US" w:eastAsia="zh-CN"/>
              </w:rPr>
              <w:t>项目已纳入《全国港口与航道布局规划》《水运“十四五”发展规划》，属于国家重点项目，用地符合规定要求，已取得自然资源部用地与预审意见，后续将按照要求落实永久基本农田保护及补划工作。</w:t>
            </w:r>
          </w:p>
        </w:tc>
        <w:tc>
          <w:tcPr>
            <w:tcW w:w="290"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Merge w:val="continue"/>
            <w:vAlign w:val="center"/>
          </w:tcPr>
          <w:p>
            <w:pPr>
              <w:pStyle w:val="167"/>
              <w:autoSpaceDE/>
              <w:autoSpaceDN/>
              <w:adjustRightInd w:val="0"/>
              <w:snapToGrid w:val="0"/>
              <w:rPr>
                <w:rFonts w:eastAsiaTheme="minorEastAsia"/>
                <w:bCs/>
                <w:color w:val="auto"/>
                <w:kern w:val="2"/>
                <w:highlight w:val="none"/>
                <w:lang w:eastAsia="zh-CN"/>
              </w:rPr>
            </w:pPr>
          </w:p>
        </w:tc>
        <w:tc>
          <w:tcPr>
            <w:tcW w:w="797" w:type="pct"/>
            <w:vMerge w:val="continue"/>
            <w:vAlign w:val="center"/>
          </w:tcPr>
          <w:p>
            <w:pPr>
              <w:pStyle w:val="167"/>
              <w:autoSpaceDE/>
              <w:autoSpaceDN/>
              <w:adjustRightInd w:val="0"/>
              <w:snapToGrid w:val="0"/>
              <w:rPr>
                <w:rFonts w:eastAsiaTheme="minorEastAsia"/>
                <w:bCs/>
                <w:color w:val="auto"/>
                <w:kern w:val="2"/>
                <w:highlight w:val="none"/>
                <w:lang w:eastAsia="zh-CN"/>
              </w:rPr>
            </w:pPr>
          </w:p>
        </w:tc>
        <w:tc>
          <w:tcPr>
            <w:tcW w:w="3219" w:type="pct"/>
            <w:gridSpan w:val="2"/>
            <w:vAlign w:val="center"/>
          </w:tcPr>
          <w:p>
            <w:pPr>
              <w:pStyle w:val="167"/>
              <w:autoSpaceDE/>
              <w:autoSpaceDN/>
              <w:adjustRightInd w:val="0"/>
              <w:snapToGrid w:val="0"/>
              <w:jc w:val="both"/>
              <w:rPr>
                <w:rFonts w:hint="eastAsia" w:eastAsiaTheme="minorEastAsia"/>
                <w:bCs/>
                <w:color w:val="auto"/>
                <w:kern w:val="2"/>
                <w:highlight w:val="none"/>
                <w:lang w:eastAsia="zh-CN"/>
              </w:rPr>
            </w:pPr>
            <w:r>
              <w:rPr>
                <w:rFonts w:hint="eastAsia" w:eastAsiaTheme="minorEastAsia"/>
                <w:bCs/>
                <w:color w:val="auto"/>
                <w:kern w:val="2"/>
                <w:highlight w:val="none"/>
                <w:lang w:eastAsia="zh-CN"/>
              </w:rPr>
              <w:t>第十六条 经国务院批准占用基本农田的，当地人民政府应当按照国务院的批准文件修改土地利用总体规划，并补充划入数量和质量相当的基本农田。占用单位应当按照占多少、垦多少的原则，负责开垦与所占基本农田的数量与质量相当的耕地；没有条件开垦或者开垦的耕地不符合要求的，应当按照省、自治区、直辖市的规定缴纳耕地开垦费，专款用于开垦新的耕地。</w:t>
            </w:r>
          </w:p>
          <w:p>
            <w:pPr>
              <w:pStyle w:val="167"/>
              <w:autoSpaceDE/>
              <w:autoSpaceDN/>
              <w:adjustRightInd w:val="0"/>
              <w:snapToGrid w:val="0"/>
              <w:jc w:val="both"/>
              <w:rPr>
                <w:rFonts w:eastAsiaTheme="minorEastAsia"/>
                <w:bCs/>
                <w:color w:val="auto"/>
                <w:kern w:val="2"/>
                <w:highlight w:val="none"/>
                <w:lang w:eastAsia="zh-CN"/>
              </w:rPr>
            </w:pPr>
            <w:r>
              <w:rPr>
                <w:rFonts w:hint="eastAsia" w:eastAsiaTheme="minorEastAsia"/>
                <w:bCs/>
                <w:color w:val="auto"/>
                <w:kern w:val="2"/>
                <w:highlight w:val="none"/>
                <w:lang w:eastAsia="zh-CN"/>
              </w:rPr>
              <w:t>占用基本农田的单位应当按照县级以上地方人民政府的要求，将所占用基本农田耕作层的土壤用于新开垦耕地、劣质地或者其他耕地的土壤改良。</w:t>
            </w:r>
          </w:p>
        </w:tc>
        <w:tc>
          <w:tcPr>
            <w:tcW w:w="487" w:type="pct"/>
            <w:vMerge w:val="continue"/>
            <w:vAlign w:val="center"/>
          </w:tcPr>
          <w:p>
            <w:pPr>
              <w:pStyle w:val="167"/>
              <w:autoSpaceDE/>
              <w:autoSpaceDN/>
              <w:adjustRightInd w:val="0"/>
              <w:snapToGrid w:val="0"/>
              <w:jc w:val="both"/>
              <w:rPr>
                <w:rFonts w:eastAsiaTheme="minorEastAsia"/>
                <w:color w:val="auto"/>
                <w:kern w:val="2"/>
                <w:highlight w:val="none"/>
                <w:lang w:eastAsia="zh-CN"/>
              </w:rPr>
            </w:pPr>
          </w:p>
        </w:tc>
        <w:tc>
          <w:tcPr>
            <w:tcW w:w="290"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Align w:val="center"/>
          </w:tcPr>
          <w:p>
            <w:pPr>
              <w:pStyle w:val="167"/>
              <w:autoSpaceDE/>
              <w:autoSpaceDN/>
              <w:adjustRightInd w:val="0"/>
              <w:snapToGrid w:val="0"/>
              <w:rPr>
                <w:rFonts w:hint="default" w:eastAsiaTheme="minorEastAsia"/>
                <w:bCs/>
                <w:color w:val="auto"/>
                <w:kern w:val="2"/>
                <w:highlight w:val="none"/>
                <w:lang w:val="en-US" w:eastAsia="zh-CN"/>
              </w:rPr>
            </w:pPr>
            <w:r>
              <w:rPr>
                <w:rFonts w:hint="eastAsia" w:eastAsiaTheme="minorEastAsia"/>
                <w:bCs/>
                <w:color w:val="auto"/>
                <w:kern w:val="2"/>
                <w:highlight w:val="none"/>
                <w:lang w:val="en-US" w:eastAsia="zh-CN"/>
              </w:rPr>
              <w:t>2</w:t>
            </w:r>
          </w:p>
        </w:tc>
        <w:tc>
          <w:tcPr>
            <w:tcW w:w="797" w:type="pct"/>
            <w:vAlign w:val="center"/>
          </w:tcPr>
          <w:p>
            <w:pPr>
              <w:pStyle w:val="167"/>
              <w:autoSpaceDE/>
              <w:autoSpaceDN/>
              <w:adjustRightInd w:val="0"/>
              <w:snapToGrid w:val="0"/>
              <w:rPr>
                <w:rFonts w:eastAsiaTheme="minorEastAsia"/>
                <w:bCs/>
                <w:color w:val="auto"/>
                <w:kern w:val="2"/>
                <w:highlight w:val="none"/>
                <w:lang w:eastAsia="zh-CN"/>
              </w:rPr>
            </w:pPr>
            <w:r>
              <w:rPr>
                <w:rFonts w:hint="eastAsia" w:eastAsiaTheme="minorEastAsia"/>
                <w:bCs/>
                <w:color w:val="auto"/>
                <w:kern w:val="2"/>
                <w:highlight w:val="none"/>
                <w:lang w:eastAsia="zh-CN"/>
              </w:rPr>
              <w:t>《永久基本农田保护红线管理办法》</w:t>
            </w:r>
          </w:p>
        </w:tc>
        <w:tc>
          <w:tcPr>
            <w:tcW w:w="3219" w:type="pct"/>
            <w:gridSpan w:val="2"/>
            <w:vAlign w:val="center"/>
          </w:tcPr>
          <w:p>
            <w:pPr>
              <w:pStyle w:val="167"/>
              <w:autoSpaceDE/>
              <w:autoSpaceDN/>
              <w:adjustRightInd w:val="0"/>
              <w:snapToGrid w:val="0"/>
              <w:jc w:val="both"/>
              <w:rPr>
                <w:rFonts w:hint="eastAsia" w:eastAsiaTheme="minorEastAsia"/>
                <w:bCs/>
                <w:color w:val="auto"/>
                <w:kern w:val="2"/>
                <w:highlight w:val="none"/>
                <w:lang w:eastAsia="zh-CN"/>
              </w:rPr>
            </w:pPr>
            <w:r>
              <w:rPr>
                <w:rFonts w:hint="eastAsia" w:eastAsiaTheme="minorEastAsia"/>
                <w:bCs/>
                <w:color w:val="auto"/>
                <w:kern w:val="2"/>
                <w:highlight w:val="none"/>
                <w:lang w:eastAsia="zh-CN"/>
              </w:rPr>
              <w:t>第二十条 有下列情形之一，确实难以避让永久基本农田保护红线的，应当坚持节约集约原则，依法由国务院批准，办理农用地转用审批手续：</w:t>
            </w:r>
          </w:p>
          <w:p>
            <w:pPr>
              <w:pStyle w:val="167"/>
              <w:autoSpaceDE/>
              <w:autoSpaceDN/>
              <w:adjustRightInd w:val="0"/>
              <w:snapToGrid w:val="0"/>
              <w:jc w:val="both"/>
              <w:rPr>
                <w:rFonts w:hint="eastAsia" w:eastAsiaTheme="minorEastAsia"/>
                <w:bCs/>
                <w:color w:val="auto"/>
                <w:kern w:val="2"/>
                <w:highlight w:val="none"/>
                <w:lang w:eastAsia="zh-CN"/>
              </w:rPr>
            </w:pPr>
            <w:r>
              <w:rPr>
                <w:rFonts w:hint="eastAsia" w:eastAsiaTheme="minorEastAsia"/>
                <w:bCs/>
                <w:color w:val="auto"/>
                <w:kern w:val="2"/>
                <w:highlight w:val="none"/>
                <w:lang w:eastAsia="zh-CN"/>
              </w:rPr>
              <w:t>（一）党中央、国务院明确支持的重大建设项目，中央军委及其有关部门批准的军事国防类项目，经国务院批准确需就地建设的遗址保护项目；</w:t>
            </w:r>
          </w:p>
          <w:p>
            <w:pPr>
              <w:pStyle w:val="167"/>
              <w:autoSpaceDE/>
              <w:autoSpaceDN/>
              <w:adjustRightInd w:val="0"/>
              <w:snapToGrid w:val="0"/>
              <w:jc w:val="both"/>
              <w:rPr>
                <w:rFonts w:hint="eastAsia" w:eastAsiaTheme="minorEastAsia"/>
                <w:bCs/>
                <w:color w:val="auto"/>
                <w:kern w:val="2"/>
                <w:highlight w:val="none"/>
                <w:lang w:eastAsia="zh-CN"/>
              </w:rPr>
            </w:pPr>
            <w:r>
              <w:rPr>
                <w:rFonts w:hint="eastAsia" w:eastAsiaTheme="minorEastAsia"/>
                <w:bCs/>
                <w:color w:val="auto"/>
                <w:kern w:val="2"/>
                <w:highlight w:val="none"/>
                <w:lang w:eastAsia="zh-CN"/>
              </w:rPr>
              <w:t>（二）按程序纳入国务院投资主管部门重大项目清单的用地项目，纳入国务院审批国土空间规划的机场、铁路、公路、水运、能源、水利等基础设施项目；</w:t>
            </w:r>
          </w:p>
          <w:p>
            <w:pPr>
              <w:pStyle w:val="167"/>
              <w:autoSpaceDE/>
              <w:autoSpaceDN/>
              <w:adjustRightInd w:val="0"/>
              <w:snapToGrid w:val="0"/>
              <w:jc w:val="both"/>
              <w:rPr>
                <w:rFonts w:hint="eastAsia" w:eastAsiaTheme="minorEastAsia"/>
                <w:bCs/>
                <w:color w:val="auto"/>
                <w:kern w:val="2"/>
                <w:highlight w:val="none"/>
                <w:lang w:eastAsia="zh-CN"/>
              </w:rPr>
            </w:pPr>
            <w:r>
              <w:rPr>
                <w:rFonts w:hint="eastAsia" w:eastAsiaTheme="minorEastAsia"/>
                <w:bCs/>
                <w:color w:val="auto"/>
                <w:kern w:val="2"/>
                <w:highlight w:val="none"/>
                <w:lang w:eastAsia="zh-CN"/>
              </w:rPr>
              <w:t>（三）法律、行政法规以及国务院自然资源主管部门规定的其他情形。</w:t>
            </w:r>
          </w:p>
        </w:tc>
        <w:tc>
          <w:tcPr>
            <w:tcW w:w="487" w:type="pct"/>
            <w:vMerge w:val="continue"/>
            <w:vAlign w:val="center"/>
          </w:tcPr>
          <w:p>
            <w:pPr>
              <w:pStyle w:val="167"/>
              <w:autoSpaceDE/>
              <w:autoSpaceDN/>
              <w:adjustRightInd w:val="0"/>
              <w:snapToGrid w:val="0"/>
              <w:jc w:val="both"/>
              <w:rPr>
                <w:rFonts w:eastAsiaTheme="minorEastAsia"/>
                <w:color w:val="auto"/>
                <w:kern w:val="2"/>
                <w:highlight w:val="none"/>
                <w:lang w:eastAsia="zh-CN"/>
              </w:rPr>
            </w:pPr>
          </w:p>
        </w:tc>
        <w:tc>
          <w:tcPr>
            <w:tcW w:w="290"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Align w:val="center"/>
          </w:tcPr>
          <w:p>
            <w:pPr>
              <w:pStyle w:val="167"/>
              <w:autoSpaceDE/>
              <w:autoSpaceDN/>
              <w:adjustRightInd w:val="0"/>
              <w:snapToGrid w:val="0"/>
              <w:rPr>
                <w:rFonts w:eastAsiaTheme="minorEastAsia"/>
                <w:bCs/>
                <w:color w:val="auto"/>
                <w:kern w:val="2"/>
                <w:highlight w:val="none"/>
                <w:lang w:eastAsia="zh-CN"/>
              </w:rPr>
            </w:pPr>
          </w:p>
          <w:p>
            <w:pPr>
              <w:pStyle w:val="167"/>
              <w:autoSpaceDE/>
              <w:autoSpaceDN/>
              <w:adjustRightInd w:val="0"/>
              <w:snapToGrid w:val="0"/>
              <w:rPr>
                <w:rFonts w:hint="default" w:eastAsiaTheme="minorEastAsia"/>
                <w:bCs/>
                <w:color w:val="auto"/>
                <w:kern w:val="2"/>
                <w:highlight w:val="none"/>
                <w:lang w:val="en-US" w:eastAsia="zh-CN"/>
              </w:rPr>
            </w:pPr>
            <w:r>
              <w:rPr>
                <w:rFonts w:hint="eastAsia" w:eastAsiaTheme="minorEastAsia"/>
                <w:bCs/>
                <w:color w:val="auto"/>
                <w:kern w:val="2"/>
                <w:highlight w:val="none"/>
                <w:lang w:val="en-US" w:eastAsia="zh-CN"/>
              </w:rPr>
              <w:t>3</w:t>
            </w:r>
          </w:p>
        </w:tc>
        <w:tc>
          <w:tcPr>
            <w:tcW w:w="797"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《自然资源部农业农村部 国家林业和草原局关于严格耕地用途管制有关问题的通知》（自然资发〔2021〕166号）</w:t>
            </w:r>
          </w:p>
        </w:tc>
        <w:tc>
          <w:tcPr>
            <w:tcW w:w="3219" w:type="pct"/>
            <w:gridSpan w:val="2"/>
            <w:vAlign w:val="center"/>
          </w:tcPr>
          <w:p>
            <w:pPr>
              <w:pStyle w:val="167"/>
              <w:autoSpaceDE/>
              <w:autoSpaceDN/>
              <w:adjustRightInd w:val="0"/>
              <w:snapToGrid w:val="0"/>
              <w:jc w:val="both"/>
              <w:rPr>
                <w:rFonts w:eastAsiaTheme="minorEastAsia"/>
                <w:bCs/>
                <w:color w:val="auto"/>
                <w:kern w:val="2"/>
                <w:highlight w:val="none"/>
                <w:lang w:eastAsia="zh-CN"/>
              </w:rPr>
            </w:pPr>
            <w:r>
              <w:rPr>
                <w:rFonts w:eastAsiaTheme="minorEastAsia"/>
                <w:bCs/>
                <w:color w:val="auto"/>
                <w:kern w:val="2"/>
                <w:highlight w:val="none"/>
                <w:lang w:eastAsia="zh-CN"/>
              </w:rPr>
              <w:t>严格永久基本农田占用与补划。已划定的永久基本农田，任何单位和个人不得擅自占用或者改变用途。非农业建设不得“未批先建”。能源、交通水利、军事设施等重大建设项目选址确实难以避让永久基本农田的，经依法批准，应在落实耕地占补平衡基础上，按照数量不减、质量不降原则在可以长期稳定利用的耕地上落实永久基本农田补划任务。</w:t>
            </w:r>
          </w:p>
        </w:tc>
        <w:tc>
          <w:tcPr>
            <w:tcW w:w="487" w:type="pct"/>
            <w:vMerge w:val="continue"/>
            <w:vAlign w:val="center"/>
          </w:tcPr>
          <w:p>
            <w:pPr>
              <w:pStyle w:val="167"/>
              <w:autoSpaceDE/>
              <w:autoSpaceDN/>
              <w:adjustRightInd w:val="0"/>
              <w:snapToGrid w:val="0"/>
              <w:jc w:val="both"/>
              <w:rPr>
                <w:rFonts w:eastAsiaTheme="minorEastAsia"/>
                <w:color w:val="auto"/>
                <w:kern w:val="2"/>
                <w:highlight w:val="none"/>
                <w:lang w:eastAsia="zh-CN"/>
              </w:rPr>
            </w:pPr>
          </w:p>
        </w:tc>
        <w:tc>
          <w:tcPr>
            <w:tcW w:w="290"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Align w:val="center"/>
          </w:tcPr>
          <w:p>
            <w:pPr>
              <w:pStyle w:val="167"/>
              <w:autoSpaceDE/>
              <w:autoSpaceDN/>
              <w:adjustRightInd w:val="0"/>
              <w:snapToGrid w:val="0"/>
              <w:rPr>
                <w:rFonts w:eastAsiaTheme="minorEastAsia"/>
                <w:bCs/>
                <w:color w:val="auto"/>
                <w:kern w:val="2"/>
                <w:highlight w:val="none"/>
                <w:lang w:eastAsia="zh-CN"/>
              </w:rPr>
            </w:pPr>
          </w:p>
          <w:p>
            <w:pPr>
              <w:pStyle w:val="167"/>
              <w:autoSpaceDE/>
              <w:autoSpaceDN/>
              <w:adjustRightInd w:val="0"/>
              <w:snapToGrid w:val="0"/>
              <w:rPr>
                <w:rFonts w:hint="default" w:eastAsiaTheme="minorEastAsia"/>
                <w:bCs/>
                <w:color w:val="auto"/>
                <w:kern w:val="2"/>
                <w:highlight w:val="none"/>
                <w:lang w:val="en-US" w:eastAsia="zh-CN"/>
              </w:rPr>
            </w:pPr>
            <w:r>
              <w:rPr>
                <w:rFonts w:hint="eastAsia" w:eastAsiaTheme="minorEastAsia"/>
                <w:bCs/>
                <w:color w:val="auto"/>
                <w:kern w:val="2"/>
                <w:highlight w:val="none"/>
                <w:lang w:val="en-US" w:eastAsia="zh-CN"/>
              </w:rPr>
              <w:t>4</w:t>
            </w:r>
          </w:p>
        </w:tc>
        <w:tc>
          <w:tcPr>
            <w:tcW w:w="797"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《重庆市规划和自然资源局重庆市农业农村委员会关于加强和改进永久基本农田保护工作的实施意见》（渝规资规范〔2020〕1号）</w:t>
            </w:r>
          </w:p>
        </w:tc>
        <w:tc>
          <w:tcPr>
            <w:tcW w:w="3219" w:type="pct"/>
            <w:gridSpan w:val="2"/>
            <w:vAlign w:val="center"/>
          </w:tcPr>
          <w:p>
            <w:pPr>
              <w:pStyle w:val="167"/>
              <w:autoSpaceDE/>
              <w:autoSpaceDN/>
              <w:adjustRightInd w:val="0"/>
              <w:snapToGrid w:val="0"/>
              <w:jc w:val="both"/>
              <w:rPr>
                <w:rFonts w:hint="eastAsia" w:eastAsiaTheme="minorEastAsia"/>
                <w:bCs/>
                <w:color w:val="auto"/>
                <w:kern w:val="2"/>
                <w:highlight w:val="none"/>
                <w:lang w:eastAsia="zh-CN"/>
              </w:rPr>
            </w:pPr>
            <w:r>
              <w:rPr>
                <w:rFonts w:hint="eastAsia" w:eastAsiaTheme="minorEastAsia"/>
                <w:bCs/>
                <w:color w:val="auto"/>
                <w:kern w:val="2"/>
                <w:highlight w:val="none"/>
                <w:lang w:eastAsia="zh-CN"/>
              </w:rPr>
              <w:t>三、严控建设占用永久基本农田</w:t>
            </w:r>
          </w:p>
          <w:p>
            <w:pPr>
              <w:pStyle w:val="167"/>
              <w:autoSpaceDE/>
              <w:autoSpaceDN/>
              <w:adjustRightInd w:val="0"/>
              <w:snapToGrid w:val="0"/>
              <w:jc w:val="both"/>
              <w:rPr>
                <w:rFonts w:hint="eastAsia" w:eastAsiaTheme="minorEastAsia"/>
                <w:bCs/>
                <w:color w:val="auto"/>
                <w:kern w:val="2"/>
                <w:highlight w:val="none"/>
                <w:lang w:eastAsia="zh-CN"/>
              </w:rPr>
            </w:pPr>
            <w:r>
              <w:rPr>
                <w:rFonts w:hint="eastAsia" w:eastAsiaTheme="minorEastAsia"/>
                <w:bCs/>
                <w:color w:val="auto"/>
                <w:kern w:val="2"/>
                <w:highlight w:val="none"/>
                <w:lang w:eastAsia="zh-CN"/>
              </w:rPr>
              <w:t>（七）严格占用和补划审查论证。</w:t>
            </w:r>
          </w:p>
          <w:p>
            <w:pPr>
              <w:pStyle w:val="167"/>
              <w:autoSpaceDE/>
              <w:autoSpaceDN/>
              <w:adjustRightInd w:val="0"/>
              <w:snapToGrid w:val="0"/>
              <w:jc w:val="both"/>
              <w:rPr>
                <w:rFonts w:eastAsiaTheme="minorEastAsia"/>
                <w:bCs/>
                <w:color w:val="auto"/>
                <w:kern w:val="2"/>
                <w:highlight w:val="none"/>
                <w:lang w:eastAsia="zh-CN"/>
              </w:rPr>
            </w:pPr>
            <w:r>
              <w:rPr>
                <w:rFonts w:hint="eastAsia" w:eastAsiaTheme="minorEastAsia"/>
                <w:bCs/>
                <w:color w:val="auto"/>
                <w:kern w:val="2"/>
                <w:highlight w:val="none"/>
                <w:lang w:eastAsia="zh-CN"/>
              </w:rPr>
              <w:t>1．严格占用项目类型。重大建设项目</w:t>
            </w:r>
            <w:r>
              <w:rPr>
                <w:rFonts w:hint="eastAsia" w:eastAsiaTheme="minorEastAsia"/>
                <w:bCs/>
                <w:color w:val="auto"/>
                <w:kern w:val="2"/>
                <w:highlight w:val="none"/>
                <w:shd w:val="clear" w:fill="FFFFFF"/>
                <w:lang w:eastAsia="zh-CN"/>
              </w:rPr>
              <w:t>确实</w:t>
            </w:r>
            <w:r>
              <w:rPr>
                <w:rFonts w:hint="eastAsia" w:eastAsiaTheme="minorEastAsia"/>
                <w:bCs/>
                <w:color w:val="auto"/>
                <w:kern w:val="2"/>
                <w:highlight w:val="none"/>
                <w:lang w:eastAsia="zh-CN"/>
              </w:rPr>
              <w:t>难以避让的可占用永久基本农田。此外，深度贫困地区、集中连片特困地区、国家扶贫开发工作重点县省级以下基础设施、易地扶贫搬迁、民生发展等建设项目，党中央、国务院确定的生态建设项目确实难以避让的也可占用永久基本农田。</w:t>
            </w:r>
          </w:p>
        </w:tc>
        <w:tc>
          <w:tcPr>
            <w:tcW w:w="487" w:type="pct"/>
            <w:vMerge w:val="continue"/>
            <w:vAlign w:val="center"/>
          </w:tcPr>
          <w:p>
            <w:pPr>
              <w:adjustRightInd w:val="0"/>
              <w:snapToGrid w:val="0"/>
              <w:spacing w:line="240" w:lineRule="auto"/>
              <w:ind w:firstLine="0" w:firstLineChars="0"/>
              <w:jc w:val="center"/>
              <w:rPr>
                <w:rFonts w:eastAsiaTheme="minorEastAsia"/>
                <w:color w:val="auto"/>
                <w:sz w:val="22"/>
                <w:szCs w:val="22"/>
                <w:highlight w:val="none"/>
              </w:rPr>
            </w:pPr>
          </w:p>
        </w:tc>
        <w:tc>
          <w:tcPr>
            <w:tcW w:w="290" w:type="pct"/>
            <w:vAlign w:val="center"/>
          </w:tcPr>
          <w:p>
            <w:pPr>
              <w:adjustRightInd w:val="0"/>
              <w:snapToGrid w:val="0"/>
              <w:spacing w:line="240" w:lineRule="auto"/>
              <w:ind w:firstLine="0" w:firstLineChars="0"/>
              <w:jc w:val="center"/>
              <w:rPr>
                <w:rFonts w:eastAsiaTheme="minorEastAsia"/>
                <w:bCs/>
                <w:color w:val="auto"/>
                <w:sz w:val="22"/>
                <w:szCs w:val="22"/>
                <w:highlight w:val="none"/>
              </w:rPr>
            </w:pPr>
            <w:r>
              <w:rPr>
                <w:rFonts w:eastAsiaTheme="minorEastAsia"/>
                <w:bCs/>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Merge w:val="restart"/>
            <w:vAlign w:val="center"/>
          </w:tcPr>
          <w:p>
            <w:pPr>
              <w:pStyle w:val="167"/>
              <w:autoSpaceDE/>
              <w:autoSpaceDN/>
              <w:adjustRightInd w:val="0"/>
              <w:snapToGrid w:val="0"/>
              <w:rPr>
                <w:rFonts w:eastAsiaTheme="minorEastAsia"/>
                <w:bCs/>
                <w:color w:val="auto"/>
                <w:kern w:val="2"/>
                <w:highlight w:val="none"/>
                <w:lang w:eastAsia="zh-CN"/>
              </w:rPr>
            </w:pPr>
            <w:r>
              <w:rPr>
                <w:rFonts w:hint="eastAsia" w:eastAsiaTheme="minorEastAsia"/>
                <w:bCs/>
                <w:color w:val="auto"/>
                <w:kern w:val="2"/>
                <w:highlight w:val="none"/>
                <w:lang w:val="en-US" w:eastAsia="zh-CN"/>
              </w:rPr>
              <w:t>5</w:t>
            </w:r>
          </w:p>
        </w:tc>
        <w:tc>
          <w:tcPr>
            <w:tcW w:w="797" w:type="pct"/>
            <w:vMerge w:val="restar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《重庆市规划和自然资源局关于</w:t>
            </w:r>
            <w:r>
              <w:rPr>
                <w:rFonts w:hint="eastAsia" w:eastAsiaTheme="minorEastAsia"/>
                <w:bCs/>
                <w:color w:val="auto"/>
                <w:kern w:val="2"/>
                <w:highlight w:val="none"/>
                <w:lang w:eastAsia="zh-CN"/>
              </w:rPr>
              <w:t>进一步</w:t>
            </w:r>
            <w:r>
              <w:rPr>
                <w:rFonts w:eastAsiaTheme="minorEastAsia"/>
                <w:bCs/>
                <w:color w:val="auto"/>
                <w:kern w:val="2"/>
                <w:highlight w:val="none"/>
                <w:lang w:eastAsia="zh-CN"/>
              </w:rPr>
              <w:t>加强占用永久基本农田管理的通知》（渝规资规范〔2020〕9号）</w:t>
            </w:r>
          </w:p>
        </w:tc>
        <w:tc>
          <w:tcPr>
            <w:tcW w:w="325" w:type="pct"/>
            <w:vMerge w:val="restar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严格建设占用补划永久基本农田</w:t>
            </w:r>
          </w:p>
        </w:tc>
        <w:tc>
          <w:tcPr>
            <w:tcW w:w="2893" w:type="pct"/>
            <w:vAlign w:val="center"/>
          </w:tcPr>
          <w:p>
            <w:pPr>
              <w:adjustRightInd w:val="0"/>
              <w:snapToGrid w:val="0"/>
              <w:spacing w:line="240" w:lineRule="auto"/>
              <w:ind w:firstLine="0" w:firstLineChars="0"/>
              <w:rPr>
                <w:rFonts w:eastAsiaTheme="minorEastAsia"/>
                <w:bCs/>
                <w:color w:val="auto"/>
                <w:sz w:val="22"/>
                <w:szCs w:val="22"/>
                <w:highlight w:val="none"/>
              </w:rPr>
            </w:pPr>
            <w:r>
              <w:rPr>
                <w:rFonts w:eastAsiaTheme="minorEastAsia"/>
                <w:color w:val="auto"/>
                <w:sz w:val="22"/>
                <w:szCs w:val="22"/>
                <w:highlight w:val="none"/>
              </w:rPr>
              <w:t>符合建设占用项目类型。一般建设项目不得占用永久基本农田。符合《自然资源部关于做好占用永久基本农田重大建设项目用地预审的通知》（自然资规〔2018〕3号）规定的重大建设项目， 深度贫困地区、集中连片特困地区、国家扶贫开发工作重点县市级以下基础设施、易地扶贫搬迁、民生发展等建设项目，自然资源部同意按重大建设项目办理的紧急用地项目建设可占用永久基本农田。</w:t>
            </w:r>
          </w:p>
        </w:tc>
        <w:tc>
          <w:tcPr>
            <w:tcW w:w="487" w:type="pct"/>
            <w:vMerge w:val="continue"/>
            <w:vAlign w:val="center"/>
          </w:tcPr>
          <w:p>
            <w:pPr>
              <w:adjustRightInd w:val="0"/>
              <w:snapToGrid w:val="0"/>
              <w:spacing w:line="240" w:lineRule="auto"/>
              <w:ind w:firstLine="0" w:firstLineChars="0"/>
              <w:rPr>
                <w:rFonts w:eastAsiaTheme="minorEastAsia"/>
                <w:color w:val="auto"/>
                <w:sz w:val="22"/>
                <w:szCs w:val="22"/>
                <w:highlight w:val="none"/>
              </w:rPr>
            </w:pPr>
          </w:p>
        </w:tc>
        <w:tc>
          <w:tcPr>
            <w:tcW w:w="290" w:type="pct"/>
            <w:vMerge w:val="restart"/>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eastAsiaTheme="minorEastAsia"/>
                <w:bCs/>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Merge w:val="continue"/>
            <w:vAlign w:val="center"/>
          </w:tcPr>
          <w:p>
            <w:pPr>
              <w:pStyle w:val="167"/>
              <w:autoSpaceDE/>
              <w:autoSpaceDN/>
              <w:adjustRightInd w:val="0"/>
              <w:snapToGrid w:val="0"/>
              <w:rPr>
                <w:rFonts w:eastAsiaTheme="minorEastAsia"/>
                <w:bCs/>
                <w:color w:val="auto"/>
                <w:kern w:val="2"/>
                <w:highlight w:val="none"/>
                <w:lang w:eastAsia="zh-CN"/>
              </w:rPr>
            </w:pPr>
          </w:p>
        </w:tc>
        <w:tc>
          <w:tcPr>
            <w:tcW w:w="797" w:type="pct"/>
            <w:vMerge w:val="continue"/>
            <w:vAlign w:val="center"/>
          </w:tcPr>
          <w:p>
            <w:pPr>
              <w:pStyle w:val="167"/>
              <w:autoSpaceDE/>
              <w:autoSpaceDN/>
              <w:adjustRightInd w:val="0"/>
              <w:snapToGrid w:val="0"/>
              <w:rPr>
                <w:rFonts w:eastAsiaTheme="minorEastAsia"/>
                <w:bCs/>
                <w:color w:val="auto"/>
                <w:kern w:val="2"/>
                <w:highlight w:val="none"/>
                <w:lang w:eastAsia="zh-CN"/>
              </w:rPr>
            </w:pPr>
          </w:p>
        </w:tc>
        <w:tc>
          <w:tcPr>
            <w:tcW w:w="325" w:type="pct"/>
            <w:vMerge w:val="continue"/>
            <w:vAlign w:val="center"/>
          </w:tcPr>
          <w:p>
            <w:pPr>
              <w:pStyle w:val="167"/>
              <w:autoSpaceDE/>
              <w:autoSpaceDN/>
              <w:adjustRightInd w:val="0"/>
              <w:snapToGrid w:val="0"/>
              <w:rPr>
                <w:rFonts w:eastAsiaTheme="minorEastAsia"/>
                <w:bCs/>
                <w:color w:val="auto"/>
                <w:kern w:val="2"/>
                <w:highlight w:val="none"/>
                <w:lang w:eastAsia="zh-CN"/>
              </w:rPr>
            </w:pPr>
          </w:p>
        </w:tc>
        <w:tc>
          <w:tcPr>
            <w:tcW w:w="2893" w:type="pct"/>
            <w:vAlign w:val="center"/>
          </w:tcPr>
          <w:p>
            <w:pPr>
              <w:adjustRightInd w:val="0"/>
              <w:snapToGrid w:val="0"/>
              <w:spacing w:line="240" w:lineRule="auto"/>
              <w:ind w:firstLine="0" w:firstLineChars="0"/>
              <w:rPr>
                <w:rFonts w:eastAsiaTheme="minorEastAsia"/>
                <w:color w:val="auto"/>
                <w:sz w:val="22"/>
                <w:szCs w:val="22"/>
                <w:highlight w:val="none"/>
              </w:rPr>
            </w:pPr>
            <w:r>
              <w:rPr>
                <w:rFonts w:eastAsiaTheme="minorEastAsia"/>
                <w:color w:val="auto"/>
                <w:sz w:val="22"/>
                <w:szCs w:val="22"/>
                <w:highlight w:val="none"/>
              </w:rPr>
              <w:t>符合建设占用永久基本农田的，按照“踏勘论证、编制方案、论证审核、落实责任”的工作程序，补划数量和质量相当的永久基本农田。</w:t>
            </w:r>
          </w:p>
        </w:tc>
        <w:tc>
          <w:tcPr>
            <w:tcW w:w="487" w:type="pct"/>
            <w:vMerge w:val="continue"/>
            <w:vAlign w:val="center"/>
          </w:tcPr>
          <w:p>
            <w:pPr>
              <w:adjustRightInd w:val="0"/>
              <w:snapToGrid w:val="0"/>
              <w:spacing w:line="240" w:lineRule="auto"/>
              <w:ind w:firstLine="0" w:firstLineChars="0"/>
              <w:rPr>
                <w:rFonts w:eastAsiaTheme="minorEastAsia"/>
                <w:bCs/>
                <w:color w:val="auto"/>
                <w:sz w:val="22"/>
                <w:szCs w:val="22"/>
                <w:highlight w:val="none"/>
              </w:rPr>
            </w:pPr>
          </w:p>
        </w:tc>
        <w:tc>
          <w:tcPr>
            <w:tcW w:w="290" w:type="pct"/>
            <w:vMerge w:val="continue"/>
            <w:vAlign w:val="center"/>
          </w:tcPr>
          <w:p>
            <w:pPr>
              <w:adjustRightInd w:val="0"/>
              <w:snapToGrid w:val="0"/>
              <w:spacing w:line="240" w:lineRule="auto"/>
              <w:ind w:firstLine="0" w:firstLineChars="0"/>
              <w:jc w:val="center"/>
              <w:rPr>
                <w:rFonts w:eastAsiaTheme="minorEastAsia"/>
                <w:bCs/>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Merge w:val="continue"/>
            <w:vAlign w:val="center"/>
          </w:tcPr>
          <w:p>
            <w:pPr>
              <w:pStyle w:val="167"/>
              <w:autoSpaceDE/>
              <w:autoSpaceDN/>
              <w:adjustRightInd w:val="0"/>
              <w:snapToGrid w:val="0"/>
              <w:rPr>
                <w:rFonts w:eastAsiaTheme="minorEastAsia"/>
                <w:bCs/>
                <w:color w:val="auto"/>
                <w:kern w:val="2"/>
                <w:highlight w:val="none"/>
                <w:lang w:eastAsia="zh-CN"/>
              </w:rPr>
            </w:pPr>
          </w:p>
        </w:tc>
        <w:tc>
          <w:tcPr>
            <w:tcW w:w="797" w:type="pct"/>
            <w:vMerge w:val="continue"/>
            <w:vAlign w:val="center"/>
          </w:tcPr>
          <w:p>
            <w:pPr>
              <w:pStyle w:val="167"/>
              <w:autoSpaceDE/>
              <w:autoSpaceDN/>
              <w:adjustRightInd w:val="0"/>
              <w:snapToGrid w:val="0"/>
              <w:rPr>
                <w:rFonts w:eastAsiaTheme="minorEastAsia"/>
                <w:bCs/>
                <w:color w:val="auto"/>
                <w:kern w:val="2"/>
                <w:highlight w:val="none"/>
                <w:lang w:eastAsia="zh-CN"/>
              </w:rPr>
            </w:pPr>
          </w:p>
        </w:tc>
        <w:tc>
          <w:tcPr>
            <w:tcW w:w="325"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严格临时占用永久基本农田</w:t>
            </w:r>
          </w:p>
        </w:tc>
        <w:tc>
          <w:tcPr>
            <w:tcW w:w="2893" w:type="pct"/>
            <w:vAlign w:val="center"/>
          </w:tcPr>
          <w:p>
            <w:pPr>
              <w:adjustRightInd w:val="0"/>
              <w:snapToGrid w:val="0"/>
              <w:spacing w:line="240" w:lineRule="auto"/>
              <w:ind w:firstLine="0" w:firstLineChars="0"/>
              <w:rPr>
                <w:rFonts w:eastAsiaTheme="minorEastAsia"/>
                <w:color w:val="auto"/>
                <w:sz w:val="22"/>
                <w:szCs w:val="22"/>
                <w:highlight w:val="none"/>
              </w:rPr>
            </w:pPr>
            <w:r>
              <w:rPr>
                <w:rFonts w:eastAsiaTheme="minorEastAsia"/>
                <w:color w:val="auto"/>
                <w:sz w:val="22"/>
                <w:szCs w:val="22"/>
                <w:highlight w:val="none"/>
              </w:rPr>
              <w:t>临时用地申请范围。临时用地一般不得占用永久基本农田，建设项目施工和地质勘查用地确实无法避让永久基本农田的，在不修建永久建（构）筑物、经复垦能恢复原种植条件的前提下，土地使用者按法定程序申请临时用地并编制土地复垦方案。</w:t>
            </w:r>
          </w:p>
        </w:tc>
        <w:tc>
          <w:tcPr>
            <w:tcW w:w="487" w:type="pct"/>
            <w:vMerge w:val="continue"/>
            <w:vAlign w:val="center"/>
          </w:tcPr>
          <w:p>
            <w:pPr>
              <w:adjustRightInd w:val="0"/>
              <w:snapToGrid w:val="0"/>
              <w:spacing w:line="240" w:lineRule="auto"/>
              <w:ind w:firstLine="0" w:firstLineChars="0"/>
              <w:rPr>
                <w:rFonts w:eastAsiaTheme="minorEastAsia"/>
                <w:bCs/>
                <w:color w:val="auto"/>
                <w:sz w:val="22"/>
                <w:szCs w:val="22"/>
                <w:highlight w:val="none"/>
              </w:rPr>
            </w:pPr>
          </w:p>
        </w:tc>
        <w:tc>
          <w:tcPr>
            <w:tcW w:w="290" w:type="pct"/>
            <w:vMerge w:val="continue"/>
            <w:vAlign w:val="center"/>
          </w:tcPr>
          <w:p>
            <w:pPr>
              <w:adjustRightInd w:val="0"/>
              <w:snapToGrid w:val="0"/>
              <w:spacing w:line="240" w:lineRule="auto"/>
              <w:ind w:firstLine="0" w:firstLineChars="0"/>
              <w:jc w:val="center"/>
              <w:rPr>
                <w:rFonts w:eastAsiaTheme="minorEastAsia"/>
                <w:bCs/>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Align w:val="center"/>
          </w:tcPr>
          <w:p>
            <w:pPr>
              <w:pStyle w:val="167"/>
              <w:autoSpaceDE/>
              <w:autoSpaceDN/>
              <w:adjustRightInd w:val="0"/>
              <w:snapToGrid w:val="0"/>
              <w:rPr>
                <w:rFonts w:hint="eastAsia" w:eastAsiaTheme="minorEastAsia"/>
                <w:bCs/>
                <w:color w:val="auto"/>
                <w:kern w:val="2"/>
                <w:highlight w:val="none"/>
                <w:lang w:val="en-US" w:eastAsia="zh-CN"/>
              </w:rPr>
            </w:pPr>
          </w:p>
        </w:tc>
        <w:tc>
          <w:tcPr>
            <w:tcW w:w="797" w:type="pct"/>
            <w:vAlign w:val="center"/>
          </w:tcPr>
          <w:p>
            <w:pPr>
              <w:pStyle w:val="167"/>
              <w:autoSpaceDE/>
              <w:autoSpaceDN/>
              <w:adjustRightInd w:val="0"/>
              <w:snapToGrid w:val="0"/>
              <w:rPr>
                <w:rFonts w:hint="eastAsia" w:eastAsiaTheme="minorEastAsia"/>
                <w:bCs/>
                <w:color w:val="auto"/>
                <w:kern w:val="2"/>
                <w:highlight w:val="none"/>
                <w:lang w:eastAsia="zh-CN"/>
              </w:rPr>
            </w:pPr>
            <w:r>
              <w:rPr>
                <w:rFonts w:hint="eastAsia" w:eastAsiaTheme="minorEastAsia"/>
                <w:bCs/>
                <w:color w:val="auto"/>
                <w:kern w:val="2"/>
                <w:highlight w:val="none"/>
                <w:lang w:eastAsia="zh-CN"/>
              </w:rPr>
              <w:t>《自然资源部关于进一步改进优化能源、交通、水利等重大建设项目用地组卷报批工作的通知》（自然资发〔2024〕36号）</w:t>
            </w:r>
          </w:p>
        </w:tc>
        <w:tc>
          <w:tcPr>
            <w:tcW w:w="325" w:type="pct"/>
            <w:vAlign w:val="center"/>
          </w:tcPr>
          <w:p>
            <w:pPr>
              <w:adjustRightInd w:val="0"/>
              <w:snapToGrid w:val="0"/>
              <w:spacing w:line="240" w:lineRule="auto"/>
              <w:ind w:firstLine="0" w:firstLineChars="0"/>
              <w:jc w:val="center"/>
              <w:rPr>
                <w:rFonts w:eastAsiaTheme="minorEastAsia"/>
                <w:color w:val="auto"/>
                <w:sz w:val="22"/>
                <w:szCs w:val="22"/>
                <w:highlight w:val="none"/>
              </w:rPr>
            </w:pPr>
            <w:r>
              <w:rPr>
                <w:rFonts w:hint="eastAsia" w:eastAsiaTheme="minorEastAsia"/>
                <w:color w:val="auto"/>
                <w:sz w:val="22"/>
                <w:szCs w:val="22"/>
                <w:highlight w:val="none"/>
              </w:rPr>
              <w:t>一、改进用地预审</w:t>
            </w:r>
          </w:p>
        </w:tc>
        <w:tc>
          <w:tcPr>
            <w:tcW w:w="2893" w:type="pct"/>
            <w:vAlign w:val="center"/>
          </w:tcPr>
          <w:p>
            <w:pPr>
              <w:adjustRightInd w:val="0"/>
              <w:snapToGrid w:val="0"/>
              <w:spacing w:line="240" w:lineRule="auto"/>
              <w:ind w:firstLine="0" w:firstLineChars="0"/>
              <w:rPr>
                <w:rFonts w:hint="eastAsia"/>
                <w:color w:val="auto"/>
                <w:sz w:val="22"/>
                <w:szCs w:val="22"/>
                <w:highlight w:val="none"/>
              </w:rPr>
            </w:pPr>
            <w:r>
              <w:rPr>
                <w:rFonts w:hint="eastAsia"/>
                <w:color w:val="auto"/>
                <w:sz w:val="22"/>
                <w:szCs w:val="22"/>
                <w:highlight w:val="none"/>
              </w:rPr>
              <w:t>1.取消重新预审。不再对建设项目农用地转用和土地征收申请总面积超出用地预审总面积达到10%以及范围重合度低于80%的重新预审，建设单位和地方自然资源主管部门在申报农用地转用和土地征收时对用地变化情况的必要性、合理性作出说明，省级以上自然资源主管部门严格审查把关。</w:t>
            </w:r>
          </w:p>
        </w:tc>
        <w:tc>
          <w:tcPr>
            <w:tcW w:w="487" w:type="pct"/>
            <w:vAlign w:val="center"/>
          </w:tcPr>
          <w:p>
            <w:pPr>
              <w:adjustRightInd w:val="0"/>
              <w:snapToGrid w:val="0"/>
              <w:spacing w:line="240" w:lineRule="auto"/>
              <w:ind w:firstLine="0" w:firstLineChars="0"/>
              <w:jc w:val="both"/>
              <w:rPr>
                <w:rFonts w:hint="eastAsia" w:eastAsia="宋体"/>
                <w:bCs/>
                <w:color w:val="auto"/>
                <w:sz w:val="22"/>
                <w:szCs w:val="22"/>
                <w:highlight w:val="none"/>
                <w:lang w:val="en-US" w:eastAsia="zh-CN"/>
              </w:rPr>
            </w:pPr>
            <w:r>
              <w:rPr>
                <w:rFonts w:hint="eastAsia" w:eastAsiaTheme="minorEastAsia"/>
                <w:bCs/>
                <w:color w:val="auto"/>
                <w:sz w:val="22"/>
                <w:szCs w:val="22"/>
                <w:highlight w:val="none"/>
                <w:lang w:eastAsia="zh-CN"/>
              </w:rPr>
              <w:t>项目于</w:t>
            </w:r>
            <w:r>
              <w:rPr>
                <w:rFonts w:hint="eastAsia" w:eastAsiaTheme="minorEastAsia"/>
                <w:bCs/>
                <w:color w:val="auto"/>
                <w:sz w:val="22"/>
                <w:szCs w:val="22"/>
                <w:highlight w:val="none"/>
                <w:lang w:val="en-US" w:eastAsia="zh-CN"/>
              </w:rPr>
              <w:t>2024年取得自然资源部用地预审意见，初设阶段由于平面布置调整等因素，导致用地面积较预审阶段增加，后续建设单位将按照有关要求申报</w:t>
            </w:r>
            <w:r>
              <w:rPr>
                <w:rFonts w:hint="eastAsia"/>
                <w:color w:val="auto"/>
                <w:sz w:val="22"/>
                <w:szCs w:val="22"/>
                <w:highlight w:val="none"/>
              </w:rPr>
              <w:t>农用地转用和土地征收</w:t>
            </w:r>
            <w:r>
              <w:rPr>
                <w:rFonts w:hint="eastAsia"/>
                <w:color w:val="auto"/>
                <w:sz w:val="22"/>
                <w:szCs w:val="22"/>
                <w:highlight w:val="none"/>
                <w:lang w:eastAsia="zh-CN"/>
              </w:rPr>
              <w:t>。</w:t>
            </w:r>
          </w:p>
        </w:tc>
        <w:tc>
          <w:tcPr>
            <w:tcW w:w="290" w:type="pct"/>
            <w:vAlign w:val="center"/>
          </w:tcPr>
          <w:p>
            <w:pPr>
              <w:adjustRightInd w:val="0"/>
              <w:snapToGrid w:val="0"/>
              <w:spacing w:line="240" w:lineRule="auto"/>
              <w:ind w:firstLine="0" w:firstLineChars="0"/>
              <w:jc w:val="center"/>
              <w:rPr>
                <w:rFonts w:hint="eastAsia" w:eastAsiaTheme="minorEastAsia"/>
                <w:bCs/>
                <w:color w:val="auto"/>
                <w:sz w:val="22"/>
                <w:szCs w:val="22"/>
                <w:highlight w:val="none"/>
              </w:rPr>
            </w:pPr>
            <w:r>
              <w:rPr>
                <w:rFonts w:eastAsiaTheme="minorEastAsia"/>
                <w:bCs/>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Merge w:val="restart"/>
            <w:vAlign w:val="center"/>
          </w:tcPr>
          <w:p>
            <w:pPr>
              <w:pStyle w:val="167"/>
              <w:autoSpaceDE/>
              <w:autoSpaceDN/>
              <w:adjustRightInd w:val="0"/>
              <w:snapToGrid w:val="0"/>
              <w:rPr>
                <w:rFonts w:eastAsiaTheme="minorEastAsia"/>
                <w:bCs/>
                <w:color w:val="auto"/>
                <w:kern w:val="2"/>
                <w:highlight w:val="none"/>
                <w:lang w:eastAsia="zh-CN"/>
              </w:rPr>
            </w:pPr>
            <w:r>
              <w:rPr>
                <w:rFonts w:hint="eastAsia" w:eastAsiaTheme="minorEastAsia"/>
                <w:bCs/>
                <w:color w:val="auto"/>
                <w:kern w:val="2"/>
                <w:highlight w:val="none"/>
                <w:lang w:val="en-US" w:eastAsia="zh-CN"/>
              </w:rPr>
              <w:t>6</w:t>
            </w:r>
          </w:p>
        </w:tc>
        <w:tc>
          <w:tcPr>
            <w:tcW w:w="797" w:type="pct"/>
            <w:vMerge w:val="restart"/>
            <w:vAlign w:val="center"/>
          </w:tcPr>
          <w:p>
            <w:pPr>
              <w:pStyle w:val="167"/>
              <w:autoSpaceDE/>
              <w:autoSpaceDN/>
              <w:adjustRightInd w:val="0"/>
              <w:snapToGrid w:val="0"/>
              <w:rPr>
                <w:rFonts w:eastAsiaTheme="minorEastAsia"/>
                <w:bCs/>
                <w:color w:val="auto"/>
                <w:kern w:val="2"/>
                <w:highlight w:val="none"/>
                <w:lang w:eastAsia="zh-CN"/>
              </w:rPr>
            </w:pPr>
            <w:r>
              <w:rPr>
                <w:rFonts w:hint="eastAsia" w:eastAsiaTheme="minorEastAsia"/>
                <w:bCs/>
                <w:color w:val="auto"/>
                <w:kern w:val="2"/>
                <w:highlight w:val="none"/>
                <w:lang w:eastAsia="zh-CN"/>
              </w:rPr>
              <w:t>《自然资源部关于规范临时用地管理的通知》（自然资规〔2021〕2号）</w:t>
            </w:r>
          </w:p>
        </w:tc>
        <w:tc>
          <w:tcPr>
            <w:tcW w:w="325" w:type="pct"/>
            <w:vAlign w:val="center"/>
          </w:tcPr>
          <w:p>
            <w:pPr>
              <w:adjustRightInd w:val="0"/>
              <w:snapToGrid w:val="0"/>
              <w:spacing w:line="240" w:lineRule="auto"/>
              <w:ind w:firstLine="0" w:firstLineChars="0"/>
              <w:rPr>
                <w:rFonts w:eastAsiaTheme="minorEastAsia"/>
                <w:color w:val="auto"/>
                <w:sz w:val="22"/>
                <w:szCs w:val="22"/>
                <w:highlight w:val="none"/>
              </w:rPr>
            </w:pPr>
            <w:r>
              <w:rPr>
                <w:rFonts w:eastAsiaTheme="minorEastAsia"/>
                <w:color w:val="auto"/>
                <w:sz w:val="22"/>
                <w:szCs w:val="22"/>
                <w:highlight w:val="none"/>
              </w:rPr>
              <w:t>一、界定临时用地使用范围</w:t>
            </w:r>
          </w:p>
        </w:tc>
        <w:tc>
          <w:tcPr>
            <w:tcW w:w="2893" w:type="pct"/>
            <w:vAlign w:val="center"/>
          </w:tcPr>
          <w:p>
            <w:pPr>
              <w:adjustRightInd w:val="0"/>
              <w:snapToGrid w:val="0"/>
              <w:spacing w:line="240" w:lineRule="auto"/>
              <w:ind w:firstLine="0" w:firstLineChars="0"/>
              <w:rPr>
                <w:color w:val="auto"/>
                <w:sz w:val="22"/>
                <w:szCs w:val="22"/>
                <w:highlight w:val="none"/>
              </w:rPr>
            </w:pPr>
            <w:r>
              <w:rPr>
                <w:rFonts w:hint="eastAsia"/>
                <w:color w:val="auto"/>
                <w:sz w:val="22"/>
                <w:szCs w:val="22"/>
                <w:highlight w:val="none"/>
              </w:rPr>
              <w:t>（一）建设项目施工过程中建设的直接服务于施工人员的临时办公和生活用房，包括临时办公用房、生活用房、工棚等使用的土地；直接服务于工程施工的项目自用辅助工程，包括农用地表土剥离堆放场、材料堆场、制梁场、</w:t>
            </w:r>
            <w:r>
              <w:rPr>
                <w:rFonts w:hint="eastAsia"/>
                <w:color w:val="auto"/>
                <w:sz w:val="22"/>
                <w:szCs w:val="22"/>
                <w:highlight w:val="none"/>
                <w:shd w:val="clear" w:fill="FFFFFF"/>
              </w:rPr>
              <w:t>拌合站</w:t>
            </w:r>
            <w:r>
              <w:rPr>
                <w:rFonts w:hint="eastAsia"/>
                <w:color w:val="auto"/>
                <w:sz w:val="22"/>
                <w:szCs w:val="22"/>
                <w:highlight w:val="none"/>
              </w:rPr>
              <w:t>、钢筋加工厂、施工便道、运输便道、地上线路架设、地下管线敷设作业，以及能源、交通、水利等基础设施项目的取土场、弃土（渣）场等使用的土地。</w:t>
            </w:r>
          </w:p>
          <w:p>
            <w:pPr>
              <w:adjustRightInd w:val="0"/>
              <w:snapToGrid w:val="0"/>
              <w:spacing w:line="240" w:lineRule="auto"/>
              <w:ind w:firstLine="0" w:firstLineChars="0"/>
              <w:rPr>
                <w:color w:val="auto"/>
                <w:sz w:val="22"/>
                <w:szCs w:val="22"/>
                <w:highlight w:val="none"/>
              </w:rPr>
            </w:pPr>
            <w:r>
              <w:rPr>
                <w:rFonts w:hint="eastAsia"/>
                <w:color w:val="auto"/>
                <w:sz w:val="22"/>
                <w:szCs w:val="22"/>
                <w:highlight w:val="none"/>
              </w:rPr>
              <w:t>（二）矿产资源勘查、工程地质勘查、水文地质勘查等，在勘查期间临时生活用房、临时工棚、勘查作业及其辅助工程、施工便道、运输便道等使用的土地，包括油气资源勘查中钻井井场、配套管线、电力设施、进场道路等钻井及配套设施使用的土地。</w:t>
            </w:r>
          </w:p>
          <w:p>
            <w:pPr>
              <w:adjustRightInd w:val="0"/>
              <w:snapToGrid w:val="0"/>
              <w:spacing w:line="240" w:lineRule="auto"/>
              <w:ind w:firstLine="0" w:firstLineChars="0"/>
              <w:rPr>
                <w:rFonts w:eastAsiaTheme="minorEastAsia"/>
                <w:color w:val="auto"/>
                <w:sz w:val="22"/>
                <w:szCs w:val="22"/>
                <w:highlight w:val="none"/>
              </w:rPr>
            </w:pPr>
            <w:r>
              <w:rPr>
                <w:rFonts w:hint="eastAsia"/>
                <w:color w:val="auto"/>
                <w:sz w:val="22"/>
                <w:szCs w:val="22"/>
                <w:highlight w:val="none"/>
              </w:rPr>
              <w:t>（三）符合</w:t>
            </w:r>
            <w:r>
              <w:rPr>
                <w:rFonts w:hint="eastAsia"/>
                <w:color w:val="auto"/>
                <w:sz w:val="22"/>
                <w:szCs w:val="22"/>
                <w:highlight w:val="none"/>
                <w:shd w:val="clear" w:fill="FFFFFF"/>
              </w:rPr>
              <w:t>法律、法规</w:t>
            </w:r>
            <w:r>
              <w:rPr>
                <w:rFonts w:hint="eastAsia"/>
                <w:color w:val="auto"/>
                <w:sz w:val="22"/>
                <w:szCs w:val="22"/>
                <w:highlight w:val="none"/>
              </w:rPr>
              <w:t>规定的其他需要临时使用的土地。</w:t>
            </w:r>
          </w:p>
        </w:tc>
        <w:tc>
          <w:tcPr>
            <w:tcW w:w="487" w:type="pct"/>
            <w:vMerge w:val="restart"/>
            <w:vAlign w:val="center"/>
          </w:tcPr>
          <w:p>
            <w:pPr>
              <w:adjustRightInd w:val="0"/>
              <w:snapToGrid w:val="0"/>
              <w:spacing w:line="240" w:lineRule="auto"/>
              <w:ind w:firstLine="0" w:firstLineChars="0"/>
              <w:rPr>
                <w:rFonts w:hint="eastAsia" w:eastAsiaTheme="minorEastAsia"/>
                <w:bCs/>
                <w:color w:val="auto"/>
                <w:sz w:val="22"/>
                <w:szCs w:val="22"/>
                <w:highlight w:val="none"/>
                <w:lang w:eastAsia="zh-CN"/>
              </w:rPr>
            </w:pPr>
            <w:r>
              <w:rPr>
                <w:rFonts w:hint="eastAsia" w:eastAsiaTheme="minorEastAsia"/>
                <w:bCs/>
                <w:color w:val="auto"/>
                <w:sz w:val="22"/>
                <w:szCs w:val="22"/>
                <w:highlight w:val="none"/>
                <w:lang w:eastAsia="zh-CN"/>
              </w:rPr>
              <w:t>项目对施工期占地进行了充分合理规划，施工场地主要布置在现有枢纽管理区范围内，最大程度减少了施工临时占地面积，主要临时占地为弃渣场占地，由于区域永久基本农田分布较广，不可避免占用少量永久基本农田，施工完成后将按照要求开展土地复垦及生态恢复工作，</w:t>
            </w:r>
            <w:r>
              <w:rPr>
                <w:rFonts w:eastAsiaTheme="minorEastAsia"/>
                <w:color w:val="auto"/>
                <w:sz w:val="22"/>
                <w:szCs w:val="22"/>
                <w:highlight w:val="none"/>
              </w:rPr>
              <w:t>恢复原种植条件</w:t>
            </w:r>
            <w:r>
              <w:rPr>
                <w:rFonts w:hint="eastAsia" w:eastAsiaTheme="minorEastAsia"/>
                <w:bCs/>
                <w:color w:val="auto"/>
                <w:sz w:val="22"/>
                <w:szCs w:val="22"/>
                <w:highlight w:val="none"/>
                <w:lang w:eastAsia="zh-CN"/>
              </w:rPr>
              <w:t>。</w:t>
            </w:r>
          </w:p>
        </w:tc>
        <w:tc>
          <w:tcPr>
            <w:tcW w:w="290" w:type="pct"/>
            <w:vAlign w:val="center"/>
          </w:tcPr>
          <w:p>
            <w:pPr>
              <w:adjustRightInd w:val="0"/>
              <w:snapToGrid w:val="0"/>
              <w:spacing w:line="240" w:lineRule="auto"/>
              <w:ind w:firstLine="0" w:firstLineChars="0"/>
              <w:jc w:val="center"/>
              <w:rPr>
                <w:rFonts w:eastAsiaTheme="minorEastAsia"/>
                <w:bCs/>
                <w:color w:val="auto"/>
                <w:sz w:val="22"/>
                <w:szCs w:val="22"/>
                <w:highlight w:val="none"/>
              </w:rPr>
            </w:pPr>
            <w:r>
              <w:rPr>
                <w:rFonts w:hint="eastAsia" w:eastAsiaTheme="minorEastAsia"/>
                <w:bCs/>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Merge w:val="continue"/>
            <w:vAlign w:val="center"/>
          </w:tcPr>
          <w:p>
            <w:pPr>
              <w:pStyle w:val="167"/>
              <w:autoSpaceDE/>
              <w:autoSpaceDN/>
              <w:adjustRightInd w:val="0"/>
              <w:snapToGrid w:val="0"/>
              <w:rPr>
                <w:rFonts w:eastAsiaTheme="minorEastAsia"/>
                <w:bCs/>
                <w:color w:val="auto"/>
                <w:kern w:val="2"/>
                <w:highlight w:val="none"/>
                <w:lang w:eastAsia="zh-CN"/>
              </w:rPr>
            </w:pPr>
          </w:p>
        </w:tc>
        <w:tc>
          <w:tcPr>
            <w:tcW w:w="797" w:type="pct"/>
            <w:vMerge w:val="continue"/>
            <w:vAlign w:val="center"/>
          </w:tcPr>
          <w:p>
            <w:pPr>
              <w:pStyle w:val="167"/>
              <w:autoSpaceDE/>
              <w:autoSpaceDN/>
              <w:adjustRightInd w:val="0"/>
              <w:snapToGrid w:val="0"/>
              <w:rPr>
                <w:rFonts w:eastAsiaTheme="minorEastAsia"/>
                <w:bCs/>
                <w:color w:val="auto"/>
                <w:kern w:val="2"/>
                <w:highlight w:val="none"/>
                <w:lang w:eastAsia="zh-CN"/>
              </w:rPr>
            </w:pPr>
          </w:p>
        </w:tc>
        <w:tc>
          <w:tcPr>
            <w:tcW w:w="325" w:type="pct"/>
            <w:vAlign w:val="center"/>
          </w:tcPr>
          <w:p>
            <w:pPr>
              <w:adjustRightInd w:val="0"/>
              <w:snapToGrid w:val="0"/>
              <w:spacing w:line="240" w:lineRule="auto"/>
              <w:ind w:firstLine="0" w:firstLineChars="0"/>
              <w:rPr>
                <w:rFonts w:eastAsiaTheme="minorEastAsia"/>
                <w:color w:val="auto"/>
                <w:sz w:val="22"/>
                <w:szCs w:val="22"/>
                <w:highlight w:val="none"/>
              </w:rPr>
            </w:pPr>
            <w:r>
              <w:rPr>
                <w:rFonts w:eastAsiaTheme="minorEastAsia"/>
                <w:color w:val="auto"/>
                <w:sz w:val="22"/>
                <w:szCs w:val="22"/>
                <w:highlight w:val="none"/>
              </w:rPr>
              <w:t>二、临时用地选址要求和使用期限</w:t>
            </w:r>
          </w:p>
        </w:tc>
        <w:tc>
          <w:tcPr>
            <w:tcW w:w="2893" w:type="pct"/>
            <w:vAlign w:val="center"/>
          </w:tcPr>
          <w:p>
            <w:pPr>
              <w:adjustRightInd w:val="0"/>
              <w:snapToGrid w:val="0"/>
              <w:spacing w:line="240" w:lineRule="auto"/>
              <w:ind w:firstLine="0" w:firstLineChars="0"/>
              <w:rPr>
                <w:rFonts w:eastAsiaTheme="minorEastAsia"/>
                <w:color w:val="auto"/>
                <w:sz w:val="22"/>
                <w:szCs w:val="22"/>
                <w:highlight w:val="none"/>
              </w:rPr>
            </w:pPr>
            <w:r>
              <w:rPr>
                <w:rFonts w:eastAsiaTheme="minorEastAsia"/>
                <w:color w:val="auto"/>
                <w:sz w:val="22"/>
                <w:szCs w:val="22"/>
                <w:highlight w:val="none"/>
              </w:rPr>
              <w:t>建设项目施工、地质勘查使用临时用地时应坚持“用多少、批多少、占多少、恢复多少”，尽量不占或者少占耕地。使用后土地复垦难度较大的临时用地，要严格控制占用耕地。铁路、公路等单独选址建设项目，应科学组织施工，节约集约使用临时用地。制梁场、</w:t>
            </w:r>
            <w:r>
              <w:rPr>
                <w:rFonts w:eastAsiaTheme="minorEastAsia"/>
                <w:color w:val="auto"/>
                <w:sz w:val="22"/>
                <w:szCs w:val="22"/>
                <w:highlight w:val="none"/>
                <w:shd w:val="clear" w:fill="FFFFFF"/>
              </w:rPr>
              <w:t>拌合站</w:t>
            </w:r>
            <w:r>
              <w:rPr>
                <w:rFonts w:eastAsiaTheme="minorEastAsia"/>
                <w:color w:val="auto"/>
                <w:sz w:val="22"/>
                <w:szCs w:val="22"/>
                <w:highlight w:val="none"/>
              </w:rPr>
              <w:t>等难以恢复原种植条件的不得以临时用地方式占用耕地和永久基本农田，可以建设用地方式或者临时占用未利用地方式使用土地。临时用地确需占用永久基本农田的，必须能够恢复原种植条件，并符合《自然资源部农业农村部关于加强和改进永久基本农田保护工作的通知》（自然资规〔2019〕1号）中申请条件、土壤剥离、复垦验收等有关规定。</w:t>
            </w:r>
          </w:p>
        </w:tc>
        <w:tc>
          <w:tcPr>
            <w:tcW w:w="487" w:type="pct"/>
            <w:vMerge w:val="continue"/>
            <w:vAlign w:val="center"/>
          </w:tcPr>
          <w:p>
            <w:pPr>
              <w:adjustRightInd w:val="0"/>
              <w:snapToGrid w:val="0"/>
              <w:spacing w:line="240" w:lineRule="auto"/>
              <w:ind w:firstLine="0" w:firstLineChars="0"/>
              <w:rPr>
                <w:rFonts w:eastAsiaTheme="minorEastAsia"/>
                <w:bCs/>
                <w:color w:val="auto"/>
                <w:sz w:val="22"/>
                <w:szCs w:val="22"/>
                <w:highlight w:val="none"/>
              </w:rPr>
            </w:pPr>
          </w:p>
        </w:tc>
        <w:tc>
          <w:tcPr>
            <w:tcW w:w="290" w:type="pct"/>
            <w:vAlign w:val="center"/>
          </w:tcPr>
          <w:p>
            <w:pPr>
              <w:adjustRightInd w:val="0"/>
              <w:snapToGrid w:val="0"/>
              <w:spacing w:line="240" w:lineRule="auto"/>
              <w:ind w:firstLine="0" w:firstLineChars="0"/>
              <w:jc w:val="center"/>
              <w:rPr>
                <w:rFonts w:eastAsiaTheme="minorEastAsia"/>
                <w:bCs/>
                <w:color w:val="auto"/>
                <w:sz w:val="22"/>
                <w:szCs w:val="22"/>
                <w:highlight w:val="none"/>
              </w:rPr>
            </w:pPr>
            <w:r>
              <w:rPr>
                <w:rFonts w:hint="eastAsia" w:eastAsiaTheme="minorEastAsia"/>
                <w:bCs/>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Merge w:val="restart"/>
            <w:vAlign w:val="center"/>
          </w:tcPr>
          <w:p>
            <w:pPr>
              <w:pStyle w:val="167"/>
              <w:autoSpaceDE/>
              <w:autoSpaceDN/>
              <w:adjustRightInd w:val="0"/>
              <w:snapToGrid w:val="0"/>
              <w:rPr>
                <w:rFonts w:eastAsiaTheme="minorEastAsia"/>
                <w:bCs/>
                <w:color w:val="auto"/>
                <w:kern w:val="2"/>
                <w:highlight w:val="none"/>
                <w:lang w:eastAsia="zh-CN"/>
              </w:rPr>
            </w:pPr>
            <w:r>
              <w:rPr>
                <w:rFonts w:hint="eastAsia" w:eastAsiaTheme="minorEastAsia"/>
                <w:bCs/>
                <w:color w:val="auto"/>
                <w:kern w:val="2"/>
                <w:highlight w:val="none"/>
                <w:lang w:val="en-US" w:eastAsia="zh-CN"/>
              </w:rPr>
              <w:t>7</w:t>
            </w:r>
          </w:p>
        </w:tc>
        <w:tc>
          <w:tcPr>
            <w:tcW w:w="797" w:type="pct"/>
            <w:vMerge w:val="restart"/>
            <w:vAlign w:val="center"/>
          </w:tcPr>
          <w:p>
            <w:pPr>
              <w:pStyle w:val="167"/>
              <w:autoSpaceDE/>
              <w:autoSpaceDN/>
              <w:adjustRightInd w:val="0"/>
              <w:snapToGrid w:val="0"/>
              <w:rPr>
                <w:rFonts w:eastAsiaTheme="minorEastAsia"/>
                <w:bCs/>
                <w:color w:val="auto"/>
                <w:kern w:val="2"/>
                <w:highlight w:val="none"/>
                <w:lang w:eastAsia="zh-CN"/>
              </w:rPr>
            </w:pPr>
            <w:r>
              <w:rPr>
                <w:rFonts w:hint="eastAsia" w:eastAsiaTheme="minorEastAsia"/>
                <w:bCs/>
                <w:color w:val="auto"/>
                <w:kern w:val="2"/>
                <w:highlight w:val="none"/>
                <w:lang w:eastAsia="zh-CN"/>
              </w:rPr>
              <w:t>《</w:t>
            </w:r>
            <w:r>
              <w:rPr>
                <w:rFonts w:eastAsiaTheme="minorEastAsia"/>
                <w:bCs/>
                <w:color w:val="auto"/>
                <w:kern w:val="2"/>
                <w:highlight w:val="none"/>
                <w:lang w:eastAsia="zh-CN"/>
              </w:rPr>
              <w:t>重庆市规划和自然资源局关于规范临时用地管理的通知</w:t>
            </w:r>
            <w:r>
              <w:rPr>
                <w:rFonts w:hint="eastAsia" w:eastAsiaTheme="minorEastAsia"/>
                <w:bCs/>
                <w:color w:val="auto"/>
                <w:kern w:val="2"/>
                <w:highlight w:val="none"/>
                <w:lang w:eastAsia="zh-CN"/>
              </w:rPr>
              <w:t>》</w:t>
            </w:r>
            <w:r>
              <w:rPr>
                <w:rFonts w:eastAsiaTheme="minorEastAsia"/>
                <w:bCs/>
                <w:color w:val="auto"/>
                <w:kern w:val="2"/>
                <w:highlight w:val="none"/>
                <w:lang w:eastAsia="zh-CN"/>
              </w:rPr>
              <w:t>（渝规资规范〔2022〕1号）</w:t>
            </w:r>
          </w:p>
        </w:tc>
        <w:tc>
          <w:tcPr>
            <w:tcW w:w="325" w:type="pct"/>
            <w:vMerge w:val="restar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引导临时用地科学合理选址</w:t>
            </w:r>
          </w:p>
        </w:tc>
        <w:tc>
          <w:tcPr>
            <w:tcW w:w="2893" w:type="pct"/>
            <w:vAlign w:val="center"/>
          </w:tcPr>
          <w:p>
            <w:pPr>
              <w:adjustRightInd w:val="0"/>
              <w:snapToGrid w:val="0"/>
              <w:spacing w:line="240" w:lineRule="auto"/>
              <w:ind w:firstLine="0" w:firstLineChars="0"/>
              <w:rPr>
                <w:rFonts w:eastAsiaTheme="minorEastAsia"/>
                <w:color w:val="auto"/>
                <w:sz w:val="22"/>
                <w:szCs w:val="22"/>
                <w:highlight w:val="none"/>
              </w:rPr>
            </w:pPr>
            <w:r>
              <w:rPr>
                <w:rFonts w:eastAsiaTheme="minorEastAsia"/>
                <w:color w:val="auto"/>
                <w:sz w:val="22"/>
                <w:szCs w:val="22"/>
                <w:highlight w:val="none"/>
              </w:rPr>
              <w:t>临时用地应当合理选址，节约集约用地，尽量不占或者少占耕地。使用后土地复垦难度较大的临时用地，要严格控制占用耕地。制梁场、</w:t>
            </w:r>
            <w:r>
              <w:rPr>
                <w:rFonts w:eastAsiaTheme="minorEastAsia"/>
                <w:color w:val="auto"/>
                <w:sz w:val="22"/>
                <w:szCs w:val="22"/>
                <w:highlight w:val="none"/>
                <w:shd w:val="clear" w:fill="FFFFFF"/>
              </w:rPr>
              <w:t>拌合站</w:t>
            </w:r>
            <w:r>
              <w:rPr>
                <w:rFonts w:eastAsiaTheme="minorEastAsia"/>
                <w:color w:val="auto"/>
                <w:sz w:val="22"/>
                <w:szCs w:val="22"/>
                <w:highlight w:val="none"/>
              </w:rPr>
              <w:t>等难以恢复原种植条件的不得以临时用地方式占用耕地和永久基本农田，可以建设用地方式或者临时占用未利用地方式使用土地。临时用地一般不得占用永久基本农田，确需占用永久基本农田的，必须能够恢复原种植条件，并符合《重庆市规划和自然资源局 重庆市农业农村委员会关于加强和改进永久基本农田保护工作的实施意见》（渝规资规范〔2020〕1号）中申请条件、土壤剥离、复垦验收等有关规定。</w:t>
            </w:r>
          </w:p>
        </w:tc>
        <w:tc>
          <w:tcPr>
            <w:tcW w:w="487" w:type="pct"/>
            <w:vMerge w:val="continue"/>
            <w:vAlign w:val="center"/>
          </w:tcPr>
          <w:p>
            <w:pPr>
              <w:adjustRightInd w:val="0"/>
              <w:snapToGrid w:val="0"/>
              <w:spacing w:line="240" w:lineRule="auto"/>
              <w:ind w:firstLine="0" w:firstLineChars="0"/>
              <w:rPr>
                <w:rFonts w:eastAsiaTheme="minorEastAsia"/>
                <w:bCs/>
                <w:color w:val="auto"/>
                <w:sz w:val="22"/>
                <w:szCs w:val="22"/>
                <w:highlight w:val="none"/>
              </w:rPr>
            </w:pPr>
          </w:p>
        </w:tc>
        <w:tc>
          <w:tcPr>
            <w:tcW w:w="290" w:type="pct"/>
            <w:vMerge w:val="restart"/>
            <w:vAlign w:val="center"/>
          </w:tcPr>
          <w:p>
            <w:pPr>
              <w:adjustRightInd w:val="0"/>
              <w:snapToGrid w:val="0"/>
              <w:spacing w:line="240" w:lineRule="auto"/>
              <w:ind w:firstLine="0" w:firstLineChars="0"/>
              <w:jc w:val="center"/>
              <w:rPr>
                <w:rFonts w:eastAsiaTheme="minorEastAsia"/>
                <w:bCs/>
                <w:color w:val="auto"/>
                <w:sz w:val="22"/>
                <w:szCs w:val="22"/>
                <w:highlight w:val="none"/>
              </w:rPr>
            </w:pPr>
            <w:r>
              <w:rPr>
                <w:rFonts w:eastAsiaTheme="minorEastAsia"/>
                <w:bCs/>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Merge w:val="continue"/>
            <w:vAlign w:val="center"/>
          </w:tcPr>
          <w:p>
            <w:pPr>
              <w:pStyle w:val="167"/>
              <w:autoSpaceDE/>
              <w:autoSpaceDN/>
              <w:adjustRightInd w:val="0"/>
              <w:snapToGrid w:val="0"/>
              <w:rPr>
                <w:rFonts w:eastAsiaTheme="minorEastAsia"/>
                <w:bCs/>
                <w:color w:val="auto"/>
                <w:kern w:val="2"/>
                <w:highlight w:val="none"/>
                <w:lang w:eastAsia="zh-CN"/>
              </w:rPr>
            </w:pPr>
          </w:p>
        </w:tc>
        <w:tc>
          <w:tcPr>
            <w:tcW w:w="797" w:type="pct"/>
            <w:vMerge w:val="continue"/>
            <w:vAlign w:val="center"/>
          </w:tcPr>
          <w:p>
            <w:pPr>
              <w:pStyle w:val="167"/>
              <w:autoSpaceDE/>
              <w:autoSpaceDN/>
              <w:adjustRightInd w:val="0"/>
              <w:snapToGrid w:val="0"/>
              <w:rPr>
                <w:rFonts w:eastAsiaTheme="minorEastAsia"/>
                <w:bCs/>
                <w:color w:val="auto"/>
                <w:kern w:val="2"/>
                <w:highlight w:val="none"/>
                <w:lang w:eastAsia="zh-CN"/>
              </w:rPr>
            </w:pPr>
          </w:p>
        </w:tc>
        <w:tc>
          <w:tcPr>
            <w:tcW w:w="325" w:type="pct"/>
            <w:vMerge w:val="continue"/>
            <w:vAlign w:val="center"/>
          </w:tcPr>
          <w:p>
            <w:pPr>
              <w:pStyle w:val="167"/>
              <w:autoSpaceDE/>
              <w:autoSpaceDN/>
              <w:adjustRightInd w:val="0"/>
              <w:snapToGrid w:val="0"/>
              <w:rPr>
                <w:rFonts w:eastAsiaTheme="minorEastAsia"/>
                <w:bCs/>
                <w:color w:val="auto"/>
                <w:kern w:val="2"/>
                <w:highlight w:val="none"/>
                <w:lang w:eastAsia="zh-CN"/>
              </w:rPr>
            </w:pPr>
          </w:p>
        </w:tc>
        <w:tc>
          <w:tcPr>
            <w:tcW w:w="2893" w:type="pct"/>
            <w:vAlign w:val="center"/>
          </w:tcPr>
          <w:p>
            <w:pPr>
              <w:adjustRightInd w:val="0"/>
              <w:snapToGrid w:val="0"/>
              <w:spacing w:line="240" w:lineRule="auto"/>
              <w:ind w:firstLine="0" w:firstLineChars="0"/>
              <w:rPr>
                <w:rFonts w:eastAsiaTheme="minorEastAsia"/>
                <w:color w:val="auto"/>
                <w:sz w:val="22"/>
                <w:szCs w:val="22"/>
                <w:highlight w:val="none"/>
              </w:rPr>
            </w:pPr>
            <w:r>
              <w:rPr>
                <w:rFonts w:eastAsiaTheme="minorEastAsia"/>
                <w:color w:val="auto"/>
                <w:sz w:val="22"/>
                <w:szCs w:val="22"/>
                <w:highlight w:val="none"/>
              </w:rPr>
              <w:t>临时用地位于能源、交通、水利等工程保护范围内，或者涉及占用林地、草地、湿地以及各类保护区等生态管控区域，在办理临时用地审批手续前，应当按规定取得有关主管部门和管理机构意见，需要进行论证的，还应当按规定进行充分论证。</w:t>
            </w:r>
          </w:p>
        </w:tc>
        <w:tc>
          <w:tcPr>
            <w:tcW w:w="487" w:type="pct"/>
            <w:vMerge w:val="continue"/>
            <w:vAlign w:val="center"/>
          </w:tcPr>
          <w:p>
            <w:pPr>
              <w:adjustRightInd w:val="0"/>
              <w:snapToGrid w:val="0"/>
              <w:spacing w:line="240" w:lineRule="auto"/>
              <w:ind w:firstLine="0" w:firstLineChars="0"/>
              <w:jc w:val="center"/>
              <w:rPr>
                <w:rFonts w:eastAsiaTheme="minorEastAsia"/>
                <w:bCs/>
                <w:color w:val="auto"/>
                <w:sz w:val="22"/>
                <w:szCs w:val="22"/>
                <w:highlight w:val="none"/>
              </w:rPr>
            </w:pPr>
          </w:p>
        </w:tc>
        <w:tc>
          <w:tcPr>
            <w:tcW w:w="290" w:type="pct"/>
            <w:vMerge w:val="continue"/>
            <w:vAlign w:val="center"/>
          </w:tcPr>
          <w:p>
            <w:pPr>
              <w:adjustRightInd w:val="0"/>
              <w:snapToGrid w:val="0"/>
              <w:spacing w:line="240" w:lineRule="auto"/>
              <w:ind w:firstLine="0" w:firstLineChars="0"/>
              <w:jc w:val="center"/>
              <w:rPr>
                <w:rFonts w:eastAsiaTheme="minorEastAsia"/>
                <w:bCs/>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Merge w:val="continue"/>
            <w:vAlign w:val="center"/>
          </w:tcPr>
          <w:p>
            <w:pPr>
              <w:pStyle w:val="167"/>
              <w:autoSpaceDE/>
              <w:autoSpaceDN/>
              <w:adjustRightInd w:val="0"/>
              <w:snapToGrid w:val="0"/>
              <w:rPr>
                <w:rFonts w:eastAsiaTheme="minorEastAsia"/>
                <w:bCs/>
                <w:color w:val="auto"/>
                <w:kern w:val="2"/>
                <w:highlight w:val="none"/>
                <w:lang w:eastAsia="zh-CN"/>
              </w:rPr>
            </w:pPr>
          </w:p>
        </w:tc>
        <w:tc>
          <w:tcPr>
            <w:tcW w:w="797" w:type="pct"/>
            <w:vMerge w:val="continue"/>
            <w:vAlign w:val="center"/>
          </w:tcPr>
          <w:p>
            <w:pPr>
              <w:pStyle w:val="167"/>
              <w:autoSpaceDE/>
              <w:autoSpaceDN/>
              <w:adjustRightInd w:val="0"/>
              <w:snapToGrid w:val="0"/>
              <w:rPr>
                <w:rFonts w:eastAsiaTheme="minorEastAsia"/>
                <w:bCs/>
                <w:color w:val="auto"/>
                <w:kern w:val="2"/>
                <w:highlight w:val="none"/>
                <w:lang w:eastAsia="zh-CN"/>
              </w:rPr>
            </w:pPr>
          </w:p>
        </w:tc>
        <w:tc>
          <w:tcPr>
            <w:tcW w:w="325"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规范临时</w:t>
            </w:r>
          </w:p>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用地审批</w:t>
            </w:r>
          </w:p>
        </w:tc>
        <w:tc>
          <w:tcPr>
            <w:tcW w:w="2893" w:type="pct"/>
            <w:vAlign w:val="center"/>
          </w:tcPr>
          <w:p>
            <w:pPr>
              <w:adjustRightInd w:val="0"/>
              <w:snapToGrid w:val="0"/>
              <w:spacing w:line="240" w:lineRule="auto"/>
              <w:ind w:firstLine="0" w:firstLineChars="0"/>
              <w:rPr>
                <w:rFonts w:eastAsiaTheme="minorEastAsia"/>
                <w:color w:val="auto"/>
                <w:sz w:val="22"/>
                <w:szCs w:val="22"/>
                <w:highlight w:val="none"/>
              </w:rPr>
            </w:pPr>
            <w:r>
              <w:rPr>
                <w:rFonts w:eastAsiaTheme="minorEastAsia"/>
                <w:color w:val="auto"/>
                <w:sz w:val="22"/>
                <w:szCs w:val="22"/>
                <w:highlight w:val="none"/>
              </w:rPr>
              <w:t>落实土地复垦费用。临时用地单位应当按照《土地复垦条例》和《土地复垦条例实施办法》等有关规定，编制临时用地土地复垦方案，经区县规划自然资源主管部门审查通过后，按照土地复垦方案确定的资金数额，在与区县规划自然资源主管部门双方约定建立的账户中足额预存土地复垦费用，并与区县规划自然资源主管部门、银行共同签订土地复垦费用使用监管协议。</w:t>
            </w:r>
          </w:p>
        </w:tc>
        <w:tc>
          <w:tcPr>
            <w:tcW w:w="487" w:type="pct"/>
            <w:vMerge w:val="continue"/>
            <w:vAlign w:val="center"/>
          </w:tcPr>
          <w:p>
            <w:pPr>
              <w:adjustRightInd w:val="0"/>
              <w:snapToGrid w:val="0"/>
              <w:spacing w:line="240" w:lineRule="auto"/>
              <w:ind w:firstLine="0" w:firstLineChars="0"/>
              <w:jc w:val="center"/>
              <w:rPr>
                <w:rFonts w:eastAsiaTheme="minorEastAsia"/>
                <w:bCs/>
                <w:color w:val="auto"/>
                <w:sz w:val="22"/>
                <w:szCs w:val="22"/>
                <w:highlight w:val="none"/>
              </w:rPr>
            </w:pPr>
          </w:p>
        </w:tc>
        <w:tc>
          <w:tcPr>
            <w:tcW w:w="290" w:type="pct"/>
            <w:vMerge w:val="continue"/>
            <w:vAlign w:val="center"/>
          </w:tcPr>
          <w:p>
            <w:pPr>
              <w:adjustRightInd w:val="0"/>
              <w:snapToGrid w:val="0"/>
              <w:spacing w:line="240" w:lineRule="auto"/>
              <w:ind w:firstLine="0" w:firstLineChars="0"/>
              <w:jc w:val="center"/>
              <w:rPr>
                <w:rFonts w:eastAsiaTheme="minorEastAsia"/>
                <w:bCs/>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Merge w:val="continue"/>
            <w:vAlign w:val="center"/>
          </w:tcPr>
          <w:p>
            <w:pPr>
              <w:pStyle w:val="167"/>
              <w:autoSpaceDE/>
              <w:autoSpaceDN/>
              <w:adjustRightInd w:val="0"/>
              <w:snapToGrid w:val="0"/>
              <w:rPr>
                <w:rFonts w:eastAsiaTheme="minorEastAsia"/>
                <w:bCs/>
                <w:color w:val="auto"/>
                <w:kern w:val="2"/>
                <w:highlight w:val="none"/>
                <w:lang w:eastAsia="zh-CN"/>
              </w:rPr>
            </w:pPr>
          </w:p>
        </w:tc>
        <w:tc>
          <w:tcPr>
            <w:tcW w:w="797" w:type="pct"/>
            <w:vMerge w:val="continue"/>
            <w:vAlign w:val="center"/>
          </w:tcPr>
          <w:p>
            <w:pPr>
              <w:pStyle w:val="167"/>
              <w:autoSpaceDE/>
              <w:autoSpaceDN/>
              <w:adjustRightInd w:val="0"/>
              <w:snapToGrid w:val="0"/>
              <w:rPr>
                <w:rFonts w:eastAsiaTheme="minorEastAsia"/>
                <w:bCs/>
                <w:color w:val="auto"/>
                <w:kern w:val="2"/>
                <w:highlight w:val="none"/>
                <w:lang w:eastAsia="zh-CN"/>
              </w:rPr>
            </w:pPr>
          </w:p>
        </w:tc>
        <w:tc>
          <w:tcPr>
            <w:tcW w:w="325"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落实临时</w:t>
            </w:r>
          </w:p>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用地恢复</w:t>
            </w:r>
          </w:p>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责任</w:t>
            </w:r>
          </w:p>
          <w:p>
            <w:pPr>
              <w:pStyle w:val="167"/>
              <w:autoSpaceDE/>
              <w:autoSpaceDN/>
              <w:adjustRightInd w:val="0"/>
              <w:snapToGrid w:val="0"/>
              <w:rPr>
                <w:rFonts w:eastAsiaTheme="minorEastAsia"/>
                <w:bCs/>
                <w:color w:val="auto"/>
                <w:kern w:val="2"/>
                <w:highlight w:val="none"/>
                <w:lang w:eastAsia="zh-CN"/>
              </w:rPr>
            </w:pPr>
          </w:p>
        </w:tc>
        <w:tc>
          <w:tcPr>
            <w:tcW w:w="2893" w:type="pct"/>
            <w:vAlign w:val="center"/>
          </w:tcPr>
          <w:p>
            <w:pPr>
              <w:adjustRightInd w:val="0"/>
              <w:snapToGrid w:val="0"/>
              <w:spacing w:line="240" w:lineRule="auto"/>
              <w:ind w:firstLine="0" w:firstLineChars="0"/>
              <w:rPr>
                <w:rFonts w:eastAsiaTheme="minorEastAsia"/>
                <w:color w:val="auto"/>
                <w:sz w:val="22"/>
                <w:szCs w:val="22"/>
                <w:highlight w:val="none"/>
              </w:rPr>
            </w:pPr>
            <w:r>
              <w:rPr>
                <w:rFonts w:eastAsiaTheme="minorEastAsia"/>
                <w:color w:val="auto"/>
                <w:sz w:val="22"/>
                <w:szCs w:val="22"/>
                <w:highlight w:val="none"/>
              </w:rPr>
              <w:t>按照“谁使用、谁复垦”的原则，临时用地单位是土地复垦的责任主体。临时用地单位应当将土地复垦费用纳入项目总投资，确保土地复垦费用足额落实到位。在临时使用土地前，临时用地单位要对拟占用的耕地、园地等农用地进行表土剥离和妥善保护，并将其用于土地复垦。临时用地期满后，临时用地单位应当拆除临时建（构）筑物，使用耕地的应当复垦为耕地，确保耕地面积不减少、质量不降低；使用耕地以外的其他农用地的应当恢复为农用地；使用未利用地的，对于符合条件的鼓励复垦为耕地。</w:t>
            </w:r>
          </w:p>
        </w:tc>
        <w:tc>
          <w:tcPr>
            <w:tcW w:w="487" w:type="pct"/>
            <w:vMerge w:val="continue"/>
            <w:vAlign w:val="center"/>
          </w:tcPr>
          <w:p>
            <w:pPr>
              <w:adjustRightInd w:val="0"/>
              <w:snapToGrid w:val="0"/>
              <w:spacing w:line="240" w:lineRule="auto"/>
              <w:ind w:firstLine="0" w:firstLineChars="0"/>
              <w:jc w:val="center"/>
              <w:rPr>
                <w:rFonts w:eastAsiaTheme="minorEastAsia"/>
                <w:bCs/>
                <w:color w:val="auto"/>
                <w:sz w:val="22"/>
                <w:szCs w:val="22"/>
                <w:highlight w:val="none"/>
              </w:rPr>
            </w:pPr>
          </w:p>
        </w:tc>
        <w:tc>
          <w:tcPr>
            <w:tcW w:w="290" w:type="pct"/>
            <w:vMerge w:val="continue"/>
            <w:vAlign w:val="center"/>
          </w:tcPr>
          <w:p>
            <w:pPr>
              <w:adjustRightInd w:val="0"/>
              <w:snapToGrid w:val="0"/>
              <w:spacing w:line="240" w:lineRule="auto"/>
              <w:ind w:firstLine="0" w:firstLineChars="0"/>
              <w:jc w:val="center"/>
              <w:rPr>
                <w:rFonts w:eastAsiaTheme="minorEastAsia"/>
                <w:bCs/>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Align w:val="center"/>
          </w:tcPr>
          <w:p>
            <w:pPr>
              <w:pStyle w:val="167"/>
              <w:autoSpaceDE/>
              <w:autoSpaceDN/>
              <w:adjustRightInd w:val="0"/>
              <w:snapToGrid w:val="0"/>
              <w:rPr>
                <w:rFonts w:eastAsiaTheme="minorEastAsia"/>
                <w:bCs/>
                <w:color w:val="auto"/>
                <w:kern w:val="2"/>
                <w:highlight w:val="none"/>
                <w:lang w:eastAsia="zh-CN"/>
              </w:rPr>
            </w:pPr>
            <w:r>
              <w:rPr>
                <w:rFonts w:hint="eastAsia" w:eastAsiaTheme="minorEastAsia"/>
                <w:bCs/>
                <w:color w:val="auto"/>
                <w:kern w:val="2"/>
                <w:highlight w:val="none"/>
                <w:lang w:val="en-US" w:eastAsia="zh-CN"/>
              </w:rPr>
              <w:t>8</w:t>
            </w:r>
          </w:p>
        </w:tc>
        <w:tc>
          <w:tcPr>
            <w:tcW w:w="797"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《重庆市临时用地和设施农业用地土地复垦管理办法》（渝规资规范〔2024〕3号）</w:t>
            </w:r>
          </w:p>
        </w:tc>
        <w:tc>
          <w:tcPr>
            <w:tcW w:w="3219" w:type="pct"/>
            <w:gridSpan w:val="2"/>
            <w:vAlign w:val="center"/>
          </w:tcPr>
          <w:p>
            <w:pPr>
              <w:adjustRightInd w:val="0"/>
              <w:snapToGrid w:val="0"/>
              <w:spacing w:line="240" w:lineRule="auto"/>
              <w:ind w:firstLine="0" w:firstLineChars="0"/>
              <w:rPr>
                <w:rFonts w:eastAsiaTheme="minorEastAsia"/>
                <w:bCs/>
                <w:color w:val="auto"/>
                <w:sz w:val="22"/>
                <w:szCs w:val="22"/>
                <w:highlight w:val="none"/>
              </w:rPr>
            </w:pPr>
            <w:r>
              <w:rPr>
                <w:rFonts w:eastAsiaTheme="minorEastAsia"/>
                <w:bCs/>
                <w:color w:val="auto"/>
                <w:sz w:val="22"/>
                <w:szCs w:val="22"/>
                <w:highlight w:val="none"/>
              </w:rPr>
              <w:t>第四条 </w:t>
            </w:r>
            <w:r>
              <w:rPr>
                <w:rFonts w:hint="eastAsia" w:eastAsiaTheme="minorEastAsia"/>
                <w:bCs/>
                <w:color w:val="auto"/>
                <w:sz w:val="22"/>
                <w:szCs w:val="22"/>
                <w:highlight w:val="none"/>
              </w:rPr>
              <w:t>临时用地、设施农业用地应当节约集约利用土地，不占或者少占耕地；对依法占用的土地应当采取有效措施，减少土地损毁面积，降低土地损毁程度。土地复垦应当坚持科学规划、因地制宜、综合治理、经济可行、合理利用的原则，优先复垦为耕地，用于农业生产。</w:t>
            </w:r>
          </w:p>
          <w:p>
            <w:pPr>
              <w:adjustRightInd w:val="0"/>
              <w:snapToGrid w:val="0"/>
              <w:spacing w:line="240" w:lineRule="auto"/>
              <w:ind w:firstLine="0" w:firstLineChars="0"/>
              <w:rPr>
                <w:rFonts w:eastAsiaTheme="minorEastAsia"/>
                <w:color w:val="auto"/>
                <w:sz w:val="22"/>
                <w:szCs w:val="22"/>
                <w:highlight w:val="none"/>
              </w:rPr>
            </w:pPr>
            <w:r>
              <w:rPr>
                <w:rFonts w:hint="eastAsia" w:eastAsiaTheme="minorEastAsia"/>
                <w:bCs/>
                <w:color w:val="auto"/>
                <w:sz w:val="22"/>
                <w:szCs w:val="22"/>
                <w:highlight w:val="none"/>
              </w:rPr>
              <w:t>第六条 土地复垦义务人应当在临时用地申请和设施农业用地备案前编制土地复垦方案。土地复垦方案按照优先复垦为耕地的原则编制，应当保障复垦后耕地数量不减少、水田面积不减少、质量不降低。涉及占用耕地、林地、园地、牧草地的应当落实耕作层土壤剥离再利用费用及措施。临时用地确需占用永久基本农田的，在不修建永久性建（构）筑物、经复垦能恢复原种植条件的前提下，土地复垦义务人应当按规定完成踏勘论证后编制土地复垦方案。</w:t>
            </w:r>
          </w:p>
        </w:tc>
        <w:tc>
          <w:tcPr>
            <w:tcW w:w="487" w:type="pct"/>
            <w:vMerge w:val="continue"/>
            <w:vAlign w:val="center"/>
          </w:tcPr>
          <w:p>
            <w:pPr>
              <w:adjustRightInd w:val="0"/>
              <w:snapToGrid w:val="0"/>
              <w:spacing w:line="240" w:lineRule="auto"/>
              <w:ind w:firstLine="0" w:firstLineChars="0"/>
              <w:jc w:val="center"/>
              <w:rPr>
                <w:rFonts w:eastAsiaTheme="minorEastAsia"/>
                <w:bCs/>
                <w:color w:val="auto"/>
                <w:sz w:val="22"/>
                <w:szCs w:val="22"/>
                <w:highlight w:val="none"/>
              </w:rPr>
            </w:pPr>
          </w:p>
        </w:tc>
        <w:tc>
          <w:tcPr>
            <w:tcW w:w="290" w:type="pct"/>
            <w:vAlign w:val="center"/>
          </w:tcPr>
          <w:p>
            <w:pPr>
              <w:adjustRightInd w:val="0"/>
              <w:snapToGrid w:val="0"/>
              <w:spacing w:line="240" w:lineRule="auto"/>
              <w:ind w:firstLine="0" w:firstLineChars="0"/>
              <w:jc w:val="center"/>
              <w:rPr>
                <w:rFonts w:eastAsiaTheme="minorEastAsia"/>
                <w:bCs/>
                <w:color w:val="auto"/>
                <w:sz w:val="22"/>
                <w:szCs w:val="22"/>
                <w:highlight w:val="none"/>
              </w:rPr>
            </w:pPr>
            <w:r>
              <w:rPr>
                <w:rFonts w:eastAsiaTheme="minorEastAsia"/>
                <w:bCs/>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5" w:type="pct"/>
            <w:vAlign w:val="center"/>
          </w:tcPr>
          <w:p>
            <w:pPr>
              <w:pStyle w:val="167"/>
              <w:autoSpaceDE/>
              <w:autoSpaceDN/>
              <w:adjustRightInd w:val="0"/>
              <w:snapToGrid w:val="0"/>
              <w:rPr>
                <w:rFonts w:hint="default" w:eastAsiaTheme="minorEastAsia"/>
                <w:bCs/>
                <w:color w:val="auto"/>
                <w:kern w:val="2"/>
                <w:highlight w:val="none"/>
                <w:lang w:val="en-US" w:eastAsia="zh-CN"/>
              </w:rPr>
            </w:pPr>
            <w:r>
              <w:rPr>
                <w:rFonts w:hint="eastAsia" w:eastAsiaTheme="minorEastAsia"/>
                <w:bCs/>
                <w:color w:val="auto"/>
                <w:kern w:val="2"/>
                <w:highlight w:val="none"/>
                <w:lang w:val="en-US" w:eastAsia="zh-CN"/>
              </w:rPr>
              <w:t>9</w:t>
            </w:r>
          </w:p>
        </w:tc>
        <w:tc>
          <w:tcPr>
            <w:tcW w:w="797"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《中共中央办公厅 国务院办公厅关于加强耕地保护提升耕地质量完善占补平衡的意见》</w:t>
            </w:r>
          </w:p>
        </w:tc>
        <w:tc>
          <w:tcPr>
            <w:tcW w:w="3219" w:type="pct"/>
            <w:gridSpan w:val="2"/>
            <w:vAlign w:val="center"/>
          </w:tcPr>
          <w:p>
            <w:pPr>
              <w:adjustRightInd w:val="0"/>
              <w:snapToGrid w:val="0"/>
              <w:spacing w:line="240" w:lineRule="auto"/>
              <w:ind w:firstLine="0" w:firstLineChars="0"/>
              <w:rPr>
                <w:rFonts w:eastAsiaTheme="minorEastAsia"/>
                <w:color w:val="auto"/>
                <w:sz w:val="22"/>
                <w:szCs w:val="22"/>
                <w:highlight w:val="none"/>
              </w:rPr>
            </w:pPr>
            <w:r>
              <w:rPr>
                <w:rFonts w:eastAsiaTheme="minorEastAsia"/>
                <w:color w:val="auto"/>
                <w:sz w:val="22"/>
                <w:szCs w:val="22"/>
                <w:highlight w:val="none"/>
              </w:rPr>
              <w:t>（十一）改革占补平衡管理方式。将非农建设、造林种树、种果种茶等各类占用耕地行为统一纳入耕地占补平衡管理。补充耕地坚持以恢复优质耕地为主、新开垦耕地为辅的原则，自然保护地、生态保护红线内禁止新开垦耕地，严重沙化土地、严重石漠化土地、重点沙源区、沙尘传输通道、25度以上陡坡、河湖管理范围及重点林区、国有林场等区域原则上不作为补充耕地来源。改进占补平衡落实方式，各类实施主体将非耕地垦造、恢复为耕地的，符合规定的可作为补充耕地。坚持“以补定占”，在实现耕地总量动态平衡前提下，将省域内稳定利用耕地净增加量作为下年度非农建设允许占用耕地规模上限，对违法建设相应冻结补充耕地指标。自然资源部要会同有关部门制定完善耕地占补平衡管理配套政策。</w:t>
            </w:r>
          </w:p>
          <w:p>
            <w:pPr>
              <w:adjustRightInd w:val="0"/>
              <w:snapToGrid w:val="0"/>
              <w:spacing w:line="240" w:lineRule="auto"/>
              <w:ind w:firstLine="0" w:firstLineChars="0"/>
              <w:rPr>
                <w:rFonts w:eastAsiaTheme="minorEastAsia"/>
                <w:color w:val="auto"/>
                <w:sz w:val="22"/>
                <w:szCs w:val="22"/>
                <w:highlight w:val="none"/>
              </w:rPr>
            </w:pPr>
            <w:r>
              <w:rPr>
                <w:rFonts w:eastAsiaTheme="minorEastAsia"/>
                <w:color w:val="auto"/>
                <w:sz w:val="22"/>
                <w:szCs w:val="22"/>
                <w:highlight w:val="none"/>
              </w:rPr>
              <w:t>（十二）完善占补平衡落实机制。建立占补平衡责任落实机制，国家管控各省（自治区、直辖市）耕地总量，确保不突破全国耕地保护目标；各省（自治区、直辖市）加强对省域内耕地占用补充工作的统筹，确保年度耕地总量动态平衡；市县抓好落实，从严管控耕地占用，补足补优耕地。各省（自治区、直辖市）要将补充耕地指标统一纳入省级管理平台，规范调剂程序，合理确定调剂补偿标准，严格管控调剂规模</w:t>
            </w:r>
            <w:r>
              <w:rPr>
                <w:rFonts w:eastAsiaTheme="minorEastAsia"/>
                <w:color w:val="auto"/>
                <w:sz w:val="22"/>
                <w:szCs w:val="22"/>
                <w:highlight w:val="none"/>
                <w:shd w:val="clear" w:fill="FFFFFF"/>
              </w:rPr>
              <w:t>，</w:t>
            </w:r>
            <w:r>
              <w:rPr>
                <w:rFonts w:eastAsiaTheme="minorEastAsia"/>
                <w:color w:val="auto"/>
                <w:sz w:val="22"/>
                <w:szCs w:val="22"/>
                <w:highlight w:val="none"/>
              </w:rPr>
              <w:t>指标调剂资金纳入预算管理。坚决防范和纠正单纯追求补充耕地指标、不顾自然条件强行补充的行为。生态脆弱、承担生态保护重点任务地区的国家重大建设项目，由国家统筹跨省域集中开垦，定向支持落实耕地占补平衡。</w:t>
            </w:r>
          </w:p>
        </w:tc>
        <w:tc>
          <w:tcPr>
            <w:tcW w:w="487" w:type="pct"/>
            <w:vAlign w:val="center"/>
          </w:tcPr>
          <w:p>
            <w:pPr>
              <w:adjustRightInd w:val="0"/>
              <w:snapToGrid w:val="0"/>
              <w:spacing w:line="240" w:lineRule="auto"/>
              <w:ind w:firstLine="0" w:firstLineChars="0"/>
              <w:rPr>
                <w:rFonts w:eastAsiaTheme="minorEastAsia"/>
                <w:bCs/>
                <w:color w:val="auto"/>
                <w:sz w:val="22"/>
                <w:szCs w:val="22"/>
                <w:highlight w:val="none"/>
              </w:rPr>
            </w:pPr>
            <w:r>
              <w:rPr>
                <w:rFonts w:hint="eastAsia" w:eastAsiaTheme="minorEastAsia"/>
                <w:bCs/>
                <w:color w:val="auto"/>
                <w:sz w:val="22"/>
                <w:szCs w:val="22"/>
                <w:highlight w:val="none"/>
              </w:rPr>
              <w:t>项目</w:t>
            </w:r>
            <w:r>
              <w:rPr>
                <w:rFonts w:hint="eastAsia" w:eastAsiaTheme="minorEastAsia"/>
                <w:bCs/>
                <w:color w:val="auto"/>
                <w:sz w:val="22"/>
                <w:szCs w:val="22"/>
                <w:highlight w:val="none"/>
                <w:lang w:eastAsia="zh-CN"/>
              </w:rPr>
              <w:t>占用部分耕地，</w:t>
            </w:r>
            <w:r>
              <w:rPr>
                <w:rFonts w:hint="eastAsia" w:eastAsiaTheme="minorEastAsia"/>
                <w:bCs/>
                <w:color w:val="auto"/>
                <w:sz w:val="22"/>
                <w:szCs w:val="22"/>
                <w:highlight w:val="none"/>
              </w:rPr>
              <w:t>后续将按照要求落实</w:t>
            </w:r>
            <w:r>
              <w:rPr>
                <w:rFonts w:hint="eastAsia" w:eastAsiaTheme="minorEastAsia"/>
                <w:bCs/>
                <w:color w:val="auto"/>
                <w:sz w:val="22"/>
                <w:szCs w:val="22"/>
                <w:highlight w:val="none"/>
                <w:lang w:eastAsia="zh-CN"/>
              </w:rPr>
              <w:t>土地复垦及</w:t>
            </w:r>
            <w:r>
              <w:rPr>
                <w:rFonts w:hint="eastAsia" w:eastAsiaTheme="minorEastAsia"/>
                <w:bCs/>
                <w:color w:val="auto"/>
                <w:sz w:val="22"/>
                <w:szCs w:val="22"/>
                <w:highlight w:val="none"/>
              </w:rPr>
              <w:t>占补平衡</w:t>
            </w:r>
            <w:r>
              <w:rPr>
                <w:rFonts w:hint="eastAsia" w:eastAsiaTheme="minorEastAsia"/>
                <w:bCs/>
                <w:color w:val="auto"/>
                <w:sz w:val="22"/>
                <w:szCs w:val="22"/>
                <w:highlight w:val="none"/>
                <w:lang w:eastAsia="zh-CN"/>
              </w:rPr>
              <w:t>工作</w:t>
            </w:r>
            <w:r>
              <w:rPr>
                <w:rFonts w:hint="eastAsia" w:eastAsiaTheme="minorEastAsia"/>
                <w:bCs/>
                <w:color w:val="auto"/>
                <w:sz w:val="22"/>
                <w:szCs w:val="22"/>
                <w:highlight w:val="none"/>
              </w:rPr>
              <w:t>。</w:t>
            </w:r>
          </w:p>
        </w:tc>
        <w:tc>
          <w:tcPr>
            <w:tcW w:w="290" w:type="pct"/>
            <w:vAlign w:val="center"/>
          </w:tcPr>
          <w:p>
            <w:pPr>
              <w:adjustRightInd w:val="0"/>
              <w:snapToGrid w:val="0"/>
              <w:spacing w:line="240" w:lineRule="auto"/>
              <w:ind w:firstLine="0" w:firstLineChars="0"/>
              <w:jc w:val="center"/>
              <w:rPr>
                <w:rFonts w:eastAsiaTheme="minorEastAsia"/>
                <w:bCs/>
                <w:color w:val="auto"/>
                <w:sz w:val="22"/>
                <w:szCs w:val="22"/>
                <w:highlight w:val="none"/>
              </w:rPr>
            </w:pPr>
            <w:r>
              <w:rPr>
                <w:rFonts w:eastAsiaTheme="minorEastAsia"/>
                <w:bCs/>
                <w:color w:val="auto"/>
                <w:sz w:val="22"/>
                <w:szCs w:val="22"/>
                <w:highlight w:val="none"/>
              </w:rPr>
              <w:t>符合</w:t>
            </w:r>
          </w:p>
        </w:tc>
      </w:tr>
    </w:tbl>
    <w:p>
      <w:pPr>
        <w:adjustRightInd w:val="0"/>
        <w:snapToGrid w:val="0"/>
        <w:spacing w:line="240" w:lineRule="auto"/>
        <w:ind w:firstLine="520"/>
        <w:jc w:val="center"/>
        <w:rPr>
          <w:bCs/>
          <w:color w:val="auto"/>
          <w:szCs w:val="26"/>
          <w:highlight w:val="none"/>
        </w:rPr>
      </w:pPr>
    </w:p>
    <w:p>
      <w:pPr>
        <w:pStyle w:val="2"/>
        <w:rPr>
          <w:bCs/>
          <w:color w:val="auto"/>
          <w:szCs w:val="26"/>
          <w:highlight w:val="none"/>
        </w:rPr>
      </w:pPr>
    </w:p>
    <w:p>
      <w:pPr>
        <w:rPr>
          <w:bCs/>
          <w:color w:val="auto"/>
          <w:szCs w:val="26"/>
          <w:highlight w:val="none"/>
        </w:rPr>
      </w:pPr>
    </w:p>
    <w:p>
      <w:pPr>
        <w:pStyle w:val="2"/>
        <w:jc w:val="center"/>
        <w:rPr>
          <w:rFonts w:hint="default" w:eastAsia="宋体"/>
          <w:color w:val="auto"/>
          <w:highlight w:val="none"/>
          <w:lang w:val="en-US" w:eastAsia="zh-CN"/>
        </w:rPr>
      </w:pPr>
      <w:r>
        <w:rPr>
          <w:rFonts w:hint="eastAsia"/>
          <w:bCs/>
          <w:color w:val="auto"/>
          <w:szCs w:val="26"/>
          <w:highlight w:val="none"/>
          <w:lang w:eastAsia="zh-CN"/>
        </w:rPr>
        <w:t>表</w:t>
      </w:r>
      <w:r>
        <w:rPr>
          <w:rFonts w:hint="eastAsia"/>
          <w:bCs/>
          <w:color w:val="auto"/>
          <w:szCs w:val="26"/>
          <w:highlight w:val="none"/>
          <w:lang w:val="en-US" w:eastAsia="zh-CN"/>
        </w:rPr>
        <w:t>1.9.2-5 与天然林有关政策的符合性分析</w:t>
      </w:r>
    </w:p>
    <w:tbl>
      <w:tblPr>
        <w:tblStyle w:val="28"/>
        <w:tblW w:w="511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63"/>
        <w:gridCol w:w="2232"/>
        <w:gridCol w:w="7471"/>
        <w:gridCol w:w="2918"/>
        <w:gridCol w:w="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1"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序号</w:t>
            </w:r>
          </w:p>
        </w:tc>
        <w:tc>
          <w:tcPr>
            <w:tcW w:w="797"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文件名称</w:t>
            </w:r>
          </w:p>
        </w:tc>
        <w:tc>
          <w:tcPr>
            <w:tcW w:w="2668"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政策要求</w:t>
            </w:r>
          </w:p>
        </w:tc>
        <w:tc>
          <w:tcPr>
            <w:tcW w:w="1042"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项目情况</w:t>
            </w:r>
          </w:p>
        </w:tc>
        <w:tc>
          <w:tcPr>
            <w:tcW w:w="289"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1" w:type="pct"/>
            <w:vAlign w:val="center"/>
          </w:tcPr>
          <w:p>
            <w:pPr>
              <w:pStyle w:val="167"/>
              <w:autoSpaceDE/>
              <w:autoSpaceDN/>
              <w:adjustRightInd w:val="0"/>
              <w:snapToGrid w:val="0"/>
              <w:rPr>
                <w:rFonts w:hint="default" w:eastAsiaTheme="minorEastAsia"/>
                <w:bCs/>
                <w:color w:val="auto"/>
                <w:kern w:val="2"/>
                <w:highlight w:val="none"/>
                <w:lang w:val="en-US" w:eastAsia="zh-CN"/>
              </w:rPr>
            </w:pPr>
            <w:r>
              <w:rPr>
                <w:rFonts w:hint="eastAsia" w:eastAsiaTheme="minorEastAsia"/>
                <w:bCs/>
                <w:color w:val="auto"/>
                <w:kern w:val="2"/>
                <w:highlight w:val="none"/>
                <w:lang w:val="en-US" w:eastAsia="zh-CN"/>
              </w:rPr>
              <w:t>1</w:t>
            </w:r>
          </w:p>
        </w:tc>
        <w:tc>
          <w:tcPr>
            <w:tcW w:w="797" w:type="pct"/>
            <w:vAlign w:val="center"/>
          </w:tcPr>
          <w:p>
            <w:pPr>
              <w:pStyle w:val="167"/>
              <w:autoSpaceDE/>
              <w:autoSpaceDN/>
              <w:adjustRightInd w:val="0"/>
              <w:snapToGrid w:val="0"/>
              <w:rPr>
                <w:rFonts w:eastAsiaTheme="minorEastAsia"/>
                <w:bCs/>
                <w:color w:val="auto"/>
                <w:kern w:val="2"/>
                <w:highlight w:val="none"/>
                <w:lang w:eastAsia="zh-CN"/>
              </w:rPr>
            </w:pPr>
            <w:r>
              <w:rPr>
                <w:rFonts w:hint="eastAsia" w:eastAsiaTheme="minorEastAsia"/>
                <w:bCs/>
                <w:color w:val="auto"/>
                <w:kern w:val="2"/>
                <w:highlight w:val="none"/>
                <w:lang w:eastAsia="zh-CN"/>
              </w:rPr>
              <w:t>《</w:t>
            </w:r>
            <w:r>
              <w:rPr>
                <w:rFonts w:hint="eastAsia" w:eastAsiaTheme="minorEastAsia"/>
                <w:bCs/>
                <w:color w:val="auto"/>
                <w:kern w:val="2"/>
                <w:highlight w:val="none"/>
                <w:shd w:val="clear" w:fill="FFFFFF"/>
                <w:lang w:eastAsia="zh-CN"/>
              </w:rPr>
              <w:t>国家林业局</w:t>
            </w:r>
            <w:r>
              <w:rPr>
                <w:rFonts w:hint="eastAsia" w:eastAsiaTheme="minorEastAsia"/>
                <w:bCs/>
                <w:color w:val="auto"/>
                <w:kern w:val="2"/>
                <w:highlight w:val="none"/>
                <w:lang w:eastAsia="zh-CN"/>
              </w:rPr>
              <w:t>关于严格保护天然林的通知》（林资发〔2015〕181号）</w:t>
            </w:r>
          </w:p>
        </w:tc>
        <w:tc>
          <w:tcPr>
            <w:tcW w:w="2668" w:type="pct"/>
            <w:vAlign w:val="center"/>
          </w:tcPr>
          <w:p>
            <w:pPr>
              <w:pStyle w:val="167"/>
              <w:autoSpaceDE/>
              <w:autoSpaceDN/>
              <w:adjustRightInd w:val="0"/>
              <w:snapToGrid w:val="0"/>
              <w:jc w:val="both"/>
              <w:rPr>
                <w:rFonts w:hint="eastAsia" w:eastAsiaTheme="minorEastAsia"/>
                <w:bCs/>
                <w:color w:val="auto"/>
                <w:kern w:val="2"/>
                <w:highlight w:val="none"/>
                <w:lang w:eastAsia="zh-CN"/>
              </w:rPr>
            </w:pPr>
            <w:r>
              <w:rPr>
                <w:rFonts w:hint="eastAsia" w:eastAsiaTheme="minorEastAsia"/>
                <w:bCs/>
                <w:color w:val="auto"/>
                <w:kern w:val="2"/>
                <w:highlight w:val="none"/>
                <w:lang w:eastAsia="zh-CN"/>
              </w:rPr>
              <w:t xml:space="preserve"> 二、严格控制天然林树木采挖移植</w:t>
            </w:r>
          </w:p>
          <w:p>
            <w:pPr>
              <w:pStyle w:val="167"/>
              <w:autoSpaceDE/>
              <w:autoSpaceDN/>
              <w:adjustRightInd w:val="0"/>
              <w:snapToGrid w:val="0"/>
              <w:jc w:val="both"/>
              <w:rPr>
                <w:rFonts w:eastAsiaTheme="minorEastAsia"/>
                <w:bCs/>
                <w:color w:val="auto"/>
                <w:kern w:val="2"/>
                <w:highlight w:val="none"/>
                <w:lang w:eastAsia="zh-CN"/>
              </w:rPr>
            </w:pPr>
            <w:r>
              <w:rPr>
                <w:rFonts w:hint="eastAsia" w:eastAsiaTheme="minorEastAsia"/>
                <w:bCs/>
                <w:color w:val="auto"/>
                <w:kern w:val="2"/>
                <w:highlight w:val="none"/>
                <w:lang w:eastAsia="zh-CN"/>
              </w:rPr>
              <w:t>各地要切实贯彻落实《</w:t>
            </w:r>
            <w:r>
              <w:rPr>
                <w:rFonts w:hint="eastAsia" w:eastAsiaTheme="minorEastAsia"/>
                <w:bCs/>
                <w:color w:val="auto"/>
                <w:kern w:val="2"/>
                <w:highlight w:val="none"/>
                <w:shd w:val="clear" w:fill="FFFFFF"/>
                <w:lang w:eastAsia="zh-CN"/>
              </w:rPr>
              <w:t>国家林业局</w:t>
            </w:r>
            <w:r>
              <w:rPr>
                <w:rFonts w:hint="eastAsia" w:eastAsiaTheme="minorEastAsia"/>
                <w:bCs/>
                <w:color w:val="auto"/>
                <w:kern w:val="2"/>
                <w:highlight w:val="none"/>
                <w:lang w:eastAsia="zh-CN"/>
              </w:rPr>
              <w:t>关于切实加强和严格规范树木采挖移植管理的通知》（林资发〔2013〕186号）等文件精神，严格控制天然林树木采挖移植，依法禁止采挖原生地天然濒危、珍稀树木，国家一级保护野生植物，古树名木，以及名胜古迹、革命纪念地、国家公益林、自然保护区、省级以上森林公园、国家级林木种质资源库、国家重点林木良种基地、生态脆弱地区和生态区位重要地区的树木。天然大树是地带性森林群落的重要标志，严禁移植天然大树进城。生态脆弱和生态区位重要地区的具体范围参照国家标准《生态公益林建设—导则》（GB/T18337.1—2001）。</w:t>
            </w:r>
          </w:p>
        </w:tc>
        <w:tc>
          <w:tcPr>
            <w:tcW w:w="1042" w:type="pct"/>
            <w:vMerge w:val="restart"/>
            <w:vAlign w:val="center"/>
          </w:tcPr>
          <w:p>
            <w:pPr>
              <w:pStyle w:val="167"/>
              <w:autoSpaceDE/>
              <w:autoSpaceDN/>
              <w:adjustRightInd w:val="0"/>
              <w:snapToGrid w:val="0"/>
              <w:jc w:val="both"/>
              <w:rPr>
                <w:rFonts w:eastAsiaTheme="minorEastAsia"/>
                <w:color w:val="auto"/>
                <w:kern w:val="2"/>
                <w:highlight w:val="none"/>
                <w:lang w:eastAsia="zh-CN"/>
              </w:rPr>
            </w:pPr>
            <w:r>
              <w:rPr>
                <w:rFonts w:hint="eastAsia"/>
                <w:bCs/>
                <w:color w:val="auto"/>
                <w:szCs w:val="26"/>
                <w:highlight w:val="none"/>
                <w:vertAlign w:val="baseline"/>
                <w:lang w:val="en-US" w:eastAsia="zh-CN"/>
              </w:rPr>
              <w:t>项目已纳入《全国港口与航道布局规划》《水运“十四五”发展规划》，属于国家重点项目。</w:t>
            </w:r>
            <w:r>
              <w:rPr>
                <w:rFonts w:hint="eastAsia" w:eastAsiaTheme="minorEastAsia"/>
                <w:color w:val="auto"/>
                <w:kern w:val="2"/>
                <w:highlight w:val="none"/>
                <w:lang w:eastAsia="zh-CN"/>
              </w:rPr>
              <w:t>根据现场调查，天然林图斑树种主要为慈竹、青冈等，无重点保护野生植物、古树名木等。项目将在施工前取得林业部门合法手续，与相关要求不冲突。</w:t>
            </w:r>
          </w:p>
        </w:tc>
        <w:tc>
          <w:tcPr>
            <w:tcW w:w="289"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1" w:type="pct"/>
            <w:vAlign w:val="center"/>
          </w:tcPr>
          <w:p>
            <w:pPr>
              <w:pStyle w:val="167"/>
              <w:autoSpaceDE/>
              <w:autoSpaceDN/>
              <w:adjustRightInd w:val="0"/>
              <w:snapToGrid w:val="0"/>
              <w:rPr>
                <w:rFonts w:hint="default" w:eastAsiaTheme="minorEastAsia"/>
                <w:bCs/>
                <w:color w:val="auto"/>
                <w:kern w:val="2"/>
                <w:highlight w:val="none"/>
                <w:lang w:val="en-US" w:eastAsia="zh-CN"/>
              </w:rPr>
            </w:pPr>
            <w:r>
              <w:rPr>
                <w:rFonts w:hint="eastAsia" w:eastAsiaTheme="minorEastAsia"/>
                <w:bCs/>
                <w:color w:val="auto"/>
                <w:kern w:val="2"/>
                <w:highlight w:val="none"/>
                <w:lang w:val="en-US" w:eastAsia="zh-CN"/>
              </w:rPr>
              <w:t>2</w:t>
            </w:r>
          </w:p>
        </w:tc>
        <w:tc>
          <w:tcPr>
            <w:tcW w:w="797" w:type="pct"/>
            <w:vAlign w:val="center"/>
          </w:tcPr>
          <w:p>
            <w:pPr>
              <w:pStyle w:val="167"/>
              <w:autoSpaceDE/>
              <w:autoSpaceDN/>
              <w:adjustRightInd w:val="0"/>
              <w:snapToGrid w:val="0"/>
              <w:rPr>
                <w:rFonts w:eastAsiaTheme="minorEastAsia"/>
                <w:bCs/>
                <w:color w:val="auto"/>
                <w:kern w:val="2"/>
                <w:highlight w:val="none"/>
                <w:lang w:eastAsia="zh-CN"/>
              </w:rPr>
            </w:pPr>
            <w:r>
              <w:rPr>
                <w:rFonts w:hint="eastAsia"/>
                <w:color w:val="auto"/>
                <w:kern w:val="0"/>
                <w:szCs w:val="26"/>
                <w:highlight w:val="none"/>
              </w:rPr>
              <w:t>《</w:t>
            </w:r>
            <w:r>
              <w:rPr>
                <w:rFonts w:hint="eastAsia"/>
                <w:color w:val="auto"/>
                <w:kern w:val="0"/>
                <w:szCs w:val="26"/>
                <w:highlight w:val="none"/>
                <w:shd w:val="clear" w:fill="FFFFFF"/>
              </w:rPr>
              <w:t>中共中央办公厅国务院办公厅</w:t>
            </w:r>
            <w:r>
              <w:rPr>
                <w:rFonts w:hint="eastAsia"/>
                <w:color w:val="auto"/>
                <w:kern w:val="0"/>
                <w:szCs w:val="26"/>
                <w:highlight w:val="none"/>
              </w:rPr>
              <w:t>关于印发〈天然林保护修复制度方案〉的通知》（厅</w:t>
            </w:r>
            <w:r>
              <w:rPr>
                <w:color w:val="auto"/>
                <w:kern w:val="0"/>
                <w:szCs w:val="26"/>
                <w:highlight w:val="none"/>
              </w:rPr>
              <w:t>字〔2019〕39号</w:t>
            </w:r>
            <w:r>
              <w:rPr>
                <w:rFonts w:hint="eastAsia"/>
                <w:color w:val="auto"/>
                <w:kern w:val="0"/>
                <w:szCs w:val="26"/>
                <w:highlight w:val="none"/>
              </w:rPr>
              <w:t>）</w:t>
            </w:r>
          </w:p>
        </w:tc>
        <w:tc>
          <w:tcPr>
            <w:tcW w:w="2668" w:type="pct"/>
            <w:vAlign w:val="center"/>
          </w:tcPr>
          <w:p>
            <w:pPr>
              <w:pStyle w:val="167"/>
              <w:autoSpaceDE/>
              <w:autoSpaceDN/>
              <w:adjustRightInd w:val="0"/>
              <w:snapToGrid w:val="0"/>
              <w:jc w:val="both"/>
              <w:rPr>
                <w:rFonts w:hint="eastAsia" w:eastAsiaTheme="minorEastAsia"/>
                <w:bCs/>
                <w:color w:val="auto"/>
                <w:kern w:val="2"/>
                <w:highlight w:val="none"/>
                <w:lang w:eastAsia="zh-CN"/>
              </w:rPr>
            </w:pPr>
            <w:r>
              <w:rPr>
                <w:rFonts w:hint="eastAsia" w:eastAsiaTheme="minorEastAsia"/>
                <w:bCs/>
                <w:color w:val="auto"/>
                <w:kern w:val="2"/>
                <w:highlight w:val="none"/>
                <w:lang w:eastAsia="zh-CN"/>
              </w:rPr>
              <w:t>三、建立天然林用途管制制度</w:t>
            </w:r>
          </w:p>
          <w:p>
            <w:pPr>
              <w:pStyle w:val="167"/>
              <w:autoSpaceDE/>
              <w:autoSpaceDN/>
              <w:adjustRightInd w:val="0"/>
              <w:snapToGrid w:val="0"/>
              <w:jc w:val="both"/>
              <w:rPr>
                <w:rFonts w:hint="eastAsia" w:eastAsiaTheme="minorEastAsia"/>
                <w:bCs/>
                <w:color w:val="auto"/>
                <w:kern w:val="2"/>
                <w:highlight w:val="none"/>
                <w:lang w:eastAsia="zh-CN"/>
              </w:rPr>
            </w:pPr>
            <w:r>
              <w:rPr>
                <w:rFonts w:hint="eastAsia" w:eastAsiaTheme="minorEastAsia"/>
                <w:bCs/>
                <w:color w:val="auto"/>
                <w:kern w:val="2"/>
                <w:highlight w:val="none"/>
                <w:lang w:eastAsia="zh-CN"/>
              </w:rPr>
              <w:t>（七）建立天然林休养生息制度。全面停止天然林商业性采伐。对纳入保护重点区域的天然林，除森林病虫害防治、森林防火等维护天然林生态系统健康的必要措施外，禁止其他一切生产经营活动。开展天然林抚育作业的，必须编制作业设计，经林业主管部门审查批准后实施。依托国家储备林基地建设，培育大径材和珍贵树种，维护国家木材安全。</w:t>
            </w:r>
          </w:p>
          <w:p>
            <w:pPr>
              <w:pStyle w:val="167"/>
              <w:autoSpaceDE/>
              <w:autoSpaceDN/>
              <w:adjustRightInd w:val="0"/>
              <w:snapToGrid w:val="0"/>
              <w:jc w:val="both"/>
              <w:rPr>
                <w:rFonts w:hint="eastAsia" w:eastAsiaTheme="minorEastAsia"/>
                <w:bCs/>
                <w:color w:val="auto"/>
                <w:kern w:val="2"/>
                <w:highlight w:val="none"/>
                <w:lang w:eastAsia="zh-CN"/>
              </w:rPr>
            </w:pPr>
            <w:r>
              <w:rPr>
                <w:rFonts w:hint="eastAsia" w:eastAsiaTheme="minorEastAsia"/>
                <w:bCs/>
                <w:color w:val="auto"/>
                <w:kern w:val="2"/>
                <w:highlight w:val="none"/>
                <w:lang w:eastAsia="zh-CN"/>
              </w:rPr>
              <w:t>（八）严管天然林地占用。</w:t>
            </w:r>
            <w:r>
              <w:rPr>
                <w:rFonts w:hint="eastAsia" w:eastAsiaTheme="minorEastAsia"/>
                <w:b/>
                <w:bCs w:val="0"/>
                <w:color w:val="auto"/>
                <w:kern w:val="2"/>
                <w:highlight w:val="none"/>
                <w:lang w:eastAsia="zh-CN"/>
              </w:rPr>
              <w:t>严格控制天然林地转为其他用途，除国防建设、国家重大工程项目建设特殊需要外，禁止占用保护重点区域的天然林地。</w:t>
            </w:r>
            <w:r>
              <w:rPr>
                <w:rFonts w:hint="eastAsia" w:eastAsiaTheme="minorEastAsia"/>
                <w:bCs/>
                <w:color w:val="auto"/>
                <w:kern w:val="2"/>
                <w:highlight w:val="none"/>
                <w:lang w:eastAsia="zh-CN"/>
              </w:rPr>
              <w:t>在不破坏地表植被、不影响生物多样性保护前提下，可在天然林地适度发展生态旅游、休闲康养、特色种植养殖等产业。</w:t>
            </w:r>
          </w:p>
        </w:tc>
        <w:tc>
          <w:tcPr>
            <w:tcW w:w="1042" w:type="pct"/>
            <w:vMerge w:val="continue"/>
            <w:vAlign w:val="center"/>
          </w:tcPr>
          <w:p>
            <w:pPr>
              <w:pStyle w:val="167"/>
              <w:autoSpaceDE/>
              <w:autoSpaceDN/>
              <w:adjustRightInd w:val="0"/>
              <w:snapToGrid w:val="0"/>
              <w:jc w:val="both"/>
              <w:rPr>
                <w:rFonts w:eastAsiaTheme="minorEastAsia"/>
                <w:color w:val="auto"/>
                <w:kern w:val="2"/>
                <w:highlight w:val="none"/>
                <w:lang w:eastAsia="zh-CN"/>
              </w:rPr>
            </w:pPr>
          </w:p>
        </w:tc>
        <w:tc>
          <w:tcPr>
            <w:tcW w:w="289"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1" w:type="pct"/>
            <w:vAlign w:val="center"/>
          </w:tcPr>
          <w:p>
            <w:pPr>
              <w:pStyle w:val="167"/>
              <w:autoSpaceDE/>
              <w:autoSpaceDN/>
              <w:adjustRightInd w:val="0"/>
              <w:snapToGrid w:val="0"/>
              <w:rPr>
                <w:rFonts w:hint="default" w:eastAsiaTheme="minorEastAsia"/>
                <w:bCs/>
                <w:color w:val="auto"/>
                <w:kern w:val="2"/>
                <w:highlight w:val="none"/>
                <w:lang w:val="en-US" w:eastAsia="zh-CN"/>
              </w:rPr>
            </w:pPr>
            <w:r>
              <w:rPr>
                <w:rFonts w:hint="eastAsia" w:eastAsiaTheme="minorEastAsia"/>
                <w:bCs/>
                <w:color w:val="auto"/>
                <w:kern w:val="2"/>
                <w:highlight w:val="none"/>
                <w:lang w:val="en-US" w:eastAsia="zh-CN"/>
              </w:rPr>
              <w:t>3</w:t>
            </w:r>
          </w:p>
        </w:tc>
        <w:tc>
          <w:tcPr>
            <w:tcW w:w="797" w:type="pct"/>
            <w:vAlign w:val="center"/>
          </w:tcPr>
          <w:p>
            <w:pPr>
              <w:pStyle w:val="167"/>
              <w:autoSpaceDE/>
              <w:autoSpaceDN/>
              <w:adjustRightInd w:val="0"/>
              <w:snapToGrid w:val="0"/>
              <w:rPr>
                <w:rFonts w:hint="eastAsia"/>
                <w:color w:val="auto"/>
                <w:kern w:val="0"/>
                <w:szCs w:val="26"/>
                <w:highlight w:val="none"/>
              </w:rPr>
            </w:pPr>
            <w:r>
              <w:rPr>
                <w:rFonts w:hint="eastAsia"/>
                <w:color w:val="auto"/>
                <w:kern w:val="0"/>
                <w:szCs w:val="26"/>
                <w:highlight w:val="none"/>
              </w:rPr>
              <w:t>《重庆市人民政府办公厅关于印发重庆市天然林保护修复制度实施方案的通知》（渝府办发〔2020〕103号）</w:t>
            </w:r>
          </w:p>
        </w:tc>
        <w:tc>
          <w:tcPr>
            <w:tcW w:w="2668" w:type="pct"/>
            <w:vAlign w:val="center"/>
          </w:tcPr>
          <w:p>
            <w:pPr>
              <w:pStyle w:val="167"/>
              <w:autoSpaceDE/>
              <w:autoSpaceDN/>
              <w:adjustRightInd w:val="0"/>
              <w:snapToGrid w:val="0"/>
              <w:jc w:val="both"/>
              <w:rPr>
                <w:rFonts w:hint="eastAsia" w:eastAsiaTheme="minorEastAsia"/>
                <w:bCs/>
                <w:color w:val="auto"/>
                <w:kern w:val="2"/>
                <w:highlight w:val="none"/>
                <w:lang w:eastAsia="zh-CN"/>
              </w:rPr>
            </w:pPr>
            <w:r>
              <w:rPr>
                <w:rFonts w:hint="eastAsia" w:eastAsiaTheme="minorEastAsia"/>
                <w:bCs/>
                <w:color w:val="auto"/>
                <w:kern w:val="2"/>
                <w:highlight w:val="none"/>
                <w:lang w:eastAsia="zh-CN"/>
              </w:rPr>
              <w:t>(二)严管天然林地占用。</w:t>
            </w:r>
            <w:r>
              <w:rPr>
                <w:rFonts w:hint="eastAsia" w:eastAsiaTheme="minorEastAsia"/>
                <w:b/>
                <w:bCs w:val="0"/>
                <w:color w:val="auto"/>
                <w:kern w:val="2"/>
                <w:highlight w:val="none"/>
                <w:lang w:eastAsia="zh-CN"/>
              </w:rPr>
              <w:t>严格控制天然林地转为其他用途，除国防建设、国家重大工程项目建设特殊需要外，禁止占用保护重点区域的天然林地。</w:t>
            </w:r>
            <w:r>
              <w:rPr>
                <w:rFonts w:hint="eastAsia" w:eastAsiaTheme="minorEastAsia"/>
                <w:bCs/>
                <w:color w:val="auto"/>
                <w:kern w:val="2"/>
                <w:highlight w:val="none"/>
                <w:lang w:eastAsia="zh-CN"/>
              </w:rPr>
              <w:t>在保障森林正常生长、不破坏植被、不影响生物多样性保护前提下，可在天然林地适度发展生态旅游、生态康养、林下经济等产业。</w:t>
            </w:r>
          </w:p>
        </w:tc>
        <w:tc>
          <w:tcPr>
            <w:tcW w:w="1042" w:type="pct"/>
            <w:vMerge w:val="continue"/>
            <w:vAlign w:val="center"/>
          </w:tcPr>
          <w:p>
            <w:pPr>
              <w:pStyle w:val="167"/>
              <w:autoSpaceDE/>
              <w:autoSpaceDN/>
              <w:adjustRightInd w:val="0"/>
              <w:snapToGrid w:val="0"/>
              <w:jc w:val="both"/>
              <w:rPr>
                <w:rFonts w:eastAsiaTheme="minorEastAsia"/>
                <w:color w:val="auto"/>
                <w:kern w:val="2"/>
                <w:highlight w:val="none"/>
                <w:lang w:eastAsia="zh-CN"/>
              </w:rPr>
            </w:pPr>
          </w:p>
        </w:tc>
        <w:tc>
          <w:tcPr>
            <w:tcW w:w="289" w:type="pct"/>
            <w:vAlign w:val="center"/>
          </w:tcPr>
          <w:p>
            <w:pPr>
              <w:pStyle w:val="167"/>
              <w:autoSpaceDE/>
              <w:autoSpaceDN/>
              <w:adjustRightInd w:val="0"/>
              <w:snapToGrid w:val="0"/>
              <w:rPr>
                <w:rFonts w:eastAsiaTheme="minorEastAsia"/>
                <w:bCs/>
                <w:color w:val="auto"/>
                <w:kern w:val="2"/>
                <w:highlight w:val="none"/>
                <w:lang w:eastAsia="zh-CN"/>
              </w:rPr>
            </w:pPr>
            <w:r>
              <w:rPr>
                <w:rFonts w:eastAsiaTheme="minorEastAsia"/>
                <w:bCs/>
                <w:color w:val="auto"/>
                <w:kern w:val="2"/>
                <w:highlight w:val="none"/>
                <w:lang w:eastAsia="zh-CN"/>
              </w:rPr>
              <w:t>符合</w:t>
            </w:r>
          </w:p>
        </w:tc>
      </w:tr>
    </w:tbl>
    <w:p>
      <w:pPr>
        <w:pStyle w:val="2"/>
        <w:rPr>
          <w:color w:val="auto"/>
          <w:highlight w:val="none"/>
        </w:rPr>
      </w:pPr>
    </w:p>
    <w:p>
      <w:pPr>
        <w:spacing w:line="480" w:lineRule="atLeast"/>
        <w:ind w:firstLine="522" w:firstLineChars="0"/>
        <w:rPr>
          <w:bCs/>
          <w:color w:val="auto"/>
          <w:szCs w:val="26"/>
          <w:highlight w:val="none"/>
        </w:rPr>
        <w:sectPr>
          <w:pgSz w:w="16840" w:h="11907" w:orient="landscape"/>
          <w:pgMar w:top="1701" w:right="1588" w:bottom="1588" w:left="1588" w:header="1304" w:footer="1247" w:gutter="0"/>
          <w:cols w:space="720" w:num="1"/>
          <w:docGrid w:linePitch="354" w:charSpace="0"/>
        </w:sectPr>
      </w:pPr>
    </w:p>
    <w:p>
      <w:pPr>
        <w:pStyle w:val="5"/>
        <w:ind w:firstLine="522"/>
        <w:rPr>
          <w:color w:val="auto"/>
          <w:highlight w:val="none"/>
        </w:rPr>
      </w:pPr>
      <w:r>
        <w:rPr>
          <w:rFonts w:hint="eastAsia"/>
          <w:color w:val="auto"/>
          <w:highlight w:val="none"/>
          <w:lang w:eastAsia="zh-CN"/>
        </w:rPr>
        <w:t>与相关规划的符合性分析</w:t>
      </w:r>
    </w:p>
    <w:p>
      <w:pPr>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）与流域规划的符合性分析</w:t>
      </w:r>
    </w:p>
    <w:p>
      <w:pPr>
        <w:bidi w:val="0"/>
        <w:rPr>
          <w:rFonts w:cs="Times New Roman"/>
          <w:snapToGrid w:val="0"/>
          <w:color w:val="auto"/>
          <w:highlight w:val="none"/>
        </w:rPr>
      </w:pPr>
      <w:r>
        <w:rPr>
          <w:rFonts w:hint="default"/>
          <w:color w:val="auto"/>
          <w:highlight w:val="none"/>
          <w:lang w:val="en-US" w:eastAsia="zh-CN"/>
        </w:rPr>
        <w:fldChar w:fldCharType="begin"/>
      </w:r>
      <w:r>
        <w:rPr>
          <w:rFonts w:hint="default"/>
          <w:color w:val="auto"/>
          <w:highlight w:val="none"/>
          <w:lang w:val="en-US" w:eastAsia="zh-CN"/>
        </w:rPr>
        <w:instrText xml:space="preserve"> = 1 \* GB3 \* MERGEFORMAT </w:instrText>
      </w:r>
      <w:r>
        <w:rPr>
          <w:rFonts w:hint="default"/>
          <w:color w:val="auto"/>
          <w:highlight w:val="none"/>
          <w:lang w:val="en-US" w:eastAsia="zh-CN"/>
        </w:rPr>
        <w:fldChar w:fldCharType="separate"/>
      </w:r>
      <w:r>
        <w:rPr>
          <w:color w:val="auto"/>
          <w:highlight w:val="none"/>
        </w:rPr>
        <w:t>①</w:t>
      </w:r>
      <w:r>
        <w:rPr>
          <w:rFonts w:hint="default"/>
          <w:color w:val="auto"/>
          <w:highlight w:val="none"/>
          <w:lang w:val="en-US" w:eastAsia="zh-CN"/>
        </w:rPr>
        <w:fldChar w:fldCharType="end"/>
      </w:r>
      <w:r>
        <w:rPr>
          <w:rFonts w:hint="eastAsia"/>
          <w:color w:val="auto"/>
          <w:highlight w:val="none"/>
          <w:lang w:val="en-US" w:eastAsia="zh-CN"/>
        </w:rPr>
        <w:t>与</w:t>
      </w:r>
      <w:r>
        <w:rPr>
          <w:rFonts w:cs="Times New Roman"/>
          <w:snapToGrid w:val="0"/>
          <w:color w:val="auto"/>
          <w:highlight w:val="none"/>
        </w:rPr>
        <w:t>《长江流域综合规划》的符合性分析</w:t>
      </w:r>
    </w:p>
    <w:p>
      <w:pPr>
        <w:bidi w:val="0"/>
        <w:rPr>
          <w:color w:val="auto"/>
          <w:highlight w:val="none"/>
        </w:rPr>
      </w:pPr>
      <w:r>
        <w:rPr>
          <w:rFonts w:hint="eastAsia"/>
          <w:color w:val="auto"/>
          <w:highlight w:val="none"/>
        </w:rPr>
        <w:t>国务院2012年批准的《长江流域综合规划(2012</w:t>
      </w:r>
      <w:r>
        <w:rPr>
          <w:rFonts w:hint="eastAsia"/>
          <w:color w:val="auto"/>
          <w:highlight w:val="none"/>
          <w:shd w:val="clear" w:fill="FFFFFF"/>
          <w:lang w:eastAsia="zh-CN"/>
        </w:rPr>
        <w:t>—</w:t>
      </w:r>
      <w:r>
        <w:rPr>
          <w:rFonts w:hint="eastAsia"/>
          <w:color w:val="auto"/>
          <w:highlight w:val="none"/>
        </w:rPr>
        <w:t>2030年)》在“主要支流和湖泊治理开发与保护规划意见”中提出：“涪江  通过梯级渠化及航道整治，提高绵阳至河口段375km航道等级”。本项目为</w:t>
      </w:r>
      <w:r>
        <w:rPr>
          <w:rFonts w:hint="eastAsia"/>
          <w:color w:val="auto"/>
          <w:highlight w:val="none"/>
          <w:lang w:eastAsia="zh-CN"/>
        </w:rPr>
        <w:t>渭沱船闸扩能升级改造工程，通过项目的实施，可</w:t>
      </w:r>
      <w:r>
        <w:rPr>
          <w:rFonts w:hint="eastAsia"/>
          <w:color w:val="auto"/>
          <w:highlight w:val="none"/>
        </w:rPr>
        <w:t>满足</w:t>
      </w:r>
      <w:r>
        <w:rPr>
          <w:color w:val="auto"/>
          <w:szCs w:val="26"/>
          <w:highlight w:val="none"/>
        </w:rPr>
        <w:fldChar w:fldCharType="begin"/>
      </w:r>
      <w:r>
        <w:rPr>
          <w:color w:val="auto"/>
          <w:szCs w:val="26"/>
          <w:highlight w:val="none"/>
        </w:rPr>
        <w:instrText xml:space="preserve"> = 3 \* ROMAN \* MERGEFORMAT </w:instrText>
      </w:r>
      <w:r>
        <w:rPr>
          <w:color w:val="auto"/>
          <w:szCs w:val="26"/>
          <w:highlight w:val="none"/>
        </w:rPr>
        <w:fldChar w:fldCharType="separate"/>
      </w:r>
      <w:r>
        <w:rPr>
          <w:color w:val="auto"/>
          <w:szCs w:val="26"/>
          <w:highlight w:val="none"/>
        </w:rPr>
        <w:t>III</w:t>
      </w:r>
      <w:r>
        <w:rPr>
          <w:color w:val="auto"/>
          <w:szCs w:val="26"/>
          <w:highlight w:val="none"/>
        </w:rPr>
        <w:fldChar w:fldCharType="end"/>
      </w:r>
      <w:r>
        <w:rPr>
          <w:rFonts w:hint="eastAsia"/>
          <w:color w:val="auto"/>
          <w:szCs w:val="26"/>
          <w:highlight w:val="none"/>
          <w:shd w:val="clear" w:color="auto" w:fill="FFFFFF"/>
        </w:rPr>
        <w:t>级船闸标准</w:t>
      </w:r>
      <w:r>
        <w:rPr>
          <w:rFonts w:hint="eastAsia"/>
          <w:color w:val="auto"/>
          <w:highlight w:val="none"/>
          <w:lang w:eastAsia="zh-CN"/>
        </w:rPr>
        <w:t>，对提升涪江航道等级具有重要意义</w:t>
      </w:r>
      <w:r>
        <w:rPr>
          <w:rFonts w:hint="eastAsia"/>
          <w:color w:val="auto"/>
          <w:highlight w:val="none"/>
        </w:rPr>
        <w:t>，符合《长江流域综合规划(2012</w:t>
      </w:r>
      <w:r>
        <w:rPr>
          <w:rFonts w:hint="eastAsia"/>
          <w:color w:val="auto"/>
          <w:highlight w:val="none"/>
          <w:shd w:val="clear" w:fill="FFFFFF"/>
          <w:lang w:eastAsia="zh-CN"/>
        </w:rPr>
        <w:t>—</w:t>
      </w:r>
      <w:r>
        <w:rPr>
          <w:rFonts w:hint="eastAsia"/>
          <w:color w:val="auto"/>
          <w:highlight w:val="none"/>
        </w:rPr>
        <w:t>2030年)》。</w:t>
      </w:r>
    </w:p>
    <w:p>
      <w:pPr>
        <w:bidi w:val="0"/>
        <w:rPr>
          <w:rFonts w:hint="eastAsia"/>
          <w:color w:val="auto"/>
          <w:highlight w:val="none"/>
          <w:lang w:val="en-US" w:eastAsia="zh-CN"/>
        </w:rPr>
      </w:pPr>
      <w:r>
        <w:rPr>
          <w:rFonts w:hint="default"/>
          <w:color w:val="auto"/>
          <w:highlight w:val="none"/>
          <w:lang w:val="en-US" w:eastAsia="zh-CN"/>
        </w:rPr>
        <w:fldChar w:fldCharType="begin"/>
      </w:r>
      <w:r>
        <w:rPr>
          <w:rFonts w:hint="default"/>
          <w:color w:val="auto"/>
          <w:highlight w:val="none"/>
          <w:lang w:val="en-US" w:eastAsia="zh-CN"/>
        </w:rPr>
        <w:instrText xml:space="preserve"> = 2 \* GB3 \* MERGEFORMAT </w:instrText>
      </w:r>
      <w:r>
        <w:rPr>
          <w:rFonts w:hint="default"/>
          <w:color w:val="auto"/>
          <w:highlight w:val="none"/>
          <w:lang w:val="en-US" w:eastAsia="zh-CN"/>
        </w:rPr>
        <w:fldChar w:fldCharType="separate"/>
      </w:r>
      <w:r>
        <w:rPr>
          <w:color w:val="auto"/>
          <w:highlight w:val="none"/>
        </w:rPr>
        <w:t>②</w:t>
      </w:r>
      <w:r>
        <w:rPr>
          <w:rFonts w:hint="default"/>
          <w:color w:val="auto"/>
          <w:highlight w:val="none"/>
          <w:lang w:val="en-US" w:eastAsia="zh-CN"/>
        </w:rPr>
        <w:fldChar w:fldCharType="end"/>
      </w:r>
      <w:r>
        <w:rPr>
          <w:rFonts w:hint="eastAsia"/>
          <w:color w:val="auto"/>
          <w:highlight w:val="none"/>
          <w:lang w:val="en-US" w:eastAsia="zh-CN"/>
        </w:rPr>
        <w:t>与《嘉陵江流域综合规划》的符合性分析</w:t>
      </w:r>
    </w:p>
    <w:p>
      <w:pPr>
        <w:bidi w:val="0"/>
        <w:rPr>
          <w:rFonts w:hint="eastAsia"/>
          <w:color w:val="auto"/>
          <w:highlight w:val="none"/>
          <w:lang w:val="en-US" w:eastAsia="zh-CN"/>
        </w:rPr>
      </w:pPr>
      <w:r>
        <w:rPr>
          <w:rFonts w:hint="eastAsia"/>
          <w:color w:val="auto"/>
          <w:highlight w:val="none"/>
          <w:lang w:val="en-US" w:eastAsia="zh-CN"/>
        </w:rPr>
        <w:t>2024年12月，水利部以水规计〔2024〕340 号文印发了《水利部关于嘉陵江流域综合规划的批复》。该规划在主要支流航道规划中提出：“涪江。依据《全国港口与航道布局规划》，涪江遂宁至合川段长188km，航道发展技术等级为Ⅲ级，2035年规划航道等级为Ⅲ～Ⅳ级。遂宁以上航道可根据地方经济社会发展需要进行论证建设。”</w:t>
      </w:r>
    </w:p>
    <w:p>
      <w:pPr>
        <w:bidi w:val="0"/>
        <w:rPr>
          <w:rFonts w:hint="eastAsia"/>
          <w:color w:val="auto"/>
          <w:highlight w:val="none"/>
          <w:lang w:val="en-US" w:eastAsia="zh-CN"/>
        </w:rPr>
      </w:pPr>
      <w:r>
        <w:rPr>
          <w:rFonts w:hint="eastAsia"/>
          <w:color w:val="auto"/>
          <w:highlight w:val="none"/>
          <w:lang w:val="en-US" w:eastAsia="zh-CN"/>
        </w:rPr>
        <w:t>本项目为渭沱船闸扩能升级改造工程，通过项目的实施，可满足</w:t>
      </w:r>
      <w:r>
        <w:rPr>
          <w:rFonts w:hint="eastAsia"/>
          <w:color w:val="auto"/>
          <w:highlight w:val="none"/>
          <w:shd w:val="clear" w:fill="FFFFFF"/>
          <w:lang w:val="en-US" w:eastAsia="zh-CN"/>
        </w:rPr>
        <w:t>Ⅲ级</w:t>
      </w:r>
      <w:r>
        <w:rPr>
          <w:rFonts w:hint="eastAsia"/>
          <w:color w:val="auto"/>
          <w:highlight w:val="none"/>
          <w:lang w:val="en-US" w:eastAsia="zh-CN"/>
        </w:rPr>
        <w:t>船闸标准，对提升涪江航道等级、改善航运条件具有重要意义，符合《嘉陵江流域综合规划》。</w:t>
      </w:r>
    </w:p>
    <w:p>
      <w:pPr>
        <w:bidi w:val="0"/>
        <w:rPr>
          <w:color w:val="auto"/>
          <w:highlight w:val="none"/>
        </w:rPr>
      </w:pPr>
      <w:r>
        <w:rPr>
          <w:rFonts w:hint="default"/>
          <w:color w:val="auto"/>
          <w:highlight w:val="none"/>
          <w:lang w:val="en-US" w:eastAsia="zh-CN"/>
        </w:rPr>
        <w:fldChar w:fldCharType="begin"/>
      </w:r>
      <w:r>
        <w:rPr>
          <w:rFonts w:hint="default"/>
          <w:color w:val="auto"/>
          <w:highlight w:val="none"/>
          <w:lang w:val="en-US" w:eastAsia="zh-CN"/>
        </w:rPr>
        <w:instrText xml:space="preserve"> = 3 \* GB3 \* MERGEFORMAT </w:instrText>
      </w:r>
      <w:r>
        <w:rPr>
          <w:rFonts w:hint="default"/>
          <w:color w:val="auto"/>
          <w:highlight w:val="none"/>
          <w:lang w:val="en-US" w:eastAsia="zh-CN"/>
        </w:rPr>
        <w:fldChar w:fldCharType="separate"/>
      </w:r>
      <w:r>
        <w:rPr>
          <w:color w:val="auto"/>
          <w:highlight w:val="none"/>
        </w:rPr>
        <w:t>③</w:t>
      </w:r>
      <w:r>
        <w:rPr>
          <w:rFonts w:hint="default"/>
          <w:color w:val="auto"/>
          <w:highlight w:val="none"/>
          <w:lang w:val="en-US" w:eastAsia="zh-CN"/>
        </w:rPr>
        <w:fldChar w:fldCharType="end"/>
      </w:r>
      <w:r>
        <w:rPr>
          <w:rFonts w:hint="eastAsia"/>
          <w:color w:val="auto"/>
          <w:highlight w:val="none"/>
          <w:lang w:val="en-US" w:eastAsia="zh-CN"/>
        </w:rPr>
        <w:t>与涪江流域回顾性评价的符合性分析</w:t>
      </w:r>
    </w:p>
    <w:p>
      <w:pPr>
        <w:bidi w:val="0"/>
        <w:rPr>
          <w:rFonts w:hint="eastAsia"/>
          <w:color w:val="auto"/>
          <w:highlight w:val="none"/>
          <w:lang w:val="en-US" w:eastAsia="zh-CN"/>
        </w:rPr>
      </w:pPr>
      <w:r>
        <w:rPr>
          <w:rFonts w:hint="eastAsia"/>
          <w:color w:val="auto"/>
          <w:highlight w:val="none"/>
          <w:lang w:val="en-US" w:eastAsia="zh-CN"/>
        </w:rPr>
        <w:t>2021年，重庆市双江航运发展有限公司组织编制了《涪江重庆段流域环境影响回顾性评价报告》，并于2021年9月取得重庆市生态环境局审查意见函（</w:t>
      </w:r>
      <w:r>
        <w:rPr>
          <w:rFonts w:hint="eastAsia"/>
          <w:color w:val="auto"/>
          <w:highlight w:val="none"/>
        </w:rPr>
        <w:t>渝环函</w:t>
      </w:r>
      <w:r>
        <w:rPr>
          <w:rFonts w:hint="eastAsia" w:hAnsi="宋体"/>
          <w:color w:val="auto"/>
          <w:highlight w:val="none"/>
        </w:rPr>
        <w:t>〔2021〕</w:t>
      </w:r>
      <w:r>
        <w:rPr>
          <w:rFonts w:hint="eastAsia"/>
          <w:color w:val="auto"/>
          <w:highlight w:val="none"/>
        </w:rPr>
        <w:t>486号</w:t>
      </w:r>
      <w:r>
        <w:rPr>
          <w:rFonts w:hint="eastAsia"/>
          <w:color w:val="auto"/>
          <w:highlight w:val="none"/>
          <w:lang w:val="en-US" w:eastAsia="zh-CN"/>
        </w:rPr>
        <w:t>），根据分析，项目属于涪江流域回顾性评价中的后续拟实施项目，与《涪江重庆段流域环境影响回顾性评价报告》及审查意见不冲突。项目与回顾性评价及审查意见函的符合性如下：</w:t>
      </w:r>
    </w:p>
    <w:p>
      <w:pPr>
        <w:bidi w:val="0"/>
        <w:rPr>
          <w:rFonts w:hint="eastAsia"/>
          <w:color w:val="auto"/>
          <w:highlight w:val="none"/>
          <w:lang w:val="en-US" w:eastAsia="zh-CN"/>
        </w:rPr>
        <w:sectPr>
          <w:pgSz w:w="11907" w:h="16840"/>
          <w:pgMar w:top="1701" w:right="1588" w:bottom="1588" w:left="1588" w:header="1304" w:footer="1247" w:gutter="0"/>
          <w:cols w:space="720" w:num="1"/>
          <w:docGrid w:linePitch="354" w:charSpace="0"/>
        </w:sectPr>
      </w:pPr>
    </w:p>
    <w:p>
      <w:pPr>
        <w:spacing w:line="240" w:lineRule="auto"/>
        <w:ind w:left="0" w:leftChars="0" w:firstLine="0" w:firstLineChars="0"/>
        <w:jc w:val="center"/>
        <w:rPr>
          <w:rFonts w:hint="default"/>
          <w:color w:val="auto"/>
          <w:highlight w:val="none"/>
          <w:lang w:val="en-US" w:eastAsia="zh-CN"/>
        </w:rPr>
      </w:pPr>
      <w:r>
        <w:rPr>
          <w:rFonts w:hint="eastAsia"/>
          <w:color w:val="auto"/>
          <w:highlight w:val="none"/>
          <w:lang w:val="en-US" w:eastAsia="zh-CN"/>
        </w:rPr>
        <w:t>表1.9.3-1  项目与涪江回顾性评价的符合性分析</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8"/>
        <w:gridCol w:w="7694"/>
        <w:gridCol w:w="3979"/>
        <w:gridCol w:w="9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62"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有关要求</w:t>
            </w:r>
          </w:p>
        </w:tc>
        <w:tc>
          <w:tcPr>
            <w:tcW w:w="39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项目有关情况</w:t>
            </w:r>
          </w:p>
        </w:tc>
        <w:tc>
          <w:tcPr>
            <w:tcW w:w="9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一、河段开发情况</w:t>
            </w:r>
          </w:p>
        </w:tc>
        <w:tc>
          <w:tcPr>
            <w:tcW w:w="76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highlight w:val="none"/>
                <w:lang w:val="en-US" w:eastAsia="zh-CN"/>
              </w:rPr>
            </w:pPr>
            <w:r>
              <w:rPr>
                <w:rFonts w:hint="default" w:ascii="Times New Roman" w:hAnsi="Times New Roman" w:eastAsia="宋体" w:cs="Times New Roman"/>
                <w:color w:val="auto"/>
                <w:sz w:val="22"/>
                <w:szCs w:val="22"/>
                <w:highlight w:val="none"/>
                <w:shd w:val="clear" w:fill="FFFFFF"/>
                <w:vertAlign w:val="baseline"/>
                <w:lang w:val="en-US" w:eastAsia="zh-CN"/>
              </w:rPr>
              <w:t>·</w:t>
            </w:r>
            <w:r>
              <w:rPr>
                <w:rFonts w:hint="default" w:ascii="Times New Roman" w:hAnsi="Times New Roman" w:eastAsia="宋体" w:cs="Times New Roman"/>
                <w:color w:val="auto"/>
                <w:sz w:val="22"/>
                <w:szCs w:val="22"/>
                <w:highlight w:val="none"/>
                <w:vertAlign w:val="baseline"/>
                <w:lang w:val="en-US" w:eastAsia="zh-CN"/>
              </w:rPr>
              <w:t>····评价范围内其他规划后续拟实施项目包括长征渠工程、毗沱引水渠灌溉工程、人民渠工程、涪江灌区续建配套与节水改造工程、潼南涪琼两江连通工程、渝西水资源配置工程、涪江干流已建枢纽船闸升级改造及防洪工程等。</w:t>
            </w:r>
          </w:p>
        </w:tc>
        <w:tc>
          <w:tcPr>
            <w:tcW w:w="39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本次为</w:t>
            </w:r>
            <w:r>
              <w:rPr>
                <w:rFonts w:hint="default" w:ascii="Times New Roman" w:hAnsi="Times New Roman" w:eastAsia="宋体" w:cs="Times New Roman"/>
                <w:color w:val="auto"/>
                <w:sz w:val="22"/>
                <w:szCs w:val="22"/>
                <w:highlight w:val="none"/>
                <w:vertAlign w:val="baseline"/>
                <w:lang w:val="en-US" w:eastAsia="zh-CN"/>
              </w:rPr>
              <w:t>已建</w:t>
            </w:r>
            <w:r>
              <w:rPr>
                <w:rFonts w:hint="eastAsia" w:ascii="Times New Roman" w:hAnsi="Times New Roman" w:eastAsia="宋体" w:cs="Times New Roman"/>
                <w:color w:val="auto"/>
                <w:sz w:val="22"/>
                <w:szCs w:val="22"/>
                <w:highlight w:val="none"/>
                <w:vertAlign w:val="baseline"/>
                <w:lang w:val="en-US" w:eastAsia="zh-CN"/>
              </w:rPr>
              <w:t>渭沱</w:t>
            </w:r>
            <w:r>
              <w:rPr>
                <w:rFonts w:hint="default" w:ascii="Times New Roman" w:hAnsi="Times New Roman" w:eastAsia="宋体" w:cs="Times New Roman"/>
                <w:color w:val="auto"/>
                <w:sz w:val="22"/>
                <w:szCs w:val="22"/>
                <w:highlight w:val="none"/>
                <w:vertAlign w:val="baseline"/>
                <w:lang w:val="en-US" w:eastAsia="zh-CN"/>
              </w:rPr>
              <w:t>枢纽船闸升级改造</w:t>
            </w:r>
            <w:r>
              <w:rPr>
                <w:rFonts w:hint="eastAsia" w:ascii="Times New Roman" w:hAnsi="Times New Roman" w:eastAsia="宋体" w:cs="Times New Roman"/>
                <w:color w:val="auto"/>
                <w:sz w:val="22"/>
                <w:szCs w:val="22"/>
                <w:highlight w:val="none"/>
                <w:vertAlign w:val="baseline"/>
                <w:lang w:val="en-US" w:eastAsia="zh-CN"/>
              </w:rPr>
              <w:t>工程</w:t>
            </w:r>
            <w:r>
              <w:rPr>
                <w:rFonts w:hint="eastAsia" w:cs="Times New Roman"/>
                <w:color w:val="auto"/>
                <w:sz w:val="22"/>
                <w:szCs w:val="22"/>
                <w:highlight w:val="none"/>
                <w:vertAlign w:val="baseline"/>
                <w:lang w:val="en-US" w:eastAsia="zh-CN"/>
              </w:rPr>
              <w:t>，属于回顾性评价中后续拟实施项目</w:t>
            </w:r>
            <w:r>
              <w:rPr>
                <w:rFonts w:hint="eastAsia" w:ascii="Times New Roman" w:hAnsi="Times New Roman" w:eastAsia="宋体" w:cs="Times New Roman"/>
                <w:color w:val="auto"/>
                <w:sz w:val="22"/>
                <w:szCs w:val="22"/>
                <w:highlight w:val="none"/>
                <w:vertAlign w:val="baseline"/>
                <w:lang w:val="en-US" w:eastAsia="zh-CN"/>
              </w:rPr>
              <w:t>。</w:t>
            </w:r>
          </w:p>
        </w:tc>
        <w:tc>
          <w:tcPr>
            <w:tcW w:w="9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8"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三、进一步做好生态环境保护的相关要求</w:t>
            </w:r>
          </w:p>
        </w:tc>
        <w:tc>
          <w:tcPr>
            <w:tcW w:w="76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（一）严格落实流域规划环评及项目环评相关要求。</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渭沱枢纽工程涉及重庆铜梁安居国家湿地公园、重庆合川三江国家湿地公园，应补充开展环境影响后评价，论证对湿地公园的影响，并提出环境保护措施；潼南航电枢纽应尽快落实鱼类栖息地保护、过鱼设施、</w:t>
            </w:r>
            <w:r>
              <w:rPr>
                <w:rFonts w:hint="eastAsia"/>
                <w:color w:val="auto"/>
                <w:sz w:val="22"/>
                <w:szCs w:val="22"/>
                <w:highlight w:val="none"/>
                <w:shd w:val="clear" w:fill="FFFFFF"/>
                <w:vertAlign w:val="baseline"/>
                <w:lang w:eastAsia="zh-CN"/>
              </w:rPr>
              <w:t>潼南县</w:t>
            </w:r>
            <w:r>
              <w:rPr>
                <w:rFonts w:hint="eastAsia"/>
                <w:color w:val="auto"/>
                <w:sz w:val="22"/>
                <w:szCs w:val="22"/>
                <w:highlight w:val="none"/>
                <w:vertAlign w:val="baseline"/>
                <w:lang w:eastAsia="zh-CN"/>
              </w:rPr>
              <w:t>城污水处理厂排污口搬迁等生态保护措施；富金坝航电枢纽应尽快落实鱼类增殖放流站、污水处理站等保护措施；安居枢纽应尽快落实过鱼设施，并加强污水处理措施，确保污水不外排。支流已建小水电站应按要求完成竣工环保验收工作，并按照长江经济带小水电清理整改要求泄放生态流量。</w:t>
            </w:r>
          </w:p>
        </w:tc>
        <w:tc>
          <w:tcPr>
            <w:tcW w:w="39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eastAsia="zh-CN"/>
              </w:rPr>
              <w:t>本次为渭沱船闸扩能升级改造工程，在现有船闸右侧新建</w:t>
            </w:r>
            <w:r>
              <w:rPr>
                <w:rFonts w:hint="eastAsia"/>
                <w:color w:val="auto"/>
                <w:sz w:val="22"/>
                <w:szCs w:val="22"/>
                <w:highlight w:val="none"/>
                <w:vertAlign w:val="baseline"/>
                <w:lang w:val="en-US" w:eastAsia="zh-CN"/>
              </w:rPr>
              <w:t>1处船闸，不对渭沱枢纽主体工程、工程特性、运行方式造成改变，本次船闸工程仅涉及下游重庆合川三江国家湿地公园，不占用上游</w:t>
            </w:r>
            <w:r>
              <w:rPr>
                <w:rFonts w:hint="eastAsia"/>
                <w:color w:val="auto"/>
                <w:sz w:val="22"/>
                <w:szCs w:val="22"/>
                <w:highlight w:val="none"/>
                <w:vertAlign w:val="baseline"/>
                <w:lang w:eastAsia="zh-CN"/>
              </w:rPr>
              <w:t>重庆铜梁安居国家湿地公园</w:t>
            </w:r>
            <w:r>
              <w:rPr>
                <w:rFonts w:hint="eastAsia"/>
                <w:color w:val="auto"/>
                <w:sz w:val="22"/>
                <w:szCs w:val="22"/>
                <w:highlight w:val="none"/>
                <w:vertAlign w:val="baseline"/>
                <w:lang w:val="en-US" w:eastAsia="zh-CN"/>
              </w:rPr>
              <w:t>，本次对渭沱枢纽建设以来的环境影响进行了回顾性评价，</w:t>
            </w:r>
            <w:r>
              <w:rPr>
                <w:rFonts w:hint="eastAsia"/>
                <w:color w:val="auto"/>
                <w:sz w:val="22"/>
                <w:szCs w:val="22"/>
                <w:highlight w:val="none"/>
                <w:vertAlign w:val="baseline"/>
                <w:lang w:eastAsia="zh-CN"/>
              </w:rPr>
              <w:t>论证了对湿地公园的影响，并提出环境保护措施</w:t>
            </w:r>
            <w:r>
              <w:rPr>
                <w:rFonts w:hint="eastAsia"/>
                <w:color w:val="auto"/>
                <w:sz w:val="22"/>
                <w:szCs w:val="22"/>
                <w:highlight w:val="none"/>
                <w:vertAlign w:val="baseline"/>
                <w:lang w:val="en-US" w:eastAsia="zh-CN"/>
              </w:rPr>
              <w:t>。</w:t>
            </w:r>
          </w:p>
        </w:tc>
        <w:tc>
          <w:tcPr>
            <w:tcW w:w="9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vertAlign w:val="baseline"/>
                <w:lang w:eastAsia="zh-CN"/>
              </w:rPr>
            </w:pPr>
          </w:p>
        </w:tc>
        <w:tc>
          <w:tcPr>
            <w:tcW w:w="76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（二）充分保障下游生态用水</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val="en-US" w:eastAsia="zh-CN"/>
              </w:rPr>
            </w:pPr>
            <w:r>
              <w:rPr>
                <w:rFonts w:hint="eastAsia" w:ascii="Times New Roman" w:hAnsi="Times New Roman" w:eastAsia="宋体" w:cs="Times New Roman"/>
                <w:color w:val="auto"/>
                <w:sz w:val="22"/>
                <w:szCs w:val="22"/>
                <w:highlight w:val="none"/>
                <w:vertAlign w:val="baseline"/>
                <w:lang w:eastAsia="zh-CN"/>
              </w:rPr>
              <w:t>各已建工程应认真落实生态流量泄放及保障措施，保障流域生态用水，双江航电枢纽工程应充分论证梯级下泄水量与重庆涪江国家湿地公园、定明山—运河市级风景名胜区等环境敏感区的关系，提出有针对性的预防和减缓措施。涪江干流各枢纽在运行调度过程中，应考虑涪江小河坝断面72</w:t>
            </w:r>
            <w:r>
              <w:rPr>
                <w:rFonts w:hint="eastAsia" w:ascii="Times New Roman" w:hAnsi="Times New Roman" w:eastAsia="宋体" w:cs="Times New Roman"/>
                <w:color w:val="auto"/>
                <w:sz w:val="22"/>
                <w:szCs w:val="22"/>
                <w:highlight w:val="none"/>
                <w:shd w:val="clear" w:fill="FFFFFF"/>
                <w:vertAlign w:val="baseline"/>
                <w:lang w:eastAsia="zh-CN"/>
              </w:rPr>
              <w:t>立方米/秒</w:t>
            </w:r>
            <w:r>
              <w:rPr>
                <w:rFonts w:hint="eastAsia" w:ascii="Times New Roman" w:hAnsi="Times New Roman" w:eastAsia="宋体" w:cs="Times New Roman"/>
                <w:color w:val="auto"/>
                <w:sz w:val="22"/>
                <w:szCs w:val="22"/>
                <w:highlight w:val="none"/>
                <w:vertAlign w:val="baseline"/>
                <w:lang w:eastAsia="zh-CN"/>
              </w:rPr>
              <w:t>的生态流量需求，通过科学调度保证涪江干流水生态健康。</w:t>
            </w:r>
          </w:p>
        </w:tc>
        <w:tc>
          <w:tcPr>
            <w:tcW w:w="39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eastAsia="zh-CN"/>
              </w:rPr>
              <w:t>小河坝水文站位于渭沱枢纽上游，渭沱电站采用闸门进行生态流量下泄，生态流量泄放值可满足核定值（</w:t>
            </w:r>
            <w:r>
              <w:rPr>
                <w:rFonts w:hint="eastAsia"/>
                <w:color w:val="auto"/>
                <w:sz w:val="22"/>
                <w:szCs w:val="22"/>
                <w:highlight w:val="none"/>
                <w:vertAlign w:val="baseline"/>
                <w:lang w:val="en-US" w:eastAsia="zh-CN"/>
              </w:rPr>
              <w:t>53.5m³/s</w:t>
            </w:r>
            <w:r>
              <w:rPr>
                <w:rFonts w:hint="eastAsia"/>
                <w:color w:val="auto"/>
                <w:sz w:val="22"/>
                <w:szCs w:val="22"/>
                <w:highlight w:val="none"/>
                <w:vertAlign w:val="baseline"/>
                <w:lang w:eastAsia="zh-CN"/>
              </w:rPr>
              <w:t>）要求，同时设置了生态流量泄放监控及监测设施。</w:t>
            </w:r>
          </w:p>
        </w:tc>
        <w:tc>
          <w:tcPr>
            <w:tcW w:w="9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vertAlign w:val="baseline"/>
                <w:lang w:eastAsia="zh-CN"/>
              </w:rPr>
            </w:pPr>
          </w:p>
        </w:tc>
        <w:tc>
          <w:tcPr>
            <w:tcW w:w="76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（三）</w:t>
            </w:r>
            <w:r>
              <w:rPr>
                <w:rFonts w:hint="eastAsia" w:cs="Times New Roman"/>
                <w:color w:val="auto"/>
                <w:sz w:val="22"/>
                <w:szCs w:val="22"/>
                <w:highlight w:val="none"/>
                <w:shd w:val="clear" w:fill="FFFFFF"/>
                <w:vertAlign w:val="baseline"/>
                <w:lang w:eastAsia="zh-CN"/>
              </w:rPr>
              <w:t>采取有效</w:t>
            </w:r>
            <w:r>
              <w:rPr>
                <w:rFonts w:hint="eastAsia" w:ascii="Times New Roman" w:hAnsi="Times New Roman" w:eastAsia="宋体" w:cs="Times New Roman"/>
                <w:color w:val="auto"/>
                <w:sz w:val="22"/>
                <w:szCs w:val="22"/>
                <w:highlight w:val="none"/>
                <w:vertAlign w:val="baseline"/>
                <w:lang w:eastAsia="zh-CN"/>
              </w:rPr>
              <w:t>鱼类保护措施。</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切实做好鱼类保护，统筹涪江干流各枢纽联合生态调度、鱼类增殖放流和栖息地保护等工程补偿措施，严格落实嘉陵江流域综合规划及规划环评中的相关生态保护要求。双江航电枢纽工程应建设鱼道，下游的潼南航电枢纽、富金坝航电枢纽、安居枢纽、渭沱枢纽也应同步推动有效过鱼措施的论证、建设，并长期监测各枢纽坝上、坝下的鱼类资源分布，评价其过鱼措施的效果。各枢纽工程应统筹考虑区域开发对涪江干流鱼类资源的累积性和系统性影响。在坚持统筹兼顾、突出重点的原则下，从保护长江上游珍稀特有鱼类、维持水域生态平衡及鱼类群落多样性等目的出发，科学开展增殖放流活动。应持续性</w:t>
            </w:r>
            <w:r>
              <w:rPr>
                <w:rFonts w:hint="eastAsia" w:cs="Times New Roman"/>
                <w:color w:val="auto"/>
                <w:sz w:val="22"/>
                <w:szCs w:val="22"/>
                <w:highlight w:val="none"/>
                <w:shd w:val="clear" w:fill="FFFFFF"/>
                <w:vertAlign w:val="baseline"/>
                <w:lang w:eastAsia="zh-CN"/>
              </w:rPr>
              <w:t>地</w:t>
            </w:r>
            <w:r>
              <w:rPr>
                <w:rFonts w:hint="eastAsia" w:ascii="Times New Roman" w:hAnsi="Times New Roman" w:eastAsia="宋体" w:cs="Times New Roman"/>
                <w:color w:val="auto"/>
                <w:sz w:val="22"/>
                <w:szCs w:val="22"/>
                <w:highlight w:val="none"/>
                <w:vertAlign w:val="baseline"/>
                <w:lang w:eastAsia="zh-CN"/>
              </w:rPr>
              <w:t>开展流域的水生生态监测，以提供科学合理的水生生态补偿建议。</w:t>
            </w:r>
          </w:p>
        </w:tc>
        <w:tc>
          <w:tcPr>
            <w:tcW w:w="39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本次项目对船闸扩能升级改造过程中，对</w:t>
            </w:r>
            <w:r>
              <w:rPr>
                <w:rFonts w:hint="eastAsia" w:ascii="Times New Roman" w:hAnsi="Times New Roman" w:eastAsia="宋体" w:cs="Times New Roman"/>
                <w:color w:val="auto"/>
                <w:sz w:val="22"/>
                <w:szCs w:val="22"/>
                <w:highlight w:val="none"/>
                <w:vertAlign w:val="baseline"/>
                <w:lang w:eastAsia="zh-CN"/>
              </w:rPr>
              <w:t>过鱼措施进行了论证，</w:t>
            </w:r>
            <w:r>
              <w:rPr>
                <w:rFonts w:hint="eastAsia"/>
                <w:color w:val="auto"/>
                <w:sz w:val="22"/>
                <w:szCs w:val="22"/>
                <w:highlight w:val="none"/>
                <w:vertAlign w:val="baseline"/>
                <w:lang w:eastAsia="zh-CN"/>
              </w:rPr>
              <w:t>同步进行鱼道建设。鱼类增殖放流工作由建设单位在涪江流域统筹开展。</w:t>
            </w:r>
          </w:p>
        </w:tc>
        <w:tc>
          <w:tcPr>
            <w:tcW w:w="9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vertAlign w:val="baseline"/>
                <w:lang w:eastAsia="zh-CN"/>
              </w:rPr>
            </w:pPr>
          </w:p>
        </w:tc>
        <w:tc>
          <w:tcPr>
            <w:tcW w:w="76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（四）实施生态调度。</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各已建工程应严格按照要求泄放生态流量，并加强监测监控。研究制定评价范围段联合生态调度方案，以满足涪江流域在流水中产漂流性卵和产粘性卵鱼类繁殖的需求。联合调度方案应纳入后续开发项目生态保护措施体系。</w:t>
            </w:r>
          </w:p>
        </w:tc>
        <w:tc>
          <w:tcPr>
            <w:tcW w:w="39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重庆航发集团建设有航电枢纽集中控制调度中心，对航电枢纽进行统一调度。渭沱电站采用闸门进行生态流量下泄，生态流量泄放值可满足核定值（</w:t>
            </w:r>
            <w:r>
              <w:rPr>
                <w:rFonts w:hint="eastAsia"/>
                <w:color w:val="auto"/>
                <w:sz w:val="22"/>
                <w:szCs w:val="22"/>
                <w:highlight w:val="none"/>
                <w:vertAlign w:val="baseline"/>
                <w:lang w:val="en-US" w:eastAsia="zh-CN"/>
              </w:rPr>
              <w:t>53.5m³/s</w:t>
            </w:r>
            <w:r>
              <w:rPr>
                <w:rFonts w:hint="eastAsia"/>
                <w:color w:val="auto"/>
                <w:sz w:val="22"/>
                <w:szCs w:val="22"/>
                <w:highlight w:val="none"/>
                <w:vertAlign w:val="baseline"/>
                <w:lang w:eastAsia="zh-CN"/>
              </w:rPr>
              <w:t>）要求，同时设置了生态流量泄放监控及监测设施。</w:t>
            </w:r>
          </w:p>
        </w:tc>
        <w:tc>
          <w:tcPr>
            <w:tcW w:w="9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vertAlign w:val="baseline"/>
                <w:lang w:eastAsia="zh-CN"/>
              </w:rPr>
            </w:pPr>
          </w:p>
        </w:tc>
        <w:tc>
          <w:tcPr>
            <w:tcW w:w="76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（五）强化流域水环境综合整治</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流域后续发展应严格落实“先节水后调水，先治污后通水，先环保后用水”的原则，优先满足流域生态环境用水，加</w:t>
            </w:r>
            <w:r>
              <w:rPr>
                <w:rFonts w:hint="eastAsia" w:ascii="Times New Roman" w:hAnsi="Times New Roman" w:eastAsia="宋体" w:cs="Times New Roman"/>
                <w:color w:val="auto"/>
                <w:sz w:val="22"/>
                <w:szCs w:val="22"/>
                <w:highlight w:val="none"/>
                <w:shd w:val="clear" w:fill="FFFFFF"/>
                <w:vertAlign w:val="baseline"/>
                <w:lang w:eastAsia="zh-CN"/>
              </w:rPr>
              <w:t>强小安</w:t>
            </w:r>
            <w:r>
              <w:rPr>
                <w:rFonts w:hint="eastAsia" w:ascii="Times New Roman" w:hAnsi="Times New Roman" w:eastAsia="宋体" w:cs="Times New Roman"/>
                <w:color w:val="auto"/>
                <w:sz w:val="22"/>
                <w:szCs w:val="22"/>
                <w:highlight w:val="none"/>
                <w:vertAlign w:val="baseline"/>
                <w:lang w:eastAsia="zh-CN"/>
              </w:rPr>
              <w:t>溪、琼江等流域水质综合治理，进一步落实相关水质改善措施，强化水质监控和污染源管控，根据动态监测情况，落实和完善生态环境保护对策措施，防范水环境风险，确保流域水环境质量达标和水环境安全。</w:t>
            </w:r>
          </w:p>
        </w:tc>
        <w:tc>
          <w:tcPr>
            <w:tcW w:w="39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渭沱枢纽现状产生的少量生活污水经一体化污水处理设备处理达标后排入涪江，未对涪江水环境质量造成较大影响。</w:t>
            </w:r>
          </w:p>
        </w:tc>
        <w:tc>
          <w:tcPr>
            <w:tcW w:w="9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vertAlign w:val="baseline"/>
                <w:lang w:eastAsia="zh-CN"/>
              </w:rPr>
            </w:pPr>
          </w:p>
        </w:tc>
        <w:tc>
          <w:tcPr>
            <w:tcW w:w="76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（六）加强生态环境管理</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应成立生态环境保护机构，优先落实生态环境保护的主体责任，协调相关梯级建设和运行单位，明确相关生态环境保护措施的步骤、资金来源、实施主体以及人员和责任，统筹推进各项生态环境保护措施落实，相关情况及时报告。</w:t>
            </w:r>
          </w:p>
        </w:tc>
        <w:tc>
          <w:tcPr>
            <w:tcW w:w="39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重庆航发集团设置有生态环境保护机构，渭沱枢纽也安排有专人进行生态环境管理工作。</w:t>
            </w:r>
          </w:p>
        </w:tc>
        <w:tc>
          <w:tcPr>
            <w:tcW w:w="9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四、后续枢纽建设建议</w:t>
            </w:r>
          </w:p>
        </w:tc>
        <w:tc>
          <w:tcPr>
            <w:tcW w:w="76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后续开发要坚持生态优先，把修复长江生态环境摆在压倒性位置；坚持在保护中发展、在发展中保护，推动流域开发和生态环境保护相协调。从维护流域自然生态系统完整性和生态功能稳定的角度，加强流域整体性保护，制定流域整体性生态保护和修复方案，落实《报告书》提出的相关措施和建议，改善流域生态环境。下阶段，双江航电枢纽工程应加强与四川省及遂宁市和重庆市及潼南区、铜梁区、合川区、大足区、永川区的国土空间规划、“三线一单</w:t>
            </w:r>
            <w:r>
              <w:rPr>
                <w:rFonts w:hint="eastAsia" w:ascii="Times New Roman" w:hAnsi="Times New Roman" w:eastAsia="宋体" w:cs="Times New Roman"/>
                <w:color w:val="auto"/>
                <w:sz w:val="22"/>
                <w:szCs w:val="22"/>
                <w:highlight w:val="none"/>
                <w:shd w:val="clear" w:fill="FFFFFF"/>
                <w:vertAlign w:val="baseline"/>
                <w:lang w:eastAsia="zh-CN"/>
              </w:rPr>
              <w:t>”、《</w:t>
            </w:r>
            <w:r>
              <w:rPr>
                <w:rFonts w:hint="eastAsia" w:ascii="Times New Roman" w:hAnsi="Times New Roman" w:eastAsia="宋体" w:cs="Times New Roman"/>
                <w:color w:val="auto"/>
                <w:sz w:val="22"/>
                <w:szCs w:val="22"/>
                <w:highlight w:val="none"/>
                <w:vertAlign w:val="baseline"/>
                <w:lang w:eastAsia="zh-CN"/>
              </w:rPr>
              <w:t>嘉陵江流域综合规划》等成果衔接，结合区域资源与环境承载能力，深入论证建设的环境合理性和可行性，深入分析项目实施的生态环境影响，提出具有针对性、有效性的保护措施，维持河流生态系统结构和功能。后续开发中涉及生态保护红线、风景名胜区、集中式饮用水源地保护区等环境敏感区的项目，应首先优化选址避让，确实无法避让的应依法取得相关行政主管部门批准，并通过加强环保措施及环境监管等方式，有效控制和减缓对保护目标的不良环境影响，确保项目符合有关管控要求。</w:t>
            </w:r>
          </w:p>
        </w:tc>
        <w:tc>
          <w:tcPr>
            <w:tcW w:w="39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项目位于合川区铜溪镇、渭沱镇，符合国土空间规划及生态环境分区管控要求。由于项目为现有渭沱枢纽的船闸扩能升级改造工程，选址具有唯一性，不可避免占用了生态保护红线和重庆合川三江国家湿地公园</w:t>
            </w:r>
            <w:r>
              <w:rPr>
                <w:rFonts w:hint="eastAsia"/>
                <w:color w:val="auto"/>
                <w:sz w:val="22"/>
                <w:szCs w:val="22"/>
                <w:highlight w:val="none"/>
                <w:shd w:val="clear" w:fill="FFFFFF"/>
                <w:vertAlign w:val="baseline"/>
                <w:lang w:eastAsia="zh-CN"/>
              </w:rPr>
              <w:t>，在</w:t>
            </w:r>
            <w:r>
              <w:rPr>
                <w:rFonts w:hint="eastAsia"/>
                <w:color w:val="auto"/>
                <w:sz w:val="22"/>
                <w:szCs w:val="22"/>
                <w:highlight w:val="none"/>
                <w:vertAlign w:val="baseline"/>
                <w:lang w:eastAsia="zh-CN"/>
              </w:rPr>
              <w:t>项目平面布置过程中最大程度对上述敏感区进行了避让，并编制了专题报告，同时提出了针对性的保护措施。</w:t>
            </w:r>
          </w:p>
        </w:tc>
        <w:tc>
          <w:tcPr>
            <w:tcW w:w="9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bl>
    <w:p>
      <w:pPr>
        <w:spacing w:line="240" w:lineRule="auto"/>
        <w:rPr>
          <w:rFonts w:hint="eastAsia"/>
          <w:color w:val="auto"/>
          <w:highlight w:val="none"/>
          <w:lang w:eastAsia="zh-CN"/>
        </w:rPr>
        <w:sectPr>
          <w:pgSz w:w="16840" w:h="11907" w:orient="landscape"/>
          <w:pgMar w:top="1588" w:right="1701" w:bottom="1588" w:left="1588" w:header="1304" w:footer="1247" w:gutter="0"/>
          <w:cols w:space="720" w:num="1"/>
          <w:docGrid w:linePitch="354" w:charSpace="0"/>
        </w:sectPr>
      </w:pPr>
    </w:p>
    <w:p>
      <w:pPr>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）与交通航运有关规划的符合性分析</w:t>
      </w:r>
    </w:p>
    <w:p>
      <w:pPr>
        <w:bidi w:val="0"/>
        <w:rPr>
          <w:rFonts w:hint="eastAsia"/>
          <w:color w:val="auto"/>
          <w:highlight w:val="none"/>
          <w:lang w:val="en-US" w:eastAsia="zh-CN"/>
        </w:rPr>
      </w:pPr>
      <w:r>
        <w:rPr>
          <w:rFonts w:hint="eastAsia"/>
          <w:color w:val="auto"/>
          <w:highlight w:val="none"/>
          <w:lang w:eastAsia="zh-CN"/>
        </w:rPr>
        <w:t>拟建项目与《水运“十四五”发展规划》《共建长江上游航运中心实施方案》《重庆市推动交通强国建设试点实施方案（2021—2025年）》《重庆市综合交通运输“十四五”规划（2021—2025年）》《重庆市航道规划（2035年）》《合川区“十四五”综合交通运输发展规划（2021—2025年）》等相关交通、航运规划及规划环评的符合性分析详见表</w:t>
      </w:r>
      <w:r>
        <w:rPr>
          <w:rFonts w:hint="eastAsia"/>
          <w:color w:val="auto"/>
          <w:highlight w:val="none"/>
          <w:lang w:val="en-US" w:eastAsia="zh-CN"/>
        </w:rPr>
        <w:t>1.9.3-2、1.9.3-3。</w:t>
      </w:r>
    </w:p>
    <w:p>
      <w:pPr>
        <w:bidi w:val="0"/>
        <w:rPr>
          <w:rFonts w:hint="eastAsia"/>
          <w:color w:val="auto"/>
          <w:highlight w:val="none"/>
          <w:lang w:val="en-US" w:eastAsia="zh-CN"/>
        </w:rPr>
      </w:pPr>
      <w:r>
        <w:rPr>
          <w:rFonts w:hint="eastAsia"/>
          <w:color w:val="auto"/>
          <w:highlight w:val="none"/>
          <w:lang w:val="en-US" w:eastAsia="zh-CN"/>
        </w:rPr>
        <w:t>根据分析，项目属于涪江航道现有渭沱枢纽船闸扩能升级改造工程，已纳入国家、重庆市及合川区有关交通、航运规划，项目建设有利于提升对于畅通涪江航道、提升水运能力、调整运输结构具有重要作用，有利于助推实现碳达峰、碳中和目标，项目不可避免占用部分生态保护红线、重庆合川三江国家湿地公园，编制了不可避让论证报告和湿地公园专题报告，并提出了严格的生态保护措施，符合法律法规、规划及各项生态环境准入要求，项目与国家及地方有关规划不冲突。</w:t>
      </w:r>
    </w:p>
    <w:p>
      <w:pPr>
        <w:pStyle w:val="2"/>
        <w:rPr>
          <w:rFonts w:hint="default"/>
          <w:color w:val="auto"/>
          <w:highlight w:val="none"/>
          <w:lang w:val="en-US" w:eastAsia="zh-CN"/>
        </w:rPr>
      </w:pPr>
    </w:p>
    <w:p>
      <w:pPr>
        <w:bidi w:val="0"/>
        <w:rPr>
          <w:rFonts w:hint="default"/>
          <w:color w:val="auto"/>
          <w:highlight w:val="none"/>
          <w:lang w:val="en-US" w:eastAsia="zh-CN"/>
        </w:rPr>
        <w:sectPr>
          <w:pgSz w:w="11907" w:h="16840"/>
          <w:pgMar w:top="1701" w:right="1588" w:bottom="1588" w:left="1588" w:header="1304" w:footer="1247" w:gutter="0"/>
          <w:cols w:space="720" w:num="1"/>
          <w:docGrid w:linePitch="354" w:charSpace="0"/>
        </w:sectPr>
      </w:pPr>
    </w:p>
    <w:p>
      <w:pPr>
        <w:pStyle w:val="2"/>
        <w:jc w:val="center"/>
        <w:rPr>
          <w:rFonts w:hint="default"/>
          <w:color w:val="auto"/>
          <w:highlight w:val="none"/>
          <w:lang w:val="en-US" w:eastAsia="zh-CN"/>
        </w:rPr>
      </w:pPr>
      <w:r>
        <w:rPr>
          <w:rFonts w:hint="eastAsia"/>
          <w:color w:val="auto"/>
          <w:sz w:val="26"/>
          <w:szCs w:val="26"/>
          <w:highlight w:val="none"/>
          <w:lang w:val="en-US" w:eastAsia="zh-CN"/>
        </w:rPr>
        <w:t>表1.9.3-2  项目与相关规划的符合性分析</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9"/>
        <w:gridCol w:w="2513"/>
        <w:gridCol w:w="6537"/>
        <w:gridCol w:w="2867"/>
        <w:gridCol w:w="1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序号</w:t>
            </w:r>
          </w:p>
        </w:tc>
        <w:tc>
          <w:tcPr>
            <w:tcW w:w="25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规划名称</w:t>
            </w:r>
          </w:p>
        </w:tc>
        <w:tc>
          <w:tcPr>
            <w:tcW w:w="65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规划内容</w:t>
            </w:r>
          </w:p>
        </w:tc>
        <w:tc>
          <w:tcPr>
            <w:tcW w:w="28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项目概况</w:t>
            </w:r>
          </w:p>
        </w:tc>
        <w:tc>
          <w:tcPr>
            <w:tcW w:w="110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val="en-US" w:eastAsia="zh-CN"/>
              </w:rPr>
              <w:t>1</w:t>
            </w:r>
          </w:p>
        </w:tc>
        <w:tc>
          <w:tcPr>
            <w:tcW w:w="25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《全国港口与航道布局规划》（发改基础〔2023〕1026号）</w:t>
            </w:r>
          </w:p>
        </w:tc>
        <w:tc>
          <w:tcPr>
            <w:tcW w:w="65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(六)支流高等级航道建设工程。</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加快长江水系金沙江、岷江、</w:t>
            </w:r>
            <w:r>
              <w:rPr>
                <w:rFonts w:hint="eastAsia"/>
                <w:b/>
                <w:bCs/>
                <w:color w:val="auto"/>
                <w:sz w:val="22"/>
                <w:szCs w:val="22"/>
                <w:highlight w:val="none"/>
                <w:vertAlign w:val="baseline"/>
                <w:lang w:eastAsia="zh-CN"/>
              </w:rPr>
              <w:t>渠江、涪江</w:t>
            </w:r>
            <w:r>
              <w:rPr>
                <w:rFonts w:hint="eastAsia"/>
                <w:color w:val="auto"/>
                <w:sz w:val="22"/>
                <w:szCs w:val="22"/>
                <w:highlight w:val="none"/>
                <w:vertAlign w:val="baseline"/>
                <w:lang w:eastAsia="zh-CN"/>
              </w:rPr>
              <w:t>、乌江、松虎-</w:t>
            </w:r>
            <w:r>
              <w:rPr>
                <w:rFonts w:hint="eastAsia"/>
                <w:color w:val="auto"/>
                <w:sz w:val="22"/>
                <w:szCs w:val="22"/>
                <w:highlight w:val="none"/>
                <w:shd w:val="clear" w:fill="FFFFFF"/>
                <w:vertAlign w:val="baseline"/>
                <w:lang w:eastAsia="zh-CN"/>
              </w:rPr>
              <w:t>灃</w:t>
            </w:r>
            <w:r>
              <w:rPr>
                <w:rFonts w:hint="eastAsia"/>
                <w:color w:val="auto"/>
                <w:sz w:val="22"/>
                <w:szCs w:val="22"/>
                <w:highlight w:val="none"/>
                <w:vertAlign w:val="baseline"/>
                <w:lang w:eastAsia="zh-CN"/>
              </w:rPr>
              <w:t>资航线、涟水、唐白河、汉北河、信江、袁河、昌江，珠江水系右江、左江、都柳江、东江，淮河水系沙颍河等支流高等级航道达标畅通或局部优化。</w:t>
            </w:r>
          </w:p>
        </w:tc>
        <w:tc>
          <w:tcPr>
            <w:tcW w:w="28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本工程为涪江干流渭沱船闸扩能</w:t>
            </w:r>
            <w:r>
              <w:rPr>
                <w:rFonts w:hint="eastAsia"/>
                <w:color w:val="auto"/>
                <w:sz w:val="22"/>
                <w:szCs w:val="22"/>
                <w:highlight w:val="none"/>
                <w:shd w:val="clear" w:fill="FFFFFF"/>
                <w:vertAlign w:val="baseline"/>
                <w:lang w:eastAsia="zh-CN"/>
              </w:rPr>
              <w:t>升级</w:t>
            </w:r>
            <w:r>
              <w:rPr>
                <w:rFonts w:hint="eastAsia"/>
                <w:color w:val="auto"/>
                <w:sz w:val="22"/>
                <w:szCs w:val="22"/>
                <w:highlight w:val="none"/>
                <w:vertAlign w:val="baseline"/>
                <w:lang w:eastAsia="zh-CN"/>
              </w:rPr>
              <w:t>改造工程，对于涪江高等级航道建设具有重要作用。</w:t>
            </w:r>
          </w:p>
        </w:tc>
        <w:tc>
          <w:tcPr>
            <w:tcW w:w="110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val="en-US" w:eastAsia="zh-CN"/>
              </w:rPr>
              <w:t>2</w:t>
            </w:r>
          </w:p>
        </w:tc>
        <w:tc>
          <w:tcPr>
            <w:tcW w:w="25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《水运“十四五”发展规划》（交规划发〔2022〕99号）</w:t>
            </w:r>
          </w:p>
        </w:tc>
        <w:tc>
          <w:tcPr>
            <w:tcW w:w="65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支流高等级航道重点加快岷江、嘉陵江、乌江、沅水、汉江、赣江、信江、北盘江、右江、红水河、柳黔江等未达标段航道整治、梯级渠化、碍航闸坝通航设施工程建设。积极推进湘江、汉江、赣江等长江重要支流高等级航道中下游航道扩能升级。积极推动高等级航道向上游及周边的重要城市、矿区、产业基地等延伸。</w:t>
            </w:r>
          </w:p>
        </w:tc>
        <w:tc>
          <w:tcPr>
            <w:tcW w:w="28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拟建船闸位于涪江干流，属于嘉陵江支流，已纳入水运</w:t>
            </w:r>
            <w:r>
              <w:rPr>
                <w:rFonts w:hint="eastAsia"/>
                <w:color w:val="auto"/>
                <w:sz w:val="22"/>
                <w:szCs w:val="22"/>
                <w:highlight w:val="none"/>
                <w:shd w:val="clear" w:fill="FFFFFF"/>
                <w:vertAlign w:val="baseline"/>
                <w:lang w:eastAsia="zh-CN"/>
              </w:rPr>
              <w:t>“十四五”规划</w:t>
            </w:r>
            <w:r>
              <w:rPr>
                <w:rFonts w:hint="eastAsia"/>
                <w:color w:val="auto"/>
                <w:sz w:val="22"/>
                <w:szCs w:val="22"/>
                <w:highlight w:val="none"/>
                <w:vertAlign w:val="baseline"/>
                <w:lang w:eastAsia="zh-CN"/>
              </w:rPr>
              <w:t>重点建设项目，项目建设对于涪江高等级航道建设具有重要作用。</w:t>
            </w:r>
          </w:p>
        </w:tc>
        <w:tc>
          <w:tcPr>
            <w:tcW w:w="110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val="en-US" w:eastAsia="zh-CN"/>
              </w:rPr>
              <w:t>3</w:t>
            </w:r>
          </w:p>
        </w:tc>
        <w:tc>
          <w:tcPr>
            <w:tcW w:w="25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《共建长江上游航运中心实施方案》（渝府办发〔2022〕82号）</w:t>
            </w:r>
          </w:p>
        </w:tc>
        <w:tc>
          <w:tcPr>
            <w:tcW w:w="65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涪江：加快涪江双江枢纽建设，启动涪江三星枢纽船闸工程建设，推动涪江</w:t>
            </w:r>
            <w:r>
              <w:rPr>
                <w:rFonts w:hint="default" w:ascii="Times New Roman" w:hAnsi="Times New Roman" w:eastAsia="宋体" w:cs="Times New Roman"/>
                <w:b/>
                <w:bCs/>
                <w:color w:val="auto"/>
                <w:sz w:val="22"/>
                <w:szCs w:val="22"/>
                <w:highlight w:val="none"/>
                <w:vertAlign w:val="baseline"/>
                <w:lang w:val="en-US" w:eastAsia="zh-CN"/>
              </w:rPr>
              <w:t>渭沱、安居、富金坝等船闸改造提级</w:t>
            </w:r>
            <w:r>
              <w:rPr>
                <w:rFonts w:hint="default" w:ascii="Times New Roman" w:hAnsi="Times New Roman" w:eastAsia="宋体" w:cs="Times New Roman"/>
                <w:color w:val="auto"/>
                <w:sz w:val="22"/>
                <w:szCs w:val="22"/>
                <w:highlight w:val="none"/>
                <w:vertAlign w:val="baseline"/>
                <w:lang w:val="en-US" w:eastAsia="zh-CN"/>
              </w:rPr>
              <w:t>，实施涪江重庆段航道整治工程，力争遂宁以下河段尽早实现1000吨级船舶通航。</w:t>
            </w:r>
          </w:p>
        </w:tc>
        <w:tc>
          <w:tcPr>
            <w:tcW w:w="2867"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本项目为</w:t>
            </w:r>
            <w:r>
              <w:rPr>
                <w:rFonts w:hint="eastAsia"/>
                <w:color w:val="auto"/>
                <w:sz w:val="22"/>
                <w:szCs w:val="22"/>
                <w:highlight w:val="none"/>
                <w:vertAlign w:val="baseline"/>
                <w:lang w:val="en-US" w:eastAsia="zh-CN"/>
              </w:rPr>
              <w:t>各项规划中</w:t>
            </w:r>
            <w:r>
              <w:rPr>
                <w:rFonts w:hint="default"/>
                <w:color w:val="auto"/>
                <w:sz w:val="22"/>
                <w:szCs w:val="22"/>
                <w:highlight w:val="none"/>
                <w:vertAlign w:val="baseline"/>
                <w:lang w:val="en-US" w:eastAsia="zh-CN"/>
              </w:rPr>
              <w:t>“渭沱船闸”扩能升级改造工程，采用内河Ⅲ级标准建设符合</w:t>
            </w:r>
            <w:r>
              <w:rPr>
                <w:rFonts w:hint="eastAsia"/>
                <w:color w:val="auto"/>
                <w:sz w:val="22"/>
                <w:szCs w:val="22"/>
                <w:highlight w:val="none"/>
                <w:vertAlign w:val="baseline"/>
                <w:lang w:val="en-US" w:eastAsia="zh-CN"/>
              </w:rPr>
              <w:t>有关</w:t>
            </w:r>
            <w:r>
              <w:rPr>
                <w:rFonts w:hint="default"/>
                <w:color w:val="auto"/>
                <w:sz w:val="22"/>
                <w:szCs w:val="22"/>
                <w:highlight w:val="none"/>
                <w:vertAlign w:val="baseline"/>
                <w:lang w:val="en-US" w:eastAsia="zh-CN"/>
              </w:rPr>
              <w:t>规划要求。</w:t>
            </w:r>
          </w:p>
        </w:tc>
        <w:tc>
          <w:tcPr>
            <w:tcW w:w="110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val="en-US" w:eastAsia="zh-CN"/>
              </w:rPr>
              <w:t>4</w:t>
            </w:r>
          </w:p>
        </w:tc>
        <w:tc>
          <w:tcPr>
            <w:tcW w:w="25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《重庆市推动交通强国建设试点实施方案（2021—2025年）》</w:t>
            </w:r>
          </w:p>
        </w:tc>
        <w:tc>
          <w:tcPr>
            <w:tcW w:w="65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推动长江上游航运枢纽建设。健全以长江干线为主通道、重要支流为骨架的航道网络，加快长江上游航道整治和梯级渠化，提速推进长江、嘉陵江、乌江、渠江等高等级航道建设，加快建设嘉陵江利泽、乌江白马、涪江双江等航电枢纽；</w:t>
            </w:r>
            <w:r>
              <w:rPr>
                <w:rFonts w:hint="default"/>
                <w:b/>
                <w:bCs/>
                <w:color w:val="auto"/>
                <w:sz w:val="22"/>
                <w:szCs w:val="22"/>
                <w:highlight w:val="none"/>
                <w:vertAlign w:val="baseline"/>
                <w:lang w:val="en-US" w:eastAsia="zh-CN"/>
              </w:rPr>
              <w:t>推进涪江航道整治以及安居、渭沱等船闸通航设施升级改造，</w:t>
            </w:r>
            <w:r>
              <w:rPr>
                <w:rFonts w:hint="default"/>
                <w:color w:val="auto"/>
                <w:sz w:val="22"/>
                <w:szCs w:val="22"/>
                <w:highlight w:val="none"/>
                <w:vertAlign w:val="baseline"/>
                <w:lang w:val="en-US" w:eastAsia="zh-CN"/>
              </w:rPr>
              <w:t>提升支流航道通过能力和水路运输贡献率。整合长江港口岸线资源，推动</w:t>
            </w:r>
            <w:r>
              <w:rPr>
                <w:rFonts w:hint="default"/>
                <w:color w:val="auto"/>
                <w:sz w:val="22"/>
                <w:szCs w:val="22"/>
                <w:highlight w:val="none"/>
                <w:shd w:val="clear" w:fill="FFFFFF"/>
                <w:vertAlign w:val="baseline"/>
                <w:lang w:val="en-US" w:eastAsia="zh-CN"/>
              </w:rPr>
              <w:t>成渝地区双城经济圈港口</w:t>
            </w:r>
            <w:r>
              <w:rPr>
                <w:rFonts w:hint="default"/>
                <w:color w:val="auto"/>
                <w:sz w:val="22"/>
                <w:szCs w:val="22"/>
                <w:highlight w:val="none"/>
                <w:vertAlign w:val="baseline"/>
                <w:lang w:val="en-US" w:eastAsia="zh-CN"/>
              </w:rPr>
              <w:t>差异化布局。组建长江上游港口联盟，加强港口分工协作，构建结构合理、功能完善的港口群。打造要素集聚、功能完善的港航服务体系，积极发展水水中转，强化果园港区枢纽和集并功能。加强与上海国际航运中心合作，推进港口企业加强合资合作，促进区域港口码头管理运营一体化。推动乐山、宜宾等地区水上客运与重庆联动协同发展。推进长江上游航运发展智库建设，强化船东互助保险及航运担保等金融服务，打造航运服务集聚区。</w:t>
            </w:r>
          </w:p>
        </w:tc>
        <w:tc>
          <w:tcPr>
            <w:tcW w:w="28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p>
        </w:tc>
        <w:tc>
          <w:tcPr>
            <w:tcW w:w="110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val="en-US" w:eastAsia="zh-CN"/>
              </w:rPr>
              <w:t>5</w:t>
            </w:r>
          </w:p>
        </w:tc>
        <w:tc>
          <w:tcPr>
            <w:tcW w:w="25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《重庆市综合交通运输“十四五”规划（2021—2025年）》</w:t>
            </w:r>
          </w:p>
        </w:tc>
        <w:tc>
          <w:tcPr>
            <w:tcW w:w="65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第四节 协同建设长江上游航运枢纽</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加快推进支流航道成网。构建以“六线为重点、支小为补充”的多层级次支流航道体系，全面畅通</w:t>
            </w:r>
            <w:r>
              <w:rPr>
                <w:rFonts w:hint="default"/>
                <w:color w:val="auto"/>
                <w:sz w:val="22"/>
                <w:szCs w:val="22"/>
                <w:highlight w:val="none"/>
                <w:shd w:val="clear" w:fill="FFFFFF"/>
                <w:vertAlign w:val="baseline"/>
                <w:lang w:val="en-US" w:eastAsia="zh-CN"/>
              </w:rPr>
              <w:t>成渝地区双城经济圈支流</w:t>
            </w:r>
            <w:r>
              <w:rPr>
                <w:rFonts w:hint="default"/>
                <w:color w:val="auto"/>
                <w:sz w:val="22"/>
                <w:szCs w:val="22"/>
                <w:highlight w:val="none"/>
                <w:vertAlign w:val="baseline"/>
                <w:lang w:val="en-US" w:eastAsia="zh-CN"/>
              </w:rPr>
              <w:t>航道网络。加快建设涪江双江航电枢纽，推动涪江渭沱、安居、富金坝等船闸改造提级，构建涪江智能美丽航道，打造产业走廊、生态走廊、景观走廊和文化走廊，形成可复制的经验，在山区河流整治中推广运用，为交通强国建设试点贡献重庆经验。提速推进渠江、黛溪河等航道整治和绿化美化工程，提高对航运沿线主要节点城市、物流产业基地、大型工矿园区的服务能力。大力实施阿蓬江、酉水河等高品质旅游航道建设，打造航旅融合发展美丽风景线。</w:t>
            </w:r>
          </w:p>
        </w:tc>
        <w:tc>
          <w:tcPr>
            <w:tcW w:w="28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p>
        </w:tc>
        <w:tc>
          <w:tcPr>
            <w:tcW w:w="110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val="en-US" w:eastAsia="zh-CN"/>
              </w:rPr>
              <w:t>6</w:t>
            </w:r>
          </w:p>
        </w:tc>
        <w:tc>
          <w:tcPr>
            <w:tcW w:w="25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vertAlign w:val="baseline"/>
                <w:lang w:val="en-US" w:eastAsia="zh-CN"/>
              </w:rPr>
            </w:pPr>
            <w:r>
              <w:rPr>
                <w:rFonts w:hint="eastAsia" w:ascii="Times New Roman" w:hAnsi="Times New Roman" w:eastAsia="宋体" w:cs="Times New Roman"/>
                <w:color w:val="auto"/>
                <w:sz w:val="22"/>
                <w:szCs w:val="22"/>
                <w:highlight w:val="none"/>
                <w:vertAlign w:val="baseline"/>
                <w:lang w:val="en-US" w:eastAsia="zh-CN"/>
              </w:rPr>
              <w:t>《重庆市航道规划（2035年）》</w:t>
            </w:r>
          </w:p>
        </w:tc>
        <w:tc>
          <w:tcPr>
            <w:tcW w:w="65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一）近期建设重点：重点提升长江航道通过能力，推进长江干线朝天门至涪陵、涪陵至丰都段航道整治工程（长江干线航道为中央财政事权，由中央承担专项规划、政策决定、监督评价职责，建设、养护、管理、运营等具体执行事项由中央实施）；加快畅通“四支”主骨架航道，实施乌江、嘉陵江、涪江、渠江千吨级航道贯通工程，推进乌江彭水船闸改扩建工程、乌江白马至彭水航道整治工程，嘉陵江草街库尾航道整治工程，</w:t>
            </w:r>
            <w:r>
              <w:rPr>
                <w:rFonts w:hint="eastAsia"/>
                <w:b/>
                <w:bCs/>
                <w:color w:val="auto"/>
                <w:sz w:val="22"/>
                <w:szCs w:val="22"/>
                <w:highlight w:val="none"/>
                <w:vertAlign w:val="baseline"/>
                <w:lang w:eastAsia="zh-CN"/>
              </w:rPr>
              <w:t>涪江航道整治工程以及富金坝、安居、渭沱船闸改扩建工程和渠江重庆段航道整治等工程；</w:t>
            </w:r>
            <w:r>
              <w:rPr>
                <w:rFonts w:hint="eastAsia"/>
                <w:color w:val="auto"/>
                <w:sz w:val="22"/>
                <w:szCs w:val="22"/>
                <w:highlight w:val="none"/>
                <w:vertAlign w:val="baseline"/>
                <w:lang w:eastAsia="zh-CN"/>
              </w:rPr>
              <w:t>适时开展小江航道提升工程，依托库湖区航道独特自然风光、人文底蕴、特色产业等，因地制宜打造阿蓬江、芙蓉江等水上特色旅游航道。</w:t>
            </w:r>
          </w:p>
        </w:tc>
        <w:tc>
          <w:tcPr>
            <w:tcW w:w="28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110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7</w:t>
            </w:r>
          </w:p>
        </w:tc>
        <w:tc>
          <w:tcPr>
            <w:tcW w:w="25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vertAlign w:val="baseline"/>
                <w:lang w:val="en-US" w:eastAsia="zh-CN"/>
              </w:rPr>
            </w:pPr>
            <w:r>
              <w:rPr>
                <w:rFonts w:hint="eastAsia" w:ascii="Times New Roman" w:hAnsi="Times New Roman" w:eastAsia="宋体" w:cs="Times New Roman"/>
                <w:color w:val="auto"/>
                <w:sz w:val="22"/>
                <w:szCs w:val="22"/>
                <w:highlight w:val="none"/>
                <w:vertAlign w:val="baseline"/>
                <w:lang w:val="en-US" w:eastAsia="zh-CN"/>
              </w:rPr>
              <w:t>《合川区“十四五”综合交通运输发展规划（2021—2025年）》</w:t>
            </w:r>
          </w:p>
        </w:tc>
        <w:tc>
          <w:tcPr>
            <w:tcW w:w="65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打造“一干两支”高等级航道网络。加快推进渠江重庆段航道整治，开工建设嘉陵江草街库尾航道、涪江智能美丽航道建设工程，积极争取将涪江、渠江纳入国家内河高等级航道布局，适度延伸次级支流航道通达深度，提升支流航道互联互通水平。加快建设嘉陵江利泽航运枢纽，同时积极争取井口枢纽建设，推进嘉陵江全江梯级渠化。</w:t>
            </w:r>
            <w:r>
              <w:rPr>
                <w:rFonts w:hint="eastAsia"/>
                <w:b/>
                <w:bCs/>
                <w:color w:val="auto"/>
                <w:sz w:val="22"/>
                <w:szCs w:val="22"/>
                <w:highlight w:val="none"/>
                <w:vertAlign w:val="baseline"/>
                <w:lang w:eastAsia="zh-CN"/>
              </w:rPr>
              <w:t>实施涪江渭沱船闸升级改造、富金坝电厂船闸扩能升级改造</w:t>
            </w:r>
            <w:r>
              <w:rPr>
                <w:rFonts w:hint="eastAsia"/>
                <w:color w:val="auto"/>
                <w:sz w:val="22"/>
                <w:szCs w:val="22"/>
                <w:highlight w:val="none"/>
                <w:vertAlign w:val="baseline"/>
                <w:lang w:eastAsia="zh-CN"/>
              </w:rPr>
              <w:t>，进一步畅通川渝水路运输网，打造高等级畅衔接的“一干两支”航道网络体系。</w:t>
            </w:r>
          </w:p>
        </w:tc>
        <w:tc>
          <w:tcPr>
            <w:tcW w:w="28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110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bl>
    <w:p>
      <w:pPr>
        <w:pStyle w:val="2"/>
        <w:jc w:val="center"/>
        <w:rPr>
          <w:rFonts w:hint="eastAsia"/>
          <w:color w:val="auto"/>
          <w:sz w:val="26"/>
          <w:szCs w:val="26"/>
          <w:highlight w:val="none"/>
          <w:lang w:val="en-US" w:eastAsia="zh-CN"/>
        </w:rPr>
        <w:sectPr>
          <w:pgSz w:w="16840" w:h="11907" w:orient="landscape"/>
          <w:pgMar w:top="1588" w:right="1701" w:bottom="1588" w:left="1588" w:header="1304" w:footer="1247" w:gutter="0"/>
          <w:cols w:space="720" w:num="1"/>
          <w:docGrid w:linePitch="354" w:charSpace="0"/>
        </w:sectPr>
      </w:pPr>
    </w:p>
    <w:p>
      <w:pPr>
        <w:pStyle w:val="2"/>
        <w:jc w:val="center"/>
        <w:rPr>
          <w:rFonts w:hint="default"/>
          <w:color w:val="auto"/>
          <w:highlight w:val="none"/>
          <w:lang w:val="en-US" w:eastAsia="zh-CN"/>
        </w:rPr>
      </w:pPr>
      <w:r>
        <w:rPr>
          <w:rFonts w:hint="eastAsia"/>
          <w:color w:val="auto"/>
          <w:sz w:val="26"/>
          <w:szCs w:val="26"/>
          <w:highlight w:val="none"/>
          <w:lang w:val="en-US" w:eastAsia="zh-CN"/>
        </w:rPr>
        <w:t>表1.9.3-2  项目与相关规划环评及审查意见函的符合性分析</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4"/>
        <w:gridCol w:w="1569"/>
        <w:gridCol w:w="7258"/>
        <w:gridCol w:w="3373"/>
        <w:gridCol w:w="9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序号</w:t>
            </w:r>
          </w:p>
        </w:tc>
        <w:tc>
          <w:tcPr>
            <w:tcW w:w="1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规划环评名称</w:t>
            </w: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相关要求</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项目概况</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1</w:t>
            </w:r>
          </w:p>
        </w:tc>
        <w:tc>
          <w:tcPr>
            <w:tcW w:w="1569"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《重庆市综合交通运输“十四五”规划（2021—2025年）》及审查意见函（渝环函〔2021〕362号）</w:t>
            </w: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（一）坚持生态优先，</w:t>
            </w:r>
            <w:r>
              <w:rPr>
                <w:rFonts w:hint="eastAsia" w:ascii="Times New Roman" w:hAnsi="Times New Roman" w:eastAsia="宋体" w:cs="Times New Roman"/>
                <w:color w:val="auto"/>
                <w:sz w:val="22"/>
                <w:szCs w:val="22"/>
                <w:highlight w:val="none"/>
                <w:shd w:val="clear" w:fill="FFFFFF"/>
                <w:vertAlign w:val="baseline"/>
                <w:lang w:eastAsia="zh-CN"/>
              </w:rPr>
              <w:t>绿色发展的理念</w:t>
            </w:r>
            <w:r>
              <w:rPr>
                <w:rFonts w:hint="eastAsia" w:ascii="Times New Roman" w:hAnsi="Times New Roman" w:eastAsia="宋体" w:cs="Times New Roman"/>
                <w:color w:val="auto"/>
                <w:sz w:val="22"/>
                <w:szCs w:val="22"/>
                <w:highlight w:val="none"/>
                <w:vertAlign w:val="baseline"/>
                <w:lang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贯彻落实成渝地区双城经济圈发展战略部署，深入推动“一区两群”协调发展，加快构建安全、便捷、高效、绿色、经济的现代化综合交通体系。统筹考虑现行城市总体规划、土地利用总体规划以及国土空间规划最新成果，加强与重庆市“三线一单”（生态保护红线、环境质量底线、资源利用上线和生态环境准入清单）、生态环境保护规划、自然保护地、文物保护、港口岸线等相关规划的协调，确保优化后的方案满足生态优先、绿色发展的要求。</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val="en-US" w:eastAsia="zh-CN"/>
              </w:rPr>
            </w:pPr>
            <w:r>
              <w:rPr>
                <w:rFonts w:hint="eastAsia" w:ascii="Times New Roman" w:hAnsi="Times New Roman" w:eastAsia="宋体" w:cs="Times New Roman"/>
                <w:color w:val="auto"/>
                <w:sz w:val="22"/>
                <w:szCs w:val="22"/>
                <w:highlight w:val="none"/>
                <w:vertAlign w:val="baseline"/>
                <w:lang w:eastAsia="zh-CN"/>
              </w:rPr>
              <w:t>把生态保护、修复理念贯穿到交通基础设施规划、设计、建设、运营和养护全过程，持续加强交通节能低碳和环境污染防治，推进绿色生态交通基础设施建设，集约、节约利用土地等资源，有力助推实现碳达峰、碳中和目标。</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eastAsia="zh-CN"/>
              </w:rPr>
              <w:t>项目属于通航构筑物建设，符合国土空间规划及生态环境分区管控要求，项目建设对于畅通涪江航道、提升水运能力具有重要作用，有利于</w:t>
            </w:r>
            <w:r>
              <w:rPr>
                <w:rFonts w:hint="eastAsia" w:ascii="Times New Roman" w:hAnsi="Times New Roman" w:eastAsia="宋体" w:cs="Times New Roman"/>
                <w:color w:val="auto"/>
                <w:sz w:val="22"/>
                <w:szCs w:val="22"/>
                <w:highlight w:val="none"/>
                <w:vertAlign w:val="baseline"/>
                <w:lang w:eastAsia="zh-CN"/>
              </w:rPr>
              <w:t>助推实现碳达峰、碳中和目标。</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c>
          <w:tcPr>
            <w:tcW w:w="156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（二）严格保护生态空间，优化规划空间布局。</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val="en-US" w:eastAsia="zh-CN"/>
              </w:rPr>
            </w:pPr>
            <w:r>
              <w:rPr>
                <w:rFonts w:hint="eastAsia" w:ascii="Times New Roman" w:hAnsi="Times New Roman" w:eastAsia="宋体" w:cs="Times New Roman"/>
                <w:color w:val="auto"/>
                <w:sz w:val="22"/>
                <w:szCs w:val="22"/>
                <w:highlight w:val="none"/>
                <w:vertAlign w:val="baseline"/>
                <w:lang w:eastAsia="zh-CN"/>
              </w:rPr>
              <w:t>将生态保护红线、自然保护区等环境敏感区作为保障和维护 区域生态安全的底线，按照生态优先的原则，依法实施强制性保护。与生态保护红线、自然保护区等环境敏感区存在空间冲突的开发活动，有关重叠区域优先予以避让，确实无法避让的，优先 采取无害化穿越方式，并采取严格的生态保护措施，确保符合法律法规、规划及各项生态环境准入要求。</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为现有船闸扩容升级改造工程，选址具有唯一性，项目在平面布置阶段尽可能对生态保护红线、自然保护地进行了避让，但最终不可避免占用了部分生态保护红线、重庆合川三江国家湿地公园，项目属于确需占用生态保护红线的国家重大项目，符合生态保护红线管控要求，正在按要求开展生态保护红线不可避让论证报告和湿地公园专题报告，并提出了严格的生态保护措施，</w:t>
            </w:r>
            <w:r>
              <w:rPr>
                <w:rFonts w:hint="eastAsia" w:ascii="Times New Roman" w:hAnsi="Times New Roman" w:eastAsia="宋体" w:cs="Times New Roman"/>
                <w:color w:val="auto"/>
                <w:sz w:val="22"/>
                <w:szCs w:val="22"/>
                <w:highlight w:val="none"/>
                <w:vertAlign w:val="baseline"/>
                <w:lang w:eastAsia="zh-CN"/>
              </w:rPr>
              <w:t>符合法律法规、规划及各项生态环境准入要求。</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c>
          <w:tcPr>
            <w:tcW w:w="156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（三）完善生态影响减缓措施，落实生态补偿机制。</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合理选用降低生态影响的工程结构、建筑材料和施工工艺，尽量做到取弃土平衡，优化取、弃土场设置；在铁路、公路、航 道沿线应实施绿化工程，提升生态功能和景观品质，支撑生态廊道构建；加强对野生动植物的保护，合理设置生态通道，避免生境岛屿化，加强对</w:t>
            </w:r>
            <w:r>
              <w:rPr>
                <w:rFonts w:hint="eastAsia" w:ascii="Times New Roman" w:hAnsi="Times New Roman" w:eastAsia="宋体" w:cs="Times New Roman"/>
                <w:color w:val="auto"/>
                <w:sz w:val="22"/>
                <w:szCs w:val="22"/>
                <w:highlight w:val="none"/>
                <w:shd w:val="clear" w:fill="FFFFFF"/>
                <w:vertAlign w:val="baseline"/>
                <w:lang w:eastAsia="zh-CN"/>
              </w:rPr>
              <w:t>生物多样性的保护</w:t>
            </w:r>
            <w:r>
              <w:rPr>
                <w:rFonts w:hint="eastAsia" w:ascii="Times New Roman" w:hAnsi="Times New Roman" w:eastAsia="宋体" w:cs="Times New Roman"/>
                <w:color w:val="auto"/>
                <w:sz w:val="22"/>
                <w:szCs w:val="22"/>
                <w:highlight w:val="none"/>
                <w:vertAlign w:val="baseline"/>
                <w:lang w:eastAsia="zh-CN"/>
              </w:rPr>
              <w:t>，杜绝外来物种入侵。</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val="en-US" w:eastAsia="zh-CN"/>
              </w:rPr>
            </w:pPr>
            <w:r>
              <w:rPr>
                <w:rFonts w:hint="eastAsia" w:ascii="Times New Roman" w:hAnsi="Times New Roman" w:eastAsia="宋体" w:cs="Times New Roman"/>
                <w:color w:val="auto"/>
                <w:sz w:val="22"/>
                <w:szCs w:val="22"/>
                <w:highlight w:val="none"/>
                <w:vertAlign w:val="baseline"/>
                <w:lang w:eastAsia="zh-CN"/>
              </w:rPr>
              <w:t>重点针对水源涵养生态功能区、生物多样性保护区等重点生态功能区以及水土流失重点预防区和重点治理区，推进取、弃土场生态恢复，动物通道建设和湿地连通修复；针对涉及自然保护区、风景名胜区、世界文化和自然遗产地、森林公园、地质公园、湿地公园的线性工程，推进沿线生态改善和景观升级；在长江等流域因地制宜采取避让、增殖放流、渔业环境修复、设立专项救护资金等生态恢复和补偿措施。</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项目施工期对土石方进行了最大程度的利用，不能利用的运至临时弃渣场进行堆存，施工完成后及时对弃渣场进行生态恢复。项目同步建设过鱼通道，对涪江流域水生生态保护起到了积极作用。</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对于项目涉及的生态保护红线及国家湿地公园，项目属于确需占用生态保护红线的国家重大项目，符合生态保护红线管控要求，正在开展生态红线不可避让论证和湿地公园专题评价工作，并提出了严格的生态保护措施。</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c>
          <w:tcPr>
            <w:tcW w:w="156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（四）严守环境质量底线，加强环境污染防治。</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根据规划实施污水产生情况、市政管网建设情况、市政污水处理能力等，采取纳入市政管网、自建污水处理设施等措施妥善处置各类污（废）水，确保不对周边水环境造成不良影响。</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优化隧道工程选线，结合超前预探，妥善采取“排、堵、疏”相结合的施工方案，减缓疏干地下水的环境影响。加强隧道进、 出口生态环境恢复。</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积极治理项目实施引起的扬尘污染，推进细颗粒物环境质量改善。</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机场起降线路、铁路、公路等选线及站场、港区等选址应充分论证对居民住宅、学校、医院等声环境敏感区的影响。应针对不同情况，通过</w:t>
            </w:r>
            <w:r>
              <w:rPr>
                <w:rFonts w:hint="eastAsia" w:ascii="Times New Roman" w:hAnsi="Times New Roman" w:eastAsia="宋体" w:cs="Times New Roman"/>
                <w:color w:val="auto"/>
                <w:sz w:val="22"/>
                <w:szCs w:val="22"/>
                <w:highlight w:val="none"/>
                <w:shd w:val="clear" w:fill="FFFFFF"/>
                <w:vertAlign w:val="baseline"/>
                <w:lang w:eastAsia="zh-CN"/>
              </w:rPr>
              <w:t>釆取</w:t>
            </w:r>
            <w:r>
              <w:rPr>
                <w:rFonts w:hint="eastAsia" w:ascii="Times New Roman" w:hAnsi="Times New Roman" w:eastAsia="宋体" w:cs="Times New Roman"/>
                <w:color w:val="auto"/>
                <w:sz w:val="22"/>
                <w:szCs w:val="22"/>
                <w:highlight w:val="none"/>
                <w:vertAlign w:val="baseline"/>
                <w:lang w:eastAsia="zh-CN"/>
              </w:rPr>
              <w:t>合理规划布局、噪声源控制、传声途径噪声削减、敏感建筑物噪声防护、加强交通噪声管理等噪声污染预防与控制措施，确保满足声环境要求。</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优化铁路工程选线，加强铁路振动环境保护。从路线设计、施工方式、加强运营期维护等措施降低铁路振动影响。</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val="en-US" w:eastAsia="zh-CN"/>
              </w:rPr>
            </w:pPr>
            <w:r>
              <w:rPr>
                <w:rFonts w:hint="eastAsia" w:ascii="Times New Roman" w:hAnsi="Times New Roman" w:eastAsia="宋体" w:cs="Times New Roman"/>
                <w:color w:val="auto"/>
                <w:sz w:val="22"/>
                <w:szCs w:val="22"/>
                <w:highlight w:val="none"/>
                <w:vertAlign w:val="baseline"/>
                <w:lang w:eastAsia="zh-CN"/>
              </w:rPr>
              <w:t>铁路、机场等产生电磁污染的设备选址尽量远离学校、医院、居民区等敏感区域，确保敏感区域满足电磁环境控制标准。</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产生的废水经处理之后回用，不外排，不会对涪江水环境质量造成影响；不进行隧道工程建设，对地下水影响较小；对施工扬尘采取设置隔挡、洒水抑尘等措施后，对大气环境影响较小，且随着施工结束，扬尘影响消失；项目运营期噪声主要为过闸船舶噪声，通过采取限速等措施后，噪声影响小。总体来说，项目不会造成区域环境质量发生较大改变。</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c>
          <w:tcPr>
            <w:tcW w:w="156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（五）强化环境风险防控。</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val="en-US" w:eastAsia="zh-CN"/>
              </w:rPr>
            </w:pPr>
            <w:r>
              <w:rPr>
                <w:rFonts w:hint="eastAsia" w:ascii="Times New Roman" w:hAnsi="Times New Roman" w:eastAsia="宋体" w:cs="Times New Roman"/>
                <w:color w:val="auto"/>
                <w:sz w:val="22"/>
                <w:szCs w:val="22"/>
                <w:highlight w:val="none"/>
                <w:vertAlign w:val="baseline"/>
                <w:lang w:eastAsia="zh-CN"/>
              </w:rPr>
              <w:t>规划新增线路、站场、枢纽等一律不得占用、穿越饮用水水源一级保护区，限制在二级保护区设置线路、站场、枢纽，确保符合饮用水水源保护区管理要求。强化施工期和运营期环境风险防范措施，涉及饮用水水源保护区等敏感水体的项目应采取防撞、地表</w:t>
            </w:r>
            <w:r>
              <w:rPr>
                <w:rFonts w:hint="eastAsia" w:ascii="Times New Roman" w:hAnsi="Times New Roman" w:eastAsia="宋体" w:cs="Times New Roman"/>
                <w:color w:val="auto"/>
                <w:sz w:val="22"/>
                <w:szCs w:val="22"/>
                <w:highlight w:val="none"/>
                <w:shd w:val="clear" w:fill="FFFFFF"/>
                <w:vertAlign w:val="baseline"/>
                <w:lang w:eastAsia="zh-CN"/>
              </w:rPr>
              <w:t>径流收集</w:t>
            </w:r>
            <w:r>
              <w:rPr>
                <w:rFonts w:hint="eastAsia" w:ascii="Times New Roman" w:hAnsi="Times New Roman" w:eastAsia="宋体" w:cs="Times New Roman"/>
                <w:color w:val="auto"/>
                <w:sz w:val="22"/>
                <w:szCs w:val="22"/>
                <w:highlight w:val="none"/>
                <w:vertAlign w:val="baseline"/>
                <w:lang w:eastAsia="zh-CN"/>
              </w:rPr>
              <w:t>等措施，防范环境风险。</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项目下游分布有饮用水源保护区，但距离较远，不占用、穿越饮用水源保护区，同时要求做好环境风险防范措施。</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c>
          <w:tcPr>
            <w:tcW w:w="156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val="en-US" w:eastAsia="zh-CN"/>
              </w:rPr>
            </w:pP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（六）规范环境管理。</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规划所含建设项目，应结合规划环评提出的指导意见做好环境影响评价工作，加强与规划环评的联动，重点调查规划工程周边环境保护目标分布变化情况、重点开展环保措施的可行性论证等内容。规划修编时或新一轮规划启动时应重新编制环境影响评价文件。</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eastAsia" w:ascii="Times New Roman" w:hAnsi="Times New Roman" w:eastAsia="宋体" w:cs="Times New Roman"/>
                <w:color w:val="auto"/>
                <w:sz w:val="22"/>
                <w:szCs w:val="22"/>
                <w:highlight w:val="none"/>
                <w:vertAlign w:val="baseline"/>
                <w:lang w:eastAsia="zh-CN"/>
              </w:rPr>
              <w:t>本次评价以规划环评为指导，对工程周边环境保护目标分布情况进行了详细调查，对拟采取环保措施的可行性进行了详细论证。</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2</w:t>
            </w:r>
          </w:p>
        </w:tc>
        <w:tc>
          <w:tcPr>
            <w:tcW w:w="1569"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《重庆市航道规划（2035年）</w:t>
            </w:r>
            <w:r>
              <w:rPr>
                <w:rFonts w:hint="eastAsia" w:ascii="Times New Roman" w:hAnsi="Times New Roman" w:eastAsia="宋体" w:cs="Times New Roman"/>
                <w:color w:val="auto"/>
                <w:sz w:val="22"/>
                <w:szCs w:val="22"/>
                <w:highlight w:val="none"/>
                <w:vertAlign w:val="baseline"/>
                <w:lang w:val="en-US" w:eastAsia="zh-CN"/>
              </w:rPr>
              <w:t>环境影响报告书</w:t>
            </w:r>
            <w:r>
              <w:rPr>
                <w:rFonts w:hint="default" w:ascii="Times New Roman" w:hAnsi="Times New Roman" w:eastAsia="宋体" w:cs="Times New Roman"/>
                <w:color w:val="auto"/>
                <w:sz w:val="22"/>
                <w:szCs w:val="22"/>
                <w:highlight w:val="none"/>
                <w:vertAlign w:val="baseline"/>
                <w:lang w:val="en-US" w:eastAsia="zh-CN"/>
              </w:rPr>
              <w:t>》</w:t>
            </w:r>
            <w:r>
              <w:rPr>
                <w:rFonts w:hint="eastAsia" w:ascii="Times New Roman" w:hAnsi="Times New Roman" w:eastAsia="宋体" w:cs="Times New Roman"/>
                <w:color w:val="auto"/>
                <w:sz w:val="22"/>
                <w:szCs w:val="22"/>
                <w:highlight w:val="none"/>
                <w:vertAlign w:val="baseline"/>
                <w:lang w:val="en-US" w:eastAsia="zh-CN"/>
              </w:rPr>
              <w:t>及审查意见函（</w:t>
            </w:r>
            <w:r>
              <w:rPr>
                <w:rFonts w:hint="eastAsia" w:ascii="Times New Roman" w:hAnsi="Times New Roman" w:eastAsia="宋体" w:cs="Times New Roman"/>
                <w:color w:val="auto"/>
                <w:sz w:val="22"/>
                <w:szCs w:val="22"/>
                <w:highlight w:val="none"/>
                <w:vertAlign w:val="baseline"/>
                <w:lang w:eastAsia="zh-CN"/>
              </w:rPr>
              <w:t>渝环函〔202</w:t>
            </w:r>
            <w:r>
              <w:rPr>
                <w:rFonts w:hint="eastAsia" w:ascii="Times New Roman" w:hAnsi="Times New Roman" w:eastAsia="宋体" w:cs="Times New Roman"/>
                <w:color w:val="auto"/>
                <w:sz w:val="22"/>
                <w:szCs w:val="22"/>
                <w:highlight w:val="none"/>
                <w:vertAlign w:val="baseline"/>
                <w:lang w:val="en-US" w:eastAsia="zh-CN"/>
              </w:rPr>
              <w:t>4</w:t>
            </w:r>
            <w:r>
              <w:rPr>
                <w:rFonts w:hint="eastAsia" w:ascii="Times New Roman" w:hAnsi="Times New Roman" w:eastAsia="宋体" w:cs="Times New Roman"/>
                <w:color w:val="auto"/>
                <w:sz w:val="22"/>
                <w:szCs w:val="22"/>
                <w:highlight w:val="none"/>
                <w:vertAlign w:val="baseline"/>
                <w:lang w:eastAsia="zh-CN"/>
              </w:rPr>
              <w:t>〕</w:t>
            </w:r>
            <w:r>
              <w:rPr>
                <w:rFonts w:hint="eastAsia" w:ascii="Times New Roman" w:hAnsi="Times New Roman" w:eastAsia="宋体" w:cs="Times New Roman"/>
                <w:color w:val="auto"/>
                <w:sz w:val="22"/>
                <w:szCs w:val="22"/>
                <w:highlight w:val="none"/>
                <w:vertAlign w:val="baseline"/>
                <w:lang w:val="en-US" w:eastAsia="zh-CN"/>
              </w:rPr>
              <w:t>290</w:t>
            </w:r>
            <w:r>
              <w:rPr>
                <w:rFonts w:hint="eastAsia" w:ascii="Times New Roman" w:hAnsi="Times New Roman" w:eastAsia="宋体" w:cs="Times New Roman"/>
                <w:color w:val="auto"/>
                <w:sz w:val="22"/>
                <w:szCs w:val="22"/>
                <w:highlight w:val="none"/>
                <w:vertAlign w:val="baseline"/>
                <w:lang w:eastAsia="zh-CN"/>
              </w:rPr>
              <w:t>号</w:t>
            </w:r>
            <w:r>
              <w:rPr>
                <w:rFonts w:hint="eastAsia" w:ascii="Times New Roman" w:hAnsi="Times New Roman" w:eastAsia="宋体" w:cs="Times New Roman"/>
                <w:color w:val="auto"/>
                <w:sz w:val="22"/>
                <w:szCs w:val="22"/>
                <w:highlight w:val="none"/>
                <w:vertAlign w:val="baseline"/>
                <w:lang w:val="en-US" w:eastAsia="zh-CN"/>
              </w:rPr>
              <w:t>）</w:t>
            </w:r>
          </w:p>
        </w:tc>
        <w:tc>
          <w:tcPr>
            <w:tcW w:w="7258" w:type="dxa"/>
            <w:vAlign w:val="center"/>
          </w:tcPr>
          <w:p>
            <w:pPr>
              <w:adjustRightInd w:val="0"/>
              <w:snapToGrid w:val="0"/>
              <w:spacing w:line="240" w:lineRule="auto"/>
              <w:ind w:left="0" w:leftChars="0" w:firstLine="0" w:firstLineChars="0"/>
              <w:jc w:val="left"/>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sz w:val="22"/>
                <w:szCs w:val="22"/>
                <w:highlight w:val="none"/>
                <w:vertAlign w:val="baseline"/>
                <w:lang w:val="en-US" w:eastAsia="zh-CN"/>
              </w:rPr>
              <w:t>（一）</w:t>
            </w:r>
            <w:r>
              <w:rPr>
                <w:rFonts w:hint="default" w:ascii="Times New Roman" w:hAnsi="Times New Roman" w:eastAsia="宋体" w:cs="Times New Roman"/>
                <w:color w:val="auto"/>
                <w:sz w:val="22"/>
                <w:szCs w:val="22"/>
                <w:highlight w:val="none"/>
                <w:vertAlign w:val="baseline"/>
                <w:lang w:val="en-US" w:eastAsia="zh-CN"/>
              </w:rPr>
              <w:t>坚持生态优先，绿色发展理念。坚持以习近平生态文明思想为指导，按照“共抓大保护、不搞大开发”的要求，立足于生态系统稳定和环境质量改善，处理好生态环境保护与航道开发建设的关系。把生态保护、修复理念贯穿到航道规划、设计、建设、运营全过程，持续加强交通节能低碳和环境污染防治，推进生态航道建设。</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eastAsia="zh-CN"/>
              </w:rPr>
              <w:t>项目属于通航构筑物建设，同步建设鱼道等生态措施，项目对于畅通涪江航道、提升水运能力具有重要作用，有利于</w:t>
            </w:r>
            <w:r>
              <w:rPr>
                <w:rFonts w:hint="eastAsia" w:ascii="Times New Roman" w:hAnsi="Times New Roman" w:eastAsia="宋体" w:cs="Times New Roman"/>
                <w:color w:val="auto"/>
                <w:sz w:val="22"/>
                <w:szCs w:val="22"/>
                <w:highlight w:val="none"/>
                <w:vertAlign w:val="baseline"/>
                <w:lang w:eastAsia="zh-CN"/>
              </w:rPr>
              <w:t>助推实现碳达峰、碳中和目标。</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p>
        </w:tc>
        <w:tc>
          <w:tcPr>
            <w:tcW w:w="156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（二）</w:t>
            </w:r>
            <w:r>
              <w:rPr>
                <w:rFonts w:hint="default"/>
                <w:color w:val="auto"/>
                <w:sz w:val="22"/>
                <w:szCs w:val="22"/>
                <w:highlight w:val="none"/>
                <w:vertAlign w:val="baseline"/>
                <w:lang w:val="en-US" w:eastAsia="zh-CN"/>
              </w:rPr>
              <w:t>严格保护生态空间，维护区域生态功能。</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《规划》应按照重庆市生态环境分区管控、生态环境保护规划等要求，合理控制航道开发规模与范围，依法依规对生态空间实施严格保护，不得占用依法应当禁止开发的区域，优先避让生态环境敏感区域。长江</w:t>
            </w:r>
            <w:r>
              <w:rPr>
                <w:rFonts w:hint="eastAsia"/>
                <w:color w:val="auto"/>
                <w:sz w:val="22"/>
                <w:szCs w:val="22"/>
                <w:highlight w:val="none"/>
                <w:vertAlign w:val="baseline"/>
                <w:lang w:val="en-US" w:eastAsia="zh-CN"/>
              </w:rPr>
              <w:t>干</w:t>
            </w:r>
            <w:r>
              <w:rPr>
                <w:rFonts w:hint="default"/>
                <w:color w:val="auto"/>
                <w:sz w:val="22"/>
                <w:szCs w:val="22"/>
                <w:highlight w:val="none"/>
                <w:vertAlign w:val="baseline"/>
                <w:lang w:val="en-US" w:eastAsia="zh-CN"/>
              </w:rPr>
              <w:t>线重庆至宜宾段航道整治工程、嘉陵江草街库尾航道整治工程、涪江重庆段航道整治工程等航道整治工程涉及饮用水水源保护区，应取消位于饮用水水源一级保护区内的工程内容。长江干线重庆至宜宾段航道整治工程、嘉陵江草街库尾航道整治工程、小江航道提升工程等航道整治工程涉及自然保护区，应取消位于自然保护区核心区和缓冲区内的工程内容。涪江重庆段航道整治工程、阿蓬江旅游航道工程、大宁河航道整治提升工程(一期)等航道整治工程涉及湿地公园，建议取消位于湿地公园保育区内的工程内容。涉及自然保护区实验区、湿地公园其他区域、森林公园、风景名胜区、地质公园、世界自然遗产地、水产种质资源保护区、生态保护红线等生态环境敏感区的航道整治工程应严格落实相关法律法规和政策文件要求，经充分论证后取得相关主管部门意见</w:t>
            </w:r>
            <w:r>
              <w:rPr>
                <w:rFonts w:hint="eastAsia"/>
                <w:color w:val="auto"/>
                <w:sz w:val="22"/>
                <w:szCs w:val="22"/>
                <w:highlight w:val="none"/>
                <w:vertAlign w:val="baseline"/>
                <w:lang w:val="en-US" w:eastAsia="zh-CN"/>
              </w:rPr>
              <w:t>，</w:t>
            </w:r>
            <w:r>
              <w:rPr>
                <w:rFonts w:hint="default"/>
                <w:color w:val="auto"/>
                <w:sz w:val="22"/>
                <w:szCs w:val="22"/>
                <w:highlight w:val="none"/>
                <w:vertAlign w:val="baseline"/>
                <w:lang w:val="en-US" w:eastAsia="zh-CN"/>
              </w:rPr>
              <w:t>并明确提出航道建设的限制性要求，强化生态影响预防措施与修复措施。</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按照生态环境部《关于嘉陵江流域河口(朝天门)至四川武胜县桐子壕枢纽段航电开发环境影响回顾性评价报告的批复</w:t>
            </w:r>
            <w:r>
              <w:rPr>
                <w:rFonts w:hint="eastAsia"/>
                <w:color w:val="auto"/>
                <w:sz w:val="22"/>
                <w:szCs w:val="22"/>
                <w:highlight w:val="none"/>
                <w:vertAlign w:val="baseline"/>
                <w:lang w:val="en-US" w:eastAsia="zh-CN"/>
              </w:rPr>
              <w:t>》《</w:t>
            </w:r>
            <w:r>
              <w:rPr>
                <w:rFonts w:hint="default"/>
                <w:color w:val="auto"/>
                <w:sz w:val="22"/>
                <w:szCs w:val="22"/>
                <w:highlight w:val="none"/>
                <w:vertAlign w:val="baseline"/>
                <w:lang w:val="en-US" w:eastAsia="zh-CN"/>
              </w:rPr>
              <w:t>关于嘉陵江利泽航运枢纽工程环境影响报告书的批复》《关于</w:t>
            </w:r>
            <w:r>
              <w:rPr>
                <w:rFonts w:hint="eastAsia"/>
                <w:color w:val="auto"/>
                <w:sz w:val="22"/>
                <w:szCs w:val="22"/>
                <w:highlight w:val="none"/>
                <w:vertAlign w:val="baseline"/>
                <w:lang w:val="en-US" w:eastAsia="zh-CN"/>
              </w:rPr>
              <w:t>&lt;</w:t>
            </w:r>
            <w:r>
              <w:rPr>
                <w:rFonts w:hint="default"/>
                <w:color w:val="auto"/>
                <w:sz w:val="22"/>
                <w:szCs w:val="22"/>
                <w:highlight w:val="none"/>
                <w:vertAlign w:val="baseline"/>
                <w:lang w:val="en-US" w:eastAsia="zh-CN"/>
              </w:rPr>
              <w:t>嘉陵江流域综合规划环境影响报告书</w:t>
            </w:r>
            <w:r>
              <w:rPr>
                <w:rFonts w:hint="eastAsia"/>
                <w:color w:val="auto"/>
                <w:sz w:val="22"/>
                <w:szCs w:val="22"/>
                <w:highlight w:val="none"/>
                <w:vertAlign w:val="baseline"/>
                <w:lang w:val="en-US" w:eastAsia="zh-CN"/>
              </w:rPr>
              <w:t>&gt;</w:t>
            </w:r>
            <w:r>
              <w:rPr>
                <w:rFonts w:hint="default"/>
                <w:color w:val="auto"/>
                <w:sz w:val="22"/>
                <w:szCs w:val="22"/>
                <w:highlight w:val="none"/>
                <w:vertAlign w:val="baseline"/>
                <w:lang w:val="en-US" w:eastAsia="zh-CN"/>
              </w:rPr>
              <w:t>的审查意见</w:t>
            </w:r>
            <w:r>
              <w:rPr>
                <w:rFonts w:hint="default"/>
                <w:color w:val="auto"/>
                <w:sz w:val="22"/>
                <w:szCs w:val="22"/>
                <w:highlight w:val="none"/>
                <w:shd w:val="clear" w:fill="FFFFFF"/>
                <w:vertAlign w:val="baseline"/>
                <w:lang w:val="en-US" w:eastAsia="zh-CN"/>
              </w:rPr>
              <w:t>》</w:t>
            </w:r>
            <w:r>
              <w:rPr>
                <w:rFonts w:hint="default"/>
                <w:color w:val="auto"/>
                <w:sz w:val="22"/>
                <w:szCs w:val="22"/>
                <w:highlight w:val="none"/>
                <w:vertAlign w:val="baseline"/>
                <w:lang w:val="en-US" w:eastAsia="zh-CN"/>
              </w:rPr>
              <w:t>有关要求，建议取消嘉陵江井口生态航运枢纽</w:t>
            </w:r>
            <w:r>
              <w:rPr>
                <w:rFonts w:hint="eastAsia"/>
                <w:color w:val="auto"/>
                <w:sz w:val="22"/>
                <w:szCs w:val="22"/>
                <w:highlight w:val="none"/>
                <w:vertAlign w:val="baseline"/>
                <w:lang w:val="en-US" w:eastAsia="zh-CN"/>
              </w:rPr>
              <w:t>；</w:t>
            </w:r>
            <w:r>
              <w:rPr>
                <w:rFonts w:hint="default"/>
                <w:color w:val="auto"/>
                <w:sz w:val="22"/>
                <w:szCs w:val="22"/>
                <w:highlight w:val="none"/>
                <w:vertAlign w:val="baseline"/>
                <w:lang w:val="en-US" w:eastAsia="zh-CN"/>
              </w:rPr>
              <w:t>确有必要的，在坚持“共抓大保护、不搞大开发”的前提下，可开展生态航运的相关研究论证。规划新建綦江新滩枢纽、大宁河庙峡枢纽、大宁河大昌枢纽应在项目前期充分论证项目建设的必要性，开展流域综合规划及规划环评，从流域水生态、水环境保护要求的系统性、完整性出发着重论证项目建设的生态环境影响。</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eastAsia="zh-CN"/>
              </w:rPr>
              <w:t>项目为现有船闸扩容升级改造工程，选址具有唯一性，项目在平面布置阶段尽可能对生态保护红线、自然保护地进行了避让，但最终不可避免占用了部分生态保护红线、重庆合川三江国家湿地公园，项目属于确需占用生态保护红线的国家重大项目，符合生态保护红线、湿地公园管控要求，目前正在开展生态保护红线</w:t>
            </w:r>
            <w:r>
              <w:rPr>
                <w:rFonts w:hint="eastAsia"/>
                <w:color w:val="auto"/>
                <w:sz w:val="22"/>
                <w:szCs w:val="22"/>
                <w:highlight w:val="none"/>
                <w:shd w:val="clear" w:fill="FFFFFF"/>
                <w:vertAlign w:val="baseline"/>
                <w:lang w:eastAsia="zh-CN"/>
              </w:rPr>
              <w:t>不可避让</w:t>
            </w:r>
            <w:r>
              <w:rPr>
                <w:rFonts w:hint="eastAsia"/>
                <w:color w:val="auto"/>
                <w:sz w:val="22"/>
                <w:szCs w:val="22"/>
                <w:highlight w:val="none"/>
                <w:vertAlign w:val="baseline"/>
                <w:lang w:eastAsia="zh-CN"/>
              </w:rPr>
              <w:t>论证和湿地公园专题影响评价工作，并提出了严格的生态保护措施，</w:t>
            </w:r>
            <w:r>
              <w:rPr>
                <w:rFonts w:hint="eastAsia" w:ascii="Times New Roman" w:hAnsi="Times New Roman" w:eastAsia="宋体" w:cs="Times New Roman"/>
                <w:color w:val="auto"/>
                <w:sz w:val="22"/>
                <w:szCs w:val="22"/>
                <w:highlight w:val="none"/>
                <w:vertAlign w:val="baseline"/>
                <w:lang w:eastAsia="zh-CN"/>
              </w:rPr>
              <w:t>符合法律法规、规划及各项生态环境准入要求。</w:t>
            </w:r>
            <w:r>
              <w:rPr>
                <w:rFonts w:hint="eastAsia" w:cs="Times New Roman"/>
                <w:color w:val="auto"/>
                <w:sz w:val="22"/>
                <w:szCs w:val="22"/>
                <w:highlight w:val="none"/>
                <w:vertAlign w:val="baseline"/>
                <w:lang w:eastAsia="zh-CN"/>
              </w:rPr>
              <w:t>此外，本次工程建设内容不位于饮用水源保护区内。</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p>
        </w:tc>
        <w:tc>
          <w:tcPr>
            <w:tcW w:w="156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（三）</w:t>
            </w:r>
            <w:r>
              <w:rPr>
                <w:rFonts w:hint="default"/>
                <w:color w:val="auto"/>
                <w:sz w:val="22"/>
                <w:szCs w:val="22"/>
                <w:highlight w:val="none"/>
                <w:vertAlign w:val="baseline"/>
                <w:lang w:val="en-US" w:eastAsia="zh-CN"/>
              </w:rPr>
              <w:t>严格落实生态保护措施。</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严格落实针对不同江段和生态环境敏感区域的航道整治工程类型和施工作业方式准入要求。根据各类航道整治工程生态保护措施的适用性和有效性，在航道开发建设中因地制宜，优先选择生态友好的结构、工艺和装备，最大程度减缓工程建设带来的不利生态影响。结合航道工程布局及实施时序，统筹提出可行的航道建设生态系统保护及修复方案，纳入《规划》并加快实施。老旧船闸改扩建时可考虑增设过鱼设施、增殖放流站等措施，适时开展梯级枢纽联合调度并同步建设生态流量在线监控系统。陆生生态方面，枢纽工程应优化工程布局，尽量减少对周边陆生生态破坏、对临时用地恢复，加强施工人员环境保护意识教育，合理制定施工时间。</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eastAsia="zh-CN"/>
              </w:rPr>
              <w:t>项目属于</w:t>
            </w:r>
            <w:r>
              <w:rPr>
                <w:rFonts w:hint="eastAsia"/>
                <w:color w:val="auto"/>
                <w:sz w:val="22"/>
                <w:szCs w:val="22"/>
                <w:highlight w:val="none"/>
                <w:vertAlign w:val="baseline"/>
                <w:lang w:val="en-US" w:eastAsia="zh-CN"/>
              </w:rPr>
              <w:t>船闸工程</w:t>
            </w:r>
            <w:r>
              <w:rPr>
                <w:rFonts w:hint="eastAsia"/>
                <w:color w:val="auto"/>
                <w:sz w:val="22"/>
                <w:szCs w:val="22"/>
                <w:highlight w:val="none"/>
                <w:vertAlign w:val="baseline"/>
                <w:lang w:eastAsia="zh-CN"/>
              </w:rPr>
              <w:t>，同步建设鱼道等生态措施，在配套的上下游疏浚工程施工过程中采用</w:t>
            </w:r>
            <w:r>
              <w:rPr>
                <w:rFonts w:hint="eastAsia"/>
                <w:color w:val="auto"/>
                <w:sz w:val="22"/>
                <w:szCs w:val="22"/>
                <w:highlight w:val="none"/>
                <w:vertAlign w:val="baseline"/>
                <w:lang w:val="en-US" w:eastAsia="zh-CN"/>
              </w:rPr>
              <w:t>环保型工艺和装备</w:t>
            </w:r>
            <w:r>
              <w:rPr>
                <w:rFonts w:hint="eastAsia"/>
                <w:color w:val="auto"/>
                <w:sz w:val="22"/>
                <w:szCs w:val="22"/>
                <w:highlight w:val="none"/>
                <w:vertAlign w:val="baseline"/>
                <w:lang w:eastAsia="zh-CN"/>
              </w:rPr>
              <w:t>，在施工过程中加强环境管理，严格落实扬尘、噪声、固废等污染控制措施。渭沱枢纽利用闸门进行生态流量泄放安装有生态流量监测、监控设施。</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p>
        </w:tc>
        <w:tc>
          <w:tcPr>
            <w:tcW w:w="156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（四）</w:t>
            </w:r>
            <w:r>
              <w:rPr>
                <w:rFonts w:hint="default"/>
                <w:color w:val="auto"/>
                <w:sz w:val="22"/>
                <w:szCs w:val="22"/>
                <w:highlight w:val="none"/>
                <w:vertAlign w:val="baseline"/>
                <w:lang w:val="en-US" w:eastAsia="zh-CN"/>
              </w:rPr>
              <w:t>严格落实水环境保护措施。</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加强航道整治工程、枢纽工程施工期和运营期环境管理。航道整治工程应加强施工期悬浮物控制，严格控制涉水施工作业范围，严禁泥驳溢流。采取严格措施减缓航道施工对饮用水水源保护区的影响，确保水质安全。妥善收集航道整治工程、枢纽工程产生的各种污水，船舶生活污水和含油污水交有资质的单位接收处置，施工营地生活污水纳入市政管网处理。</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项目施工期污水废水尽量综合利用，项目配套的上下游疏浚采用环保型工艺和装备，</w:t>
            </w:r>
            <w:r>
              <w:rPr>
                <w:rFonts w:hint="default"/>
                <w:color w:val="auto"/>
                <w:sz w:val="22"/>
                <w:szCs w:val="22"/>
                <w:highlight w:val="none"/>
                <w:vertAlign w:val="baseline"/>
                <w:lang w:val="en-US" w:eastAsia="zh-CN"/>
              </w:rPr>
              <w:t>严格控制涉水施工作业范围，严禁泥驳溢流</w:t>
            </w:r>
            <w:r>
              <w:rPr>
                <w:rFonts w:hint="eastAsia"/>
                <w:color w:val="auto"/>
                <w:sz w:val="22"/>
                <w:szCs w:val="22"/>
                <w:highlight w:val="none"/>
                <w:vertAlign w:val="baseline"/>
                <w:lang w:val="en-US" w:eastAsia="zh-CN"/>
              </w:rPr>
              <w:t>。运营期生活污水经处理后回用于车辆冲洗、洒水抑尘，不外排。</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p>
        </w:tc>
        <w:tc>
          <w:tcPr>
            <w:tcW w:w="156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val="en-US" w:eastAsia="zh-CN"/>
              </w:rPr>
            </w:pPr>
            <w:r>
              <w:rPr>
                <w:rFonts w:hint="eastAsia" w:ascii="Times New Roman" w:hAnsi="Times New Roman" w:eastAsia="宋体" w:cs="Times New Roman"/>
                <w:color w:val="auto"/>
                <w:sz w:val="22"/>
                <w:szCs w:val="22"/>
                <w:highlight w:val="none"/>
                <w:vertAlign w:val="baseline"/>
                <w:lang w:val="en-US" w:eastAsia="zh-CN"/>
              </w:rPr>
              <w:t>（五）</w:t>
            </w:r>
            <w:r>
              <w:rPr>
                <w:rFonts w:hint="default" w:ascii="Times New Roman" w:hAnsi="Times New Roman" w:eastAsia="宋体" w:cs="Times New Roman"/>
                <w:color w:val="auto"/>
                <w:sz w:val="22"/>
                <w:szCs w:val="22"/>
                <w:highlight w:val="none"/>
                <w:vertAlign w:val="baseline"/>
                <w:lang w:val="en-US" w:eastAsia="zh-CN"/>
              </w:rPr>
              <w:t>强化环境风险防范。</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规划项目应认真落实《报告书》提出的各项环境风险防范措施，建立完善环境风险防范制度和应急预案，并与地方政府、海事部门和相关取水口管理单位的应急预案做好衔接和联动，定期开展必要培训、宣传和演练。落实船舶溢油等环境风险防范措施</w:t>
            </w:r>
            <w:r>
              <w:rPr>
                <w:rFonts w:hint="eastAsia" w:ascii="Times New Roman" w:hAnsi="Times New Roman" w:eastAsia="宋体" w:cs="Times New Roman"/>
                <w:color w:val="auto"/>
                <w:sz w:val="22"/>
                <w:szCs w:val="22"/>
                <w:highlight w:val="none"/>
                <w:vertAlign w:val="baseline"/>
                <w:lang w:val="en-US" w:eastAsia="zh-CN"/>
              </w:rPr>
              <w:t>，</w:t>
            </w:r>
            <w:r>
              <w:rPr>
                <w:rFonts w:hint="default" w:ascii="Times New Roman" w:hAnsi="Times New Roman" w:eastAsia="宋体" w:cs="Times New Roman"/>
                <w:color w:val="auto"/>
                <w:sz w:val="22"/>
                <w:szCs w:val="22"/>
                <w:highlight w:val="none"/>
                <w:vertAlign w:val="baseline"/>
                <w:lang w:val="en-US" w:eastAsia="zh-CN"/>
              </w:rPr>
              <w:t>配备必要的应急设备和器材，加大风险监测和监控力度。一旦出现事故，必须及时通报相关部门以及取水口管理单位，并采取有效措施，防止造成环境污染和生态破坏，确保供水安全。</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本次提出项目施工期、运营期环境风险防范措施，要求制定环境风险应急预案，</w:t>
            </w:r>
            <w:r>
              <w:rPr>
                <w:rFonts w:hint="default" w:ascii="Times New Roman" w:hAnsi="Times New Roman" w:eastAsia="宋体" w:cs="Times New Roman"/>
                <w:color w:val="auto"/>
                <w:sz w:val="22"/>
                <w:szCs w:val="22"/>
                <w:highlight w:val="none"/>
                <w:vertAlign w:val="baseline"/>
                <w:lang w:val="en-US" w:eastAsia="zh-CN"/>
              </w:rPr>
              <w:t>与地方政府、海事部门和相关取水口管理单位的应急预案做好衔接和联动，定期开展必要培训、宣传和演练配备必要的应急设备和器材</w:t>
            </w:r>
            <w:r>
              <w:rPr>
                <w:rFonts w:hint="eastAsia" w:ascii="Times New Roman" w:hAnsi="Times New Roman" w:eastAsia="宋体" w:cs="Times New Roman"/>
                <w:color w:val="auto"/>
                <w:sz w:val="22"/>
                <w:szCs w:val="22"/>
                <w:highlight w:val="none"/>
                <w:vertAlign w:val="baseline"/>
                <w:lang w:val="en-US" w:eastAsia="zh-CN"/>
              </w:rPr>
              <w:t>。</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p>
        </w:tc>
        <w:tc>
          <w:tcPr>
            <w:tcW w:w="156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vertAlign w:val="baseline"/>
                <w:lang w:val="en-US" w:eastAsia="zh-CN"/>
              </w:rPr>
            </w:pP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（六）其他环境保护措施。</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加强施工船舶维修保养，减少船舶废气排放。选用低噪声施工机械和工艺，加强机械维护保养，减缓噪声影响。妥善收集施工船舶垃圾和陆域生活垃圾，交相关单位清运，危险废物交有资质单位处置，加强固体废物、危险废物暂存的环境管理。</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项目施工期选用低</w:t>
            </w:r>
            <w:r>
              <w:rPr>
                <w:rFonts w:hint="eastAsia" w:ascii="Times New Roman" w:hAnsi="Times New Roman" w:eastAsia="宋体" w:cs="Times New Roman"/>
                <w:color w:val="auto"/>
                <w:sz w:val="22"/>
                <w:szCs w:val="22"/>
                <w:highlight w:val="none"/>
                <w:vertAlign w:val="baseline"/>
                <w:lang w:eastAsia="zh-CN"/>
              </w:rPr>
              <w:t>噪声施工机械和工艺，加强机械维护保养，减缓噪声影响。施工船舶垃圾和生活垃圾妥善收集后交相关单位清运，危险废物</w:t>
            </w:r>
            <w:r>
              <w:rPr>
                <w:rFonts w:hint="eastAsia" w:ascii="Times New Roman" w:hAnsi="Times New Roman" w:eastAsia="宋体" w:cs="Times New Roman"/>
                <w:color w:val="auto"/>
                <w:sz w:val="22"/>
                <w:szCs w:val="22"/>
                <w:highlight w:val="none"/>
                <w:shd w:val="clear" w:fill="FFFFFF"/>
                <w:vertAlign w:val="baseline"/>
                <w:lang w:eastAsia="zh-CN"/>
              </w:rPr>
              <w:t>交有</w:t>
            </w:r>
            <w:r>
              <w:rPr>
                <w:rFonts w:hint="eastAsia" w:ascii="Times New Roman" w:hAnsi="Times New Roman" w:eastAsia="宋体" w:cs="Times New Roman"/>
                <w:color w:val="auto"/>
                <w:sz w:val="22"/>
                <w:szCs w:val="22"/>
                <w:highlight w:val="none"/>
                <w:vertAlign w:val="baseline"/>
                <w:lang w:eastAsia="zh-CN"/>
              </w:rPr>
              <w:t>资质单位处置。</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p>
        </w:tc>
        <w:tc>
          <w:tcPr>
            <w:tcW w:w="156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vertAlign w:val="baseline"/>
                <w:lang w:val="en-US" w:eastAsia="zh-CN"/>
              </w:rPr>
            </w:pP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（七）规范环境管理。</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规划》中所含建设项目开展环境影响评价时，应进一步与自然保护地、国土空间“三区三线”划定成果衔接，严格落实自然保护地、国土空间用途管制等要求，结合规划环评提出的指导意见和管控要求做好环境影响评价工作，重点评价项目建设对区域生态系统、水环境、大气环境等环境影响的途径、范围和程度，深入论证选址环境合理性、环境保护措施及环境风险防范措施的可行性。规划在适用期限、规模、结构和布局等方面进行重大调整或者修订的，应当按规定重新或者补充开展环境影响评价。</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项目符合国土空间规划及生态环境分区管控要求，本次评价对项目实施的生态</w:t>
            </w:r>
            <w:r>
              <w:rPr>
                <w:rFonts w:hint="eastAsia" w:ascii="Times New Roman" w:hAnsi="Times New Roman" w:eastAsia="宋体" w:cs="Times New Roman"/>
                <w:color w:val="auto"/>
                <w:sz w:val="22"/>
                <w:szCs w:val="22"/>
                <w:highlight w:val="none"/>
                <w:vertAlign w:val="baseline"/>
                <w:lang w:eastAsia="zh-CN"/>
              </w:rPr>
              <w:t>环境的途径、范围和程度进行了评价，对选址环境合理性、环境保护措施及环境风险防范措施的可行性进行了深入论证。</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3</w:t>
            </w:r>
          </w:p>
        </w:tc>
        <w:tc>
          <w:tcPr>
            <w:tcW w:w="1569"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方正仿宋_GBK" w:cs="Times New Roman"/>
                <w:color w:val="auto"/>
                <w:sz w:val="22"/>
                <w:szCs w:val="22"/>
                <w:highlight w:val="none"/>
                <w:vertAlign w:val="baseline"/>
                <w:lang w:val="en-US" w:eastAsia="zh-CN"/>
              </w:rPr>
            </w:pPr>
            <w:r>
              <w:rPr>
                <w:rFonts w:hint="eastAsia" w:ascii="Times New Roman" w:hAnsi="Times New Roman" w:eastAsia="宋体" w:cs="Times New Roman"/>
                <w:color w:val="auto"/>
                <w:sz w:val="22"/>
                <w:szCs w:val="22"/>
                <w:highlight w:val="none"/>
                <w:vertAlign w:val="baseline"/>
                <w:lang w:eastAsia="zh-CN"/>
              </w:rPr>
              <w:t>《合川区综合交通运输“十四五”发展规划环境影响报告书》及审查意见函（合川环函〔2022〕81号）</w:t>
            </w: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（一）坚持生态优先，</w:t>
            </w:r>
            <w:r>
              <w:rPr>
                <w:rFonts w:hint="eastAsia"/>
                <w:color w:val="auto"/>
                <w:sz w:val="22"/>
                <w:szCs w:val="22"/>
                <w:highlight w:val="none"/>
                <w:shd w:val="clear" w:fill="FFFFFF"/>
                <w:vertAlign w:val="baseline"/>
                <w:lang w:eastAsia="zh-CN"/>
              </w:rPr>
              <w:t>绿色发展的理念</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统筹考虑现行城市总体规划、土地利用总体规划以及国土空间规划最新成果，加强与重庆市及合川区“三线一单”生态环境分区管控要求、生态环境保护规划、港口岸线等相关规划的协调，确保优化后的方案满足生态优先、绿色发展的要求。</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将绿色低碳理念贯穿交通基础设施规划、建设、运营和维护全过程，降低全生命周期能耗和碳排放。优化调整运输结构，促进大宗货物“公转铁</w:t>
            </w:r>
            <w:r>
              <w:rPr>
                <w:rFonts w:hint="eastAsia"/>
                <w:color w:val="auto"/>
                <w:sz w:val="22"/>
                <w:szCs w:val="22"/>
                <w:highlight w:val="none"/>
                <w:shd w:val="clear" w:fill="FFFFFF"/>
                <w:vertAlign w:val="baseline"/>
                <w:lang w:eastAsia="zh-CN"/>
              </w:rPr>
              <w:t>”、“</w:t>
            </w:r>
            <w:r>
              <w:rPr>
                <w:rFonts w:hint="eastAsia"/>
                <w:color w:val="auto"/>
                <w:sz w:val="22"/>
                <w:szCs w:val="22"/>
                <w:highlight w:val="none"/>
                <w:vertAlign w:val="baseline"/>
                <w:lang w:eastAsia="zh-CN"/>
              </w:rPr>
              <w:t>公转水”，优化完善铁路集疏运体系，推广铁路集装箱运输，鼓励“散改集”和中长距离公路货物运输向铁路转移，形成大宗货物运输及集装箱中长距离运输以铁路和水路为主的发展格局，有效增加铁路、水路运输量。</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eastAsia="zh-CN"/>
              </w:rPr>
              <w:t>项目属于通航构筑物建设，符合国土空间规划及生态环境分区管控要求，项目建设对于畅通涪江航道、提升水运能力具有重要作用，有利于优化调整运输结构，促进大宗货物“公转铁</w:t>
            </w:r>
            <w:r>
              <w:rPr>
                <w:rFonts w:hint="eastAsia"/>
                <w:color w:val="auto"/>
                <w:sz w:val="22"/>
                <w:szCs w:val="22"/>
                <w:highlight w:val="none"/>
                <w:shd w:val="clear" w:fill="FFFFFF"/>
                <w:vertAlign w:val="baseline"/>
                <w:lang w:eastAsia="zh-CN"/>
              </w:rPr>
              <w:t>”、“</w:t>
            </w:r>
            <w:r>
              <w:rPr>
                <w:rFonts w:hint="eastAsia"/>
                <w:color w:val="auto"/>
                <w:sz w:val="22"/>
                <w:szCs w:val="22"/>
                <w:highlight w:val="none"/>
                <w:vertAlign w:val="baseline"/>
                <w:lang w:eastAsia="zh-CN"/>
              </w:rPr>
              <w:t>公转水”</w:t>
            </w:r>
            <w:r>
              <w:rPr>
                <w:rFonts w:hint="eastAsia" w:ascii="Times New Roman" w:hAnsi="Times New Roman" w:eastAsia="宋体" w:cs="Times New Roman"/>
                <w:color w:val="auto"/>
                <w:sz w:val="22"/>
                <w:szCs w:val="22"/>
                <w:highlight w:val="none"/>
                <w:vertAlign w:val="baseline"/>
                <w:lang w:eastAsia="zh-CN"/>
              </w:rPr>
              <w:t>。</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c>
          <w:tcPr>
            <w:tcW w:w="156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（二）严格保护生态空间，优化规划空间布局</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将生态保护红线、自然保护区等环境敏感区作为保障和维护区域生态安全的底线，按照生态优先的原则，依法实施强制性保护。与生态保护红线、自然保护区等环境敏感区存在空间冲突的规划重点项目，有关重叠区域优先予以避让，确实无法避让的，优先采取无害化穿越方式，并采取严格的生态保护措施，确保符合法律法规、规划及各项生态环境准入要求。</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eastAsia="zh-CN"/>
              </w:rPr>
              <w:t>项目为现有船闸扩容升级改造工程，选址具有唯一性，项目在平面布置阶段尽可能对生态保护红线、自然保护地进行了避让，但最终不可避免占用了部分生态保护红线、重庆合川三江国家湿地公园，项目属于确需占用生态保护红线的国家重大项目，符合生态保护红线、湿地公园管控要求，目前正在开展生态保护红线</w:t>
            </w:r>
            <w:r>
              <w:rPr>
                <w:rFonts w:hint="eastAsia"/>
                <w:color w:val="auto"/>
                <w:sz w:val="22"/>
                <w:szCs w:val="22"/>
                <w:highlight w:val="none"/>
                <w:shd w:val="clear" w:fill="FFFFFF"/>
                <w:vertAlign w:val="baseline"/>
                <w:lang w:eastAsia="zh-CN"/>
              </w:rPr>
              <w:t>不可避让</w:t>
            </w:r>
            <w:r>
              <w:rPr>
                <w:rFonts w:hint="eastAsia"/>
                <w:color w:val="auto"/>
                <w:sz w:val="22"/>
                <w:szCs w:val="22"/>
                <w:highlight w:val="none"/>
                <w:vertAlign w:val="baseline"/>
                <w:lang w:eastAsia="zh-CN"/>
              </w:rPr>
              <w:t>论证和湿地公园专题影响评价工作，并提出了严格的生态保护措施，</w:t>
            </w:r>
            <w:r>
              <w:rPr>
                <w:rFonts w:hint="eastAsia" w:ascii="Times New Roman" w:hAnsi="Times New Roman" w:eastAsia="宋体" w:cs="Times New Roman"/>
                <w:color w:val="auto"/>
                <w:sz w:val="22"/>
                <w:szCs w:val="22"/>
                <w:highlight w:val="none"/>
                <w:vertAlign w:val="baseline"/>
                <w:lang w:eastAsia="zh-CN"/>
              </w:rPr>
              <w:t>符合法律法规、规划及各项生态环境准入要求。</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c>
          <w:tcPr>
            <w:tcW w:w="156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（三）完善生态影响减缓措施，落实生态补偿机制</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合理选用降低生态影响的工程结构、建筑材料和施工工艺，尽量做到取弃土平衡，优化取、弃土场设置；在铁路、公路、航道沿线应实施绿化工程，提升生态功能和景观品质，支撑生态廊道构建；加强对野生动植物的保护，合理设置生态通道，避免生境岛屿化；加强对</w:t>
            </w:r>
            <w:r>
              <w:rPr>
                <w:rFonts w:hint="eastAsia"/>
                <w:color w:val="auto"/>
                <w:sz w:val="22"/>
                <w:szCs w:val="22"/>
                <w:highlight w:val="none"/>
                <w:shd w:val="clear" w:fill="FFFFFF"/>
                <w:vertAlign w:val="baseline"/>
                <w:lang w:eastAsia="zh-CN"/>
              </w:rPr>
              <w:t>生物多样性的保护</w:t>
            </w:r>
            <w:r>
              <w:rPr>
                <w:rFonts w:hint="eastAsia"/>
                <w:color w:val="auto"/>
                <w:sz w:val="22"/>
                <w:szCs w:val="22"/>
                <w:highlight w:val="none"/>
                <w:vertAlign w:val="baseline"/>
                <w:lang w:eastAsia="zh-CN"/>
              </w:rPr>
              <w:t xml:space="preserve">，杜绝外来物种入侵。 </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重点针对涉及风景名胜区、森林公园、湿地公园的线性工程，推进沿线生态改善和景观升级；针对水土流失重点预防区和重点治理区，推进取、弃土场生态恢复；针对以水源涵养、生物多样性保护区等生态功能的一般生态空间，加强动物通道建设和湿地连通修复；在嘉陵江、涪江、渠江的水运项目环境影响区域，因地制宜采取避让、增殖放流、渔业环境修复、设立专项救护资金等生态恢复和补偿措施。</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项目施工期对土石方进行最大程度的利用，不能利用的运至临时弃渣场进行堆存，施工完成后及时对弃渣场进行生态恢复。项目同步建设过鱼通道，对涪江流域水生生态保护起到了积极作用。</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eastAsia="zh-CN"/>
              </w:rPr>
              <w:t>对于项目涉及的生态保护红线及国家湿地公园，分别编制了不可避让论证报告和湿地公园专题报告，并提出了严格的生态保护措施。</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c>
          <w:tcPr>
            <w:tcW w:w="156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（四）严守环境质量底线，加强环境污染防治</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根据规划实施污水产生情况、市政管网建设情况、市政污水处理能力等，采取纳入市政管网、自建污水处理设施等措施妥善处置各类污（废）水，确保不对周边水环境造成不良影响。</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优化隧道工程选线，结合超前预探，妥善采取“排、堵、疏”相结合的施工方案，减缓疏干地下水的环境影响</w:t>
            </w:r>
            <w:r>
              <w:rPr>
                <w:rFonts w:hint="eastAsia"/>
                <w:color w:val="auto"/>
                <w:sz w:val="21"/>
                <w:szCs w:val="21"/>
                <w:highlight w:val="none"/>
                <w:vertAlign w:val="baseline"/>
                <w:lang w:eastAsia="zh-CN"/>
              </w:rPr>
              <w:t>，</w:t>
            </w:r>
            <w:r>
              <w:rPr>
                <w:rFonts w:hint="eastAsia"/>
                <w:color w:val="auto"/>
                <w:sz w:val="22"/>
                <w:szCs w:val="22"/>
                <w:highlight w:val="none"/>
                <w:vertAlign w:val="baseline"/>
                <w:lang w:eastAsia="zh-CN"/>
              </w:rPr>
              <w:t>加强隧道进、出口生态环境恢复。</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积极治理项目实施引起的扬尘污染，减小颗粒物对环境空气的不利影响。</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铁路、公路等选线及站场、港区等选址应充分论证对居民住宅、学校、医院等声环境敏感区的影响。应针对不同情况，通过采取合理规划布局、噪声源控制、传声途径噪声削减、敏感建筑物噪声防护、加强交通噪声管理等噪声污染预防与控制措施，确保满足声环境要求。</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优化铁路工程选线，加强铁路振动环境保护。从路线设计、施工方式、加强运营期维护等措施降低铁路振动影响。</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铁路产生电磁污染的设备选址尽量远离学校、医院、居民区等敏感区域，确保敏感区域满足电磁环境控制标准。</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eastAsia="zh-CN"/>
              </w:rPr>
              <w:t>项目产生的废水经处理之后回用，不外排，不会对涪江水环境质量造成影响；不进行隧道工程建设，对地下水影响较小；对施工扬尘采取设置隔挡、洒水抑尘等措施后，对大气环境影响较小，且随着施工结束，扬尘影响消失；项目运营期噪声主要为过闸船舶噪声，通过采取限速等措施后，噪声影响小。总体来说，项目造成区域环境质量发生较大改变。</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c>
          <w:tcPr>
            <w:tcW w:w="156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（五）强化环境风险防控</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规划新增线路、站场、枢纽等应当避免占用、穿越饮用水水源一级保护区，尽量避让饮用水水源二级保护区，确保符合饮用水水源保护区管理要求。强化施工期和运营期环境风险防范措施，涉及饮用水水源保护区等敏感水体的项目应采取防撞、地表</w:t>
            </w:r>
            <w:r>
              <w:rPr>
                <w:rFonts w:hint="eastAsia"/>
                <w:color w:val="auto"/>
                <w:sz w:val="22"/>
                <w:szCs w:val="22"/>
                <w:highlight w:val="none"/>
                <w:shd w:val="clear" w:fill="FFFFFF"/>
                <w:vertAlign w:val="baseline"/>
                <w:lang w:eastAsia="zh-CN"/>
              </w:rPr>
              <w:t>径流收集</w:t>
            </w:r>
            <w:r>
              <w:rPr>
                <w:rFonts w:hint="eastAsia"/>
                <w:color w:val="auto"/>
                <w:sz w:val="22"/>
                <w:szCs w:val="22"/>
                <w:highlight w:val="none"/>
                <w:vertAlign w:val="baseline"/>
                <w:lang w:eastAsia="zh-CN"/>
              </w:rPr>
              <w:t>等措施，防范环境风险。</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eastAsia="zh-CN"/>
              </w:rPr>
              <w:t>项目不涉及饮用水源保护区，同时要求做好环境风险防范措施。</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c>
          <w:tcPr>
            <w:tcW w:w="156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2"/>
                <w:szCs w:val="22"/>
                <w:highlight w:val="none"/>
                <w:vertAlign w:val="baseline"/>
                <w:lang w:eastAsia="zh-CN"/>
              </w:rPr>
            </w:pPr>
          </w:p>
        </w:tc>
        <w:tc>
          <w:tcPr>
            <w:tcW w:w="72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（六）规范环境管理</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规划所含建设项目，应结合规划环评提出的指导意见做好环境影响评价工作，加强与规划环评的联动，重点调查规划工程周边环境敏感目标分布变化情况、重点开展环保措施的可行性论证等内容。规划修编时或新一轮规划启动时应重新编制环境影响评价文件。</w:t>
            </w:r>
          </w:p>
        </w:tc>
        <w:tc>
          <w:tcPr>
            <w:tcW w:w="33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color w:val="auto"/>
                <w:kern w:val="2"/>
                <w:sz w:val="22"/>
                <w:szCs w:val="22"/>
                <w:highlight w:val="none"/>
                <w:vertAlign w:val="baseline"/>
                <w:lang w:val="en-US" w:eastAsia="zh-CN" w:bidi="ar-SA"/>
              </w:rPr>
            </w:pPr>
            <w:r>
              <w:rPr>
                <w:rFonts w:hint="eastAsia" w:ascii="Times New Roman" w:hAnsi="Times New Roman" w:eastAsia="宋体" w:cs="Times New Roman"/>
                <w:color w:val="auto"/>
                <w:sz w:val="22"/>
                <w:szCs w:val="22"/>
                <w:highlight w:val="none"/>
                <w:vertAlign w:val="baseline"/>
                <w:lang w:eastAsia="zh-CN"/>
              </w:rPr>
              <w:t>本次以规划环评为指导，对工程周边环境保护目标分布变化情况进行了详细调查，对拟采取环保措施的可行性进行了详细论证。</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符合</w:t>
            </w:r>
          </w:p>
        </w:tc>
      </w:tr>
    </w:tbl>
    <w:p>
      <w:pPr>
        <w:rPr>
          <w:rFonts w:hint="default"/>
          <w:color w:val="auto"/>
          <w:highlight w:val="none"/>
          <w:lang w:val="en-US" w:eastAsia="zh-CN"/>
        </w:rPr>
        <w:sectPr>
          <w:pgSz w:w="16840" w:h="11907" w:orient="landscape"/>
          <w:pgMar w:top="1588" w:right="1701" w:bottom="1588" w:left="1588" w:header="1304" w:footer="1247" w:gutter="0"/>
          <w:cols w:space="720" w:num="1"/>
          <w:docGrid w:linePitch="354" w:charSpace="0"/>
        </w:sectPr>
      </w:pPr>
    </w:p>
    <w:p>
      <w:pPr>
        <w:pStyle w:val="5"/>
        <w:ind w:firstLine="522"/>
        <w:rPr>
          <w:color w:val="auto"/>
          <w:highlight w:val="none"/>
        </w:rPr>
      </w:pPr>
      <w:r>
        <w:rPr>
          <w:rFonts w:hint="eastAsia"/>
          <w:color w:val="auto"/>
          <w:highlight w:val="none"/>
        </w:rPr>
        <w:t>与</w:t>
      </w:r>
      <w:r>
        <w:rPr>
          <w:color w:val="auto"/>
          <w:highlight w:val="none"/>
          <w:shd w:val="clear" w:fill="FFFFFF"/>
        </w:rPr>
        <w:t>三线一单</w:t>
      </w:r>
      <w:r>
        <w:rPr>
          <w:color w:val="auto"/>
          <w:highlight w:val="none"/>
        </w:rPr>
        <w:t>符合性分析</w:t>
      </w:r>
    </w:p>
    <w:p>
      <w:pPr>
        <w:ind w:firstLine="520"/>
        <w:rPr>
          <w:rFonts w:hint="default" w:ascii="Times New Roman" w:hAnsi="Times New Roman" w:cs="Times New Roman"/>
          <w:color w:val="auto"/>
          <w:highlight w:val="none"/>
        </w:rPr>
      </w:pPr>
      <w:r>
        <w:rPr>
          <w:color w:val="auto"/>
          <w:szCs w:val="26"/>
          <w:highlight w:val="none"/>
        </w:rPr>
        <w:t>根据重庆市“三线一单”智检服务平台（http</w:t>
      </w:r>
      <w:r>
        <w:rPr>
          <w:color w:val="auto"/>
          <w:szCs w:val="26"/>
          <w:highlight w:val="none"/>
          <w:shd w:val="clear" w:fill="FFFFFF"/>
        </w:rPr>
        <w:t>:/</w:t>
      </w:r>
      <w:r>
        <w:rPr>
          <w:color w:val="auto"/>
          <w:szCs w:val="26"/>
          <w:highlight w:val="none"/>
        </w:rPr>
        <w:t>/222.177.117.35:10042/#/login）中查询获取的《</w:t>
      </w:r>
      <w:r>
        <w:rPr>
          <w:color w:val="auto"/>
          <w:szCs w:val="26"/>
          <w:highlight w:val="none"/>
          <w:shd w:val="clear" w:fill="FFFFFF"/>
        </w:rPr>
        <w:t>三线一单</w:t>
      </w:r>
      <w:r>
        <w:rPr>
          <w:color w:val="auto"/>
          <w:szCs w:val="26"/>
          <w:highlight w:val="none"/>
        </w:rPr>
        <w:t>检测分析报告》</w:t>
      </w:r>
      <w:r>
        <w:rPr>
          <w:rFonts w:hint="eastAsia"/>
          <w:color w:val="auto"/>
          <w:szCs w:val="26"/>
          <w:highlight w:val="none"/>
        </w:rPr>
        <w:t>及《重庆市合川区“三线一单”生态环境分区管控调整方案（</w:t>
      </w:r>
      <w:r>
        <w:rPr>
          <w:rFonts w:hint="eastAsia"/>
          <w:color w:val="auto"/>
          <w:sz w:val="26"/>
          <w:szCs w:val="26"/>
          <w:highlight w:val="none"/>
        </w:rPr>
        <w:t>2023年）》（合川府发〔2024〕8号）</w:t>
      </w:r>
      <w:r>
        <w:rPr>
          <w:color w:val="auto"/>
          <w:sz w:val="26"/>
          <w:szCs w:val="26"/>
          <w:highlight w:val="none"/>
        </w:rPr>
        <w:t>，本项目</w:t>
      </w:r>
      <w:r>
        <w:rPr>
          <w:rFonts w:hint="eastAsia"/>
          <w:color w:val="auto"/>
          <w:sz w:val="26"/>
          <w:szCs w:val="26"/>
          <w:highlight w:val="none"/>
          <w:lang w:eastAsia="zh-CN"/>
        </w:rPr>
        <w:t>涉及“合川区优先保护单元-重庆合川三江国家湿地公园（ZH50011710006）</w:t>
      </w:r>
      <w:r>
        <w:rPr>
          <w:rFonts w:hint="eastAsia"/>
          <w:color w:val="auto"/>
          <w:sz w:val="26"/>
          <w:szCs w:val="26"/>
          <w:highlight w:val="none"/>
          <w:shd w:val="clear" w:fill="FFFFFF"/>
          <w:lang w:eastAsia="zh-CN"/>
        </w:rPr>
        <w:t>”、“</w:t>
      </w:r>
      <w:r>
        <w:rPr>
          <w:rFonts w:hint="eastAsia"/>
          <w:color w:val="auto"/>
          <w:sz w:val="26"/>
          <w:szCs w:val="26"/>
          <w:highlight w:val="none"/>
          <w:lang w:eastAsia="zh-CN"/>
        </w:rPr>
        <w:t>合川区优先保护单元-</w:t>
      </w:r>
      <w:r>
        <w:rPr>
          <w:rFonts w:ascii="宋体" w:hAnsi="宋体" w:eastAsia="宋体" w:cs="宋体"/>
          <w:color w:val="auto"/>
          <w:sz w:val="26"/>
          <w:szCs w:val="26"/>
          <w:highlight w:val="none"/>
        </w:rPr>
        <w:t>合川区生态保护红线</w:t>
      </w:r>
      <w:r>
        <w:rPr>
          <w:rFonts w:hint="eastAsia" w:ascii="宋体" w:hAnsi="宋体" w:eastAsia="宋体" w:cs="宋体"/>
          <w:color w:val="auto"/>
          <w:sz w:val="26"/>
          <w:szCs w:val="26"/>
          <w:highlight w:val="none"/>
          <w:lang w:eastAsia="zh-CN"/>
        </w:rPr>
        <w:t>（</w:t>
      </w:r>
      <w:r>
        <w:rPr>
          <w:rFonts w:hint="eastAsia"/>
          <w:color w:val="auto"/>
          <w:sz w:val="26"/>
          <w:szCs w:val="26"/>
          <w:highlight w:val="none"/>
          <w:lang w:eastAsia="zh-CN"/>
        </w:rPr>
        <w:t>ZH5001171000</w:t>
      </w:r>
      <w:r>
        <w:rPr>
          <w:rFonts w:hint="eastAsia"/>
          <w:color w:val="auto"/>
          <w:sz w:val="26"/>
          <w:szCs w:val="26"/>
          <w:highlight w:val="none"/>
          <w:lang w:val="en-US" w:eastAsia="zh-CN"/>
        </w:rPr>
        <w:t>7</w:t>
      </w:r>
      <w:r>
        <w:rPr>
          <w:rFonts w:hint="eastAsia" w:ascii="宋体" w:hAnsi="宋体" w:eastAsia="宋体" w:cs="宋体"/>
          <w:color w:val="auto"/>
          <w:sz w:val="26"/>
          <w:szCs w:val="26"/>
          <w:highlight w:val="none"/>
          <w:lang w:eastAsia="zh-CN"/>
        </w:rPr>
        <w:t>）</w:t>
      </w:r>
      <w:r>
        <w:rPr>
          <w:rFonts w:hint="eastAsia"/>
          <w:color w:val="auto"/>
          <w:sz w:val="26"/>
          <w:szCs w:val="26"/>
          <w:highlight w:val="none"/>
          <w:shd w:val="clear" w:fill="FFFFFF"/>
          <w:lang w:eastAsia="zh-CN"/>
        </w:rPr>
        <w:t>”、“</w:t>
      </w:r>
      <w:r>
        <w:rPr>
          <w:rFonts w:hint="eastAsia"/>
          <w:color w:val="auto"/>
          <w:sz w:val="26"/>
          <w:szCs w:val="26"/>
          <w:highlight w:val="none"/>
          <w:lang w:eastAsia="zh-CN"/>
        </w:rPr>
        <w:t>合川区工业城镇重点管控单元-其他镇域片区（ZH50011720010）</w:t>
      </w:r>
      <w:r>
        <w:rPr>
          <w:rFonts w:hint="eastAsia"/>
          <w:color w:val="auto"/>
          <w:sz w:val="26"/>
          <w:szCs w:val="26"/>
          <w:highlight w:val="none"/>
          <w:shd w:val="clear" w:fill="FFFFFF"/>
          <w:lang w:eastAsia="zh-CN"/>
        </w:rPr>
        <w:t>”、“</w:t>
      </w:r>
      <w:r>
        <w:rPr>
          <w:rFonts w:hint="eastAsia"/>
          <w:color w:val="auto"/>
          <w:sz w:val="26"/>
          <w:szCs w:val="26"/>
          <w:highlight w:val="none"/>
          <w:lang w:eastAsia="zh-CN"/>
        </w:rPr>
        <w:t>合川区一般管控单元-涪江合川上游段</w:t>
      </w:r>
      <w:r>
        <w:rPr>
          <w:rFonts w:hint="default" w:ascii="Times New Roman" w:hAnsi="Times New Roman" w:cs="Times New Roman"/>
          <w:color w:val="auto"/>
          <w:sz w:val="26"/>
          <w:szCs w:val="26"/>
          <w:highlight w:val="none"/>
          <w:lang w:eastAsia="zh-CN"/>
        </w:rPr>
        <w:t>（ZH50011730001）”共</w:t>
      </w:r>
      <w:r>
        <w:rPr>
          <w:rFonts w:hint="eastAsia" w:ascii="Times New Roman" w:hAnsi="Times New Roman" w:cs="Times New Roman"/>
          <w:color w:val="auto"/>
          <w:sz w:val="26"/>
          <w:szCs w:val="26"/>
          <w:highlight w:val="none"/>
          <w:lang w:val="en-US" w:eastAsia="zh-CN"/>
        </w:rPr>
        <w:t>4</w:t>
      </w:r>
      <w:r>
        <w:rPr>
          <w:rFonts w:hint="default" w:ascii="Times New Roman" w:hAnsi="Times New Roman" w:cs="Times New Roman"/>
          <w:color w:val="auto"/>
          <w:sz w:val="26"/>
          <w:szCs w:val="26"/>
          <w:highlight w:val="none"/>
          <w:lang w:eastAsia="zh-CN"/>
        </w:rPr>
        <w:t>个管控单元</w:t>
      </w:r>
      <w:r>
        <w:rPr>
          <w:rFonts w:hint="default" w:ascii="Times New Roman" w:hAnsi="Times New Roman" w:cs="Times New Roman" w:eastAsiaTheme="minorEastAsia"/>
          <w:color w:val="auto"/>
          <w:sz w:val="26"/>
          <w:szCs w:val="26"/>
          <w:highlight w:val="none"/>
        </w:rPr>
        <w:t>。</w:t>
      </w:r>
      <w:r>
        <w:rPr>
          <w:rFonts w:hint="default" w:ascii="Times New Roman" w:hAnsi="Times New Roman" w:cs="Times New Roman" w:eastAsiaTheme="minorEastAsia"/>
          <w:color w:val="auto"/>
          <w:sz w:val="26"/>
          <w:szCs w:val="26"/>
          <w:highlight w:val="none"/>
          <w:lang w:eastAsia="zh-CN"/>
        </w:rPr>
        <w:t>项目各工程内容涉及管控单元情况见表</w:t>
      </w:r>
      <w:r>
        <w:rPr>
          <w:rFonts w:hint="default" w:ascii="Times New Roman" w:hAnsi="Times New Roman" w:cs="Times New Roman" w:eastAsiaTheme="minorEastAsia"/>
          <w:color w:val="auto"/>
          <w:sz w:val="26"/>
          <w:szCs w:val="26"/>
          <w:highlight w:val="none"/>
          <w:lang w:val="en-US" w:eastAsia="zh-CN"/>
        </w:rPr>
        <w:t>1.9.4-1；项目</w:t>
      </w:r>
      <w:r>
        <w:rPr>
          <w:rFonts w:hint="default" w:ascii="Times New Roman" w:hAnsi="Times New Roman" w:cs="Times New Roman"/>
          <w:color w:val="auto"/>
          <w:highlight w:val="none"/>
        </w:rPr>
        <w:t>与重庆市、</w:t>
      </w:r>
      <w:r>
        <w:rPr>
          <w:rFonts w:hint="default" w:ascii="Times New Roman" w:hAnsi="Times New Roman" w:cs="Times New Roman"/>
          <w:color w:val="auto"/>
          <w:highlight w:val="none"/>
          <w:lang w:eastAsia="zh-CN"/>
        </w:rPr>
        <w:t>合川区生态环境管理要求的符合性详</w:t>
      </w:r>
      <w:r>
        <w:rPr>
          <w:rFonts w:hint="default" w:ascii="Times New Roman" w:hAnsi="Times New Roman" w:cs="Times New Roman"/>
          <w:color w:val="auto"/>
          <w:highlight w:val="none"/>
        </w:rPr>
        <w:t>见表1.9.</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w:t>
      </w:r>
    </w:p>
    <w:p>
      <w:pPr>
        <w:bidi w:val="0"/>
        <w:spacing w:line="240" w:lineRule="auto"/>
        <w:rPr>
          <w:rFonts w:hint="default"/>
          <w:color w:val="auto"/>
          <w:highlight w:val="none"/>
          <w:lang w:eastAsia="zh-CN"/>
        </w:rPr>
      </w:pPr>
    </w:p>
    <w:p>
      <w:pPr>
        <w:bidi w:val="0"/>
        <w:spacing w:line="240" w:lineRule="auto"/>
        <w:ind w:left="0" w:leftChars="0" w:firstLine="0" w:firstLineChars="0"/>
        <w:jc w:val="center"/>
        <w:rPr>
          <w:rFonts w:hint="default"/>
          <w:color w:val="auto"/>
          <w:highlight w:val="none"/>
        </w:rPr>
      </w:pPr>
      <w:r>
        <w:rPr>
          <w:rFonts w:hint="default"/>
          <w:color w:val="auto"/>
          <w:highlight w:val="none"/>
          <w:lang w:eastAsia="zh-CN"/>
        </w:rPr>
        <w:t>表</w:t>
      </w:r>
      <w:r>
        <w:rPr>
          <w:rFonts w:hint="eastAsia"/>
          <w:color w:val="auto"/>
          <w:highlight w:val="none"/>
          <w:lang w:val="en-US" w:eastAsia="zh-CN"/>
        </w:rPr>
        <w:t xml:space="preserve">1.9.4-1  </w:t>
      </w:r>
      <w:r>
        <w:rPr>
          <w:rFonts w:hint="default"/>
          <w:color w:val="auto"/>
          <w:highlight w:val="none"/>
          <w:lang w:eastAsia="zh-CN"/>
        </w:rPr>
        <w:t>项目</w:t>
      </w:r>
      <w:r>
        <w:rPr>
          <w:rFonts w:hint="default"/>
          <w:color w:val="auto"/>
          <w:highlight w:val="none"/>
        </w:rPr>
        <w:t>涉及环境管控单元一览表</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1" w:type="dxa"/>
          <w:left w:w="108" w:type="dxa"/>
          <w:bottom w:w="51" w:type="dxa"/>
          <w:right w:w="108" w:type="dxa"/>
        </w:tblCellMar>
      </w:tblPr>
      <w:tblGrid>
        <w:gridCol w:w="472"/>
        <w:gridCol w:w="2420"/>
        <w:gridCol w:w="1211"/>
        <w:gridCol w:w="1275"/>
        <w:gridCol w:w="33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3" w:hRule="atLeast"/>
          <w:tblHeader/>
          <w:jc w:val="center"/>
        </w:trPr>
        <w:tc>
          <w:tcPr>
            <w:tcW w:w="271" w:type="pct"/>
            <w:noWrap w:val="0"/>
            <w:vAlign w:val="center"/>
          </w:tcPr>
          <w:p>
            <w:pPr>
              <w:spacing w:line="240" w:lineRule="auto"/>
              <w:ind w:firstLine="0" w:firstLineChars="0"/>
              <w:jc w:val="center"/>
              <w:rPr>
                <w:rFonts w:hint="default" w:ascii="Times New Roman" w:hAnsi="Times New Roman" w:eastAsia="宋体" w:cs="Times New Roman"/>
                <w:b/>
                <w:color w:val="auto"/>
                <w:sz w:val="22"/>
                <w:szCs w:val="22"/>
                <w:highlight w:val="none"/>
              </w:rPr>
            </w:pPr>
            <w:r>
              <w:rPr>
                <w:rFonts w:hint="default" w:ascii="Times New Roman" w:hAnsi="Times New Roman" w:eastAsia="宋体" w:cs="Times New Roman"/>
                <w:b/>
                <w:color w:val="auto"/>
                <w:sz w:val="22"/>
                <w:szCs w:val="22"/>
                <w:highlight w:val="none"/>
              </w:rPr>
              <w:t>序号</w:t>
            </w:r>
          </w:p>
        </w:tc>
        <w:tc>
          <w:tcPr>
            <w:tcW w:w="1394" w:type="pct"/>
            <w:noWrap w:val="0"/>
            <w:vAlign w:val="center"/>
          </w:tcPr>
          <w:p>
            <w:pPr>
              <w:spacing w:line="240" w:lineRule="auto"/>
              <w:ind w:firstLine="0" w:firstLineChars="0"/>
              <w:jc w:val="center"/>
              <w:rPr>
                <w:rFonts w:hint="default" w:ascii="Times New Roman" w:hAnsi="Times New Roman" w:eastAsia="宋体" w:cs="Times New Roman"/>
                <w:b/>
                <w:color w:val="auto"/>
                <w:sz w:val="22"/>
                <w:szCs w:val="22"/>
                <w:highlight w:val="none"/>
              </w:rPr>
            </w:pPr>
            <w:r>
              <w:rPr>
                <w:rFonts w:hint="default" w:ascii="Times New Roman" w:hAnsi="Times New Roman" w:eastAsia="宋体" w:cs="Times New Roman"/>
                <w:b/>
                <w:color w:val="auto"/>
                <w:sz w:val="22"/>
                <w:szCs w:val="22"/>
                <w:highlight w:val="none"/>
              </w:rPr>
              <w:t>管控单元名称</w:t>
            </w:r>
          </w:p>
        </w:tc>
        <w:tc>
          <w:tcPr>
            <w:tcW w:w="69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default" w:ascii="Times New Roman" w:hAnsi="Times New Roman" w:eastAsia="宋体" w:cs="Times New Roman"/>
                <w:b/>
                <w:color w:val="auto"/>
                <w:sz w:val="22"/>
                <w:szCs w:val="22"/>
                <w:highlight w:val="none"/>
              </w:rPr>
            </w:pPr>
            <w:r>
              <w:rPr>
                <w:rFonts w:hint="default" w:ascii="Times New Roman" w:hAnsi="Times New Roman" w:eastAsia="宋体" w:cs="Times New Roman"/>
                <w:b/>
                <w:color w:val="auto"/>
                <w:sz w:val="22"/>
                <w:szCs w:val="22"/>
                <w:highlight w:val="none"/>
              </w:rPr>
              <w:t>环境管控单元编码</w:t>
            </w:r>
          </w:p>
        </w:tc>
        <w:tc>
          <w:tcPr>
            <w:tcW w:w="734" w:type="pct"/>
            <w:noWrap w:val="0"/>
            <w:vAlign w:val="center"/>
          </w:tcPr>
          <w:p>
            <w:pPr>
              <w:spacing w:line="240" w:lineRule="auto"/>
              <w:ind w:firstLine="0" w:firstLineChars="0"/>
              <w:jc w:val="center"/>
              <w:rPr>
                <w:rFonts w:hint="default" w:ascii="Times New Roman" w:hAnsi="Times New Roman" w:eastAsia="宋体" w:cs="Times New Roman"/>
                <w:b/>
                <w:color w:val="auto"/>
                <w:sz w:val="22"/>
                <w:szCs w:val="22"/>
                <w:highlight w:val="none"/>
              </w:rPr>
            </w:pPr>
            <w:r>
              <w:rPr>
                <w:rFonts w:hint="default" w:ascii="Times New Roman" w:hAnsi="Times New Roman" w:eastAsia="宋体" w:cs="Times New Roman"/>
                <w:b/>
                <w:color w:val="auto"/>
                <w:sz w:val="22"/>
                <w:szCs w:val="22"/>
                <w:highlight w:val="none"/>
              </w:rPr>
              <w:t>环境管控单元分类</w:t>
            </w:r>
          </w:p>
        </w:tc>
        <w:tc>
          <w:tcPr>
            <w:tcW w:w="1901" w:type="pct"/>
            <w:noWrap w:val="0"/>
            <w:vAlign w:val="center"/>
          </w:tcPr>
          <w:p>
            <w:pPr>
              <w:spacing w:line="240" w:lineRule="auto"/>
              <w:ind w:firstLine="0" w:firstLineChars="0"/>
              <w:jc w:val="center"/>
              <w:rPr>
                <w:rFonts w:hint="eastAsia" w:ascii="Times New Roman" w:hAnsi="Times New Roman" w:eastAsia="宋体" w:cs="Times New Roman"/>
                <w:b/>
                <w:color w:val="auto"/>
                <w:sz w:val="22"/>
                <w:szCs w:val="22"/>
                <w:highlight w:val="none"/>
                <w:lang w:eastAsia="zh-CN"/>
              </w:rPr>
            </w:pPr>
            <w:r>
              <w:rPr>
                <w:rFonts w:hint="default" w:ascii="Times New Roman" w:hAnsi="Times New Roman" w:eastAsia="宋体" w:cs="Times New Roman"/>
                <w:b/>
                <w:color w:val="auto"/>
                <w:sz w:val="22"/>
                <w:szCs w:val="22"/>
                <w:highlight w:val="none"/>
              </w:rPr>
              <w:t>涉及工程</w:t>
            </w:r>
            <w:r>
              <w:rPr>
                <w:rFonts w:hint="eastAsia" w:ascii="Times New Roman" w:hAnsi="Times New Roman" w:eastAsia="宋体" w:cs="Times New Roman"/>
                <w:b/>
                <w:color w:val="auto"/>
                <w:sz w:val="22"/>
                <w:szCs w:val="22"/>
                <w:highlight w:val="none"/>
                <w:lang w:eastAsia="zh-CN"/>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3" w:hRule="atLeast"/>
          <w:tblHeader/>
          <w:jc w:val="center"/>
        </w:trPr>
        <w:tc>
          <w:tcPr>
            <w:tcW w:w="271" w:type="pct"/>
            <w:noWrap w:val="0"/>
            <w:vAlign w:val="center"/>
          </w:tcPr>
          <w:p>
            <w:pPr>
              <w:pStyle w:val="165"/>
              <w:keepNext w:val="0"/>
              <w:keepLines w:val="0"/>
              <w:pageBreakBefore w:val="0"/>
              <w:widowControl w:val="0"/>
              <w:numPr>
                <w:ilvl w:val="0"/>
                <w:numId w:val="12"/>
              </w:numPr>
              <w:kinsoku/>
              <w:wordWrap/>
              <w:overflowPunct/>
              <w:topLinePunct w:val="0"/>
              <w:autoSpaceDE/>
              <w:autoSpaceDN/>
              <w:bidi w:val="0"/>
              <w:adjustRightInd w:val="0"/>
              <w:snapToGrid w:val="0"/>
              <w:spacing w:line="240" w:lineRule="auto"/>
              <w:ind w:left="567" w:leftChars="0" w:hanging="567" w:firstLineChars="0"/>
              <w:jc w:val="center"/>
              <w:textAlignment w:val="auto"/>
              <w:rPr>
                <w:rFonts w:hint="default" w:ascii="Times New Roman" w:hAnsi="Times New Roman" w:eastAsia="宋体" w:cs="Times New Roman"/>
                <w:color w:val="auto"/>
                <w:sz w:val="22"/>
                <w:szCs w:val="22"/>
                <w:highlight w:val="none"/>
              </w:rPr>
            </w:pPr>
          </w:p>
        </w:tc>
        <w:tc>
          <w:tcPr>
            <w:tcW w:w="1394" w:type="pct"/>
            <w:noWrap w:val="0"/>
            <w:vAlign w:val="center"/>
          </w:tcPr>
          <w:p>
            <w:pPr>
              <w:spacing w:line="240" w:lineRule="auto"/>
              <w:ind w:firstLine="0" w:firstLineChars="0"/>
              <w:jc w:val="center"/>
              <w:rPr>
                <w:rFonts w:hint="default" w:ascii="Times New Roman" w:hAnsi="Times New Roman" w:eastAsia="宋体" w:cs="Times New Roman"/>
                <w:color w:val="auto"/>
                <w:sz w:val="22"/>
                <w:szCs w:val="22"/>
                <w:highlight w:val="none"/>
              </w:rPr>
            </w:pPr>
            <w:r>
              <w:rPr>
                <w:rFonts w:hint="eastAsia"/>
                <w:color w:val="auto"/>
                <w:sz w:val="22"/>
                <w:szCs w:val="22"/>
                <w:highlight w:val="none"/>
                <w:lang w:eastAsia="zh-CN"/>
              </w:rPr>
              <w:t>重庆合川三江国家湿地公园</w:t>
            </w:r>
          </w:p>
        </w:tc>
        <w:tc>
          <w:tcPr>
            <w:tcW w:w="697" w:type="pct"/>
            <w:noWrap w:val="0"/>
            <w:vAlign w:val="center"/>
          </w:tcPr>
          <w:p>
            <w:pPr>
              <w:spacing w:line="240" w:lineRule="auto"/>
              <w:ind w:firstLine="0" w:firstLineChars="0"/>
              <w:jc w:val="center"/>
              <w:rPr>
                <w:rFonts w:hint="default" w:ascii="Times New Roman" w:hAnsi="Times New Roman" w:eastAsia="宋体" w:cs="Times New Roman"/>
                <w:color w:val="auto"/>
                <w:sz w:val="22"/>
                <w:szCs w:val="22"/>
                <w:highlight w:val="none"/>
              </w:rPr>
            </w:pPr>
            <w:r>
              <w:rPr>
                <w:rFonts w:hint="eastAsia"/>
                <w:color w:val="auto"/>
                <w:sz w:val="22"/>
                <w:szCs w:val="22"/>
                <w:highlight w:val="none"/>
                <w:lang w:eastAsia="zh-CN"/>
              </w:rPr>
              <w:t>ZH50011710006</w:t>
            </w:r>
          </w:p>
        </w:tc>
        <w:tc>
          <w:tcPr>
            <w:tcW w:w="734" w:type="pct"/>
            <w:noWrap w:val="0"/>
            <w:vAlign w:val="center"/>
          </w:tcPr>
          <w:p>
            <w:pPr>
              <w:spacing w:line="240" w:lineRule="auto"/>
              <w:ind w:firstLine="0" w:firstLineChars="0"/>
              <w:jc w:val="center"/>
              <w:rPr>
                <w:rFonts w:hint="eastAsia" w:ascii="Times New Roman" w:hAnsi="Times New Roman" w:eastAsia="宋体" w:cs="Times New Roman"/>
                <w:color w:val="auto"/>
                <w:sz w:val="22"/>
                <w:szCs w:val="22"/>
                <w:highlight w:val="none"/>
                <w:lang w:eastAsia="zh-CN"/>
              </w:rPr>
            </w:pPr>
            <w:r>
              <w:rPr>
                <w:rFonts w:hint="eastAsia" w:cs="Times New Roman"/>
                <w:color w:val="auto"/>
                <w:sz w:val="22"/>
                <w:szCs w:val="22"/>
                <w:highlight w:val="none"/>
                <w:lang w:eastAsia="zh-CN"/>
              </w:rPr>
              <w:t>优先保护单元</w:t>
            </w:r>
          </w:p>
        </w:tc>
        <w:tc>
          <w:tcPr>
            <w:tcW w:w="1901" w:type="pct"/>
            <w:noWrap w:val="0"/>
            <w:vAlign w:val="center"/>
          </w:tcPr>
          <w:p>
            <w:pPr>
              <w:spacing w:line="240" w:lineRule="auto"/>
              <w:ind w:firstLine="0" w:firstLineChars="0"/>
              <w:jc w:val="center"/>
              <w:rPr>
                <w:rFonts w:hint="default"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下游引航道、下游隔</w:t>
            </w:r>
            <w:r>
              <w:rPr>
                <w:rFonts w:hint="eastAsia" w:cs="Times New Roman"/>
                <w:color w:val="auto"/>
                <w:sz w:val="22"/>
                <w:szCs w:val="22"/>
                <w:highlight w:val="none"/>
                <w:shd w:val="clear" w:fill="FFFFFF"/>
                <w:lang w:val="en-US" w:eastAsia="zh-CN"/>
              </w:rPr>
              <w:t>流墙</w:t>
            </w:r>
            <w:r>
              <w:rPr>
                <w:rFonts w:hint="eastAsia" w:cs="Times New Roman"/>
                <w:color w:val="auto"/>
                <w:sz w:val="22"/>
                <w:szCs w:val="22"/>
                <w:highlight w:val="none"/>
                <w:lang w:val="en-US" w:eastAsia="zh-CN"/>
              </w:rPr>
              <w:t>、鱼道、下游疏浚区、下游锚地、航标等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3" w:hRule="atLeast"/>
          <w:tblHeader/>
          <w:jc w:val="center"/>
        </w:trPr>
        <w:tc>
          <w:tcPr>
            <w:tcW w:w="271" w:type="pct"/>
            <w:noWrap w:val="0"/>
            <w:vAlign w:val="center"/>
          </w:tcPr>
          <w:p>
            <w:pPr>
              <w:pStyle w:val="165"/>
              <w:keepNext w:val="0"/>
              <w:keepLines w:val="0"/>
              <w:pageBreakBefore w:val="0"/>
              <w:widowControl w:val="0"/>
              <w:numPr>
                <w:ilvl w:val="0"/>
                <w:numId w:val="12"/>
              </w:numPr>
              <w:kinsoku/>
              <w:wordWrap/>
              <w:overflowPunct/>
              <w:topLinePunct w:val="0"/>
              <w:autoSpaceDE/>
              <w:autoSpaceDN/>
              <w:bidi w:val="0"/>
              <w:adjustRightInd w:val="0"/>
              <w:snapToGrid w:val="0"/>
              <w:spacing w:line="240" w:lineRule="auto"/>
              <w:ind w:left="567" w:leftChars="0" w:hanging="567" w:firstLineChars="0"/>
              <w:jc w:val="center"/>
              <w:textAlignment w:val="auto"/>
              <w:rPr>
                <w:rFonts w:hint="default" w:ascii="Times New Roman" w:hAnsi="Times New Roman" w:eastAsia="宋体" w:cs="Times New Roman"/>
                <w:color w:val="auto"/>
                <w:sz w:val="22"/>
                <w:szCs w:val="22"/>
                <w:highlight w:val="none"/>
              </w:rPr>
            </w:pPr>
          </w:p>
        </w:tc>
        <w:tc>
          <w:tcPr>
            <w:tcW w:w="1394" w:type="pct"/>
            <w:noWrap w:val="0"/>
            <w:vAlign w:val="center"/>
          </w:tcPr>
          <w:p>
            <w:pPr>
              <w:spacing w:line="240" w:lineRule="auto"/>
              <w:ind w:firstLine="0" w:firstLineChars="0"/>
              <w:jc w:val="center"/>
              <w:rPr>
                <w:rFonts w:hint="default" w:ascii="Times New Roman" w:hAnsi="Times New Roman" w:eastAsia="宋体" w:cs="Times New Roman"/>
                <w:color w:val="auto"/>
                <w:sz w:val="22"/>
                <w:szCs w:val="22"/>
                <w:highlight w:val="none"/>
              </w:rPr>
            </w:pPr>
            <w:r>
              <w:rPr>
                <w:rFonts w:ascii="宋体" w:hAnsi="宋体" w:eastAsia="宋体" w:cs="宋体"/>
                <w:color w:val="auto"/>
                <w:sz w:val="22"/>
                <w:szCs w:val="22"/>
                <w:highlight w:val="none"/>
              </w:rPr>
              <w:t>合川区生态保护红线</w:t>
            </w:r>
          </w:p>
        </w:tc>
        <w:tc>
          <w:tcPr>
            <w:tcW w:w="697" w:type="pct"/>
            <w:noWrap w:val="0"/>
            <w:vAlign w:val="center"/>
          </w:tcPr>
          <w:p>
            <w:pPr>
              <w:spacing w:line="240" w:lineRule="auto"/>
              <w:ind w:firstLine="0" w:firstLineChars="0"/>
              <w:jc w:val="center"/>
              <w:rPr>
                <w:rFonts w:hint="default" w:ascii="Times New Roman" w:hAnsi="Times New Roman" w:eastAsia="宋体" w:cs="Times New Roman"/>
                <w:color w:val="auto"/>
                <w:sz w:val="22"/>
                <w:szCs w:val="22"/>
                <w:highlight w:val="none"/>
              </w:rPr>
            </w:pPr>
            <w:r>
              <w:rPr>
                <w:rFonts w:hint="eastAsia"/>
                <w:color w:val="auto"/>
                <w:sz w:val="22"/>
                <w:szCs w:val="22"/>
                <w:highlight w:val="none"/>
                <w:lang w:eastAsia="zh-CN"/>
              </w:rPr>
              <w:t>ZH5001171000</w:t>
            </w:r>
            <w:r>
              <w:rPr>
                <w:rFonts w:hint="eastAsia"/>
                <w:color w:val="auto"/>
                <w:sz w:val="22"/>
                <w:szCs w:val="22"/>
                <w:highlight w:val="none"/>
                <w:lang w:val="en-US" w:eastAsia="zh-CN"/>
              </w:rPr>
              <w:t>7</w:t>
            </w:r>
          </w:p>
        </w:tc>
        <w:tc>
          <w:tcPr>
            <w:tcW w:w="734" w:type="pct"/>
            <w:noWrap w:val="0"/>
            <w:vAlign w:val="center"/>
          </w:tcPr>
          <w:p>
            <w:pPr>
              <w:spacing w:line="240" w:lineRule="auto"/>
              <w:ind w:firstLine="0" w:firstLineChars="0"/>
              <w:jc w:val="center"/>
              <w:rPr>
                <w:rFonts w:hint="eastAsia" w:cs="Times New Roman"/>
                <w:color w:val="auto"/>
                <w:sz w:val="22"/>
                <w:szCs w:val="22"/>
                <w:highlight w:val="none"/>
                <w:lang w:eastAsia="zh-CN"/>
              </w:rPr>
            </w:pPr>
            <w:r>
              <w:rPr>
                <w:rFonts w:hint="eastAsia" w:cs="Times New Roman"/>
                <w:color w:val="auto"/>
                <w:sz w:val="22"/>
                <w:szCs w:val="22"/>
                <w:highlight w:val="none"/>
                <w:lang w:eastAsia="zh-CN"/>
              </w:rPr>
              <w:t>优先保护单元</w:t>
            </w:r>
          </w:p>
        </w:tc>
        <w:tc>
          <w:tcPr>
            <w:tcW w:w="1901" w:type="pct"/>
            <w:noWrap w:val="0"/>
            <w:vAlign w:val="center"/>
          </w:tcPr>
          <w:p>
            <w:pPr>
              <w:spacing w:line="240" w:lineRule="auto"/>
              <w:ind w:firstLine="0" w:firstLineChars="0"/>
              <w:jc w:val="center"/>
              <w:rPr>
                <w:rFonts w:hint="default"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下游引航道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3" w:hRule="atLeast"/>
          <w:tblHeader/>
          <w:jc w:val="center"/>
        </w:trPr>
        <w:tc>
          <w:tcPr>
            <w:tcW w:w="271" w:type="pct"/>
            <w:noWrap w:val="0"/>
            <w:vAlign w:val="center"/>
          </w:tcPr>
          <w:p>
            <w:pPr>
              <w:pStyle w:val="165"/>
              <w:keepNext w:val="0"/>
              <w:keepLines w:val="0"/>
              <w:pageBreakBefore w:val="0"/>
              <w:widowControl w:val="0"/>
              <w:numPr>
                <w:ilvl w:val="0"/>
                <w:numId w:val="12"/>
              </w:numPr>
              <w:kinsoku/>
              <w:wordWrap/>
              <w:overflowPunct/>
              <w:topLinePunct w:val="0"/>
              <w:autoSpaceDE/>
              <w:autoSpaceDN/>
              <w:bidi w:val="0"/>
              <w:adjustRightInd w:val="0"/>
              <w:snapToGrid w:val="0"/>
              <w:spacing w:line="240" w:lineRule="auto"/>
              <w:ind w:left="567" w:leftChars="0" w:hanging="567" w:firstLineChars="0"/>
              <w:jc w:val="center"/>
              <w:textAlignment w:val="auto"/>
              <w:rPr>
                <w:rFonts w:hint="default" w:ascii="Times New Roman" w:hAnsi="Times New Roman" w:eastAsia="宋体" w:cs="Times New Roman"/>
                <w:color w:val="auto"/>
                <w:sz w:val="22"/>
                <w:szCs w:val="22"/>
                <w:highlight w:val="none"/>
              </w:rPr>
            </w:pPr>
          </w:p>
        </w:tc>
        <w:tc>
          <w:tcPr>
            <w:tcW w:w="1394" w:type="pct"/>
            <w:noWrap w:val="0"/>
            <w:vAlign w:val="center"/>
          </w:tcPr>
          <w:p>
            <w:pPr>
              <w:spacing w:line="240" w:lineRule="auto"/>
              <w:ind w:firstLine="0" w:firstLineChars="0"/>
              <w:jc w:val="center"/>
              <w:rPr>
                <w:rFonts w:ascii="宋体" w:hAnsi="宋体" w:eastAsia="宋体" w:cs="宋体"/>
                <w:color w:val="auto"/>
                <w:sz w:val="22"/>
                <w:szCs w:val="22"/>
                <w:highlight w:val="none"/>
              </w:rPr>
            </w:pPr>
            <w:r>
              <w:rPr>
                <w:rFonts w:hint="eastAsia"/>
                <w:color w:val="auto"/>
                <w:sz w:val="22"/>
                <w:szCs w:val="22"/>
                <w:highlight w:val="none"/>
                <w:lang w:eastAsia="zh-CN"/>
              </w:rPr>
              <w:t>合川区工业城镇重点管控单元-其他镇域片区</w:t>
            </w:r>
          </w:p>
        </w:tc>
        <w:tc>
          <w:tcPr>
            <w:tcW w:w="697" w:type="pct"/>
            <w:noWrap w:val="0"/>
            <w:vAlign w:val="center"/>
          </w:tcPr>
          <w:p>
            <w:pPr>
              <w:spacing w:line="240" w:lineRule="auto"/>
              <w:ind w:firstLine="0" w:firstLineChars="0"/>
              <w:jc w:val="center"/>
              <w:rPr>
                <w:rFonts w:hint="eastAsia"/>
                <w:color w:val="auto"/>
                <w:sz w:val="22"/>
                <w:szCs w:val="22"/>
                <w:highlight w:val="none"/>
                <w:lang w:eastAsia="zh-CN"/>
              </w:rPr>
            </w:pPr>
            <w:r>
              <w:rPr>
                <w:rFonts w:hint="eastAsia"/>
                <w:color w:val="auto"/>
                <w:sz w:val="22"/>
                <w:szCs w:val="22"/>
                <w:highlight w:val="none"/>
                <w:lang w:eastAsia="zh-CN"/>
              </w:rPr>
              <w:t>ZH50011720010</w:t>
            </w:r>
          </w:p>
        </w:tc>
        <w:tc>
          <w:tcPr>
            <w:tcW w:w="734" w:type="pct"/>
            <w:noWrap w:val="0"/>
            <w:vAlign w:val="center"/>
          </w:tcPr>
          <w:p>
            <w:pPr>
              <w:spacing w:line="240" w:lineRule="auto"/>
              <w:ind w:firstLine="0" w:firstLineChars="0"/>
              <w:jc w:val="center"/>
              <w:rPr>
                <w:rFonts w:hint="eastAsia" w:cs="Times New Roman"/>
                <w:color w:val="auto"/>
                <w:sz w:val="22"/>
                <w:szCs w:val="22"/>
                <w:highlight w:val="none"/>
                <w:lang w:eastAsia="zh-CN"/>
              </w:rPr>
            </w:pPr>
            <w:r>
              <w:rPr>
                <w:rFonts w:hint="eastAsia" w:ascii="Times New Roman" w:hAnsi="Times New Roman" w:eastAsia="宋体" w:cs="Times New Roman"/>
                <w:color w:val="auto"/>
                <w:sz w:val="22"/>
                <w:szCs w:val="22"/>
                <w:highlight w:val="none"/>
                <w:lang w:eastAsia="zh-CN"/>
              </w:rPr>
              <w:t>重点管控单元</w:t>
            </w:r>
          </w:p>
        </w:tc>
        <w:tc>
          <w:tcPr>
            <w:tcW w:w="1901" w:type="pct"/>
            <w:noWrap w:val="0"/>
            <w:vAlign w:val="center"/>
          </w:tcPr>
          <w:p>
            <w:pPr>
              <w:spacing w:line="240" w:lineRule="auto"/>
              <w:ind w:firstLine="0" w:firstLineChars="0"/>
              <w:jc w:val="center"/>
              <w:rPr>
                <w:rFonts w:hint="eastAsia" w:cs="Times New Roman"/>
                <w:color w:val="auto"/>
                <w:sz w:val="22"/>
                <w:szCs w:val="22"/>
                <w:highlight w:val="none"/>
                <w:lang w:val="en-US" w:eastAsia="zh-CN"/>
              </w:rPr>
            </w:pPr>
            <w:r>
              <w:rPr>
                <w:rFonts w:hint="eastAsia" w:cs="Times New Roman"/>
                <w:color w:val="auto"/>
                <w:sz w:val="22"/>
                <w:szCs w:val="22"/>
                <w:highlight w:val="none"/>
                <w:lang w:val="en-US" w:eastAsia="zh-CN"/>
              </w:rPr>
              <w:t>船闸管理区、船闸主体工程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3" w:hRule="atLeast"/>
          <w:tblHeader/>
          <w:jc w:val="center"/>
        </w:trPr>
        <w:tc>
          <w:tcPr>
            <w:tcW w:w="271" w:type="pct"/>
            <w:noWrap w:val="0"/>
            <w:vAlign w:val="center"/>
          </w:tcPr>
          <w:p>
            <w:pPr>
              <w:pStyle w:val="165"/>
              <w:keepNext w:val="0"/>
              <w:keepLines w:val="0"/>
              <w:pageBreakBefore w:val="0"/>
              <w:widowControl w:val="0"/>
              <w:numPr>
                <w:ilvl w:val="0"/>
                <w:numId w:val="12"/>
              </w:numPr>
              <w:kinsoku/>
              <w:wordWrap/>
              <w:overflowPunct/>
              <w:topLinePunct w:val="0"/>
              <w:autoSpaceDE/>
              <w:autoSpaceDN/>
              <w:bidi w:val="0"/>
              <w:adjustRightInd w:val="0"/>
              <w:snapToGrid w:val="0"/>
              <w:spacing w:line="240" w:lineRule="auto"/>
              <w:ind w:left="567" w:leftChars="0" w:hanging="567" w:firstLineChars="0"/>
              <w:jc w:val="center"/>
              <w:textAlignment w:val="auto"/>
              <w:rPr>
                <w:rFonts w:hint="default" w:ascii="Times New Roman" w:hAnsi="Times New Roman" w:eastAsia="宋体" w:cs="Times New Roman"/>
                <w:color w:val="auto"/>
                <w:sz w:val="22"/>
                <w:szCs w:val="22"/>
                <w:highlight w:val="none"/>
              </w:rPr>
            </w:pPr>
          </w:p>
        </w:tc>
        <w:tc>
          <w:tcPr>
            <w:tcW w:w="1394" w:type="pct"/>
            <w:noWrap w:val="0"/>
            <w:vAlign w:val="center"/>
          </w:tcPr>
          <w:p>
            <w:pPr>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合川区一般管控单元-涪江合川上游段</w:t>
            </w:r>
          </w:p>
        </w:tc>
        <w:tc>
          <w:tcPr>
            <w:tcW w:w="697" w:type="pct"/>
            <w:noWrap w:val="0"/>
            <w:vAlign w:val="center"/>
          </w:tcPr>
          <w:p>
            <w:pPr>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default" w:ascii="Times New Roman" w:hAnsi="Times New Roman" w:cs="Times New Roman"/>
                <w:color w:val="auto"/>
                <w:sz w:val="22"/>
                <w:szCs w:val="22"/>
                <w:highlight w:val="none"/>
                <w:lang w:eastAsia="zh-CN"/>
              </w:rPr>
              <w:t>ZH50011730001</w:t>
            </w:r>
          </w:p>
        </w:tc>
        <w:tc>
          <w:tcPr>
            <w:tcW w:w="734" w:type="pct"/>
            <w:noWrap w:val="0"/>
            <w:vAlign w:val="center"/>
          </w:tcPr>
          <w:p>
            <w:pPr>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sz w:val="22"/>
                <w:szCs w:val="22"/>
                <w:highlight w:val="none"/>
                <w:lang w:eastAsia="zh-CN"/>
              </w:rPr>
              <w:t>一般管控单元</w:t>
            </w:r>
          </w:p>
        </w:tc>
        <w:tc>
          <w:tcPr>
            <w:tcW w:w="1901" w:type="pct"/>
            <w:noWrap w:val="0"/>
            <w:vAlign w:val="center"/>
          </w:tcPr>
          <w:p>
            <w:pPr>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kern w:val="2"/>
                <w:sz w:val="22"/>
                <w:szCs w:val="22"/>
                <w:highlight w:val="none"/>
                <w:lang w:val="en-US" w:eastAsia="zh-CN" w:bidi="ar-SA"/>
              </w:rPr>
              <w:t>船闸主体工程、上游引航道、上游隔</w:t>
            </w:r>
            <w:r>
              <w:rPr>
                <w:rFonts w:hint="eastAsia" w:ascii="Times New Roman" w:hAnsi="Times New Roman" w:eastAsia="宋体" w:cs="Times New Roman"/>
                <w:color w:val="auto"/>
                <w:kern w:val="2"/>
                <w:sz w:val="22"/>
                <w:szCs w:val="22"/>
                <w:highlight w:val="none"/>
                <w:shd w:val="clear" w:fill="FFFFFF"/>
                <w:lang w:val="en-US" w:eastAsia="zh-CN" w:bidi="ar-SA"/>
              </w:rPr>
              <w:t>流墙</w:t>
            </w:r>
            <w:r>
              <w:rPr>
                <w:rFonts w:hint="eastAsia" w:ascii="Times New Roman" w:hAnsi="Times New Roman" w:eastAsia="宋体" w:cs="Times New Roman"/>
                <w:color w:val="auto"/>
                <w:kern w:val="2"/>
                <w:sz w:val="22"/>
                <w:szCs w:val="22"/>
                <w:highlight w:val="none"/>
                <w:lang w:val="en-US" w:eastAsia="zh-CN" w:bidi="ar-SA"/>
              </w:rPr>
              <w:t>、鱼道、上游锚地、丁坝、上游疏浚区、1#弃渣场、2#弃渣场、临时堆土区</w:t>
            </w:r>
          </w:p>
        </w:tc>
      </w:tr>
    </w:tbl>
    <w:p>
      <w:pPr>
        <w:ind w:firstLine="520"/>
        <w:rPr>
          <w:rFonts w:hint="default" w:ascii="Times New Roman" w:hAnsi="Times New Roman" w:cs="Times New Roman"/>
          <w:bCs/>
          <w:color w:val="auto"/>
          <w:szCs w:val="26"/>
          <w:highlight w:val="none"/>
          <w:lang w:eastAsia="zh-CN"/>
        </w:rPr>
      </w:pPr>
    </w:p>
    <w:p>
      <w:pPr>
        <w:ind w:firstLine="520"/>
        <w:rPr>
          <w:rFonts w:hint="default" w:ascii="Times New Roman" w:hAnsi="Times New Roman" w:cs="Times New Roman"/>
          <w:color w:val="auto"/>
          <w:highlight w:val="none"/>
        </w:rPr>
        <w:sectPr>
          <w:pgSz w:w="11907" w:h="16840"/>
          <w:pgMar w:top="1701" w:right="1588" w:bottom="1588" w:left="1588" w:header="1304" w:footer="1247" w:gutter="0"/>
          <w:cols w:space="720" w:num="1"/>
          <w:docGrid w:linePitch="354" w:charSpace="0"/>
        </w:sectPr>
      </w:pPr>
      <w:r>
        <w:rPr>
          <w:rFonts w:hint="default" w:ascii="Times New Roman" w:hAnsi="Times New Roman" w:cs="Times New Roman"/>
          <w:bCs/>
          <w:color w:val="auto"/>
          <w:szCs w:val="26"/>
          <w:highlight w:val="none"/>
          <w:lang w:eastAsia="zh-CN"/>
        </w:rPr>
        <w:t>根据分析</w:t>
      </w:r>
      <w:r>
        <w:rPr>
          <w:rFonts w:hint="default" w:ascii="Times New Roman" w:hAnsi="Times New Roman" w:cs="Times New Roman"/>
          <w:bCs/>
          <w:color w:val="auto"/>
          <w:szCs w:val="26"/>
          <w:highlight w:val="none"/>
        </w:rPr>
        <w:t>，项目不属于生态环境准入清单管控要求中禁止建设项目，符合重庆市</w:t>
      </w:r>
      <w:r>
        <w:rPr>
          <w:rFonts w:hint="default" w:ascii="Times New Roman" w:hAnsi="Times New Roman" w:cs="Times New Roman"/>
          <w:bCs/>
          <w:color w:val="auto"/>
          <w:szCs w:val="26"/>
          <w:highlight w:val="none"/>
          <w:lang w:eastAsia="zh-CN"/>
        </w:rPr>
        <w:t>、合川</w:t>
      </w:r>
      <w:r>
        <w:rPr>
          <w:rFonts w:hint="default" w:ascii="Times New Roman" w:hAnsi="Times New Roman" w:cs="Times New Roman"/>
          <w:bCs/>
          <w:color w:val="auto"/>
          <w:szCs w:val="26"/>
          <w:highlight w:val="none"/>
        </w:rPr>
        <w:t>区生态环境准入清单要求以及区域生态环境保护基本要求</w:t>
      </w:r>
      <w:r>
        <w:rPr>
          <w:rFonts w:hint="default" w:ascii="Times New Roman" w:hAnsi="Times New Roman" w:cs="Times New Roman"/>
          <w:bCs/>
          <w:color w:val="auto"/>
          <w:szCs w:val="26"/>
          <w:highlight w:val="none"/>
          <w:lang w:eastAsia="zh-CN"/>
        </w:rPr>
        <w:t>，</w:t>
      </w:r>
      <w:r>
        <w:rPr>
          <w:rFonts w:hint="default" w:ascii="Times New Roman" w:hAnsi="Times New Roman" w:cs="Times New Roman"/>
          <w:color w:val="auto"/>
          <w:szCs w:val="26"/>
          <w:highlight w:val="none"/>
        </w:rPr>
        <w:t>与区域“三线一单”</w:t>
      </w:r>
      <w:r>
        <w:rPr>
          <w:rFonts w:hint="default" w:ascii="Times New Roman" w:hAnsi="Times New Roman" w:cs="Times New Roman"/>
          <w:color w:val="auto"/>
          <w:szCs w:val="26"/>
          <w:highlight w:val="none"/>
          <w:lang w:eastAsia="zh-CN"/>
        </w:rPr>
        <w:t>生态环境分区管控</w:t>
      </w:r>
      <w:r>
        <w:rPr>
          <w:rFonts w:hint="default" w:ascii="Times New Roman" w:hAnsi="Times New Roman" w:cs="Times New Roman"/>
          <w:color w:val="auto"/>
          <w:szCs w:val="26"/>
          <w:highlight w:val="none"/>
        </w:rPr>
        <w:t>要求不冲突</w:t>
      </w:r>
      <w:r>
        <w:rPr>
          <w:rFonts w:hint="default" w:ascii="Times New Roman" w:hAnsi="Times New Roman" w:cs="Times New Roman"/>
          <w:color w:val="auto"/>
          <w:highlight w:val="none"/>
        </w:rPr>
        <w:t>。</w:t>
      </w:r>
    </w:p>
    <w:p>
      <w:pPr>
        <w:adjustRightInd w:val="0"/>
        <w:snapToGrid w:val="0"/>
        <w:spacing w:line="240" w:lineRule="auto"/>
        <w:ind w:firstLine="520"/>
        <w:jc w:val="center"/>
        <w:rPr>
          <w:rFonts w:hint="eastAsia" w:ascii="宋体" w:hAnsi="宋体"/>
          <w:color w:val="auto"/>
          <w:szCs w:val="22"/>
          <w:highlight w:val="none"/>
        </w:rPr>
      </w:pPr>
      <w:r>
        <w:rPr>
          <w:color w:val="auto"/>
          <w:szCs w:val="22"/>
          <w:highlight w:val="none"/>
        </w:rPr>
        <w:t>表</w:t>
      </w:r>
      <w:r>
        <w:rPr>
          <w:rFonts w:hint="eastAsia"/>
          <w:color w:val="auto"/>
          <w:szCs w:val="22"/>
          <w:highlight w:val="none"/>
        </w:rPr>
        <w:t>1.9.</w:t>
      </w:r>
      <w:r>
        <w:rPr>
          <w:rFonts w:hint="eastAsia"/>
          <w:color w:val="auto"/>
          <w:szCs w:val="22"/>
          <w:highlight w:val="none"/>
          <w:lang w:val="en-US" w:eastAsia="zh-CN"/>
        </w:rPr>
        <w:t>4</w:t>
      </w:r>
      <w:r>
        <w:rPr>
          <w:rFonts w:hint="eastAsia"/>
          <w:color w:val="auto"/>
          <w:szCs w:val="22"/>
          <w:highlight w:val="none"/>
        </w:rPr>
        <w:t>-</w:t>
      </w:r>
      <w:r>
        <w:rPr>
          <w:rFonts w:hint="eastAsia"/>
          <w:color w:val="auto"/>
          <w:szCs w:val="22"/>
          <w:highlight w:val="none"/>
          <w:lang w:val="en-US" w:eastAsia="zh-CN"/>
        </w:rPr>
        <w:t>2</w:t>
      </w:r>
      <w:r>
        <w:rPr>
          <w:color w:val="auto"/>
          <w:szCs w:val="22"/>
          <w:highlight w:val="none"/>
        </w:rPr>
        <w:t xml:space="preserve">   项目</w:t>
      </w:r>
      <w:r>
        <w:rPr>
          <w:rFonts w:hint="eastAsia" w:ascii="宋体" w:hAnsi="宋体"/>
          <w:color w:val="auto"/>
          <w:szCs w:val="22"/>
          <w:highlight w:val="none"/>
        </w:rPr>
        <w:t>与重庆市、</w:t>
      </w:r>
      <w:r>
        <w:rPr>
          <w:rFonts w:hint="eastAsia" w:ascii="宋体" w:hAnsi="宋体"/>
          <w:color w:val="auto"/>
          <w:szCs w:val="22"/>
          <w:highlight w:val="none"/>
          <w:lang w:eastAsia="zh-CN"/>
        </w:rPr>
        <w:t>合川</w:t>
      </w:r>
      <w:r>
        <w:rPr>
          <w:rFonts w:ascii="宋体" w:hAnsi="宋体"/>
          <w:color w:val="auto"/>
          <w:szCs w:val="22"/>
          <w:highlight w:val="none"/>
        </w:rPr>
        <w:t>区及管控单元</w:t>
      </w:r>
      <w:r>
        <w:rPr>
          <w:rFonts w:hint="eastAsia" w:ascii="宋体" w:hAnsi="宋体"/>
          <w:color w:val="auto"/>
          <w:szCs w:val="22"/>
          <w:highlight w:val="none"/>
        </w:rPr>
        <w:t>生态环境准入清单对照表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1" w:type="dxa"/>
          <w:left w:w="108" w:type="dxa"/>
          <w:bottom w:w="51" w:type="dxa"/>
          <w:right w:w="108" w:type="dxa"/>
        </w:tblCellMar>
      </w:tblPr>
      <w:tblGrid>
        <w:gridCol w:w="973"/>
        <w:gridCol w:w="861"/>
        <w:gridCol w:w="797"/>
        <w:gridCol w:w="1999"/>
        <w:gridCol w:w="5684"/>
        <w:gridCol w:w="2399"/>
        <w:gridCol w:w="1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1667" w:type="pct"/>
            <w:gridSpan w:val="4"/>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环境管控单元编码</w:t>
            </w:r>
          </w:p>
        </w:tc>
        <w:tc>
          <w:tcPr>
            <w:tcW w:w="2047" w:type="pct"/>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环境管控单元名称</w:t>
            </w:r>
          </w:p>
        </w:tc>
        <w:tc>
          <w:tcPr>
            <w:tcW w:w="1284" w:type="pct"/>
            <w:gridSpan w:val="2"/>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环境管控单元类型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1667" w:type="pct"/>
            <w:gridSpan w:val="4"/>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ZH50011710006</w:t>
            </w:r>
          </w:p>
        </w:tc>
        <w:tc>
          <w:tcPr>
            <w:tcW w:w="2047"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重庆合川三江国家湿地公园</w:t>
            </w:r>
          </w:p>
        </w:tc>
        <w:tc>
          <w:tcPr>
            <w:tcW w:w="1284"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优先保护单元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1667" w:type="pct"/>
            <w:gridSpan w:val="4"/>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rPr>
              <w:t>ZH5001171000</w:t>
            </w:r>
            <w:r>
              <w:rPr>
                <w:rFonts w:hint="eastAsia"/>
                <w:color w:val="auto"/>
                <w:sz w:val="22"/>
                <w:szCs w:val="22"/>
                <w:highlight w:val="none"/>
                <w:lang w:val="en-US" w:eastAsia="zh-CN"/>
              </w:rPr>
              <w:t>7</w:t>
            </w:r>
          </w:p>
        </w:tc>
        <w:tc>
          <w:tcPr>
            <w:tcW w:w="204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ascii="宋体" w:hAnsi="宋体" w:eastAsia="宋体" w:cs="宋体"/>
                <w:color w:val="auto"/>
                <w:sz w:val="22"/>
                <w:szCs w:val="22"/>
                <w:highlight w:val="none"/>
              </w:rPr>
              <w:t>合川区生态保护红线</w:t>
            </w:r>
          </w:p>
        </w:tc>
        <w:tc>
          <w:tcPr>
            <w:tcW w:w="1284" w:type="pct"/>
            <w:gridSpan w:val="2"/>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ZH5001171000</w:t>
            </w:r>
            <w:r>
              <w:rPr>
                <w:rFonts w:hint="eastAsia"/>
                <w:color w:val="auto"/>
                <w:sz w:val="22"/>
                <w:szCs w:val="22"/>
                <w:highlight w:val="none"/>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1667" w:type="pct"/>
            <w:gridSpan w:val="4"/>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color w:val="auto"/>
                <w:sz w:val="22"/>
                <w:szCs w:val="22"/>
                <w:highlight w:val="none"/>
              </w:rPr>
            </w:pPr>
            <w:r>
              <w:rPr>
                <w:rFonts w:hint="eastAsia"/>
                <w:color w:val="auto"/>
                <w:sz w:val="22"/>
                <w:szCs w:val="22"/>
                <w:highlight w:val="none"/>
              </w:rPr>
              <w:t>ZH50011720010</w:t>
            </w:r>
          </w:p>
        </w:tc>
        <w:tc>
          <w:tcPr>
            <w:tcW w:w="2047"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color w:val="auto"/>
                <w:sz w:val="22"/>
                <w:szCs w:val="22"/>
                <w:highlight w:val="none"/>
              </w:rPr>
            </w:pPr>
            <w:r>
              <w:rPr>
                <w:rFonts w:hint="eastAsia"/>
                <w:color w:val="auto"/>
                <w:sz w:val="22"/>
                <w:szCs w:val="22"/>
                <w:highlight w:val="none"/>
              </w:rPr>
              <w:t>合川区工业城镇重点管控单元-其他镇域片区</w:t>
            </w:r>
          </w:p>
        </w:tc>
        <w:tc>
          <w:tcPr>
            <w:tcW w:w="1284"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重点管控单元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1667" w:type="pct"/>
            <w:gridSpan w:val="4"/>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color w:val="auto"/>
                <w:sz w:val="22"/>
                <w:szCs w:val="22"/>
                <w:highlight w:val="none"/>
              </w:rPr>
            </w:pPr>
            <w:r>
              <w:rPr>
                <w:rFonts w:hint="eastAsia"/>
                <w:color w:val="auto"/>
                <w:sz w:val="22"/>
                <w:szCs w:val="22"/>
                <w:highlight w:val="none"/>
              </w:rPr>
              <w:t>ZH50011730001</w:t>
            </w:r>
          </w:p>
        </w:tc>
        <w:tc>
          <w:tcPr>
            <w:tcW w:w="2047"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color w:val="auto"/>
                <w:sz w:val="22"/>
                <w:szCs w:val="22"/>
                <w:highlight w:val="none"/>
              </w:rPr>
            </w:pPr>
            <w:r>
              <w:rPr>
                <w:rFonts w:hint="eastAsia"/>
                <w:color w:val="auto"/>
                <w:sz w:val="22"/>
                <w:szCs w:val="22"/>
                <w:highlight w:val="none"/>
              </w:rPr>
              <w:t>合川区一般管控单元-涪江合川上游段</w:t>
            </w:r>
          </w:p>
        </w:tc>
        <w:tc>
          <w:tcPr>
            <w:tcW w:w="1284"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一般管控单元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管控要求层级</w:t>
            </w:r>
          </w:p>
        </w:tc>
        <w:tc>
          <w:tcPr>
            <w:tcW w:w="59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管控类型</w:t>
            </w: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管控要求</w:t>
            </w:r>
          </w:p>
        </w:tc>
        <w:tc>
          <w:tcPr>
            <w:tcW w:w="864" w:type="pct"/>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建设项目相关情况</w:t>
            </w:r>
          </w:p>
        </w:tc>
        <w:tc>
          <w:tcPr>
            <w:tcW w:w="420" w:type="pct"/>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符合性分析结论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restar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全市总体管控要求</w:t>
            </w:r>
          </w:p>
        </w:tc>
        <w:tc>
          <w:tcPr>
            <w:tcW w:w="31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bCs/>
                <w:color w:val="auto"/>
                <w:sz w:val="22"/>
                <w:szCs w:val="22"/>
                <w:highlight w:val="none"/>
                <w:lang w:eastAsia="zh-CN" w:bidi="en-US"/>
              </w:rPr>
            </w:pPr>
            <w:r>
              <w:rPr>
                <w:rFonts w:hint="eastAsia"/>
                <w:color w:val="auto"/>
                <w:sz w:val="22"/>
                <w:szCs w:val="22"/>
                <w:highlight w:val="none"/>
                <w:lang w:eastAsia="zh-CN"/>
              </w:rPr>
              <w:t>优先保护单元（湿地公园）</w:t>
            </w:r>
          </w:p>
        </w:tc>
        <w:tc>
          <w:tcPr>
            <w:tcW w:w="287"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空间布局约束</w:t>
            </w:r>
          </w:p>
        </w:tc>
        <w:tc>
          <w:tcPr>
            <w:tcW w:w="2767" w:type="pct"/>
            <w:gridSpan w:val="2"/>
            <w:vAlign w:val="center"/>
          </w:tcPr>
          <w:p>
            <w:pPr>
              <w:adjustRightInd w:val="0"/>
              <w:snapToGrid w:val="0"/>
              <w:spacing w:line="240" w:lineRule="auto"/>
              <w:ind w:firstLine="0" w:firstLineChars="0"/>
              <w:rPr>
                <w:color w:val="auto"/>
                <w:sz w:val="22"/>
                <w:szCs w:val="22"/>
                <w:highlight w:val="none"/>
              </w:rPr>
            </w:pPr>
            <w:r>
              <w:rPr>
                <w:rFonts w:hint="eastAsia"/>
                <w:color w:val="auto"/>
                <w:sz w:val="22"/>
                <w:szCs w:val="22"/>
                <w:highlight w:val="none"/>
              </w:rPr>
              <w:t>严格执行《中华人民共和国湿地保护法》《国家级自然公园管理办法（试行）》《国家湿地公园管理办法》《重庆市湿地保护条例》等法律法规及规范性文件要求。</w:t>
            </w:r>
          </w:p>
        </w:tc>
        <w:tc>
          <w:tcPr>
            <w:tcW w:w="864" w:type="pct"/>
            <w:vAlign w:val="center"/>
          </w:tcPr>
          <w:p>
            <w:pPr>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项目占用重庆合川三江国家湿地公园，不属于湿地公园内禁止建设项目，正在开展湿地公园专题影响评价工作，符合</w:t>
            </w:r>
            <w:r>
              <w:rPr>
                <w:rFonts w:hint="eastAsia"/>
                <w:color w:val="auto"/>
                <w:sz w:val="22"/>
                <w:szCs w:val="22"/>
                <w:highlight w:val="none"/>
              </w:rPr>
              <w:t>法律法规及规范性文件要求</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color w:val="auto"/>
                <w:sz w:val="22"/>
                <w:szCs w:val="22"/>
                <w:highlight w:val="none"/>
              </w:rPr>
            </w:pPr>
          </w:p>
        </w:tc>
        <w:tc>
          <w:tcPr>
            <w:tcW w:w="31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color w:val="auto"/>
                <w:sz w:val="22"/>
                <w:szCs w:val="22"/>
                <w:highlight w:val="none"/>
                <w:lang w:eastAsia="zh-CN"/>
              </w:rPr>
            </w:pPr>
            <w:r>
              <w:rPr>
                <w:rFonts w:hint="eastAsia"/>
                <w:color w:val="auto"/>
                <w:sz w:val="22"/>
                <w:szCs w:val="22"/>
                <w:highlight w:val="none"/>
                <w:lang w:eastAsia="zh-CN"/>
              </w:rPr>
              <w:t>优先保护单元（生态保护红线）</w:t>
            </w:r>
          </w:p>
        </w:tc>
        <w:tc>
          <w:tcPr>
            <w:tcW w:w="287"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color w:val="auto"/>
                <w:sz w:val="22"/>
                <w:szCs w:val="22"/>
                <w:highlight w:val="none"/>
              </w:rPr>
            </w:pPr>
            <w:r>
              <w:rPr>
                <w:rFonts w:hint="eastAsia"/>
                <w:color w:val="auto"/>
                <w:sz w:val="22"/>
                <w:szCs w:val="22"/>
                <w:highlight w:val="none"/>
              </w:rPr>
              <w:t>空间布局约束</w:t>
            </w:r>
          </w:p>
        </w:tc>
        <w:tc>
          <w:tcPr>
            <w:tcW w:w="2767" w:type="pct"/>
            <w:gridSpan w:val="2"/>
            <w:vAlign w:val="center"/>
          </w:tcPr>
          <w:p>
            <w:pPr>
              <w:adjustRightInd w:val="0"/>
              <w:snapToGrid w:val="0"/>
              <w:spacing w:line="240" w:lineRule="auto"/>
              <w:ind w:firstLine="0" w:firstLineChars="0"/>
              <w:rPr>
                <w:rFonts w:hint="eastAsia"/>
                <w:color w:val="auto"/>
                <w:sz w:val="22"/>
                <w:szCs w:val="22"/>
                <w:highlight w:val="none"/>
              </w:rPr>
            </w:pPr>
            <w:r>
              <w:rPr>
                <w:rFonts w:hint="eastAsia"/>
                <w:color w:val="auto"/>
                <w:sz w:val="22"/>
                <w:szCs w:val="22"/>
                <w:highlight w:val="none"/>
              </w:rPr>
              <w:t>严格执行《关于在国土空间规划中统筹划定落实三条控制线的指导意见》《关于加强生态保护红线管理的通知（试行）》《关于加强生态保护红线实施管理的通知》等法律法规及规范性文件要求。</w:t>
            </w:r>
          </w:p>
        </w:tc>
        <w:tc>
          <w:tcPr>
            <w:tcW w:w="864" w:type="pct"/>
            <w:vAlign w:val="center"/>
          </w:tcPr>
          <w:p>
            <w:pPr>
              <w:adjustRightInd w:val="0"/>
              <w:snapToGrid w:val="0"/>
              <w:spacing w:line="240" w:lineRule="auto"/>
              <w:ind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工程为现有渭沱枢纽船闸扩容升级改造工程，拟建船闸下游区域生态保护红线连续分布，且紧邻现有渭沱枢纽，受船闸建设条件限制，经选址论证，项目用地确实难以完全避让生态保护红线，项目已列入《全国港口与航道布局规划》《水运“十四五”发展规划》《共建长江上游航运中心实施方案》《重庆市综合交通运输“十四五”规划（2021—2025年）》《重庆市航道规划（2035年）》，属于国家级规划明确的交通项目，目前正在开展“不可避让论证意见”办理，与生态保护红线有关管理要求不冲突。</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restart"/>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r>
              <w:rPr>
                <w:bCs/>
                <w:color w:val="auto"/>
                <w:sz w:val="22"/>
                <w:szCs w:val="22"/>
                <w:highlight w:val="none"/>
                <w:lang w:bidi="en-US"/>
              </w:rPr>
              <w:t>重点管控单元</w:t>
            </w:r>
          </w:p>
        </w:tc>
        <w:tc>
          <w:tcPr>
            <w:tcW w:w="287" w:type="pct"/>
            <w:vMerge w:val="restart"/>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r>
              <w:rPr>
                <w:color w:val="auto"/>
                <w:sz w:val="22"/>
                <w:szCs w:val="22"/>
                <w:highlight w:val="none"/>
              </w:rPr>
              <w:t>空间布局约束</w:t>
            </w:r>
          </w:p>
        </w:tc>
        <w:tc>
          <w:tcPr>
            <w:tcW w:w="2767" w:type="pct"/>
            <w:gridSpan w:val="2"/>
            <w:vAlign w:val="center"/>
          </w:tcPr>
          <w:p>
            <w:pPr>
              <w:adjustRightInd w:val="0"/>
              <w:snapToGrid w:val="0"/>
              <w:spacing w:line="240" w:lineRule="auto"/>
              <w:ind w:firstLine="0" w:firstLineChars="0"/>
              <w:rPr>
                <w:color w:val="auto"/>
                <w:sz w:val="22"/>
                <w:szCs w:val="22"/>
                <w:highlight w:val="none"/>
              </w:rPr>
            </w:pPr>
            <w:r>
              <w:rPr>
                <w:color w:val="auto"/>
                <w:sz w:val="22"/>
                <w:szCs w:val="22"/>
                <w:highlight w:val="none"/>
              </w:rPr>
              <w:t>第二条 禁止在长江干支流、重要湖泊岸线一公里范围内新建、扩建化工园区和化工项目。禁止在长江干流岸线三公里范围内和重要支流岸线一公里范围内新建、改建、扩建尾矿库、冶炼渣库、磷石膏库，以提升安全、生态环境保护水平为目的的改建除外。禁止在长江、嘉陵江、乌江岸线一公里范围内布局新建重化工、纸浆制造、印染等存在环境风险的项目。</w:t>
            </w:r>
          </w:p>
        </w:tc>
        <w:tc>
          <w:tcPr>
            <w:tcW w:w="864" w:type="pct"/>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vAlign w:val="center"/>
          </w:tcPr>
          <w:p>
            <w:pPr>
              <w:adjustRightInd w:val="0"/>
              <w:snapToGrid w:val="0"/>
              <w:spacing w:line="240" w:lineRule="auto"/>
              <w:ind w:firstLine="0" w:firstLineChars="0"/>
              <w:rPr>
                <w:color w:val="auto"/>
                <w:sz w:val="22"/>
                <w:szCs w:val="22"/>
                <w:highlight w:val="none"/>
              </w:rPr>
            </w:pPr>
            <w:r>
              <w:rPr>
                <w:color w:val="auto"/>
                <w:sz w:val="22"/>
                <w:szCs w:val="22"/>
                <w:highlight w:val="none"/>
              </w:rPr>
              <w:t>第三条 禁止在合规园区外新建、扩建钢铁、石化、化工、焦化、建材、有色、制浆造纸等高污染项目（高污染项目严格按照《环境保护综合名录》</w:t>
            </w:r>
            <w:r>
              <w:rPr>
                <w:rFonts w:hint="default" w:ascii="Times New Roman" w:hAnsi="Times New Roman" w:cs="Times New Roman"/>
                <w:color w:val="auto"/>
                <w:sz w:val="22"/>
                <w:szCs w:val="22"/>
                <w:highlight w:val="none"/>
              </w:rPr>
              <w:t>“高污染”产品名录执行）。禁止新建、扩建不符合国家石化、现代煤化工等产业布局规</w:t>
            </w:r>
            <w:r>
              <w:rPr>
                <w:color w:val="auto"/>
                <w:sz w:val="22"/>
                <w:szCs w:val="22"/>
                <w:highlight w:val="none"/>
              </w:rPr>
              <w:t>划的项目。新建、改建、扩建</w:t>
            </w:r>
            <w:r>
              <w:rPr>
                <w:rFonts w:hint="default" w:ascii="Times New Roman" w:hAnsi="Times New Roman" w:cs="Times New Roman"/>
                <w:color w:val="auto"/>
                <w:sz w:val="22"/>
                <w:szCs w:val="22"/>
                <w:highlight w:val="none"/>
              </w:rPr>
              <w:t>“两高”项目须符合生态环</w:t>
            </w:r>
            <w:r>
              <w:rPr>
                <w:color w:val="auto"/>
                <w:sz w:val="22"/>
                <w:szCs w:val="22"/>
                <w:highlight w:val="none"/>
              </w:rPr>
              <w:t>境保护法律法规和相关法定规划，满足重点污染物排放总量控制、碳排放达峰目标、生态环境准入清单、相关规划环评和相应行业建设项目环境准入条件、环评文件审批原则要求。</w:t>
            </w:r>
          </w:p>
        </w:tc>
        <w:tc>
          <w:tcPr>
            <w:tcW w:w="864" w:type="pc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vAlign w:val="center"/>
          </w:tcPr>
          <w:p>
            <w:pPr>
              <w:adjustRightInd w:val="0"/>
              <w:snapToGrid w:val="0"/>
              <w:spacing w:line="240" w:lineRule="auto"/>
              <w:ind w:firstLine="0" w:firstLineChars="0"/>
              <w:rPr>
                <w:color w:val="auto"/>
                <w:sz w:val="22"/>
                <w:szCs w:val="22"/>
                <w:highlight w:val="none"/>
              </w:rPr>
            </w:pPr>
            <w:r>
              <w:rPr>
                <w:color w:val="auto"/>
                <w:sz w:val="22"/>
                <w:szCs w:val="22"/>
                <w:highlight w:val="none"/>
              </w:rPr>
              <w:t>第四条  严把项目准入关口，对不符合要求的高耗能、高排放、低水平项目坚决不予准入。除在安全或者产业布局等方面有特殊要求的项目外，新建有污染物排放的工业项目应当进入工业集聚区。新建化工项目应当进入全市统一布局的化工产业集聚区。鼓励现有工业项目、化工项目分别搬入工业集聚区、化工产业集聚区。</w:t>
            </w:r>
          </w:p>
        </w:tc>
        <w:tc>
          <w:tcPr>
            <w:tcW w:w="864" w:type="pc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vAlign w:val="center"/>
          </w:tcPr>
          <w:p>
            <w:pPr>
              <w:adjustRightInd w:val="0"/>
              <w:snapToGrid w:val="0"/>
              <w:spacing w:line="240" w:lineRule="auto"/>
              <w:ind w:firstLine="0" w:firstLineChars="0"/>
              <w:rPr>
                <w:color w:val="auto"/>
                <w:sz w:val="22"/>
                <w:szCs w:val="22"/>
                <w:highlight w:val="none"/>
              </w:rPr>
            </w:pPr>
            <w:r>
              <w:rPr>
                <w:color w:val="auto"/>
                <w:sz w:val="22"/>
                <w:szCs w:val="22"/>
                <w:highlight w:val="none"/>
              </w:rPr>
              <w:t>第五条  新建、扩建有色金属冶炼、电镀、铅蓄电池等企业应布设在依法合规设立并经过规划环评的产业园区。</w:t>
            </w:r>
          </w:p>
        </w:tc>
        <w:tc>
          <w:tcPr>
            <w:tcW w:w="864" w:type="pc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vAlign w:val="center"/>
          </w:tcPr>
          <w:p>
            <w:pPr>
              <w:adjustRightInd w:val="0"/>
              <w:snapToGrid w:val="0"/>
              <w:spacing w:line="240" w:lineRule="auto"/>
              <w:ind w:firstLine="0" w:firstLineChars="0"/>
              <w:rPr>
                <w:color w:val="auto"/>
                <w:sz w:val="22"/>
                <w:szCs w:val="22"/>
                <w:highlight w:val="none"/>
              </w:rPr>
            </w:pPr>
            <w:r>
              <w:rPr>
                <w:color w:val="auto"/>
                <w:sz w:val="22"/>
                <w:szCs w:val="22"/>
                <w:highlight w:val="none"/>
              </w:rPr>
              <w:t>第六条  涉及环境防护距离的工业企业或项目应通过选址或调整布局原则上将环境防护距离控制在园区边界或用地红线内，提前合理规划项目地块布置、预防环境风险。</w:t>
            </w:r>
          </w:p>
        </w:tc>
        <w:tc>
          <w:tcPr>
            <w:tcW w:w="864" w:type="pc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vAlign w:val="center"/>
          </w:tcPr>
          <w:p>
            <w:pPr>
              <w:adjustRightInd w:val="0"/>
              <w:snapToGrid w:val="0"/>
              <w:spacing w:line="240" w:lineRule="auto"/>
              <w:ind w:firstLine="0" w:firstLineChars="0"/>
              <w:rPr>
                <w:color w:val="auto"/>
                <w:sz w:val="22"/>
                <w:szCs w:val="22"/>
                <w:highlight w:val="none"/>
              </w:rPr>
            </w:pPr>
            <w:r>
              <w:rPr>
                <w:color w:val="auto"/>
                <w:sz w:val="22"/>
                <w:szCs w:val="22"/>
                <w:highlight w:val="none"/>
              </w:rPr>
              <w:t>第七条</w:t>
            </w:r>
            <w:r>
              <w:rPr>
                <w:rFonts w:hint="eastAsia"/>
                <w:color w:val="auto"/>
                <w:sz w:val="22"/>
                <w:szCs w:val="22"/>
                <w:highlight w:val="none"/>
              </w:rPr>
              <w:t xml:space="preserve"> </w:t>
            </w:r>
            <w:r>
              <w:rPr>
                <w:color w:val="auto"/>
                <w:sz w:val="22"/>
                <w:szCs w:val="22"/>
                <w:highlight w:val="none"/>
              </w:rPr>
              <w:t>有效规范空间开发秩序，合理控制空间开发强度，切实将各类开发活动限制在资源环境承载能力之内，为构建高效协调可持续的国土空间开发格局奠定坚实基础</w:t>
            </w:r>
          </w:p>
        </w:tc>
        <w:tc>
          <w:tcPr>
            <w:tcW w:w="864" w:type="pct"/>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项目占地面积较小，符合国土空间规划，资源环境可承载</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restart"/>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r>
              <w:rPr>
                <w:color w:val="auto"/>
                <w:sz w:val="22"/>
                <w:szCs w:val="22"/>
                <w:highlight w:val="none"/>
              </w:rPr>
              <w:t>污染物排放管控</w:t>
            </w:r>
          </w:p>
        </w:tc>
        <w:tc>
          <w:tcPr>
            <w:tcW w:w="2767" w:type="pct"/>
            <w:gridSpan w:val="2"/>
          </w:tcPr>
          <w:p>
            <w:pPr>
              <w:adjustRightInd w:val="0"/>
              <w:snapToGrid w:val="0"/>
              <w:spacing w:line="240" w:lineRule="auto"/>
              <w:ind w:firstLine="0" w:firstLineChars="0"/>
              <w:rPr>
                <w:color w:val="auto"/>
                <w:sz w:val="22"/>
                <w:szCs w:val="22"/>
                <w:highlight w:val="none"/>
              </w:rPr>
            </w:pPr>
            <w:r>
              <w:rPr>
                <w:color w:val="auto"/>
                <w:sz w:val="22"/>
                <w:szCs w:val="22"/>
                <w:highlight w:val="none"/>
              </w:rPr>
              <w:t>第八条  新建石化、煤化工、燃煤发电（含热电）、钢铁、有色金属冶炼、制浆造纸行业依据区域环境质量改善目标，制定配套区域污染物削减方案，采取有效的污染物区域削减措施，腾出足够的环境容量。严格按照国家及我市有关规定，对钢铁、水泥熟料、平板玻璃、电解铝等行业新建、扩建项目实行产能等量或减量置换。国家或地方已出台超低排放要求的</w:t>
            </w:r>
            <w:r>
              <w:rPr>
                <w:rFonts w:hint="eastAsia"/>
                <w:color w:val="auto"/>
                <w:sz w:val="22"/>
                <w:szCs w:val="22"/>
                <w:highlight w:val="none"/>
              </w:rPr>
              <w:t>“</w:t>
            </w:r>
            <w:r>
              <w:rPr>
                <w:color w:val="auto"/>
                <w:sz w:val="22"/>
                <w:szCs w:val="22"/>
                <w:highlight w:val="none"/>
              </w:rPr>
              <w:t>两高</w:t>
            </w:r>
            <w:r>
              <w:rPr>
                <w:rFonts w:hint="eastAsia"/>
                <w:color w:val="auto"/>
                <w:sz w:val="22"/>
                <w:szCs w:val="22"/>
                <w:highlight w:val="none"/>
              </w:rPr>
              <w:t>”</w:t>
            </w:r>
            <w:r>
              <w:rPr>
                <w:color w:val="auto"/>
                <w:sz w:val="22"/>
                <w:szCs w:val="22"/>
                <w:highlight w:val="none"/>
              </w:rPr>
              <w:t>行业建设项目应满足超低排放要求。加强水泥和平板玻璃行业差别化管理，新改扩建项目严格落实相关产业政策要求，满足能效标杆水平、环保绩效A级指标要求。</w:t>
            </w:r>
          </w:p>
        </w:tc>
        <w:tc>
          <w:tcPr>
            <w:tcW w:w="864" w:type="pc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vAlign w:val="center"/>
          </w:tcPr>
          <w:p>
            <w:pPr>
              <w:adjustRightInd w:val="0"/>
              <w:snapToGrid w:val="0"/>
              <w:spacing w:line="240" w:lineRule="auto"/>
              <w:ind w:firstLine="0" w:firstLineChars="0"/>
              <w:rPr>
                <w:color w:val="auto"/>
                <w:sz w:val="22"/>
                <w:szCs w:val="22"/>
                <w:highlight w:val="none"/>
              </w:rPr>
            </w:pPr>
            <w:r>
              <w:rPr>
                <w:color w:val="auto"/>
                <w:sz w:val="22"/>
                <w:szCs w:val="22"/>
                <w:highlight w:val="none"/>
              </w:rPr>
              <w:t>第九条  严格落实国家及我市大气污染防控相关要求，对大气环境质量未达标地区</w:t>
            </w:r>
            <w:r>
              <w:rPr>
                <w:color w:val="auto"/>
                <w:sz w:val="22"/>
                <w:szCs w:val="22"/>
                <w:highlight w:val="none"/>
                <w:shd w:val="clear" w:fill="FFFFFF"/>
              </w:rPr>
              <w:t>，</w:t>
            </w:r>
            <w:r>
              <w:rPr>
                <w:color w:val="auto"/>
                <w:sz w:val="22"/>
                <w:szCs w:val="22"/>
                <w:highlight w:val="none"/>
              </w:rPr>
              <w:t>新建、改扩建项目实施更严格的污染物排放总量控制要求。严格落实区域削减要求，所在区域、流域控制单元环境质量未达到国家或者地方环境质量标准的，建设项目需提出有效的区域削减方案，主要污染物实行区域倍量削减。</w:t>
            </w:r>
          </w:p>
        </w:tc>
        <w:tc>
          <w:tcPr>
            <w:tcW w:w="864" w:type="pc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项目运营期无工业废气排放，施工期严格落实扬尘控制措施，对大气环境质量影响较小</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tcPr>
          <w:p>
            <w:pPr>
              <w:adjustRightInd w:val="0"/>
              <w:snapToGrid w:val="0"/>
              <w:spacing w:line="240" w:lineRule="auto"/>
              <w:ind w:firstLine="0" w:firstLineChars="0"/>
              <w:rPr>
                <w:color w:val="auto"/>
                <w:sz w:val="22"/>
                <w:szCs w:val="22"/>
                <w:highlight w:val="none"/>
              </w:rPr>
            </w:pPr>
            <w:r>
              <w:rPr>
                <w:color w:val="auto"/>
                <w:sz w:val="22"/>
                <w:szCs w:val="22"/>
                <w:highlight w:val="none"/>
              </w:rPr>
              <w:t>第十条  在重点行业（石化、化工、工业涂装、包装印刷、油品储运销等）推进挥发性有机物综合治理，推动低挥发性有机物原辅材料和产品源头替代，推广使用低挥发性有机物含量产品，推动纳入政府绿色采购名录。有条件的工业集聚区建设集中喷涂工程中心，配备高效治污设施，替代企业独立喷涂工序，对涉及喷漆、喷粉、印刷等废气进行集中处理。</w:t>
            </w:r>
          </w:p>
        </w:tc>
        <w:tc>
          <w:tcPr>
            <w:tcW w:w="864" w:type="pc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tcPr>
          <w:p>
            <w:pPr>
              <w:adjustRightInd w:val="0"/>
              <w:snapToGrid w:val="0"/>
              <w:spacing w:line="240" w:lineRule="auto"/>
              <w:ind w:firstLine="0" w:firstLineChars="0"/>
              <w:rPr>
                <w:color w:val="auto"/>
                <w:sz w:val="22"/>
                <w:szCs w:val="22"/>
                <w:highlight w:val="none"/>
              </w:rPr>
            </w:pPr>
            <w:r>
              <w:rPr>
                <w:color w:val="auto"/>
                <w:sz w:val="22"/>
                <w:szCs w:val="22"/>
                <w:highlight w:val="none"/>
              </w:rPr>
              <w:t>第十一条  工业集聚区应当按照有关规定配套建设相应的污水集中处理设施，安装自动监测设备，工业集聚区内的企业向污水集中处理设施排放工业废水的，应当按照国家有关规定进行预处理，达到集中处理设施处理工艺要求后方可排放。</w:t>
            </w:r>
          </w:p>
        </w:tc>
        <w:tc>
          <w:tcPr>
            <w:tcW w:w="864" w:type="pc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tcPr>
          <w:p>
            <w:pPr>
              <w:adjustRightInd w:val="0"/>
              <w:snapToGrid w:val="0"/>
              <w:spacing w:line="240" w:lineRule="auto"/>
              <w:ind w:firstLine="0" w:firstLineChars="0"/>
              <w:rPr>
                <w:color w:val="auto"/>
                <w:sz w:val="22"/>
                <w:szCs w:val="22"/>
                <w:highlight w:val="none"/>
              </w:rPr>
            </w:pPr>
            <w:r>
              <w:rPr>
                <w:color w:val="auto"/>
                <w:sz w:val="22"/>
                <w:szCs w:val="22"/>
                <w:highlight w:val="none"/>
              </w:rPr>
              <w:t>第十二条  推进乡镇生活污水处理设施达标改造。新建城市生活污水处理厂全部按照一级A标及以上排放标准设计、施工、验收，建制乡镇生活污水处理设施出水水质不得低于一级B标排放标准；对现有截留制排水管网实施雨污分流改造，</w:t>
            </w:r>
            <w:r>
              <w:rPr>
                <w:color w:val="auto"/>
                <w:sz w:val="22"/>
                <w:szCs w:val="22"/>
                <w:highlight w:val="none"/>
                <w:shd w:val="clear" w:fill="FFFFFF"/>
              </w:rPr>
              <w:t>针对</w:t>
            </w:r>
            <w:r>
              <w:rPr>
                <w:color w:val="auto"/>
                <w:sz w:val="22"/>
                <w:szCs w:val="22"/>
                <w:highlight w:val="none"/>
              </w:rPr>
              <w:t>无法彻底雨污分流的老城区，尊重现实合理保留截留制区域，合理提高截留倍数；对新建的排水管网，全部按照雨污分流模式实施建设。</w:t>
            </w:r>
          </w:p>
        </w:tc>
        <w:tc>
          <w:tcPr>
            <w:tcW w:w="864" w:type="pc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tcPr>
          <w:p>
            <w:pPr>
              <w:adjustRightInd w:val="0"/>
              <w:snapToGrid w:val="0"/>
              <w:spacing w:line="240" w:lineRule="auto"/>
              <w:ind w:firstLine="0" w:firstLineChars="0"/>
              <w:rPr>
                <w:color w:val="auto"/>
                <w:sz w:val="22"/>
                <w:szCs w:val="22"/>
                <w:highlight w:val="none"/>
              </w:rPr>
            </w:pPr>
            <w:r>
              <w:rPr>
                <w:color w:val="auto"/>
                <w:sz w:val="22"/>
                <w:szCs w:val="22"/>
                <w:highlight w:val="none"/>
              </w:rPr>
              <w:t>第十三条  新、改、扩建重点行业〔重有色金属矿采选业（铜、铅锌、镍钴、锡、锑和汞矿采选）、重有色金属冶炼业（铜、铅锌、镍钴、锡、锑和汞冶炼）、铅蓄电池制造业、皮革鞣制加工业、化学原料及化学制品制造业（电石法聚氯乙烯制造、铬盐制造、以工业固废为原料的锌无机化合物工业等）、电镀行业〕重点重金属污染物排放执行</w:t>
            </w:r>
            <w:r>
              <w:rPr>
                <w:rFonts w:hint="eastAsia"/>
                <w:color w:val="auto"/>
                <w:sz w:val="22"/>
                <w:szCs w:val="22"/>
                <w:highlight w:val="none"/>
              </w:rPr>
              <w:t>“</w:t>
            </w:r>
            <w:r>
              <w:rPr>
                <w:color w:val="auto"/>
                <w:sz w:val="22"/>
                <w:szCs w:val="22"/>
                <w:highlight w:val="none"/>
              </w:rPr>
              <w:t>等量替代</w:t>
            </w:r>
            <w:r>
              <w:rPr>
                <w:rFonts w:hint="eastAsia"/>
                <w:color w:val="auto"/>
                <w:sz w:val="22"/>
                <w:szCs w:val="22"/>
                <w:highlight w:val="none"/>
              </w:rPr>
              <w:t>”</w:t>
            </w:r>
            <w:r>
              <w:rPr>
                <w:color w:val="auto"/>
                <w:sz w:val="22"/>
                <w:szCs w:val="22"/>
                <w:highlight w:val="none"/>
              </w:rPr>
              <w:t>原则。</w:t>
            </w:r>
          </w:p>
        </w:tc>
        <w:tc>
          <w:tcPr>
            <w:tcW w:w="864" w:type="pc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vAlign w:val="center"/>
          </w:tcPr>
          <w:p>
            <w:pPr>
              <w:adjustRightInd w:val="0"/>
              <w:snapToGrid w:val="0"/>
              <w:spacing w:line="240" w:lineRule="auto"/>
              <w:ind w:firstLine="0" w:firstLineChars="0"/>
              <w:rPr>
                <w:color w:val="auto"/>
                <w:sz w:val="22"/>
                <w:szCs w:val="22"/>
                <w:highlight w:val="none"/>
              </w:rPr>
            </w:pPr>
            <w:r>
              <w:rPr>
                <w:color w:val="auto"/>
                <w:sz w:val="22"/>
                <w:szCs w:val="22"/>
                <w:highlight w:val="none"/>
              </w:rPr>
              <w:t>第十四条  固体废物污染环境防治坚持减量化、资源化和无害化的原则。产生工业固体废物的单位应当建立健全工业固体废物产生、收集、贮存、运输、利用、处置全过程的污染环境防治责任制度，建立工业固体废物管理台账。</w:t>
            </w:r>
          </w:p>
        </w:tc>
        <w:tc>
          <w:tcPr>
            <w:tcW w:w="864" w:type="pct"/>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项目产生的危废暂存后定期</w:t>
            </w:r>
            <w:r>
              <w:rPr>
                <w:rFonts w:hint="eastAsia"/>
                <w:color w:val="auto"/>
                <w:sz w:val="22"/>
                <w:szCs w:val="22"/>
                <w:highlight w:val="none"/>
                <w:shd w:val="clear" w:fill="FFFFFF"/>
                <w:lang w:eastAsia="zh-CN"/>
              </w:rPr>
              <w:t>交有</w:t>
            </w:r>
            <w:r>
              <w:rPr>
                <w:rFonts w:hint="eastAsia"/>
                <w:color w:val="auto"/>
                <w:sz w:val="22"/>
                <w:szCs w:val="22"/>
                <w:highlight w:val="none"/>
                <w:lang w:eastAsia="zh-CN"/>
              </w:rPr>
              <w:t>资质单位处置，按要求</w:t>
            </w:r>
            <w:r>
              <w:rPr>
                <w:color w:val="auto"/>
                <w:sz w:val="22"/>
                <w:szCs w:val="22"/>
                <w:highlight w:val="none"/>
              </w:rPr>
              <w:t>建立工业固体废物管理台账</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tcPr>
          <w:p>
            <w:pPr>
              <w:adjustRightInd w:val="0"/>
              <w:snapToGrid w:val="0"/>
              <w:spacing w:line="240" w:lineRule="auto"/>
              <w:ind w:firstLine="0" w:firstLineChars="0"/>
              <w:rPr>
                <w:color w:val="auto"/>
                <w:sz w:val="22"/>
                <w:szCs w:val="22"/>
                <w:highlight w:val="none"/>
              </w:rPr>
            </w:pPr>
            <w:r>
              <w:rPr>
                <w:color w:val="auto"/>
                <w:sz w:val="22"/>
                <w:szCs w:val="22"/>
                <w:highlight w:val="none"/>
              </w:rPr>
              <w:t>第十五条  建设分类投放、分类收集、分类运输、分类处理的生活垃圾处理系统。合理布局生活垃圾分类收集站点，完善分类运输系统，加快补齐分类收集转运设施能力短板。强化</w:t>
            </w:r>
            <w:r>
              <w:rPr>
                <w:rFonts w:hint="eastAsia"/>
                <w:color w:val="auto"/>
                <w:sz w:val="22"/>
                <w:szCs w:val="22"/>
                <w:highlight w:val="none"/>
              </w:rPr>
              <w:t>“</w:t>
            </w:r>
            <w:r>
              <w:rPr>
                <w:color w:val="auto"/>
                <w:sz w:val="22"/>
                <w:szCs w:val="22"/>
                <w:highlight w:val="none"/>
              </w:rPr>
              <w:t>无废城市</w:t>
            </w:r>
            <w:r>
              <w:rPr>
                <w:rFonts w:hint="eastAsia"/>
                <w:color w:val="auto"/>
                <w:sz w:val="22"/>
                <w:szCs w:val="22"/>
                <w:highlight w:val="none"/>
              </w:rPr>
              <w:t>”</w:t>
            </w:r>
            <w:r>
              <w:rPr>
                <w:color w:val="auto"/>
                <w:sz w:val="22"/>
                <w:szCs w:val="22"/>
                <w:highlight w:val="none"/>
              </w:rPr>
              <w:t>制度、技术、市场、监管、全民行动</w:t>
            </w:r>
            <w:r>
              <w:rPr>
                <w:rFonts w:hint="eastAsia"/>
                <w:color w:val="auto"/>
                <w:sz w:val="22"/>
                <w:szCs w:val="22"/>
                <w:highlight w:val="none"/>
              </w:rPr>
              <w:t>“</w:t>
            </w:r>
            <w:r>
              <w:rPr>
                <w:color w:val="auto"/>
                <w:sz w:val="22"/>
                <w:szCs w:val="22"/>
                <w:highlight w:val="none"/>
              </w:rPr>
              <w:t>五大体系</w:t>
            </w:r>
            <w:r>
              <w:rPr>
                <w:rFonts w:hint="eastAsia"/>
                <w:color w:val="auto"/>
                <w:sz w:val="22"/>
                <w:szCs w:val="22"/>
                <w:highlight w:val="none"/>
              </w:rPr>
              <w:t>”</w:t>
            </w:r>
            <w:r>
              <w:rPr>
                <w:color w:val="auto"/>
                <w:sz w:val="22"/>
                <w:szCs w:val="22"/>
                <w:highlight w:val="none"/>
              </w:rPr>
              <w:t>建设，推进城市固体废物精细化管理。</w:t>
            </w:r>
          </w:p>
        </w:tc>
        <w:tc>
          <w:tcPr>
            <w:tcW w:w="864" w:type="pct"/>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lang w:eastAsia="zh-CN"/>
              </w:rPr>
              <w:t>项目产生的生活垃圾分类收集后交由环卫部门处置</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restart"/>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r>
              <w:rPr>
                <w:color w:val="auto"/>
                <w:sz w:val="22"/>
                <w:szCs w:val="22"/>
                <w:highlight w:val="none"/>
              </w:rPr>
              <w:t>环境风险防控</w:t>
            </w:r>
          </w:p>
        </w:tc>
        <w:tc>
          <w:tcPr>
            <w:tcW w:w="2767" w:type="pct"/>
            <w:gridSpan w:val="2"/>
          </w:tcPr>
          <w:p>
            <w:pPr>
              <w:adjustRightInd w:val="0"/>
              <w:snapToGrid w:val="0"/>
              <w:spacing w:line="240" w:lineRule="auto"/>
              <w:ind w:firstLine="0" w:firstLineChars="0"/>
              <w:rPr>
                <w:color w:val="auto"/>
                <w:sz w:val="22"/>
                <w:szCs w:val="22"/>
                <w:highlight w:val="none"/>
              </w:rPr>
            </w:pPr>
            <w:r>
              <w:rPr>
                <w:color w:val="auto"/>
                <w:sz w:val="22"/>
                <w:szCs w:val="22"/>
                <w:highlight w:val="none"/>
              </w:rPr>
              <w:t>第十六条  深入开展行政区域、重点流域、重点饮用水源、化工园区等突发环境事件风险评估，建立区域突发环境事件风险评估数据信息获取与动态更新机制。落实企业突发环境事件风险评估制度，推进突发环境事件风险分类分级管理，严格监管重大突发环境事件风险企业。</w:t>
            </w:r>
          </w:p>
        </w:tc>
        <w:tc>
          <w:tcPr>
            <w:tcW w:w="864" w:type="pct"/>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项目运营期将按要求落实环境风险防范措施和应急预案要求</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tcPr>
          <w:p>
            <w:pPr>
              <w:adjustRightInd w:val="0"/>
              <w:snapToGrid w:val="0"/>
              <w:spacing w:line="240" w:lineRule="auto"/>
              <w:ind w:firstLine="0" w:firstLineChars="0"/>
              <w:rPr>
                <w:color w:val="auto"/>
                <w:sz w:val="22"/>
                <w:szCs w:val="22"/>
                <w:highlight w:val="none"/>
              </w:rPr>
            </w:pPr>
            <w:r>
              <w:rPr>
                <w:color w:val="auto"/>
                <w:sz w:val="22"/>
                <w:szCs w:val="22"/>
                <w:highlight w:val="none"/>
              </w:rPr>
              <w:t>第十七条  强化化工园区涉水突发环境事件四级环境风险防范体系建设。持续推进重点化工园区（化工集中区）建设有毒有害气体监测预警体系和水质生物毒性预警体系。</w:t>
            </w:r>
          </w:p>
        </w:tc>
        <w:tc>
          <w:tcPr>
            <w:tcW w:w="864" w:type="pct"/>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restart"/>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r>
              <w:rPr>
                <w:bCs/>
                <w:color w:val="auto"/>
                <w:sz w:val="22"/>
                <w:szCs w:val="22"/>
                <w:highlight w:val="none"/>
                <w:lang w:bidi="en-US"/>
              </w:rPr>
              <w:t>资源利用效率</w:t>
            </w:r>
          </w:p>
        </w:tc>
        <w:tc>
          <w:tcPr>
            <w:tcW w:w="2767" w:type="pct"/>
            <w:gridSpan w:val="2"/>
          </w:tcPr>
          <w:p>
            <w:pPr>
              <w:adjustRightInd w:val="0"/>
              <w:snapToGrid w:val="0"/>
              <w:spacing w:line="240" w:lineRule="auto"/>
              <w:ind w:firstLine="0" w:firstLineChars="0"/>
              <w:rPr>
                <w:color w:val="auto"/>
                <w:sz w:val="22"/>
                <w:szCs w:val="22"/>
                <w:highlight w:val="none"/>
              </w:rPr>
            </w:pPr>
            <w:r>
              <w:rPr>
                <w:color w:val="auto"/>
                <w:sz w:val="22"/>
                <w:szCs w:val="22"/>
                <w:highlight w:val="none"/>
              </w:rPr>
              <w:t>第十八条  实施能源领域碳达峰碳中和行动，科学有序推动能源生产消费方式绿色低碳变革。实施可再生能源替代，减少化石能源消费。加强产业布局和能耗</w:t>
            </w:r>
            <w:r>
              <w:rPr>
                <w:rFonts w:hint="eastAsia"/>
                <w:color w:val="auto"/>
                <w:sz w:val="22"/>
                <w:szCs w:val="22"/>
                <w:highlight w:val="none"/>
              </w:rPr>
              <w:t>“</w:t>
            </w:r>
            <w:r>
              <w:rPr>
                <w:color w:val="auto"/>
                <w:sz w:val="22"/>
                <w:szCs w:val="22"/>
                <w:highlight w:val="none"/>
              </w:rPr>
              <w:t>双控</w:t>
            </w:r>
            <w:r>
              <w:rPr>
                <w:rFonts w:hint="eastAsia"/>
                <w:color w:val="auto"/>
                <w:sz w:val="22"/>
                <w:szCs w:val="22"/>
                <w:highlight w:val="none"/>
              </w:rPr>
              <w:t>”</w:t>
            </w:r>
            <w:r>
              <w:rPr>
                <w:color w:val="auto"/>
                <w:sz w:val="22"/>
                <w:szCs w:val="22"/>
                <w:highlight w:val="none"/>
              </w:rPr>
              <w:t>政策衔接，促进重点用能领域用能结构优化和能效提升。</w:t>
            </w:r>
          </w:p>
        </w:tc>
        <w:tc>
          <w:tcPr>
            <w:tcW w:w="864" w:type="pct"/>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能源使用主要为电力</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tcPr>
          <w:p>
            <w:pPr>
              <w:adjustRightInd w:val="0"/>
              <w:snapToGrid w:val="0"/>
              <w:spacing w:line="240" w:lineRule="auto"/>
              <w:ind w:firstLine="0" w:firstLineChars="0"/>
              <w:rPr>
                <w:color w:val="auto"/>
                <w:sz w:val="22"/>
                <w:szCs w:val="22"/>
                <w:highlight w:val="none"/>
              </w:rPr>
            </w:pPr>
            <w:r>
              <w:rPr>
                <w:color w:val="auto"/>
                <w:sz w:val="22"/>
                <w:szCs w:val="22"/>
                <w:highlight w:val="none"/>
              </w:rPr>
              <w:t>第十九条  鼓励企业对标能耗限额标准先进值或国际先进水平，加快主要产品工艺升级与绿色化改造，推动工业窑炉、锅炉、电机、压缩机、泵、变压器等重点用能设备系统节能改造。推动现有企业、园区生产过程清洁化转型，精准提升市场主体绿色低碳水平，引导绿色园区低碳发展。</w:t>
            </w:r>
          </w:p>
        </w:tc>
        <w:tc>
          <w:tcPr>
            <w:tcW w:w="864" w:type="pc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tcPr>
          <w:p>
            <w:pPr>
              <w:adjustRightInd w:val="0"/>
              <w:snapToGrid w:val="0"/>
              <w:spacing w:line="240" w:lineRule="auto"/>
              <w:ind w:firstLine="0" w:firstLineChars="0"/>
              <w:rPr>
                <w:color w:val="auto"/>
                <w:sz w:val="22"/>
                <w:szCs w:val="22"/>
                <w:highlight w:val="none"/>
              </w:rPr>
            </w:pPr>
            <w:r>
              <w:rPr>
                <w:color w:val="auto"/>
                <w:sz w:val="22"/>
                <w:szCs w:val="22"/>
                <w:highlight w:val="none"/>
              </w:rPr>
              <w:t>第二十条  新建、扩建</w:t>
            </w:r>
            <w:r>
              <w:rPr>
                <w:rFonts w:hint="eastAsia"/>
                <w:color w:val="auto"/>
                <w:sz w:val="22"/>
                <w:szCs w:val="22"/>
                <w:highlight w:val="none"/>
              </w:rPr>
              <w:t>“</w:t>
            </w:r>
            <w:r>
              <w:rPr>
                <w:color w:val="auto"/>
                <w:sz w:val="22"/>
                <w:szCs w:val="22"/>
                <w:highlight w:val="none"/>
              </w:rPr>
              <w:t>两高</w:t>
            </w:r>
            <w:r>
              <w:rPr>
                <w:rFonts w:hint="eastAsia"/>
                <w:color w:val="auto"/>
                <w:sz w:val="22"/>
                <w:szCs w:val="22"/>
                <w:highlight w:val="none"/>
              </w:rPr>
              <w:t>”</w:t>
            </w:r>
            <w:r>
              <w:rPr>
                <w:color w:val="auto"/>
                <w:sz w:val="22"/>
                <w:szCs w:val="22"/>
                <w:highlight w:val="none"/>
              </w:rPr>
              <w:t>项目应采用先进适用的工艺技术和装备，单位产品物耗、能耗、水耗等达到清洁生产先进水平。</w:t>
            </w:r>
          </w:p>
        </w:tc>
        <w:tc>
          <w:tcPr>
            <w:tcW w:w="864" w:type="pc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tcPr>
          <w:p>
            <w:pPr>
              <w:adjustRightInd w:val="0"/>
              <w:snapToGrid w:val="0"/>
              <w:spacing w:line="240" w:lineRule="auto"/>
              <w:ind w:firstLine="0" w:firstLineChars="0"/>
              <w:rPr>
                <w:color w:val="auto"/>
                <w:sz w:val="22"/>
                <w:szCs w:val="22"/>
                <w:highlight w:val="none"/>
              </w:rPr>
            </w:pPr>
            <w:r>
              <w:rPr>
                <w:color w:val="auto"/>
                <w:sz w:val="22"/>
                <w:szCs w:val="22"/>
                <w:highlight w:val="none"/>
              </w:rPr>
              <w:t>第二十一条  推进企业内部工业用水循环利用、园区内企业间用水系统集成优化。开展火电、石化、有色金属、造纸、印染等高耗水行业工业废水循环利用示范。根据区域水资源禀赋和行业特点，结合用水总量控制措施，引导区域工业布局和产业结构调整，大力推广工业水循环利用，加快淘汰落后用水工艺和技术。</w:t>
            </w:r>
          </w:p>
        </w:tc>
        <w:tc>
          <w:tcPr>
            <w:tcW w:w="864" w:type="pct"/>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项目运营期生活污水经处理后回用</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767" w:type="pct"/>
            <w:gridSpan w:val="2"/>
          </w:tcPr>
          <w:p>
            <w:pPr>
              <w:adjustRightInd w:val="0"/>
              <w:snapToGrid w:val="0"/>
              <w:spacing w:line="240" w:lineRule="auto"/>
              <w:ind w:firstLine="0" w:firstLineChars="0"/>
              <w:rPr>
                <w:color w:val="auto"/>
                <w:sz w:val="22"/>
                <w:szCs w:val="22"/>
                <w:highlight w:val="none"/>
              </w:rPr>
            </w:pPr>
            <w:r>
              <w:rPr>
                <w:color w:val="auto"/>
                <w:sz w:val="22"/>
                <w:szCs w:val="22"/>
                <w:highlight w:val="none"/>
              </w:rPr>
              <w:t>第二十二条  加快推进节水配套设施建设，加强再生水、雨水等非常规水多元、梯级和安全利用，逐年提高非常规水利用比例。结合现有污水处理设施提标升级扩能改造，系统规划城镇污水再生利用设施。</w:t>
            </w:r>
          </w:p>
        </w:tc>
        <w:tc>
          <w:tcPr>
            <w:tcW w:w="864" w:type="pc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restar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bCs/>
                <w:color w:val="auto"/>
                <w:sz w:val="22"/>
                <w:szCs w:val="22"/>
                <w:highlight w:val="none"/>
                <w:lang w:eastAsia="zh-CN" w:bidi="en-US"/>
              </w:rPr>
            </w:pPr>
            <w:r>
              <w:rPr>
                <w:rFonts w:hint="eastAsia"/>
                <w:bCs/>
                <w:color w:val="auto"/>
                <w:sz w:val="22"/>
                <w:szCs w:val="22"/>
                <w:highlight w:val="none"/>
                <w:lang w:eastAsia="zh-CN" w:bidi="en-US"/>
              </w:rPr>
              <w:t>一般管控单元</w:t>
            </w:r>
          </w:p>
        </w:tc>
        <w:tc>
          <w:tcPr>
            <w:tcW w:w="287"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rPr>
              <w:t>空间布局约束</w:t>
            </w:r>
          </w:p>
        </w:tc>
        <w:tc>
          <w:tcPr>
            <w:tcW w:w="2767" w:type="pct"/>
            <w:gridSpan w:val="2"/>
            <w:vAlign w:val="center"/>
          </w:tcPr>
          <w:p>
            <w:pPr>
              <w:adjustRightInd w:val="0"/>
              <w:snapToGrid w:val="0"/>
              <w:spacing w:line="240" w:lineRule="auto"/>
              <w:ind w:firstLine="0" w:firstLineChars="0"/>
              <w:jc w:val="both"/>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rPr>
              <w:t>第一条  深入实施农村</w:t>
            </w:r>
            <w:r>
              <w:rPr>
                <w:rFonts w:hint="eastAsia" w:ascii="Times New Roman" w:hAnsi="Times New Roman" w:eastAsia="宋体"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厕所革命</w:t>
            </w:r>
            <w:r>
              <w:rPr>
                <w:rFonts w:hint="eastAsia" w:ascii="Times New Roman" w:hAnsi="Times New Roman" w:eastAsia="宋体"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，推进农村生活垃圾治理和农村生活污水治理，基本消除较大面积农村黑臭水体，整治提升农村人居环境。</w:t>
            </w:r>
          </w:p>
        </w:tc>
        <w:tc>
          <w:tcPr>
            <w:tcW w:w="864" w:type="pct"/>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lang w:eastAsia="zh-CN"/>
              </w:rPr>
              <w:t>项目运营期生活污水经处理后回用</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31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bCs/>
                <w:color w:val="auto"/>
                <w:sz w:val="22"/>
                <w:szCs w:val="22"/>
                <w:highlight w:val="none"/>
                <w:lang w:bidi="en-US"/>
              </w:rPr>
            </w:pPr>
          </w:p>
        </w:tc>
        <w:tc>
          <w:tcPr>
            <w:tcW w:w="287"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rPr>
              <w:t>污染物排放管控</w:t>
            </w:r>
          </w:p>
        </w:tc>
        <w:tc>
          <w:tcPr>
            <w:tcW w:w="2767" w:type="pct"/>
            <w:gridSpan w:val="2"/>
            <w:vAlign w:val="top"/>
          </w:tcPr>
          <w:p>
            <w:pPr>
              <w:adjustRightInd w:val="0"/>
              <w:snapToGrid w:val="0"/>
              <w:spacing w:line="240" w:lineRule="auto"/>
              <w:ind w:firstLine="0" w:firstLineChars="0"/>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rPr>
              <w:t>第二条  加强畜禽粪污资源化利用，加快推动长江沿线畜禽规模化养殖场粪污处理配套设施装备提档升级，推进畜禽养殖户粪污处理设施装备配套，推行畜禽粪肥低成本、机械化</w:t>
            </w:r>
            <w:r>
              <w:rPr>
                <w:rFonts w:hint="default" w:ascii="Times New Roman" w:hAnsi="Times New Roman" w:eastAsia="宋体" w:cs="Times New Roman"/>
                <w:color w:val="auto"/>
                <w:sz w:val="22"/>
                <w:szCs w:val="22"/>
                <w:highlight w:val="none"/>
                <w:shd w:val="clear" w:fill="FFFFFF"/>
              </w:rPr>
              <w:t>、就</w:t>
            </w:r>
            <w:r>
              <w:rPr>
                <w:rFonts w:hint="default" w:ascii="Times New Roman" w:hAnsi="Times New Roman" w:eastAsia="宋体" w:cs="Times New Roman"/>
                <w:color w:val="auto"/>
                <w:sz w:val="22"/>
                <w:szCs w:val="22"/>
                <w:highlight w:val="none"/>
              </w:rPr>
              <w:t>地就近还田，推进水产养殖尾水治理，强化水产养殖投入品使用管理。</w:t>
            </w:r>
          </w:p>
        </w:tc>
        <w:tc>
          <w:tcPr>
            <w:tcW w:w="864" w:type="pc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restart"/>
            <w:tcBorders>
              <w:left w:val="single" w:color="auto" w:sz="4" w:space="0"/>
              <w:right w:val="single" w:color="auto" w:sz="4" w:space="0"/>
            </w:tcBorders>
            <w:vAlign w:val="center"/>
          </w:tcPr>
          <w:p>
            <w:pPr>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合川区</w:t>
            </w:r>
          </w:p>
        </w:tc>
        <w:tc>
          <w:tcPr>
            <w:tcW w:w="597" w:type="pct"/>
            <w:gridSpan w:val="2"/>
            <w:vMerge w:val="restar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空间布局约束</w:t>
            </w: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lang w:val="zh-CN" w:eastAsia="zh-CN"/>
              </w:rPr>
            </w:pPr>
            <w:r>
              <w:rPr>
                <w:rFonts w:hint="eastAsia" w:ascii="Times New Roman" w:hAnsi="Times New Roman" w:eastAsia="宋体" w:cs="Times New Roman"/>
                <w:color w:val="auto"/>
                <w:sz w:val="22"/>
                <w:szCs w:val="22"/>
                <w:highlight w:val="none"/>
              </w:rPr>
              <w:t xml:space="preserve">第一条 </w:t>
            </w:r>
            <w:r>
              <w:rPr>
                <w:rFonts w:ascii="Times New Roman" w:hAnsi="Times New Roman" w:eastAsia="宋体" w:cs="Times New Roman"/>
                <w:color w:val="auto"/>
                <w:sz w:val="22"/>
                <w:szCs w:val="22"/>
                <w:highlight w:val="none"/>
              </w:rPr>
              <w:t xml:space="preserve"> </w:t>
            </w:r>
            <w:r>
              <w:rPr>
                <w:rFonts w:hint="eastAsia" w:ascii="Times New Roman" w:hAnsi="Times New Roman" w:eastAsia="宋体" w:cs="Times New Roman"/>
                <w:color w:val="auto"/>
                <w:sz w:val="22"/>
                <w:szCs w:val="22"/>
                <w:highlight w:val="none"/>
              </w:rPr>
              <w:t>执行重点管控单元市级总体要求第一条、第二条</w:t>
            </w:r>
            <w:r>
              <w:rPr>
                <w:rFonts w:ascii="Times New Roman" w:hAnsi="Times New Roman" w:eastAsia="宋体" w:cs="Times New Roman"/>
                <w:color w:val="auto"/>
                <w:sz w:val="22"/>
                <w:szCs w:val="22"/>
                <w:highlight w:val="none"/>
              </w:rPr>
              <w:t>、</w:t>
            </w:r>
            <w:r>
              <w:rPr>
                <w:rFonts w:hint="eastAsia" w:ascii="Times New Roman" w:hAnsi="Times New Roman" w:eastAsia="宋体" w:cs="Times New Roman"/>
                <w:color w:val="auto"/>
                <w:sz w:val="22"/>
                <w:szCs w:val="22"/>
                <w:highlight w:val="none"/>
              </w:rPr>
              <w:t>第三条、</w:t>
            </w:r>
            <w:r>
              <w:rPr>
                <w:rFonts w:ascii="Times New Roman" w:hAnsi="Times New Roman" w:eastAsia="宋体" w:cs="Times New Roman"/>
                <w:color w:val="auto"/>
                <w:sz w:val="22"/>
                <w:szCs w:val="22"/>
                <w:highlight w:val="none"/>
              </w:rPr>
              <w:t>第四条、第五条</w:t>
            </w:r>
            <w:r>
              <w:rPr>
                <w:rFonts w:hint="eastAsia" w:ascii="Times New Roman" w:hAnsi="Times New Roman" w:eastAsia="宋体" w:cs="Times New Roman"/>
                <w:color w:val="auto"/>
                <w:sz w:val="22"/>
                <w:szCs w:val="22"/>
                <w:highlight w:val="none"/>
              </w:rPr>
              <w:t>、</w:t>
            </w:r>
            <w:r>
              <w:rPr>
                <w:rFonts w:ascii="Times New Roman" w:hAnsi="Times New Roman" w:eastAsia="宋体" w:cs="Times New Roman"/>
                <w:color w:val="auto"/>
                <w:sz w:val="22"/>
                <w:szCs w:val="22"/>
                <w:highlight w:val="none"/>
              </w:rPr>
              <w:t>第六条</w:t>
            </w:r>
            <w:r>
              <w:rPr>
                <w:rFonts w:hint="eastAsia" w:ascii="Times New Roman" w:hAnsi="Times New Roman" w:eastAsia="宋体" w:cs="Times New Roman"/>
                <w:color w:val="auto"/>
                <w:sz w:val="22"/>
                <w:szCs w:val="22"/>
                <w:highlight w:val="none"/>
              </w:rPr>
              <w:t>和第七条。</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符合市级总体要求</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lang w:val="zh-CN" w:eastAsia="zh-CN"/>
              </w:rPr>
            </w:pPr>
            <w:r>
              <w:rPr>
                <w:rFonts w:hint="eastAsia" w:ascii="Times New Roman" w:hAnsi="Times New Roman" w:eastAsia="宋体" w:cs="Times New Roman"/>
                <w:color w:val="auto"/>
                <w:sz w:val="22"/>
                <w:szCs w:val="22"/>
                <w:highlight w:val="none"/>
              </w:rPr>
              <w:t>第二条  嘉陵江岸线1公里范围内</w:t>
            </w:r>
            <w:r>
              <w:rPr>
                <w:rFonts w:hint="eastAsia" w:ascii="Times New Roman" w:hAnsi="Times New Roman" w:eastAsia="宋体" w:cs="Times New Roman"/>
                <w:color w:val="auto"/>
                <w:sz w:val="22"/>
                <w:szCs w:val="22"/>
                <w:highlight w:val="none"/>
                <w:lang w:eastAsia="zh-CN"/>
              </w:rPr>
              <w:t>限制</w:t>
            </w:r>
            <w:r>
              <w:rPr>
                <w:rFonts w:hint="eastAsia" w:ascii="Times New Roman" w:hAnsi="Times New Roman" w:eastAsia="宋体" w:cs="Times New Roman"/>
                <w:color w:val="auto"/>
                <w:sz w:val="22"/>
                <w:szCs w:val="22"/>
                <w:highlight w:val="none"/>
              </w:rPr>
              <w:t>布局新建纸浆制造、印染等存在环境风险的项目。</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restart"/>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r>
              <w:rPr>
                <w:color w:val="auto"/>
                <w:sz w:val="22"/>
                <w:szCs w:val="22"/>
                <w:highlight w:val="none"/>
              </w:rPr>
              <w:t>污染物排放管控</w:t>
            </w: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rPr>
              <w:t>第三条  执行重点管控单元市级总体要求第八条</w:t>
            </w:r>
            <w:r>
              <w:rPr>
                <w:rFonts w:ascii="Times New Roman" w:hAnsi="Times New Roman" w:eastAsia="宋体" w:cs="Times New Roman"/>
                <w:color w:val="auto"/>
                <w:sz w:val="22"/>
                <w:szCs w:val="22"/>
                <w:highlight w:val="none"/>
                <w:lang w:val="en-US"/>
              </w:rPr>
              <w:t>、</w:t>
            </w:r>
            <w:r>
              <w:rPr>
                <w:rFonts w:hint="eastAsia" w:ascii="Times New Roman" w:hAnsi="Times New Roman" w:eastAsia="宋体" w:cs="Times New Roman"/>
                <w:color w:val="auto"/>
                <w:sz w:val="22"/>
                <w:szCs w:val="22"/>
                <w:highlight w:val="none"/>
                <w:lang w:val="en-US"/>
              </w:rPr>
              <w:t>第九条、第十条</w:t>
            </w:r>
            <w:r>
              <w:rPr>
                <w:rFonts w:ascii="Times New Roman" w:hAnsi="Times New Roman" w:eastAsia="宋体" w:cs="Times New Roman"/>
                <w:color w:val="auto"/>
                <w:sz w:val="22"/>
                <w:szCs w:val="22"/>
                <w:highlight w:val="none"/>
                <w:lang w:val="en-US"/>
              </w:rPr>
              <w:t>、</w:t>
            </w:r>
            <w:r>
              <w:rPr>
                <w:rFonts w:hint="eastAsia" w:ascii="Times New Roman" w:hAnsi="Times New Roman" w:eastAsia="宋体" w:cs="Times New Roman"/>
                <w:color w:val="auto"/>
                <w:sz w:val="22"/>
                <w:szCs w:val="22"/>
                <w:highlight w:val="none"/>
                <w:lang w:val="en-US"/>
              </w:rPr>
              <w:t>第十一条</w:t>
            </w:r>
            <w:r>
              <w:rPr>
                <w:rFonts w:ascii="Times New Roman" w:hAnsi="Times New Roman" w:eastAsia="宋体" w:cs="Times New Roman"/>
                <w:color w:val="auto"/>
                <w:sz w:val="22"/>
                <w:szCs w:val="22"/>
                <w:highlight w:val="none"/>
                <w:lang w:val="en-US"/>
              </w:rPr>
              <w:t>、</w:t>
            </w:r>
            <w:r>
              <w:rPr>
                <w:rFonts w:hint="eastAsia" w:ascii="Times New Roman" w:hAnsi="Times New Roman" w:eastAsia="宋体" w:cs="Times New Roman"/>
                <w:color w:val="auto"/>
                <w:sz w:val="22"/>
                <w:szCs w:val="22"/>
                <w:highlight w:val="none"/>
                <w:lang w:val="en-US"/>
              </w:rPr>
              <w:t>第十二条</w:t>
            </w:r>
            <w:r>
              <w:rPr>
                <w:rFonts w:ascii="Times New Roman" w:hAnsi="Times New Roman" w:eastAsia="宋体" w:cs="Times New Roman"/>
                <w:color w:val="auto"/>
                <w:sz w:val="22"/>
                <w:szCs w:val="22"/>
                <w:highlight w:val="none"/>
                <w:lang w:val="en-US"/>
              </w:rPr>
              <w:t>、第十三</w:t>
            </w:r>
            <w:r>
              <w:rPr>
                <w:rFonts w:hint="eastAsia" w:ascii="Times New Roman" w:hAnsi="Times New Roman" w:eastAsia="宋体" w:cs="Times New Roman"/>
                <w:color w:val="auto"/>
                <w:sz w:val="22"/>
                <w:szCs w:val="22"/>
                <w:highlight w:val="none"/>
                <w:lang w:val="en-US"/>
              </w:rPr>
              <w:t>条</w:t>
            </w:r>
            <w:r>
              <w:rPr>
                <w:rFonts w:ascii="Times New Roman" w:hAnsi="Times New Roman" w:eastAsia="宋体" w:cs="Times New Roman"/>
                <w:color w:val="auto"/>
                <w:sz w:val="22"/>
                <w:szCs w:val="22"/>
                <w:highlight w:val="none"/>
                <w:lang w:val="en-US"/>
              </w:rPr>
              <w:t>、</w:t>
            </w:r>
            <w:r>
              <w:rPr>
                <w:rFonts w:hint="eastAsia" w:ascii="Times New Roman" w:hAnsi="Times New Roman" w:eastAsia="宋体" w:cs="Times New Roman"/>
                <w:color w:val="auto"/>
                <w:sz w:val="22"/>
                <w:szCs w:val="22"/>
                <w:highlight w:val="none"/>
                <w:lang w:val="en-US"/>
              </w:rPr>
              <w:t>第</w:t>
            </w:r>
            <w:r>
              <w:rPr>
                <w:rFonts w:ascii="Times New Roman" w:hAnsi="Times New Roman" w:eastAsia="宋体" w:cs="Times New Roman"/>
                <w:color w:val="auto"/>
                <w:sz w:val="22"/>
                <w:szCs w:val="22"/>
                <w:highlight w:val="none"/>
                <w:lang w:val="en-US"/>
              </w:rPr>
              <w:t>十四</w:t>
            </w:r>
            <w:r>
              <w:rPr>
                <w:rFonts w:hint="eastAsia" w:ascii="Times New Roman" w:hAnsi="Times New Roman" w:eastAsia="宋体" w:cs="Times New Roman"/>
                <w:color w:val="auto"/>
                <w:sz w:val="22"/>
                <w:szCs w:val="22"/>
                <w:highlight w:val="none"/>
                <w:lang w:val="en-US"/>
              </w:rPr>
              <w:t>条和第十五条。</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lang w:eastAsia="zh-CN"/>
              </w:rPr>
              <w:t>符合市级总体要求</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val="en-US"/>
              </w:rPr>
              <w:t>第四条  持续</w:t>
            </w:r>
            <w:r>
              <w:rPr>
                <w:rFonts w:ascii="Times New Roman" w:hAnsi="Times New Roman" w:eastAsia="宋体" w:cs="Times New Roman"/>
                <w:color w:val="auto"/>
                <w:sz w:val="22"/>
                <w:szCs w:val="22"/>
                <w:highlight w:val="none"/>
                <w:lang w:val="en-US"/>
              </w:rPr>
              <w:t>推进农村</w:t>
            </w:r>
            <w:r>
              <w:rPr>
                <w:rFonts w:hint="eastAsia" w:ascii="Times New Roman" w:hAnsi="Times New Roman" w:eastAsia="宋体" w:cs="Times New Roman"/>
                <w:color w:val="auto"/>
                <w:sz w:val="22"/>
                <w:szCs w:val="22"/>
                <w:highlight w:val="none"/>
                <w:lang w:val="en-US"/>
              </w:rPr>
              <w:t>人居</w:t>
            </w:r>
            <w:r>
              <w:rPr>
                <w:rFonts w:ascii="Times New Roman" w:hAnsi="Times New Roman" w:eastAsia="宋体" w:cs="Times New Roman"/>
                <w:color w:val="auto"/>
                <w:sz w:val="22"/>
                <w:szCs w:val="22"/>
                <w:highlight w:val="none"/>
                <w:lang w:val="en-US"/>
              </w:rPr>
              <w:t>环境整治，</w:t>
            </w:r>
            <w:r>
              <w:rPr>
                <w:rFonts w:hint="eastAsia" w:ascii="Times New Roman" w:hAnsi="Times New Roman" w:eastAsia="宋体" w:cs="Times New Roman"/>
                <w:color w:val="auto"/>
                <w:sz w:val="22"/>
                <w:szCs w:val="22"/>
                <w:highlight w:val="none"/>
                <w:lang w:val="en-US"/>
              </w:rPr>
              <w:t>巩固拓展农村厕所革命成果，引导农村新建住房配套建设卫生厕所，推进人口规模较大村庄配套建设公共厕所；强化畜禽粪污资源化利用，加强散养畜禽管理；推进农药化肥减量增效；加强水产养殖污染专项治理，在养殖区内新建、改扩建水产专用养殖场（池）应配套建设养殖尾水治理设施，实现养殖尾水达标排放、循环使用或资源化利用。</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项目运营期生活污水经处理后回用</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第五条  持续推进水泥等高排放重点管控企业超低排放改造；加大新型干法水泥窑、玻璃行业废气深度治理力度，深化烧结砖瓦窑生产企业深度治理，推进烧结砖瓦窑脱硫脱硝除尘改造；新建燃煤机组实施超低排放；燃气锅炉实施低氮改造。</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 xml:space="preserve">第六条 </w:t>
            </w:r>
            <w:r>
              <w:rPr>
                <w:rFonts w:ascii="Times New Roman" w:hAnsi="Times New Roman" w:eastAsia="宋体" w:cs="Times New Roman"/>
                <w:color w:val="auto"/>
                <w:sz w:val="22"/>
                <w:szCs w:val="22"/>
                <w:highlight w:val="none"/>
              </w:rPr>
              <w:t xml:space="preserve"> </w:t>
            </w:r>
            <w:r>
              <w:rPr>
                <w:rFonts w:hint="eastAsia" w:ascii="Times New Roman" w:hAnsi="Times New Roman" w:eastAsia="宋体" w:cs="Times New Roman"/>
                <w:color w:val="auto"/>
                <w:sz w:val="22"/>
                <w:szCs w:val="22"/>
                <w:highlight w:val="none"/>
              </w:rPr>
              <w:t>严格施工扬尘管理，建筑面积8万平方米以上工地全部安装扬尘在线监测系统并联网。加强道路扬尘控制，强化运渣车辆冒装撒漏监管</w:t>
            </w:r>
            <w:r>
              <w:rPr>
                <w:rFonts w:hint="eastAsia" w:ascii="Times New Roman" w:hAnsi="Times New Roman" w:eastAsia="宋体" w:cs="Times New Roman"/>
                <w:color w:val="auto"/>
                <w:sz w:val="22"/>
                <w:szCs w:val="22"/>
                <w:highlight w:val="none"/>
                <w:lang w:eastAsia="zh-CN"/>
              </w:rPr>
              <w:t>。</w:t>
            </w:r>
            <w:r>
              <w:rPr>
                <w:rFonts w:hint="eastAsia" w:ascii="Times New Roman" w:hAnsi="Times New Roman" w:eastAsia="宋体" w:cs="Times New Roman"/>
                <w:color w:val="auto"/>
                <w:sz w:val="22"/>
                <w:szCs w:val="22"/>
                <w:highlight w:val="none"/>
              </w:rPr>
              <w:t>推进混凝土搅拌站和非煤矿山物料储运系统密闭化改造。</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项目施工期严格按照要求落实扬尘控制措施，安装扬尘在线监测系统并联网，对运输车辆进行严格监管，混凝土</w:t>
            </w:r>
            <w:r>
              <w:rPr>
                <w:rFonts w:hint="eastAsia"/>
                <w:color w:val="auto"/>
                <w:sz w:val="22"/>
                <w:szCs w:val="22"/>
                <w:highlight w:val="none"/>
                <w:shd w:val="clear" w:fill="FFFFFF"/>
                <w:lang w:eastAsia="zh-CN"/>
              </w:rPr>
              <w:t>拌合系统</w:t>
            </w:r>
            <w:r>
              <w:rPr>
                <w:rFonts w:hint="eastAsia"/>
                <w:color w:val="auto"/>
                <w:sz w:val="22"/>
                <w:szCs w:val="22"/>
                <w:highlight w:val="none"/>
                <w:lang w:eastAsia="zh-CN"/>
              </w:rPr>
              <w:t>进行密闭</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 xml:space="preserve">第七条  </w:t>
            </w:r>
            <w:r>
              <w:rPr>
                <w:rFonts w:ascii="Times New Roman" w:hAnsi="Times New Roman" w:eastAsia="宋体" w:cs="Times New Roman"/>
                <w:color w:val="auto"/>
                <w:sz w:val="22"/>
                <w:szCs w:val="22"/>
                <w:highlight w:val="none"/>
              </w:rPr>
              <w:t>加快大宗货物和中长途货物运输“公转铁、公转水”，大力发展铁水、公铁、公水等多式联运，大宗物料优先采用铁路、管道或水路运输，短途接驳优先使用新能源车辆运输</w:t>
            </w:r>
            <w:r>
              <w:rPr>
                <w:rFonts w:hint="eastAsia" w:ascii="Times New Roman" w:hAnsi="Times New Roman" w:eastAsia="宋体" w:cs="Times New Roman"/>
                <w:color w:val="auto"/>
                <w:sz w:val="22"/>
                <w:szCs w:val="22"/>
                <w:highlight w:val="none"/>
              </w:rPr>
              <w:t>；加强船舶和非道路移动机械排气污染防治，</w:t>
            </w:r>
            <w:r>
              <w:rPr>
                <w:rFonts w:ascii="Times New Roman" w:hAnsi="Times New Roman" w:eastAsia="宋体" w:cs="Times New Roman"/>
                <w:color w:val="auto"/>
                <w:sz w:val="22"/>
                <w:szCs w:val="22"/>
                <w:highlight w:val="none"/>
              </w:rPr>
              <w:t>提高燃油车船能效标准，健全交通运输装备能效标识制度，加快淘汰高耗能高排放老旧车船。全面实施汽车国六排放标准和非道路移动柴油机械国四排放标准。</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项目建设有利于提升涪江航道水运能力，对运输结构调整具有重要意义。后续会对过闸船舶进行管理，确保船舶废气排放符合要求</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第八条  推动新建小区公共烟道建设油烟集中处置设施，实现居民生活油烟达标排放，减少生活有机溶剂使用，针对建筑装修、汽修喷涂作业、干洗等行业，严格执行有机溶剂VOCs含量限值标准，鼓励使用低毒、低挥发性溶剂。</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管理区食堂油烟经油烟净化器处理后排放</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restart"/>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r>
              <w:rPr>
                <w:color w:val="auto"/>
                <w:sz w:val="22"/>
                <w:szCs w:val="22"/>
                <w:highlight w:val="none"/>
              </w:rPr>
              <w:t>环境风险防控</w:t>
            </w: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lang w:val="zh-CN" w:eastAsia="zh-CN"/>
              </w:rPr>
            </w:pPr>
            <w:r>
              <w:rPr>
                <w:rFonts w:hint="eastAsia" w:ascii="Times New Roman" w:hAnsi="Times New Roman" w:eastAsia="宋体" w:cs="Times New Roman"/>
                <w:color w:val="auto"/>
                <w:sz w:val="22"/>
                <w:szCs w:val="22"/>
                <w:highlight w:val="none"/>
                <w:lang w:val="en-US"/>
              </w:rPr>
              <w:t>第九条  执行重点管控单元市级总体要求第十六条。</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lang w:val="zh-CN" w:eastAsia="zh-CN"/>
              </w:rPr>
            </w:pPr>
            <w:r>
              <w:rPr>
                <w:rFonts w:hint="eastAsia" w:ascii="Times New Roman" w:hAnsi="Times New Roman" w:eastAsia="宋体" w:cs="Times New Roman"/>
                <w:color w:val="auto"/>
                <w:sz w:val="22"/>
                <w:szCs w:val="22"/>
                <w:highlight w:val="none"/>
              </w:rPr>
              <w:t xml:space="preserve">第十条 </w:t>
            </w:r>
            <w:r>
              <w:rPr>
                <w:rFonts w:ascii="Times New Roman" w:hAnsi="Times New Roman" w:eastAsia="宋体" w:cs="Times New Roman"/>
                <w:color w:val="auto"/>
                <w:sz w:val="22"/>
                <w:szCs w:val="22"/>
                <w:highlight w:val="none"/>
              </w:rPr>
              <w:t xml:space="preserve"> </w:t>
            </w:r>
            <w:r>
              <w:rPr>
                <w:rFonts w:hint="eastAsia" w:ascii="Times New Roman" w:hAnsi="Times New Roman" w:eastAsia="宋体" w:cs="Times New Roman"/>
                <w:color w:val="auto"/>
                <w:sz w:val="22"/>
                <w:szCs w:val="22"/>
                <w:highlight w:val="none"/>
              </w:rPr>
              <w:t>强化工业园区环境风险管控。完善工业园区现有重大风险源的风险防范体系和应急预案，定期开展应急事故演练，并加强监管；实施技术、工艺、设备等生态化、循环化改造，加快布局分散的企业向园区集中，按要求设置生态隔离带，建设相应的防护工程。强化环境应急队伍建设和物资储备。</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lang w:eastAsia="zh-CN"/>
              </w:rPr>
              <w:t>项目符合市级总体要求</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lang w:val="zh-CN" w:eastAsia="zh-CN"/>
              </w:rPr>
            </w:pPr>
            <w:r>
              <w:rPr>
                <w:rFonts w:hint="eastAsia" w:ascii="Times New Roman" w:hAnsi="Times New Roman" w:eastAsia="宋体" w:cs="Times New Roman"/>
                <w:color w:val="auto"/>
                <w:sz w:val="22"/>
                <w:szCs w:val="22"/>
                <w:highlight w:val="none"/>
              </w:rPr>
              <w:t>第十一条 工业集聚区内的项目对水环境存在安全隐患的，应当建立车间、工厂和集聚区三级环境风险防范体系。</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lang w:val="zh-CN" w:eastAsia="zh-CN"/>
              </w:rPr>
            </w:pPr>
            <w:r>
              <w:rPr>
                <w:rFonts w:hint="eastAsia" w:ascii="Times New Roman" w:hAnsi="Times New Roman" w:eastAsia="宋体" w:cs="Times New Roman"/>
                <w:color w:val="auto"/>
                <w:sz w:val="22"/>
                <w:szCs w:val="22"/>
                <w:highlight w:val="none"/>
              </w:rPr>
              <w:t>第十二</w:t>
            </w:r>
            <w:r>
              <w:rPr>
                <w:rFonts w:ascii="Times New Roman" w:hAnsi="Times New Roman" w:eastAsia="宋体" w:cs="Times New Roman"/>
                <w:color w:val="auto"/>
                <w:sz w:val="22"/>
                <w:szCs w:val="22"/>
                <w:highlight w:val="none"/>
              </w:rPr>
              <w:t>条</w:t>
            </w:r>
            <w:r>
              <w:rPr>
                <w:rFonts w:hint="eastAsia" w:ascii="Times New Roman" w:hAnsi="Times New Roman" w:eastAsia="宋体" w:cs="Times New Roman"/>
                <w:color w:val="auto"/>
                <w:sz w:val="22"/>
                <w:szCs w:val="22"/>
                <w:highlight w:val="none"/>
              </w:rPr>
              <w:t xml:space="preserve">  深化区域</w:t>
            </w:r>
            <w:r>
              <w:rPr>
                <w:rFonts w:ascii="Times New Roman" w:hAnsi="Times New Roman" w:eastAsia="宋体" w:cs="Times New Roman"/>
                <w:color w:val="auto"/>
                <w:sz w:val="22"/>
                <w:szCs w:val="22"/>
                <w:highlight w:val="none"/>
              </w:rPr>
              <w:t>联防</w:t>
            </w:r>
            <w:r>
              <w:rPr>
                <w:rFonts w:hint="eastAsia" w:ascii="Times New Roman" w:hAnsi="Times New Roman" w:eastAsia="宋体" w:cs="Times New Roman"/>
                <w:color w:val="auto"/>
                <w:sz w:val="22"/>
                <w:szCs w:val="22"/>
                <w:highlight w:val="none"/>
              </w:rPr>
              <w:t>联控机制，进一步健全与遂宁、</w:t>
            </w:r>
            <w:r>
              <w:rPr>
                <w:rFonts w:ascii="Times New Roman" w:hAnsi="Times New Roman" w:eastAsia="宋体" w:cs="Times New Roman"/>
                <w:color w:val="auto"/>
                <w:sz w:val="22"/>
                <w:szCs w:val="22"/>
                <w:highlight w:val="none"/>
              </w:rPr>
              <w:t>广安</w:t>
            </w:r>
            <w:r>
              <w:rPr>
                <w:rFonts w:hint="eastAsia" w:ascii="Times New Roman" w:hAnsi="Times New Roman" w:eastAsia="宋体" w:cs="Times New Roman"/>
                <w:color w:val="auto"/>
                <w:sz w:val="22"/>
                <w:szCs w:val="22"/>
                <w:highlight w:val="none"/>
              </w:rPr>
              <w:t>、潼南、铜梁、北碚等地突发环境事件应急响应机制，有效预防和应对跨区域的突发环境风险事件。</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lang w:eastAsia="zh-CN"/>
              </w:rPr>
              <w:t>项目将按要求落实环境风险防范措施和应急预案要求</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restart"/>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r>
              <w:rPr>
                <w:color w:val="auto"/>
                <w:sz w:val="22"/>
                <w:szCs w:val="22"/>
                <w:highlight w:val="none"/>
              </w:rPr>
              <w:t>资源利用效率</w:t>
            </w: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lang w:val="zh-CN" w:eastAsia="zh-CN"/>
              </w:rPr>
            </w:pPr>
            <w:r>
              <w:rPr>
                <w:rFonts w:hint="eastAsia" w:ascii="Times New Roman" w:hAnsi="Times New Roman" w:eastAsia="宋体" w:cs="Times New Roman"/>
                <w:color w:val="auto"/>
                <w:sz w:val="22"/>
                <w:szCs w:val="22"/>
                <w:highlight w:val="none"/>
                <w:lang w:val="en-US"/>
              </w:rPr>
              <w:t>第十三条  执行重点管控单元市级总体要求第十八条</w:t>
            </w:r>
            <w:r>
              <w:rPr>
                <w:rFonts w:ascii="Times New Roman" w:hAnsi="Times New Roman" w:eastAsia="宋体" w:cs="Times New Roman"/>
                <w:color w:val="auto"/>
                <w:sz w:val="22"/>
                <w:szCs w:val="22"/>
                <w:highlight w:val="none"/>
                <w:lang w:val="en-US"/>
              </w:rPr>
              <w:t>、第十九条、</w:t>
            </w:r>
            <w:r>
              <w:rPr>
                <w:rFonts w:hint="eastAsia" w:ascii="Times New Roman" w:hAnsi="Times New Roman" w:eastAsia="宋体" w:cs="Times New Roman"/>
                <w:color w:val="auto"/>
                <w:sz w:val="22"/>
                <w:szCs w:val="22"/>
                <w:highlight w:val="none"/>
                <w:lang w:val="en-US"/>
              </w:rPr>
              <w:t>第</w:t>
            </w:r>
            <w:r>
              <w:rPr>
                <w:rFonts w:ascii="Times New Roman" w:hAnsi="Times New Roman" w:eastAsia="宋体" w:cs="Times New Roman"/>
                <w:color w:val="auto"/>
                <w:sz w:val="22"/>
                <w:szCs w:val="22"/>
                <w:highlight w:val="none"/>
                <w:lang w:val="en-US"/>
              </w:rPr>
              <w:t>二十条</w:t>
            </w:r>
            <w:r>
              <w:rPr>
                <w:rFonts w:hint="eastAsia" w:ascii="Times New Roman" w:hAnsi="Times New Roman" w:eastAsia="宋体" w:cs="Times New Roman"/>
                <w:color w:val="auto"/>
                <w:sz w:val="22"/>
                <w:szCs w:val="22"/>
                <w:highlight w:val="none"/>
                <w:lang w:val="en-US"/>
              </w:rPr>
              <w:t>、</w:t>
            </w:r>
            <w:r>
              <w:rPr>
                <w:rFonts w:ascii="Times New Roman" w:hAnsi="Times New Roman" w:eastAsia="宋体" w:cs="Times New Roman"/>
                <w:color w:val="auto"/>
                <w:sz w:val="22"/>
                <w:szCs w:val="22"/>
                <w:highlight w:val="none"/>
                <w:lang w:val="en-US"/>
              </w:rPr>
              <w:t>第二十一条</w:t>
            </w:r>
            <w:r>
              <w:rPr>
                <w:rFonts w:hint="eastAsia" w:ascii="Times New Roman" w:hAnsi="Times New Roman" w:eastAsia="宋体" w:cs="Times New Roman"/>
                <w:color w:val="auto"/>
                <w:sz w:val="22"/>
                <w:szCs w:val="22"/>
                <w:highlight w:val="none"/>
                <w:lang w:val="en-US"/>
              </w:rPr>
              <w:t>和</w:t>
            </w:r>
            <w:r>
              <w:rPr>
                <w:rFonts w:ascii="Times New Roman" w:hAnsi="Times New Roman" w:eastAsia="宋体" w:cs="Times New Roman"/>
                <w:color w:val="auto"/>
                <w:sz w:val="22"/>
                <w:szCs w:val="22"/>
                <w:highlight w:val="none"/>
                <w:lang w:val="en-US"/>
              </w:rPr>
              <w:t>第二十二</w:t>
            </w:r>
            <w:r>
              <w:rPr>
                <w:rFonts w:hint="eastAsia" w:ascii="Times New Roman" w:hAnsi="Times New Roman" w:eastAsia="宋体" w:cs="Times New Roman"/>
                <w:color w:val="auto"/>
                <w:sz w:val="22"/>
                <w:szCs w:val="22"/>
                <w:highlight w:val="none"/>
                <w:lang w:val="en-US"/>
              </w:rPr>
              <w:t>条。</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lang w:eastAsia="zh-CN"/>
              </w:rPr>
              <w:t>符合市级总体要求</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rPr>
              <w:t>第十四</w:t>
            </w:r>
            <w:r>
              <w:rPr>
                <w:rFonts w:ascii="Times New Roman" w:hAnsi="Times New Roman" w:eastAsia="宋体" w:cs="Times New Roman"/>
                <w:color w:val="auto"/>
                <w:sz w:val="22"/>
                <w:szCs w:val="22"/>
                <w:highlight w:val="none"/>
              </w:rPr>
              <w:t>条</w:t>
            </w:r>
            <w:r>
              <w:rPr>
                <w:rFonts w:hint="eastAsia" w:ascii="Times New Roman" w:hAnsi="Times New Roman" w:eastAsia="宋体" w:cs="Times New Roman"/>
                <w:color w:val="auto"/>
                <w:sz w:val="22"/>
                <w:szCs w:val="22"/>
                <w:highlight w:val="none"/>
              </w:rPr>
              <w:t xml:space="preserve"> </w:t>
            </w:r>
            <w:r>
              <w:rPr>
                <w:rFonts w:ascii="Times New Roman" w:hAnsi="Times New Roman" w:eastAsia="宋体" w:cs="Times New Roman"/>
                <w:color w:val="auto"/>
                <w:sz w:val="22"/>
                <w:szCs w:val="22"/>
                <w:highlight w:val="none"/>
              </w:rPr>
              <w:t xml:space="preserve"> </w:t>
            </w:r>
            <w:r>
              <w:rPr>
                <w:rFonts w:hint="eastAsia" w:ascii="Times New Roman" w:hAnsi="Times New Roman" w:eastAsia="宋体" w:cs="Times New Roman"/>
                <w:color w:val="auto"/>
                <w:sz w:val="22"/>
                <w:szCs w:val="22"/>
                <w:highlight w:val="none"/>
              </w:rPr>
              <w:t>严控煤炭消费总量，逐步降低煤炭消费比重</w:t>
            </w:r>
            <w:r>
              <w:rPr>
                <w:rFonts w:hint="eastAsia" w:ascii="Times New Roman" w:hAnsi="Times New Roman" w:eastAsia="宋体" w:cs="Times New Roman"/>
                <w:color w:val="auto"/>
                <w:sz w:val="22"/>
                <w:szCs w:val="22"/>
                <w:highlight w:val="none"/>
                <w:shd w:val="clear" w:fill="FFFFFF"/>
              </w:rPr>
              <w:t>，</w:t>
            </w:r>
            <w:r>
              <w:rPr>
                <w:rFonts w:hint="eastAsia" w:ascii="Times New Roman" w:hAnsi="Times New Roman" w:eastAsia="宋体" w:cs="Times New Roman"/>
                <w:color w:val="auto"/>
                <w:sz w:val="22"/>
                <w:szCs w:val="22"/>
                <w:highlight w:val="none"/>
              </w:rPr>
              <w:t>新建耗煤项目实行煤炭减量替代，逐步推进天然气、电力及可再生能源替代，持续推进煤炭消费总量及比重持续下降。推进水泥、玻璃等行业开展煤炭清洁高效利用。</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rPr>
              <w:t>第十五</w:t>
            </w:r>
            <w:r>
              <w:rPr>
                <w:rFonts w:ascii="Times New Roman" w:hAnsi="Times New Roman" w:eastAsia="宋体" w:cs="Times New Roman"/>
                <w:color w:val="auto"/>
                <w:sz w:val="22"/>
                <w:szCs w:val="22"/>
                <w:highlight w:val="none"/>
              </w:rPr>
              <w:t>条</w:t>
            </w:r>
            <w:r>
              <w:rPr>
                <w:rFonts w:hint="eastAsia" w:ascii="Times New Roman" w:hAnsi="Times New Roman" w:eastAsia="宋体" w:cs="Times New Roman"/>
                <w:color w:val="auto"/>
                <w:sz w:val="22"/>
                <w:szCs w:val="22"/>
                <w:highlight w:val="none"/>
              </w:rPr>
              <w:t xml:space="preserve">  持续开展重点河流和水库富营养化监测预警及控制，科学实施梯级航电工程生态调度，保证生态基流。</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渭沱枢纽按照要求进行生态流量下泄，并统一实施运行调度，保障生态基流</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rPr>
              <w:t>第十六条  在高污染燃料</w:t>
            </w:r>
            <w:r>
              <w:rPr>
                <w:rFonts w:hint="eastAsia" w:ascii="Times New Roman" w:hAnsi="Times New Roman" w:eastAsia="宋体" w:cs="Times New Roman"/>
                <w:color w:val="auto"/>
                <w:sz w:val="22"/>
                <w:szCs w:val="22"/>
                <w:highlight w:val="none"/>
                <w:lang w:eastAsia="zh-CN"/>
              </w:rPr>
              <w:t>禁燃</w:t>
            </w:r>
            <w:r>
              <w:rPr>
                <w:rFonts w:hint="eastAsia" w:ascii="Times New Roman" w:hAnsi="Times New Roman" w:eastAsia="宋体" w:cs="Times New Roman"/>
                <w:color w:val="auto"/>
                <w:sz w:val="22"/>
                <w:szCs w:val="22"/>
                <w:highlight w:val="none"/>
              </w:rPr>
              <w:t>区内，禁止销售、燃用高污染燃料；禁止新建、扩建燃用高污染燃料的设施，已建成的，应当在城市人民政府规定的期限内改用天然气、页岩气、液化石油气、电或者其他清洁能源。</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both"/>
              <w:rPr>
                <w:rFonts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rPr>
              <w:t>第十七条  禁止违法利用、占用长江流域河湖岸线。禁止《长江岸线保护和开发利用总体规划》划定的岸线保护区和岸线保留区内投资建设除公共安全及公众利益的防洪护岸、河道治理、供水、生态环境保护、航道整治、国家重要基础设施以外的项目。</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项目为通航建筑物建设，所在岸线不属于《长江岸线保护和开发利用总体规划》划定的岸线保护区和保留区</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color w:val="auto"/>
                <w:sz w:val="22"/>
                <w:szCs w:val="22"/>
                <w:highlight w:val="none"/>
              </w:rPr>
            </w:pPr>
            <w:r>
              <w:rPr>
                <w:rFonts w:hint="eastAsia"/>
                <w:color w:val="auto"/>
                <w:sz w:val="22"/>
                <w:szCs w:val="22"/>
                <w:highlight w:val="none"/>
              </w:rPr>
              <w:t>重庆合川三江国家级湿地公园</w:t>
            </w:r>
          </w:p>
        </w:tc>
        <w:tc>
          <w:tcPr>
            <w:tcW w:w="597" w:type="pct"/>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r>
              <w:rPr>
                <w:color w:val="auto"/>
                <w:sz w:val="22"/>
                <w:szCs w:val="22"/>
                <w:highlight w:val="none"/>
              </w:rPr>
              <w:t>空间布局约束</w:t>
            </w: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rPr>
                <w:rFonts w:hint="eastAsia"/>
                <w:bCs/>
                <w:color w:val="auto"/>
                <w:sz w:val="22"/>
                <w:szCs w:val="22"/>
                <w:highlight w:val="none"/>
                <w:lang w:bidi="en-US"/>
              </w:rPr>
            </w:pPr>
            <w:r>
              <w:rPr>
                <w:rFonts w:hint="eastAsia"/>
                <w:bCs/>
                <w:color w:val="auto"/>
                <w:sz w:val="22"/>
                <w:szCs w:val="22"/>
                <w:highlight w:val="none"/>
                <w:lang w:bidi="en-US"/>
              </w:rPr>
              <w:t>1.执行优先保护单元市级总体管控要求。</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lang w:val="en-US" w:eastAsia="zh-CN"/>
              </w:rPr>
              <w:t>项目占用重庆合川三江国家湿地公园，已编制湿地公园专题报告，符合</w:t>
            </w:r>
            <w:r>
              <w:rPr>
                <w:rFonts w:hint="eastAsia"/>
                <w:color w:val="auto"/>
                <w:sz w:val="22"/>
                <w:szCs w:val="22"/>
                <w:highlight w:val="none"/>
              </w:rPr>
              <w:t>法律法规及规范性文件要求</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restar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合川区工业城镇重点管控单元-其他镇域片区</w:t>
            </w:r>
          </w:p>
        </w:tc>
        <w:tc>
          <w:tcPr>
            <w:tcW w:w="597" w:type="pct"/>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r>
              <w:rPr>
                <w:color w:val="auto"/>
                <w:sz w:val="22"/>
                <w:szCs w:val="22"/>
                <w:highlight w:val="none"/>
              </w:rPr>
              <w:t>空间布局约束</w:t>
            </w: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rPr>
                <w:rFonts w:hint="eastAsia"/>
                <w:bCs/>
                <w:color w:val="auto"/>
                <w:sz w:val="22"/>
                <w:szCs w:val="22"/>
                <w:highlight w:val="none"/>
                <w:lang w:bidi="en-US"/>
              </w:rPr>
            </w:pPr>
            <w:r>
              <w:rPr>
                <w:rFonts w:hint="eastAsia"/>
                <w:bCs/>
                <w:color w:val="auto"/>
                <w:sz w:val="22"/>
                <w:szCs w:val="22"/>
                <w:highlight w:val="none"/>
                <w:lang w:bidi="en-US"/>
              </w:rPr>
              <w:t>1.城镇建设用地涉及饮用水源保护区的，后续开发建设时需满足饮用水源保护相关要求。</w:t>
            </w:r>
          </w:p>
          <w:p>
            <w:pPr>
              <w:adjustRightInd w:val="0"/>
              <w:snapToGrid w:val="0"/>
              <w:spacing w:line="240" w:lineRule="auto"/>
              <w:ind w:firstLine="0" w:firstLineChars="0"/>
              <w:rPr>
                <w:bCs/>
                <w:color w:val="auto"/>
                <w:sz w:val="22"/>
                <w:szCs w:val="22"/>
                <w:highlight w:val="none"/>
                <w:lang w:bidi="en-US"/>
              </w:rPr>
            </w:pPr>
            <w:r>
              <w:rPr>
                <w:rFonts w:hint="eastAsia"/>
                <w:bCs/>
                <w:color w:val="auto"/>
                <w:sz w:val="22"/>
                <w:szCs w:val="22"/>
                <w:highlight w:val="none"/>
                <w:lang w:bidi="en-US"/>
              </w:rPr>
              <w:t>2.禁止在居民住宅楼、未配套设立专用烟道的商住综合楼、商住综合楼内与居住层相邻的商业楼层，新建、改建、扩建产生油烟、异味、废气的餐饮服务、加工服务、服装干洗、机动车维修等项目。</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restart"/>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r>
              <w:rPr>
                <w:color w:val="auto"/>
                <w:sz w:val="22"/>
                <w:szCs w:val="22"/>
                <w:highlight w:val="none"/>
              </w:rPr>
              <w:t>污染物排放管控</w:t>
            </w: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rPr>
                <w:bCs/>
                <w:color w:val="auto"/>
                <w:sz w:val="22"/>
                <w:szCs w:val="22"/>
                <w:highlight w:val="none"/>
                <w:lang w:bidi="en-US"/>
              </w:rPr>
            </w:pPr>
            <w:r>
              <w:rPr>
                <w:rFonts w:hint="eastAsia"/>
                <w:bCs/>
                <w:color w:val="auto"/>
                <w:sz w:val="22"/>
                <w:szCs w:val="22"/>
                <w:highlight w:val="none"/>
                <w:lang w:bidi="en-US"/>
              </w:rPr>
              <w:t>1.持续推进区内华新水泥、冀东水泥超低排放改造，鼓励玻璃制品等行业在已达标的基础上深度治理，并持续实行水泥行业错峰生产。</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rPr>
                <w:rFonts w:hint="eastAsia"/>
                <w:bCs/>
                <w:color w:val="auto"/>
                <w:sz w:val="22"/>
                <w:szCs w:val="22"/>
                <w:highlight w:val="none"/>
                <w:lang w:bidi="en-US"/>
              </w:rPr>
            </w:pPr>
            <w:r>
              <w:rPr>
                <w:rFonts w:hint="eastAsia"/>
                <w:bCs/>
                <w:color w:val="auto"/>
                <w:sz w:val="22"/>
                <w:szCs w:val="22"/>
                <w:highlight w:val="none"/>
                <w:lang w:bidi="en-US"/>
              </w:rPr>
              <w:t>1.分步实现清污分流、雨污分流，实施城市污水处理设施建设与改造，完善污水收集管网，推进雨污合流改造。</w:t>
            </w:r>
          </w:p>
          <w:p>
            <w:pPr>
              <w:adjustRightInd w:val="0"/>
              <w:snapToGrid w:val="0"/>
              <w:spacing w:line="240" w:lineRule="auto"/>
              <w:ind w:firstLine="0" w:firstLineChars="0"/>
              <w:rPr>
                <w:rFonts w:hint="eastAsia"/>
                <w:bCs/>
                <w:color w:val="auto"/>
                <w:sz w:val="22"/>
                <w:szCs w:val="22"/>
                <w:highlight w:val="none"/>
                <w:lang w:bidi="en-US"/>
              </w:rPr>
            </w:pPr>
            <w:r>
              <w:rPr>
                <w:rFonts w:hint="eastAsia"/>
                <w:bCs/>
                <w:color w:val="auto"/>
                <w:sz w:val="22"/>
                <w:szCs w:val="22"/>
                <w:highlight w:val="none"/>
                <w:lang w:bidi="en-US"/>
              </w:rPr>
              <w:t>2.按规划适时启动各街道、乡镇城市污水处理厂提标及扩能改造，确保生活污水应收尽收。</w:t>
            </w:r>
          </w:p>
          <w:p>
            <w:pPr>
              <w:adjustRightInd w:val="0"/>
              <w:snapToGrid w:val="0"/>
              <w:spacing w:line="240" w:lineRule="auto"/>
              <w:ind w:firstLine="0" w:firstLineChars="0"/>
              <w:rPr>
                <w:rFonts w:hint="eastAsia"/>
                <w:bCs/>
                <w:color w:val="auto"/>
                <w:sz w:val="22"/>
                <w:szCs w:val="22"/>
                <w:highlight w:val="none"/>
                <w:lang w:bidi="en-US"/>
              </w:rPr>
            </w:pPr>
            <w:r>
              <w:rPr>
                <w:rFonts w:hint="eastAsia"/>
                <w:bCs/>
                <w:color w:val="auto"/>
                <w:sz w:val="22"/>
                <w:szCs w:val="22"/>
                <w:highlight w:val="none"/>
                <w:lang w:bidi="en-US"/>
              </w:rPr>
              <w:t>3.城镇新区建设均实行雨污分流，有条件的区域要推进初期雨水收集、处理和资源化利用。</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r>
              <w:rPr>
                <w:color w:val="auto"/>
                <w:sz w:val="22"/>
                <w:szCs w:val="22"/>
                <w:highlight w:val="none"/>
              </w:rPr>
              <w:t>环境风险防控</w:t>
            </w: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1.工业园区、工业集聚区、镇域产业园外分散工业企业应加强日常监管，督促企业提升环境风险防范能力，严防发生突发环境事件。</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不涉及</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color w:val="auto"/>
                <w:sz w:val="22"/>
                <w:szCs w:val="22"/>
                <w:highlight w:val="none"/>
              </w:rPr>
            </w:pPr>
            <w:r>
              <w:rPr>
                <w:color w:val="auto"/>
                <w:sz w:val="22"/>
                <w:szCs w:val="22"/>
                <w:highlight w:val="none"/>
              </w:rPr>
              <w:t>资源开发效率</w:t>
            </w: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lang w:eastAsia="zh-CN"/>
              </w:rPr>
            </w:pPr>
            <w:r>
              <w:rPr>
                <w:rFonts w:hint="eastAsia" w:ascii="Times New Roman" w:hAnsi="Times New Roman" w:eastAsia="宋体" w:cs="Times New Roman"/>
                <w:color w:val="auto"/>
                <w:sz w:val="22"/>
                <w:szCs w:val="22"/>
                <w:highlight w:val="none"/>
                <w:lang w:val="en-US" w:eastAsia="zh-CN"/>
              </w:rPr>
              <w:t>/</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val="en-US" w:eastAsia="zh-CN"/>
              </w:rPr>
              <w:t>/</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restart"/>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合川区一般管控单元-涪江合川上游段</w:t>
            </w:r>
          </w:p>
        </w:tc>
        <w:tc>
          <w:tcPr>
            <w:tcW w:w="597" w:type="pct"/>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空间布局约束</w:t>
            </w: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sz w:val="22"/>
                <w:szCs w:val="22"/>
                <w:highlight w:val="none"/>
                <w:lang w:val="en-US" w:eastAsia="zh-CN"/>
              </w:rPr>
              <w:t>/</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97" w:type="pct"/>
            <w:gridSpan w:val="2"/>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污染物排放管控</w:t>
            </w:r>
          </w:p>
        </w:tc>
        <w:tc>
          <w:tcPr>
            <w:tcW w:w="2767" w:type="pct"/>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rPr>
              <w:t>1.加强船舶码头污染防治，推进船舶污水收集处置装置改造，加快船舶污染物港口接收设施与城市公共转运处置设施有效衔接。</w:t>
            </w:r>
          </w:p>
        </w:tc>
        <w:tc>
          <w:tcPr>
            <w:tcW w:w="864"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项目不接收船舶污染物，过闸船舶污染物交有接收条件的水污染物接收单位依法处理</w:t>
            </w:r>
          </w:p>
        </w:tc>
        <w:tc>
          <w:tcPr>
            <w:tcW w:w="420" w:type="pct"/>
            <w:tcBorders>
              <w:left w:val="single" w:color="auto" w:sz="4" w:space="0"/>
              <w:right w:val="single" w:color="auto" w:sz="4" w:space="0"/>
            </w:tcBorders>
            <w:vAlign w:val="center"/>
          </w:tcPr>
          <w:p>
            <w:pPr>
              <w:adjustRightInd w:val="0"/>
              <w:snapToGrid w:val="0"/>
              <w:spacing w:line="240" w:lineRule="auto"/>
              <w:ind w:firstLine="0" w:firstLineChars="0"/>
              <w:jc w:val="center"/>
              <w:rPr>
                <w:rFonts w:hint="eastAsia"/>
                <w:color w:val="auto"/>
                <w:sz w:val="22"/>
                <w:szCs w:val="22"/>
                <w:highlight w:val="none"/>
              </w:rPr>
            </w:pPr>
            <w:r>
              <w:rPr>
                <w:rFonts w:hint="eastAsia"/>
                <w:color w:val="auto"/>
                <w:sz w:val="22"/>
                <w:szCs w:val="22"/>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tcPr>
          <w:p>
            <w:pPr>
              <w:adjustRightInd w:val="0"/>
              <w:snapToGrid w:val="0"/>
              <w:spacing w:line="240" w:lineRule="auto"/>
              <w:ind w:firstLine="0" w:firstLineChars="0"/>
              <w:jc w:val="center"/>
              <w:rPr>
                <w:color w:val="auto"/>
                <w:sz w:val="22"/>
                <w:szCs w:val="22"/>
                <w:highlight w:val="none"/>
              </w:rPr>
            </w:pPr>
          </w:p>
        </w:tc>
        <w:tc>
          <w:tcPr>
            <w:tcW w:w="0" w:type="auto"/>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环境风险防控</w:t>
            </w:r>
          </w:p>
        </w:tc>
        <w:tc>
          <w:tcPr>
            <w:tcW w:w="2767" w:type="pct"/>
            <w:gridSpan w:val="2"/>
          </w:tcPr>
          <w:p>
            <w:pPr>
              <w:adjustRightInd w:val="0"/>
              <w:snapToGrid w:val="0"/>
              <w:spacing w:line="240" w:lineRule="auto"/>
              <w:ind w:firstLine="0" w:firstLineChars="0"/>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1.深入落实区域联防联控机制，完善跨界河流联防联控机制，进一步健全与</w:t>
            </w:r>
            <w:r>
              <w:rPr>
                <w:rFonts w:hint="eastAsia" w:ascii="Times New Roman" w:hAnsi="Times New Roman" w:eastAsia="宋体" w:cs="Times New Roman"/>
                <w:color w:val="auto"/>
                <w:sz w:val="22"/>
                <w:szCs w:val="22"/>
                <w:highlight w:val="none"/>
                <w:lang w:eastAsia="zh-CN"/>
              </w:rPr>
              <w:t>周边地区</w:t>
            </w:r>
            <w:r>
              <w:rPr>
                <w:rFonts w:hint="eastAsia" w:ascii="Times New Roman" w:hAnsi="Times New Roman" w:eastAsia="宋体" w:cs="Times New Roman"/>
                <w:color w:val="auto"/>
                <w:sz w:val="22"/>
                <w:szCs w:val="22"/>
                <w:highlight w:val="none"/>
              </w:rPr>
              <w:t>的突发环境事件应急响应机制。</w:t>
            </w:r>
          </w:p>
          <w:p>
            <w:pPr>
              <w:adjustRightInd w:val="0"/>
              <w:snapToGrid w:val="0"/>
              <w:spacing w:line="240" w:lineRule="auto"/>
              <w:ind w:firstLine="0" w:firstLineChars="0"/>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rPr>
              <w:t>2.各港口、码头制定环境风险事故应急计划，配备溢油、溢液等应急反应装备及人员，穿越饮用水源保护区的船只，应配备防治污染物洒落、溢流、渗漏设备。</w:t>
            </w:r>
          </w:p>
        </w:tc>
        <w:tc>
          <w:tcPr>
            <w:tcW w:w="864" w:type="pct"/>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渭沱枢纽按照要求落实环境风险防范措施，制定环境风险应急预案，配备环境风险防范物资</w:t>
            </w:r>
          </w:p>
        </w:tc>
        <w:tc>
          <w:tcPr>
            <w:tcW w:w="420" w:type="pct"/>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108" w:type="dxa"/>
            <w:bottom w:w="51" w:type="dxa"/>
            <w:right w:w="108" w:type="dxa"/>
          </w:tblCellMar>
        </w:tblPrEx>
        <w:trPr>
          <w:trHeight w:val="284" w:hRule="atLeast"/>
          <w:jc w:val="center"/>
        </w:trPr>
        <w:tc>
          <w:tcPr>
            <w:tcW w:w="350" w:type="pct"/>
            <w:vMerge w:val="continue"/>
            <w:tcBorders>
              <w:left w:val="single" w:color="auto" w:sz="4" w:space="0"/>
              <w:right w:val="single" w:color="auto" w:sz="4" w:space="0"/>
            </w:tcBorders>
          </w:tcPr>
          <w:p>
            <w:pPr>
              <w:adjustRightInd w:val="0"/>
              <w:snapToGrid w:val="0"/>
              <w:spacing w:line="240" w:lineRule="auto"/>
              <w:ind w:firstLine="0" w:firstLineChars="0"/>
              <w:jc w:val="center"/>
              <w:rPr>
                <w:color w:val="auto"/>
                <w:sz w:val="22"/>
                <w:szCs w:val="22"/>
                <w:highlight w:val="none"/>
              </w:rPr>
            </w:pPr>
          </w:p>
        </w:tc>
        <w:tc>
          <w:tcPr>
            <w:tcW w:w="0" w:type="auto"/>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资源开发效率</w:t>
            </w:r>
          </w:p>
        </w:tc>
        <w:tc>
          <w:tcPr>
            <w:tcW w:w="2767" w:type="pct"/>
            <w:gridSpan w:val="2"/>
            <w:vAlign w:val="center"/>
          </w:tcPr>
          <w:p>
            <w:pPr>
              <w:adjustRightInd w:val="0"/>
              <w:snapToGrid w:val="0"/>
              <w:spacing w:line="240" w:lineRule="auto"/>
              <w:ind w:firstLine="0" w:firstLineChars="0"/>
              <w:jc w:val="both"/>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rPr>
              <w:t>1.开展干流各航电工程联合生态调度的相关研究工作，保障生态流量及河流连通性。</w:t>
            </w:r>
          </w:p>
        </w:tc>
        <w:tc>
          <w:tcPr>
            <w:tcW w:w="864" w:type="pct"/>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lang w:eastAsia="zh-CN"/>
              </w:rPr>
              <w:t>渭沱枢纽按照要求进行生态流量下泄，并统一实施运行调度，保障生态基流</w:t>
            </w:r>
          </w:p>
        </w:tc>
        <w:tc>
          <w:tcPr>
            <w:tcW w:w="420" w:type="pct"/>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符合</w:t>
            </w:r>
          </w:p>
        </w:tc>
      </w:tr>
    </w:tbl>
    <w:p>
      <w:pPr>
        <w:ind w:firstLine="0" w:firstLineChars="0"/>
        <w:rPr>
          <w:color w:val="auto"/>
          <w:highlight w:val="none"/>
        </w:rPr>
        <w:sectPr>
          <w:pgSz w:w="16838" w:h="11906" w:orient="landscape"/>
          <w:pgMar w:top="1701" w:right="1588" w:bottom="1588" w:left="1588" w:header="1304" w:footer="1247" w:gutter="0"/>
          <w:cols w:space="425" w:num="1"/>
          <w:docGrid w:linePitch="354" w:charSpace="0"/>
        </w:sectPr>
      </w:pPr>
    </w:p>
    <w:p>
      <w:pPr>
        <w:pStyle w:val="5"/>
        <w:ind w:firstLine="522"/>
        <w:rPr>
          <w:color w:val="auto"/>
          <w:highlight w:val="none"/>
        </w:rPr>
      </w:pPr>
      <w:r>
        <w:rPr>
          <w:rFonts w:hint="eastAsia"/>
          <w:color w:val="auto"/>
          <w:highlight w:val="none"/>
        </w:rPr>
        <w:t>工程方案环境合理性分析</w:t>
      </w:r>
    </w:p>
    <w:p>
      <w:pPr>
        <w:ind w:firstLine="520"/>
        <w:rPr>
          <w:rFonts w:hint="eastAsia"/>
          <w:bCs/>
          <w:color w:val="auto"/>
          <w:highlight w:val="none"/>
          <w:lang w:eastAsia="zh-CN"/>
        </w:rPr>
      </w:pPr>
      <w:r>
        <w:rPr>
          <w:rFonts w:hint="eastAsia"/>
          <w:bCs/>
          <w:color w:val="auto"/>
          <w:highlight w:val="none"/>
          <w:lang w:eastAsia="zh-CN"/>
        </w:rPr>
        <w:t>（</w:t>
      </w:r>
      <w:r>
        <w:rPr>
          <w:rFonts w:hint="eastAsia"/>
          <w:bCs/>
          <w:color w:val="auto"/>
          <w:highlight w:val="none"/>
          <w:lang w:val="en-US" w:eastAsia="zh-CN"/>
        </w:rPr>
        <w:t>1</w:t>
      </w:r>
      <w:r>
        <w:rPr>
          <w:rFonts w:hint="eastAsia"/>
          <w:bCs/>
          <w:color w:val="auto"/>
          <w:highlight w:val="none"/>
          <w:lang w:eastAsia="zh-CN"/>
        </w:rPr>
        <w:t>）</w:t>
      </w:r>
      <w:r>
        <w:rPr>
          <w:rFonts w:hint="eastAsia"/>
          <w:bCs/>
          <w:color w:val="auto"/>
          <w:highlight w:val="none"/>
        </w:rPr>
        <w:t>闸位</w:t>
      </w:r>
      <w:r>
        <w:rPr>
          <w:rFonts w:hint="eastAsia"/>
          <w:bCs/>
          <w:color w:val="auto"/>
          <w:highlight w:val="none"/>
          <w:lang w:eastAsia="zh-CN"/>
        </w:rPr>
        <w:t>选址环境合理性分析</w:t>
      </w:r>
    </w:p>
    <w:p>
      <w:pPr>
        <w:ind w:firstLine="520"/>
        <w:rPr>
          <w:rFonts w:hint="eastAsia"/>
          <w:bCs/>
          <w:color w:val="auto"/>
          <w:highlight w:val="none"/>
          <w:lang w:eastAsia="zh-CN"/>
        </w:rPr>
      </w:pPr>
      <w:r>
        <w:rPr>
          <w:rFonts w:hint="eastAsia"/>
          <w:bCs/>
          <w:color w:val="auto"/>
          <w:highlight w:val="none"/>
          <w:lang w:eastAsia="zh-CN"/>
        </w:rPr>
        <w:t>项目属于渭沱枢纽船闸的扩能升级改造，故项目选址较为确定，需紧邻现有渭沱枢纽进行布置。项目可研报告提出方案一（右岸方案）和第二方案（左岸方案）两个船闸总平面布置方案，并分别进行了方案比选论证</w:t>
      </w:r>
      <w:r>
        <w:rPr>
          <w:rFonts w:hint="eastAsia"/>
          <w:bCs/>
          <w:color w:val="auto"/>
          <w:highlight w:val="none"/>
        </w:rPr>
        <w:t>。</w:t>
      </w:r>
      <w:r>
        <w:rPr>
          <w:rFonts w:hint="eastAsia"/>
          <w:bCs/>
          <w:color w:val="auto"/>
          <w:highlight w:val="none"/>
          <w:lang w:eastAsia="zh-CN"/>
        </w:rPr>
        <w:t>具体如下：</w:t>
      </w:r>
    </w:p>
    <w:p>
      <w:pPr>
        <w:spacing w:line="240" w:lineRule="auto"/>
        <w:ind w:left="0" w:leftChars="0" w:firstLine="0" w:firstLineChars="0"/>
        <w:jc w:val="center"/>
        <w:rPr>
          <w:rFonts w:hint="eastAsia"/>
          <w:color w:val="auto"/>
          <w:highlight w:val="none"/>
          <w:lang w:eastAsia="zh-CN"/>
        </w:rPr>
      </w:pPr>
      <w:r>
        <w:rPr>
          <w:color w:val="auto"/>
          <w:sz w:val="26"/>
          <w:highlight w:val="none"/>
        </w:rPr>
        <mc:AlternateContent>
          <mc:Choice Requires="wps">
            <w:drawing>
              <wp:anchor distT="0" distB="0" distL="114300" distR="114300" simplePos="0" relativeHeight="251667456" behindDoc="0" locked="0" layoutInCell="1" allowOverlap="1">
                <wp:simplePos x="0" y="0"/>
                <wp:positionH relativeFrom="column">
                  <wp:posOffset>1955165</wp:posOffset>
                </wp:positionH>
                <wp:positionV relativeFrom="paragraph">
                  <wp:posOffset>870585</wp:posOffset>
                </wp:positionV>
                <wp:extent cx="506095" cy="351155"/>
                <wp:effectExtent l="0" t="7620" r="8255" b="3175"/>
                <wp:wrapNone/>
                <wp:docPr id="43" name="直接箭头连接符 43"/>
                <wp:cNvGraphicFramePr/>
                <a:graphic xmlns:a="http://schemas.openxmlformats.org/drawingml/2006/main">
                  <a:graphicData uri="http://schemas.microsoft.com/office/word/2010/wordprocessingShape">
                    <wps:wsp>
                      <wps:cNvCnPr/>
                      <wps:spPr>
                        <a:xfrm flipH="1">
                          <a:off x="0" y="0"/>
                          <a:ext cx="506095" cy="351155"/>
                        </a:xfrm>
                        <a:prstGeom prst="straightConnector1">
                          <a:avLst/>
                        </a:prstGeom>
                        <a:ln w="19050">
                          <a:solidFill>
                            <a:srgbClr val="0000FF"/>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53.95pt;margin-top:68.55pt;height:27.65pt;width:39.85pt;z-index:251667456;mso-width-relative:page;mso-height-relative:page;" filled="f" stroked="t" coordsize="21600,21600" o:gfxdata="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prTomNoAAAALAQAADwAA&#10;AAAAAAABACAAAAAiAAAAZHJzL2Rvd25yZXYueG1sUEsBAhQAFAAAAAgAh07iQOAd1IYUAgAA7wMA&#10;AA4AAAAAAAAAAQAgAAAAKQEAAGRycy9lMm9Eb2MueG1sUEsFBgAAAAAGAAYAWQEAAK8FAAAAAA==&#10;">
                <v:fill on="f" focussize="0,0"/>
                <v:stroke weight="1.5pt" color="#0000FF [3204]" miterlimit="8" joinstyle="miter" endarrow="open"/>
                <v:imagedata o:title=""/>
                <o:lock v:ext="edit" aspectratio="f"/>
              </v:shape>
            </w:pict>
          </mc:Fallback>
        </mc:AlternateContent>
      </w:r>
      <w:r>
        <w:rPr>
          <w:color w:val="auto"/>
          <w:sz w:val="26"/>
          <w:highlight w:val="none"/>
        </w:rPr>
        <mc:AlternateContent>
          <mc:Choice Requires="wps">
            <w:drawing>
              <wp:anchor distT="0" distB="0" distL="114300" distR="114300" simplePos="0" relativeHeight="251666432" behindDoc="0" locked="0" layoutInCell="1" allowOverlap="1">
                <wp:simplePos x="0" y="0"/>
                <wp:positionH relativeFrom="column">
                  <wp:posOffset>965835</wp:posOffset>
                </wp:positionH>
                <wp:positionV relativeFrom="paragraph">
                  <wp:posOffset>883920</wp:posOffset>
                </wp:positionV>
                <wp:extent cx="346710" cy="313055"/>
                <wp:effectExtent l="3175" t="3810" r="12065" b="6985"/>
                <wp:wrapNone/>
                <wp:docPr id="27" name="直接箭头连接符 27"/>
                <wp:cNvGraphicFramePr/>
                <a:graphic xmlns:a="http://schemas.openxmlformats.org/drawingml/2006/main">
                  <a:graphicData uri="http://schemas.microsoft.com/office/word/2010/wordprocessingShape">
                    <wps:wsp>
                      <wps:cNvCnPr/>
                      <wps:spPr>
                        <a:xfrm>
                          <a:off x="1929130" y="3497580"/>
                          <a:ext cx="346710" cy="313055"/>
                        </a:xfrm>
                        <a:prstGeom prst="straightConnector1">
                          <a:avLst/>
                        </a:prstGeom>
                        <a:ln w="19050">
                          <a:solidFill>
                            <a:srgbClr val="0000FF"/>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6.05pt;margin-top:69.6pt;height:24.65pt;width:27.3pt;z-index:251666432;mso-width-relative:page;mso-height-relative:page;" filled="f" stroked="t" coordsize="21600,21600" o:gfxdata="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2ozowNsAAAALAQAA&#10;DwAAAAAAAAABACAAAAAiAAAAZHJzL2Rvd25yZXYueG1sUEsBAhQAFAAAAAgAh07iQGS93NMWAgAA&#10;8QMAAA4AAAAAAAAAAQAgAAAAKgEAAGRycy9lMm9Eb2MueG1sUEsFBgAAAAAGAAYAWQEAALIFAAAA&#10;AA==&#10;">
                <v:fill on="f" focussize="0,0"/>
                <v:stroke weight="1.5pt" color="#0000FF [3204]" miterlimit="8" joinstyle="miter" endarrow="open"/>
                <v:imagedata o:title=""/>
                <o:lock v:ext="edit" aspectratio="f"/>
              </v:shape>
            </w:pict>
          </mc:Fallback>
        </mc:AlternateContent>
      </w:r>
      <w:r>
        <w:rPr>
          <w:color w:val="auto"/>
          <w:highlight w:val="none"/>
        </w:rPr>
        <w:drawing>
          <wp:inline distT="0" distB="0" distL="114300" distR="114300">
            <wp:extent cx="5539105" cy="3876675"/>
            <wp:effectExtent l="0" t="0" r="4445" b="952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9"/>
                    <a:stretch>
                      <a:fillRect/>
                    </a:stretch>
                  </pic:blipFill>
                  <pic:spPr>
                    <a:xfrm>
                      <a:off x="0" y="0"/>
                      <a:ext cx="5539105" cy="3876675"/>
                    </a:xfrm>
                    <a:prstGeom prst="rect">
                      <a:avLst/>
                    </a:prstGeom>
                    <a:noFill/>
                    <a:ln>
                      <a:noFill/>
                    </a:ln>
                  </pic:spPr>
                </pic:pic>
              </a:graphicData>
            </a:graphic>
          </wp:inline>
        </w:drawing>
      </w:r>
    </w:p>
    <w:p>
      <w:pPr>
        <w:spacing w:line="240" w:lineRule="auto"/>
        <w:ind w:left="0" w:leftChars="0" w:firstLine="0" w:firstLineChars="0"/>
        <w:jc w:val="center"/>
        <w:rPr>
          <w:rFonts w:hint="eastAsia"/>
          <w:color w:val="auto"/>
          <w:highlight w:val="none"/>
          <w:lang w:eastAsia="zh-CN"/>
        </w:rPr>
      </w:pPr>
    </w:p>
    <w:p>
      <w:pPr>
        <w:spacing w:line="240" w:lineRule="auto"/>
        <w:ind w:left="0" w:leftChars="0" w:firstLine="0" w:firstLineChars="0"/>
        <w:jc w:val="center"/>
        <w:rPr>
          <w:rFonts w:hint="default"/>
          <w:color w:val="auto"/>
          <w:highlight w:val="none"/>
          <w:lang w:val="en-US" w:eastAsia="zh-CN"/>
        </w:rPr>
      </w:pPr>
      <w:r>
        <w:rPr>
          <w:rFonts w:hint="eastAsia"/>
          <w:color w:val="auto"/>
          <w:highlight w:val="none"/>
          <w:lang w:eastAsia="zh-CN"/>
        </w:rPr>
        <w:t>表</w:t>
      </w:r>
      <w:r>
        <w:rPr>
          <w:rFonts w:hint="eastAsia"/>
          <w:color w:val="auto"/>
          <w:highlight w:val="none"/>
          <w:lang w:val="en-US" w:eastAsia="zh-CN"/>
        </w:rPr>
        <w:t>1.9.5</w:t>
      </w:r>
      <w:r>
        <w:rPr>
          <w:rFonts w:hint="eastAsia"/>
          <w:color w:val="auto"/>
          <w:highlight w:val="none"/>
          <w:lang w:eastAsia="zh-CN"/>
        </w:rPr>
        <w:t xml:space="preserve">-1 </w:t>
      </w:r>
      <w:r>
        <w:rPr>
          <w:rFonts w:hint="eastAsia"/>
          <w:color w:val="auto"/>
          <w:highlight w:val="none"/>
          <w:lang w:val="en-US" w:eastAsia="zh-CN"/>
        </w:rPr>
        <w:t xml:space="preserve"> 闸位方案工程、环境比选表</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3"/>
        <w:gridCol w:w="3245"/>
        <w:gridCol w:w="3013"/>
        <w:gridCol w:w="11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Cs/>
                <w:color w:val="auto"/>
                <w:sz w:val="22"/>
                <w:szCs w:val="22"/>
                <w:highlight w:val="none"/>
                <w:vertAlign w:val="baseline"/>
                <w:lang w:eastAsia="zh-CN"/>
              </w:rPr>
            </w:pPr>
            <w:r>
              <w:rPr>
                <w:rFonts w:hint="eastAsia"/>
                <w:bCs/>
                <w:color w:val="auto"/>
                <w:sz w:val="22"/>
                <w:szCs w:val="22"/>
                <w:highlight w:val="none"/>
                <w:vertAlign w:val="baseline"/>
                <w:lang w:eastAsia="zh-CN"/>
              </w:rPr>
              <w:t>方案</w:t>
            </w:r>
          </w:p>
        </w:tc>
        <w:tc>
          <w:tcPr>
            <w:tcW w:w="324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Cs/>
                <w:color w:val="auto"/>
                <w:sz w:val="22"/>
                <w:szCs w:val="22"/>
                <w:highlight w:val="none"/>
                <w:vertAlign w:val="baseline"/>
                <w:lang w:eastAsia="zh-CN"/>
              </w:rPr>
            </w:pPr>
            <w:r>
              <w:rPr>
                <w:rFonts w:hint="eastAsia"/>
                <w:bCs/>
                <w:color w:val="auto"/>
                <w:sz w:val="22"/>
                <w:szCs w:val="22"/>
                <w:highlight w:val="none"/>
                <w:vertAlign w:val="baseline"/>
                <w:lang w:eastAsia="zh-CN"/>
              </w:rPr>
              <w:t>方案一（右岸方案）</w:t>
            </w:r>
          </w:p>
        </w:tc>
        <w:tc>
          <w:tcPr>
            <w:tcW w:w="30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Cs/>
                <w:color w:val="auto"/>
                <w:sz w:val="22"/>
                <w:szCs w:val="22"/>
                <w:highlight w:val="none"/>
                <w:vertAlign w:val="baseline"/>
                <w:lang w:eastAsia="zh-CN"/>
              </w:rPr>
            </w:pPr>
            <w:r>
              <w:rPr>
                <w:rFonts w:hint="eastAsia"/>
                <w:bCs/>
                <w:color w:val="auto"/>
                <w:sz w:val="22"/>
                <w:szCs w:val="22"/>
                <w:highlight w:val="none"/>
                <w:vertAlign w:val="baseline"/>
                <w:lang w:eastAsia="zh-CN"/>
              </w:rPr>
              <w:t>方案二（左岸方案）</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bCs/>
                <w:color w:val="auto"/>
                <w:sz w:val="22"/>
                <w:szCs w:val="22"/>
                <w:highlight w:val="none"/>
                <w:vertAlign w:val="baseline"/>
                <w:lang w:eastAsia="zh-CN"/>
              </w:rPr>
            </w:pPr>
            <w:r>
              <w:rPr>
                <w:rFonts w:hint="eastAsia"/>
                <w:bCs/>
                <w:color w:val="auto"/>
                <w:sz w:val="22"/>
                <w:szCs w:val="22"/>
                <w:highlight w:val="none"/>
                <w:vertAlign w:val="baseline"/>
                <w:lang w:eastAsia="zh-CN"/>
              </w:rPr>
              <w:t>比选结果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eastAsia="宋体"/>
                <w:bCs/>
                <w:color w:val="auto"/>
                <w:sz w:val="22"/>
                <w:szCs w:val="22"/>
                <w:highlight w:val="none"/>
                <w:vertAlign w:val="baseline"/>
                <w:lang w:eastAsia="zh-CN"/>
              </w:rPr>
            </w:pPr>
            <w:r>
              <w:rPr>
                <w:rFonts w:hint="eastAsia"/>
                <w:bCs/>
                <w:color w:val="auto"/>
                <w:sz w:val="22"/>
                <w:szCs w:val="22"/>
                <w:highlight w:val="none"/>
                <w:vertAlign w:val="baseline"/>
                <w:lang w:eastAsia="zh-CN"/>
              </w:rPr>
              <w:t>船闸轴线</w:t>
            </w:r>
          </w:p>
        </w:tc>
        <w:tc>
          <w:tcPr>
            <w:tcW w:w="324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枢纽右岸</w:t>
            </w:r>
            <w:r>
              <w:rPr>
                <w:rFonts w:hint="eastAsia"/>
                <w:bCs/>
                <w:color w:val="auto"/>
                <w:sz w:val="22"/>
                <w:szCs w:val="22"/>
                <w:highlight w:val="none"/>
                <w:vertAlign w:val="baseline"/>
                <w:lang w:eastAsia="zh-CN"/>
              </w:rPr>
              <w:t>，</w:t>
            </w:r>
            <w:r>
              <w:rPr>
                <w:rFonts w:hint="eastAsia"/>
                <w:bCs/>
                <w:color w:val="auto"/>
                <w:sz w:val="22"/>
                <w:szCs w:val="22"/>
                <w:highlight w:val="none"/>
                <w:vertAlign w:val="baseline"/>
              </w:rPr>
              <w:t xml:space="preserve">与原船闸轴线间距65m。  </w:t>
            </w:r>
          </w:p>
        </w:tc>
        <w:tc>
          <w:tcPr>
            <w:tcW w:w="30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枢纽左岸，与原船闸异岸布置。</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Cs/>
                <w:color w:val="auto"/>
                <w:sz w:val="22"/>
                <w:szCs w:val="22"/>
                <w:highlight w:val="none"/>
                <w:vertAlign w:val="baseline"/>
                <w:lang w:val="en-US" w:eastAsia="zh-CN"/>
              </w:rPr>
            </w:pPr>
            <w:r>
              <w:rPr>
                <w:rFonts w:hint="eastAsia"/>
                <w:bCs/>
                <w:color w:val="auto"/>
                <w:sz w:val="22"/>
                <w:szCs w:val="22"/>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eastAsia="宋体"/>
                <w:bCs/>
                <w:color w:val="auto"/>
                <w:sz w:val="22"/>
                <w:szCs w:val="22"/>
                <w:highlight w:val="none"/>
                <w:vertAlign w:val="baseline"/>
                <w:lang w:eastAsia="zh-CN"/>
              </w:rPr>
            </w:pPr>
            <w:r>
              <w:rPr>
                <w:rFonts w:hint="eastAsia"/>
                <w:bCs/>
                <w:color w:val="auto"/>
                <w:sz w:val="22"/>
                <w:szCs w:val="22"/>
                <w:highlight w:val="none"/>
                <w:vertAlign w:val="baseline"/>
                <w:lang w:eastAsia="zh-CN"/>
              </w:rPr>
              <w:t>通航条件</w:t>
            </w:r>
          </w:p>
        </w:tc>
        <w:tc>
          <w:tcPr>
            <w:tcW w:w="324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上下游引航道与主航道衔接较平顺，上游通航条件良好，下游引航道出口位于下游弯道束窄段，船舶转弯半径较小。</w:t>
            </w:r>
          </w:p>
        </w:tc>
        <w:tc>
          <w:tcPr>
            <w:tcW w:w="30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上游通航条件良好，下游引航道口门区受枢纽泄水扫弯水影响，通航条件较差。</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bCs/>
                <w:color w:val="auto"/>
                <w:sz w:val="22"/>
                <w:szCs w:val="22"/>
                <w:highlight w:val="none"/>
                <w:vertAlign w:val="baseline"/>
                <w:lang w:val="en-US" w:eastAsia="zh-CN"/>
              </w:rPr>
            </w:pPr>
            <w:r>
              <w:rPr>
                <w:rFonts w:hint="eastAsia"/>
                <w:bCs/>
                <w:color w:val="auto"/>
                <w:sz w:val="22"/>
                <w:szCs w:val="22"/>
                <w:highlight w:val="none"/>
                <w:vertAlign w:val="baseline"/>
                <w:lang w:val="en-US" w:eastAsia="zh-CN"/>
              </w:rPr>
              <w:t>方案一优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通过能力</w:t>
            </w:r>
          </w:p>
        </w:tc>
        <w:tc>
          <w:tcPr>
            <w:tcW w:w="625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完工后原船闸改建为鱼道，形成1座Ⅲ级船闸，通过能力相当。</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Cs/>
                <w:color w:val="auto"/>
                <w:sz w:val="22"/>
                <w:szCs w:val="22"/>
                <w:highlight w:val="none"/>
                <w:vertAlign w:val="baseline"/>
                <w:lang w:eastAsia="zh-CN"/>
              </w:rPr>
            </w:pPr>
            <w:r>
              <w:rPr>
                <w:rFonts w:hint="eastAsia"/>
                <w:bCs/>
                <w:color w:val="auto"/>
                <w:sz w:val="22"/>
                <w:szCs w:val="22"/>
                <w:highlight w:val="none"/>
                <w:vertAlign w:val="baseline"/>
                <w:lang w:eastAsia="zh-CN"/>
              </w:rPr>
              <w:t>相当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地质条件</w:t>
            </w:r>
          </w:p>
        </w:tc>
        <w:tc>
          <w:tcPr>
            <w:tcW w:w="625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左、右岸均具备修建船闸的条件。</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bCs/>
                <w:color w:val="auto"/>
                <w:sz w:val="22"/>
                <w:szCs w:val="22"/>
                <w:highlight w:val="none"/>
                <w:vertAlign w:val="baseline"/>
              </w:rPr>
            </w:pPr>
            <w:r>
              <w:rPr>
                <w:rFonts w:hint="eastAsia"/>
                <w:bCs/>
                <w:color w:val="auto"/>
                <w:sz w:val="22"/>
                <w:szCs w:val="22"/>
                <w:highlight w:val="none"/>
                <w:vertAlign w:val="baseline"/>
                <w:lang w:eastAsia="zh-CN"/>
              </w:rPr>
              <w:t>相当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bCs/>
                <w:color w:val="auto"/>
                <w:sz w:val="22"/>
                <w:szCs w:val="22"/>
                <w:highlight w:val="none"/>
                <w:vertAlign w:val="baseline"/>
              </w:rPr>
            </w:pPr>
            <w:r>
              <w:rPr>
                <w:rFonts w:hint="eastAsia"/>
                <w:bCs/>
                <w:color w:val="auto"/>
                <w:sz w:val="22"/>
                <w:szCs w:val="22"/>
                <w:highlight w:val="none"/>
                <w:vertAlign w:val="baseline"/>
              </w:rPr>
              <w:t>施工条件</w:t>
            </w:r>
          </w:p>
        </w:tc>
        <w:tc>
          <w:tcPr>
            <w:tcW w:w="324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船闸主体位于右岸阶地，便于采用预留围堰干地施工，引航道通过围堰形成干地施工，施工条件较好，由于施工区位于现有枢纽管理区，施工期管理难度大。</w:t>
            </w:r>
          </w:p>
        </w:tc>
        <w:tc>
          <w:tcPr>
            <w:tcW w:w="30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船闸主体位于左岸河漫滩，需先通过围堰形成</w:t>
            </w:r>
            <w:r>
              <w:rPr>
                <w:rFonts w:hint="eastAsia"/>
                <w:bCs/>
                <w:color w:val="auto"/>
                <w:sz w:val="22"/>
                <w:szCs w:val="22"/>
                <w:highlight w:val="none"/>
                <w:shd w:val="clear" w:fill="FFFFFF"/>
                <w:vertAlign w:val="baseline"/>
              </w:rPr>
              <w:t>干地</w:t>
            </w:r>
            <w:r>
              <w:rPr>
                <w:rFonts w:hint="eastAsia"/>
                <w:bCs/>
                <w:color w:val="auto"/>
                <w:sz w:val="22"/>
                <w:szCs w:val="22"/>
                <w:highlight w:val="none"/>
                <w:vertAlign w:val="baseline"/>
              </w:rPr>
              <w:t>条件再进行施工，施工难度较大。施工区场地开阔，方便布置管理方便。</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bCs/>
                <w:color w:val="auto"/>
                <w:sz w:val="22"/>
                <w:szCs w:val="22"/>
                <w:highlight w:val="none"/>
                <w:vertAlign w:val="baseline"/>
              </w:rPr>
            </w:pPr>
            <w:r>
              <w:rPr>
                <w:rFonts w:hint="eastAsia"/>
                <w:bCs/>
                <w:color w:val="auto"/>
                <w:sz w:val="22"/>
                <w:szCs w:val="22"/>
                <w:highlight w:val="none"/>
                <w:vertAlign w:val="baseline"/>
                <w:lang w:eastAsia="zh-CN"/>
              </w:rPr>
              <w:t>方案二优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bCs/>
                <w:color w:val="auto"/>
                <w:sz w:val="22"/>
                <w:szCs w:val="22"/>
                <w:highlight w:val="none"/>
                <w:vertAlign w:val="baseline"/>
              </w:rPr>
            </w:pPr>
            <w:r>
              <w:rPr>
                <w:rFonts w:hint="eastAsia"/>
                <w:bCs/>
                <w:color w:val="auto"/>
                <w:sz w:val="22"/>
                <w:szCs w:val="22"/>
                <w:highlight w:val="none"/>
                <w:vertAlign w:val="baseline"/>
              </w:rPr>
              <w:t>施工期通航</w:t>
            </w:r>
          </w:p>
        </w:tc>
        <w:tc>
          <w:tcPr>
            <w:tcW w:w="324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 xml:space="preserve">施工期间工程河段断航，需进行翻坝转运。  </w:t>
            </w:r>
          </w:p>
        </w:tc>
        <w:tc>
          <w:tcPr>
            <w:tcW w:w="30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在左岸新建船闸，不影响右岸船闸运行。</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Cs/>
                <w:color w:val="auto"/>
                <w:sz w:val="22"/>
                <w:szCs w:val="22"/>
                <w:highlight w:val="none"/>
                <w:vertAlign w:val="baseline"/>
                <w:lang w:eastAsia="zh-CN"/>
              </w:rPr>
            </w:pPr>
            <w:r>
              <w:rPr>
                <w:rFonts w:hint="eastAsia"/>
                <w:bCs/>
                <w:color w:val="auto"/>
                <w:sz w:val="22"/>
                <w:szCs w:val="22"/>
                <w:highlight w:val="none"/>
                <w:vertAlign w:val="baseline"/>
                <w:lang w:eastAsia="zh-CN"/>
              </w:rPr>
              <w:t>方案二优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bCs/>
                <w:color w:val="auto"/>
                <w:sz w:val="22"/>
                <w:szCs w:val="22"/>
                <w:highlight w:val="none"/>
                <w:vertAlign w:val="baseline"/>
              </w:rPr>
            </w:pPr>
            <w:r>
              <w:rPr>
                <w:rFonts w:hint="eastAsia"/>
                <w:bCs/>
                <w:color w:val="auto"/>
                <w:sz w:val="22"/>
                <w:szCs w:val="22"/>
                <w:highlight w:val="none"/>
                <w:vertAlign w:val="baseline"/>
              </w:rPr>
              <w:t>既有工程</w:t>
            </w:r>
          </w:p>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bCs/>
                <w:color w:val="auto"/>
                <w:sz w:val="22"/>
                <w:szCs w:val="22"/>
                <w:highlight w:val="none"/>
                <w:vertAlign w:val="baseline"/>
              </w:rPr>
            </w:pPr>
            <w:r>
              <w:rPr>
                <w:rFonts w:hint="eastAsia"/>
                <w:bCs/>
                <w:color w:val="auto"/>
                <w:sz w:val="22"/>
                <w:szCs w:val="22"/>
                <w:highlight w:val="none"/>
                <w:vertAlign w:val="baseline"/>
              </w:rPr>
              <w:t>影响</w:t>
            </w:r>
          </w:p>
        </w:tc>
        <w:tc>
          <w:tcPr>
            <w:tcW w:w="324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船闸紧邻电站，需拆除现有侧需拆除现有升压站、开关站及办公用楼。</w:t>
            </w:r>
          </w:p>
        </w:tc>
        <w:tc>
          <w:tcPr>
            <w:tcW w:w="30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lang w:val="en-US" w:eastAsia="zh-CN"/>
              </w:rPr>
              <w:t>=</w:t>
            </w:r>
            <w:r>
              <w:rPr>
                <w:rFonts w:hint="eastAsia"/>
                <w:bCs/>
                <w:color w:val="auto"/>
                <w:sz w:val="22"/>
                <w:szCs w:val="22"/>
                <w:highlight w:val="none"/>
                <w:vertAlign w:val="baseline"/>
              </w:rPr>
              <w:t>需拆除枢纽左侧溢流坝及副坝，影响现有枢纽行洪能力。</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Cs/>
                <w:color w:val="auto"/>
                <w:sz w:val="22"/>
                <w:szCs w:val="22"/>
                <w:highlight w:val="none"/>
                <w:vertAlign w:val="baseline"/>
                <w:lang w:eastAsia="zh-CN"/>
              </w:rPr>
            </w:pPr>
            <w:r>
              <w:rPr>
                <w:rFonts w:hint="eastAsia"/>
                <w:bCs/>
                <w:color w:val="auto"/>
                <w:sz w:val="22"/>
                <w:szCs w:val="22"/>
                <w:highlight w:val="none"/>
                <w:vertAlign w:val="baseline"/>
                <w:lang w:eastAsia="zh-CN"/>
              </w:rPr>
              <w:t>方案一优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bCs/>
                <w:color w:val="auto"/>
                <w:sz w:val="22"/>
                <w:szCs w:val="22"/>
                <w:highlight w:val="none"/>
                <w:vertAlign w:val="baseline"/>
              </w:rPr>
            </w:pPr>
            <w:r>
              <w:rPr>
                <w:rFonts w:hint="eastAsia"/>
                <w:bCs/>
                <w:color w:val="auto"/>
                <w:sz w:val="22"/>
                <w:szCs w:val="22"/>
                <w:highlight w:val="none"/>
                <w:vertAlign w:val="baseline"/>
              </w:rPr>
              <w:t xml:space="preserve">征地拆迁  </w:t>
            </w:r>
          </w:p>
        </w:tc>
        <w:tc>
          <w:tcPr>
            <w:tcW w:w="324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Cs/>
                <w:color w:val="auto"/>
                <w:sz w:val="22"/>
                <w:szCs w:val="22"/>
                <w:highlight w:val="none"/>
                <w:vertAlign w:val="baseline"/>
                <w:lang w:eastAsia="zh-CN"/>
              </w:rPr>
            </w:pPr>
            <w:r>
              <w:rPr>
                <w:rFonts w:hint="eastAsia"/>
                <w:bCs/>
                <w:color w:val="auto"/>
                <w:sz w:val="22"/>
                <w:szCs w:val="22"/>
                <w:highlight w:val="none"/>
                <w:vertAlign w:val="baseline"/>
                <w:lang w:eastAsia="zh-CN"/>
              </w:rPr>
              <w:t>项目用地总体位于现有枢纽管理区，新增征地拆迁面积较小</w:t>
            </w:r>
          </w:p>
        </w:tc>
        <w:tc>
          <w:tcPr>
            <w:tcW w:w="30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Cs/>
                <w:color w:val="auto"/>
                <w:sz w:val="22"/>
                <w:szCs w:val="22"/>
                <w:highlight w:val="none"/>
                <w:vertAlign w:val="baseline"/>
                <w:lang w:eastAsia="zh-CN"/>
              </w:rPr>
            </w:pPr>
            <w:r>
              <w:rPr>
                <w:rFonts w:hint="eastAsia"/>
                <w:bCs/>
                <w:color w:val="auto"/>
                <w:sz w:val="22"/>
                <w:szCs w:val="22"/>
                <w:highlight w:val="none"/>
                <w:vertAlign w:val="baseline"/>
                <w:lang w:eastAsia="zh-CN"/>
              </w:rPr>
              <w:t>项目新增占地主要为耕地，新增征地、拆迁面积较大</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lang w:eastAsia="zh-CN"/>
              </w:rPr>
              <w:t>方案一优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eastAsia="宋体"/>
                <w:bCs/>
                <w:color w:val="auto"/>
                <w:sz w:val="22"/>
                <w:szCs w:val="22"/>
                <w:highlight w:val="none"/>
                <w:vertAlign w:val="baseline"/>
                <w:lang w:eastAsia="zh-CN"/>
              </w:rPr>
            </w:pPr>
            <w:r>
              <w:rPr>
                <w:rFonts w:hint="eastAsia"/>
                <w:bCs/>
                <w:color w:val="auto"/>
                <w:sz w:val="22"/>
                <w:szCs w:val="22"/>
                <w:highlight w:val="none"/>
                <w:vertAlign w:val="baseline"/>
                <w:lang w:eastAsia="zh-CN"/>
              </w:rPr>
              <w:t>环境影响</w:t>
            </w:r>
          </w:p>
        </w:tc>
        <w:tc>
          <w:tcPr>
            <w:tcW w:w="324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bCs/>
                <w:color w:val="auto"/>
                <w:sz w:val="22"/>
                <w:szCs w:val="22"/>
                <w:highlight w:val="none"/>
                <w:vertAlign w:val="baseline"/>
                <w:lang w:eastAsia="zh-CN"/>
              </w:rPr>
            </w:pPr>
            <w:r>
              <w:rPr>
                <w:rFonts w:hint="eastAsia"/>
                <w:bCs/>
                <w:color w:val="auto"/>
                <w:sz w:val="22"/>
                <w:szCs w:val="22"/>
                <w:highlight w:val="none"/>
                <w:vertAlign w:val="baseline"/>
                <w:lang w:eastAsia="zh-CN"/>
              </w:rPr>
              <w:t>位于渭沱镇区对岸，周边有少量散户居民点，施工噪声、扬尘影响小</w:t>
            </w:r>
          </w:p>
        </w:tc>
        <w:tc>
          <w:tcPr>
            <w:tcW w:w="30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bCs/>
                <w:color w:val="auto"/>
                <w:sz w:val="22"/>
                <w:szCs w:val="22"/>
                <w:highlight w:val="none"/>
                <w:vertAlign w:val="baseline"/>
                <w:lang w:eastAsia="zh-CN"/>
              </w:rPr>
            </w:pPr>
            <w:r>
              <w:rPr>
                <w:rFonts w:hint="eastAsia"/>
                <w:bCs/>
                <w:color w:val="auto"/>
                <w:sz w:val="22"/>
                <w:szCs w:val="22"/>
                <w:highlight w:val="none"/>
                <w:vertAlign w:val="baseline"/>
                <w:lang w:eastAsia="zh-CN"/>
              </w:rPr>
              <w:t>位于渭沱镇区</w:t>
            </w:r>
            <w:r>
              <w:rPr>
                <w:rFonts w:hint="eastAsia"/>
                <w:bCs/>
                <w:color w:val="auto"/>
                <w:sz w:val="22"/>
                <w:szCs w:val="22"/>
                <w:highlight w:val="none"/>
                <w:shd w:val="clear" w:fill="FFFFFF"/>
                <w:vertAlign w:val="baseline"/>
                <w:lang w:eastAsia="zh-CN"/>
              </w:rPr>
              <w:t>同侧</w:t>
            </w:r>
            <w:r>
              <w:rPr>
                <w:rFonts w:hint="eastAsia"/>
                <w:bCs/>
                <w:color w:val="auto"/>
                <w:sz w:val="22"/>
                <w:szCs w:val="22"/>
                <w:highlight w:val="none"/>
                <w:vertAlign w:val="baseline"/>
                <w:lang w:eastAsia="zh-CN"/>
              </w:rPr>
              <w:t>，左侧为六角村，周边居民点相对更多，施工噪声、扬尘影响较大</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bCs/>
                <w:color w:val="auto"/>
                <w:sz w:val="22"/>
                <w:szCs w:val="22"/>
                <w:highlight w:val="none"/>
                <w:vertAlign w:val="baseline"/>
                <w:lang w:eastAsia="zh-CN"/>
              </w:rPr>
            </w:pPr>
            <w:r>
              <w:rPr>
                <w:rFonts w:hint="eastAsia"/>
                <w:bCs/>
                <w:color w:val="auto"/>
                <w:sz w:val="22"/>
                <w:szCs w:val="22"/>
                <w:highlight w:val="none"/>
                <w:vertAlign w:val="baseline"/>
                <w:lang w:eastAsia="zh-CN"/>
              </w:rPr>
              <w:t>方案一优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bCs/>
                <w:color w:val="auto"/>
                <w:sz w:val="22"/>
                <w:szCs w:val="22"/>
                <w:highlight w:val="none"/>
                <w:vertAlign w:val="baseline"/>
              </w:rPr>
            </w:pPr>
            <w:r>
              <w:rPr>
                <w:rFonts w:hint="eastAsia"/>
                <w:bCs/>
                <w:color w:val="auto"/>
                <w:sz w:val="22"/>
                <w:szCs w:val="22"/>
                <w:highlight w:val="none"/>
                <w:vertAlign w:val="baseline"/>
              </w:rPr>
              <w:t>生态影响</w:t>
            </w:r>
          </w:p>
        </w:tc>
        <w:tc>
          <w:tcPr>
            <w:tcW w:w="324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Cs/>
                <w:color w:val="auto"/>
                <w:sz w:val="22"/>
                <w:szCs w:val="22"/>
                <w:highlight w:val="none"/>
                <w:vertAlign w:val="baseline"/>
                <w:lang w:eastAsia="zh-CN"/>
              </w:rPr>
            </w:pPr>
            <w:r>
              <w:rPr>
                <w:rFonts w:hint="eastAsia"/>
                <w:bCs/>
                <w:color w:val="auto"/>
                <w:sz w:val="22"/>
                <w:szCs w:val="22"/>
                <w:highlight w:val="none"/>
                <w:vertAlign w:val="baseline"/>
                <w:lang w:eastAsia="zh-CN"/>
              </w:rPr>
              <w:t>项目施工场地等临时占地可布置在现有枢纽管理区范围内，新增临时占地面积小</w:t>
            </w:r>
          </w:p>
        </w:tc>
        <w:tc>
          <w:tcPr>
            <w:tcW w:w="30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Cs/>
                <w:color w:val="auto"/>
                <w:sz w:val="22"/>
                <w:szCs w:val="22"/>
                <w:highlight w:val="none"/>
                <w:vertAlign w:val="baseline"/>
                <w:lang w:eastAsia="zh-CN"/>
              </w:rPr>
            </w:pPr>
            <w:r>
              <w:rPr>
                <w:rFonts w:hint="eastAsia"/>
                <w:bCs/>
                <w:color w:val="auto"/>
                <w:sz w:val="22"/>
                <w:szCs w:val="22"/>
                <w:highlight w:val="none"/>
                <w:vertAlign w:val="baseline"/>
                <w:lang w:eastAsia="zh-CN"/>
              </w:rPr>
              <w:t>项目施工临时占地、永久占地均需新增占地，新增占地面积较大，生态破坏相对较大。</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lang w:eastAsia="zh-CN"/>
              </w:rPr>
              <w:t>方案一优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bCs/>
                <w:color w:val="auto"/>
                <w:sz w:val="22"/>
                <w:szCs w:val="22"/>
                <w:highlight w:val="none"/>
                <w:vertAlign w:val="baseline"/>
              </w:rPr>
            </w:pPr>
            <w:r>
              <w:rPr>
                <w:rFonts w:hint="eastAsia"/>
                <w:bCs/>
                <w:color w:val="auto"/>
                <w:sz w:val="22"/>
                <w:szCs w:val="22"/>
                <w:highlight w:val="none"/>
                <w:vertAlign w:val="baseline"/>
              </w:rPr>
              <w:t>生态敏感区</w:t>
            </w:r>
          </w:p>
        </w:tc>
        <w:tc>
          <w:tcPr>
            <w:tcW w:w="625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bCs/>
                <w:color w:val="auto"/>
                <w:sz w:val="22"/>
                <w:szCs w:val="22"/>
                <w:highlight w:val="none"/>
                <w:vertAlign w:val="baseline"/>
              </w:rPr>
            </w:pPr>
            <w:r>
              <w:rPr>
                <w:rFonts w:hint="eastAsia"/>
                <w:bCs/>
                <w:color w:val="auto"/>
                <w:sz w:val="22"/>
                <w:szCs w:val="22"/>
                <w:highlight w:val="none"/>
                <w:vertAlign w:val="baseline"/>
              </w:rPr>
              <w:t>两方案用地均涉及生态</w:t>
            </w:r>
            <w:r>
              <w:rPr>
                <w:rFonts w:hint="eastAsia"/>
                <w:bCs/>
                <w:color w:val="auto"/>
                <w:sz w:val="22"/>
                <w:szCs w:val="22"/>
                <w:highlight w:val="none"/>
                <w:vertAlign w:val="baseline"/>
                <w:lang w:eastAsia="zh-CN"/>
              </w:rPr>
              <w:t>保护</w:t>
            </w:r>
            <w:r>
              <w:rPr>
                <w:rFonts w:hint="eastAsia"/>
                <w:bCs/>
                <w:color w:val="auto"/>
                <w:sz w:val="22"/>
                <w:szCs w:val="22"/>
                <w:highlight w:val="none"/>
                <w:vertAlign w:val="baseline"/>
              </w:rPr>
              <w:t>红线</w:t>
            </w:r>
            <w:r>
              <w:rPr>
                <w:rFonts w:hint="eastAsia"/>
                <w:bCs/>
                <w:color w:val="auto"/>
                <w:sz w:val="22"/>
                <w:szCs w:val="22"/>
                <w:highlight w:val="none"/>
                <w:vertAlign w:val="baseline"/>
                <w:lang w:eastAsia="zh-CN"/>
              </w:rPr>
              <w:t>、湿地公园，占用面积相当</w:t>
            </w:r>
            <w:r>
              <w:rPr>
                <w:rFonts w:hint="eastAsia"/>
                <w:bCs/>
                <w:color w:val="auto"/>
                <w:sz w:val="22"/>
                <w:szCs w:val="22"/>
                <w:highlight w:val="none"/>
                <w:vertAlign w:val="baseline"/>
              </w:rPr>
              <w:t>。</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Cs/>
                <w:color w:val="auto"/>
                <w:sz w:val="22"/>
                <w:szCs w:val="22"/>
                <w:highlight w:val="none"/>
                <w:vertAlign w:val="baseline"/>
                <w:lang w:eastAsia="zh-CN"/>
              </w:rPr>
            </w:pPr>
            <w:r>
              <w:rPr>
                <w:rFonts w:hint="eastAsia"/>
                <w:bCs/>
                <w:color w:val="auto"/>
                <w:sz w:val="22"/>
                <w:szCs w:val="22"/>
                <w:highlight w:val="none"/>
                <w:vertAlign w:val="baseline"/>
                <w:lang w:eastAsia="zh-CN"/>
              </w:rPr>
              <w:t>相当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eastAsia="宋体"/>
                <w:bCs/>
                <w:color w:val="auto"/>
                <w:sz w:val="22"/>
                <w:szCs w:val="22"/>
                <w:highlight w:val="none"/>
                <w:vertAlign w:val="baseline"/>
                <w:lang w:eastAsia="zh-CN"/>
              </w:rPr>
            </w:pPr>
            <w:r>
              <w:rPr>
                <w:rFonts w:hint="eastAsia"/>
                <w:bCs/>
                <w:color w:val="auto"/>
                <w:sz w:val="22"/>
                <w:szCs w:val="22"/>
                <w:highlight w:val="none"/>
                <w:vertAlign w:val="baseline"/>
                <w:lang w:eastAsia="zh-CN"/>
              </w:rPr>
              <w:t>永久基本农田</w:t>
            </w:r>
          </w:p>
        </w:tc>
        <w:tc>
          <w:tcPr>
            <w:tcW w:w="324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bCs/>
                <w:color w:val="auto"/>
                <w:sz w:val="22"/>
                <w:szCs w:val="22"/>
                <w:highlight w:val="none"/>
                <w:vertAlign w:val="baseline"/>
                <w:lang w:val="en-US" w:eastAsia="zh-CN"/>
              </w:rPr>
            </w:pPr>
            <w:r>
              <w:rPr>
                <w:rFonts w:hint="eastAsia"/>
                <w:bCs/>
                <w:color w:val="auto"/>
                <w:sz w:val="22"/>
                <w:szCs w:val="22"/>
                <w:highlight w:val="none"/>
                <w:vertAlign w:val="baseline"/>
                <w:lang w:eastAsia="zh-CN"/>
              </w:rPr>
              <w:t>周边永久基本农田分布较少，仅下游引航道等永久占用永久基本农田</w:t>
            </w:r>
            <w:r>
              <w:rPr>
                <w:rFonts w:hint="eastAsia"/>
                <w:bCs/>
                <w:color w:val="auto"/>
                <w:sz w:val="22"/>
                <w:szCs w:val="22"/>
                <w:highlight w:val="none"/>
                <w:vertAlign w:val="baseline"/>
                <w:lang w:val="en-US" w:eastAsia="zh-CN"/>
              </w:rPr>
              <w:t>0.91hm</w:t>
            </w:r>
            <w:r>
              <w:rPr>
                <w:rFonts w:hint="eastAsia"/>
                <w:bCs/>
                <w:color w:val="auto"/>
                <w:sz w:val="22"/>
                <w:szCs w:val="22"/>
                <w:highlight w:val="none"/>
                <w:vertAlign w:val="superscript"/>
                <w:lang w:val="en-US" w:eastAsia="zh-CN"/>
              </w:rPr>
              <w:t>2</w:t>
            </w:r>
          </w:p>
        </w:tc>
        <w:tc>
          <w:tcPr>
            <w:tcW w:w="30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bCs/>
                <w:color w:val="auto"/>
                <w:sz w:val="22"/>
                <w:szCs w:val="22"/>
                <w:highlight w:val="none"/>
                <w:vertAlign w:val="baseline"/>
              </w:rPr>
            </w:pPr>
            <w:r>
              <w:rPr>
                <w:rFonts w:hint="eastAsia"/>
                <w:bCs/>
                <w:color w:val="auto"/>
                <w:sz w:val="22"/>
                <w:szCs w:val="22"/>
                <w:highlight w:val="none"/>
                <w:vertAlign w:val="baseline"/>
                <w:lang w:eastAsia="zh-CN"/>
              </w:rPr>
              <w:t>周边永久基本农田分布较多，船闸主体工程、下游引航道等永久占用永久基本农田</w:t>
            </w:r>
            <w:r>
              <w:rPr>
                <w:rFonts w:hint="eastAsia"/>
                <w:bCs/>
                <w:color w:val="auto"/>
                <w:sz w:val="22"/>
                <w:szCs w:val="22"/>
                <w:highlight w:val="none"/>
                <w:vertAlign w:val="baseline"/>
                <w:lang w:val="en-US" w:eastAsia="zh-CN"/>
              </w:rPr>
              <w:t>1.48hm</w:t>
            </w:r>
            <w:r>
              <w:rPr>
                <w:rFonts w:hint="eastAsia"/>
                <w:bCs/>
                <w:color w:val="auto"/>
                <w:sz w:val="22"/>
                <w:szCs w:val="22"/>
                <w:highlight w:val="none"/>
                <w:vertAlign w:val="superscript"/>
                <w:lang w:val="en-US" w:eastAsia="zh-CN"/>
              </w:rPr>
              <w:t>2</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bCs/>
                <w:color w:val="auto"/>
                <w:sz w:val="22"/>
                <w:szCs w:val="22"/>
                <w:highlight w:val="none"/>
                <w:vertAlign w:val="baseline"/>
                <w:lang w:eastAsia="zh-CN"/>
              </w:rPr>
            </w:pPr>
            <w:r>
              <w:rPr>
                <w:rFonts w:hint="eastAsia"/>
                <w:bCs/>
                <w:color w:val="auto"/>
                <w:sz w:val="22"/>
                <w:szCs w:val="22"/>
                <w:highlight w:val="none"/>
                <w:vertAlign w:val="baseline"/>
                <w:lang w:eastAsia="zh-CN"/>
              </w:rPr>
              <w:t>方案一优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bCs/>
                <w:color w:val="auto"/>
                <w:sz w:val="22"/>
                <w:szCs w:val="22"/>
                <w:highlight w:val="none"/>
                <w:vertAlign w:val="baseline"/>
              </w:rPr>
            </w:pPr>
            <w:r>
              <w:rPr>
                <w:rFonts w:hint="eastAsia"/>
                <w:bCs/>
                <w:color w:val="auto"/>
                <w:sz w:val="22"/>
                <w:szCs w:val="22"/>
                <w:highlight w:val="none"/>
                <w:vertAlign w:val="baseline"/>
              </w:rPr>
              <w:t xml:space="preserve">土石方开挖  </w:t>
            </w:r>
          </w:p>
        </w:tc>
        <w:tc>
          <w:tcPr>
            <w:tcW w:w="324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lang w:val="en-US" w:eastAsia="zh-CN"/>
              </w:rPr>
              <w:t>172.20</w:t>
            </w:r>
            <w:r>
              <w:rPr>
                <w:rFonts w:hint="eastAsia"/>
                <w:bCs/>
                <w:color w:val="auto"/>
                <w:sz w:val="22"/>
                <w:szCs w:val="22"/>
                <w:highlight w:val="none"/>
                <w:vertAlign w:val="baseline"/>
              </w:rPr>
              <w:t>万方</w:t>
            </w:r>
          </w:p>
        </w:tc>
        <w:tc>
          <w:tcPr>
            <w:tcW w:w="30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108.02万方</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lang w:eastAsia="zh-CN"/>
              </w:rPr>
              <w:t>方案二优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bCs/>
                <w:color w:val="auto"/>
                <w:sz w:val="22"/>
                <w:szCs w:val="22"/>
                <w:highlight w:val="none"/>
                <w:vertAlign w:val="baseline"/>
              </w:rPr>
            </w:pPr>
            <w:r>
              <w:rPr>
                <w:rFonts w:hint="eastAsia"/>
                <w:bCs/>
                <w:color w:val="auto"/>
                <w:sz w:val="22"/>
                <w:szCs w:val="22"/>
                <w:highlight w:val="none"/>
                <w:vertAlign w:val="baseline"/>
              </w:rPr>
              <w:t>运营管理</w:t>
            </w:r>
          </w:p>
        </w:tc>
        <w:tc>
          <w:tcPr>
            <w:tcW w:w="324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船闸和电站厂房集中布置，运行管理方便，可更</w:t>
            </w:r>
            <w:r>
              <w:rPr>
                <w:rFonts w:hint="eastAsia"/>
                <w:bCs/>
                <w:color w:val="auto"/>
                <w:sz w:val="22"/>
                <w:szCs w:val="22"/>
                <w:highlight w:val="none"/>
                <w:shd w:val="clear" w:fill="FFFFFF"/>
                <w:vertAlign w:val="baseline"/>
              </w:rPr>
              <w:t>好</w:t>
            </w:r>
            <w:r>
              <w:rPr>
                <w:rFonts w:hint="eastAsia"/>
                <w:bCs/>
                <w:color w:val="auto"/>
                <w:sz w:val="22"/>
                <w:szCs w:val="22"/>
                <w:highlight w:val="none"/>
                <w:vertAlign w:val="baseline"/>
              </w:rPr>
              <w:t>平衡电航综合用水。</w:t>
            </w:r>
          </w:p>
        </w:tc>
        <w:tc>
          <w:tcPr>
            <w:tcW w:w="30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新建船闸与现有管理区异岸布置，管理不便。</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bCs/>
                <w:color w:val="auto"/>
                <w:sz w:val="22"/>
                <w:szCs w:val="22"/>
                <w:highlight w:val="none"/>
                <w:vertAlign w:val="baseline"/>
              </w:rPr>
            </w:pPr>
            <w:r>
              <w:rPr>
                <w:rFonts w:hint="eastAsia"/>
                <w:bCs/>
                <w:color w:val="auto"/>
                <w:sz w:val="22"/>
                <w:szCs w:val="22"/>
                <w:highlight w:val="none"/>
                <w:vertAlign w:val="baseline"/>
                <w:lang w:eastAsia="zh-CN"/>
              </w:rPr>
              <w:t>方案一优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bCs/>
                <w:color w:val="auto"/>
                <w:sz w:val="22"/>
                <w:szCs w:val="22"/>
                <w:highlight w:val="none"/>
                <w:vertAlign w:val="baseline"/>
              </w:rPr>
            </w:pPr>
            <w:r>
              <w:rPr>
                <w:rFonts w:hint="eastAsia"/>
                <w:bCs/>
                <w:color w:val="auto"/>
                <w:sz w:val="22"/>
                <w:szCs w:val="22"/>
                <w:highlight w:val="none"/>
                <w:vertAlign w:val="baseline"/>
              </w:rPr>
              <w:t xml:space="preserve">投资 </w:t>
            </w:r>
          </w:p>
        </w:tc>
        <w:tc>
          <w:tcPr>
            <w:tcW w:w="324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 xml:space="preserve">86943.66万元 </w:t>
            </w:r>
          </w:p>
        </w:tc>
        <w:tc>
          <w:tcPr>
            <w:tcW w:w="30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Cs/>
                <w:color w:val="auto"/>
                <w:sz w:val="22"/>
                <w:szCs w:val="22"/>
                <w:highlight w:val="none"/>
                <w:vertAlign w:val="baseline"/>
              </w:rPr>
            </w:pPr>
            <w:r>
              <w:rPr>
                <w:rFonts w:hint="eastAsia"/>
                <w:bCs/>
                <w:color w:val="auto"/>
                <w:sz w:val="22"/>
                <w:szCs w:val="22"/>
                <w:highlight w:val="none"/>
                <w:vertAlign w:val="baseline"/>
              </w:rPr>
              <w:t>88003.66 万元</w:t>
            </w:r>
          </w:p>
        </w:tc>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Cs/>
                <w:color w:val="auto"/>
                <w:sz w:val="22"/>
                <w:szCs w:val="22"/>
                <w:highlight w:val="none"/>
                <w:vertAlign w:val="baseline"/>
                <w:lang w:eastAsia="zh-CN"/>
              </w:rPr>
            </w:pPr>
            <w:r>
              <w:rPr>
                <w:rFonts w:hint="eastAsia"/>
                <w:bCs/>
                <w:color w:val="auto"/>
                <w:sz w:val="22"/>
                <w:szCs w:val="22"/>
                <w:highlight w:val="none"/>
                <w:vertAlign w:val="baseline"/>
                <w:lang w:eastAsia="zh-CN"/>
              </w:rPr>
              <w:t>方案一优</w:t>
            </w:r>
          </w:p>
        </w:tc>
      </w:tr>
    </w:tbl>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bCs/>
          <w:color w:val="auto"/>
          <w:highlight w:val="none"/>
        </w:rPr>
      </w:pPr>
    </w:p>
    <w:p>
      <w:pPr>
        <w:ind w:firstLine="520"/>
        <w:rPr>
          <w:rFonts w:hint="eastAsia"/>
          <w:bCs/>
          <w:color w:val="auto"/>
          <w:highlight w:val="none"/>
          <w:lang w:eastAsia="zh-CN"/>
        </w:rPr>
      </w:pPr>
      <w:r>
        <w:rPr>
          <w:rFonts w:hint="eastAsia"/>
          <w:bCs/>
          <w:color w:val="auto"/>
          <w:highlight w:val="none"/>
          <w:lang w:eastAsia="zh-CN"/>
        </w:rPr>
        <w:t>由于拟建项目为渭沱枢纽船闸扩能升级改造工作，一定程度上项目选址具有唯一性，需紧邻现有枢纽布置。由于渭沱枢纽下游紧邻生态保护红线和重庆合川三江国家湿地公园，且上述生态敏感区划定时间均晚于渭沱枢纽建设时间，本次拟建船闸两个方案均不可避免占用生态保护红线及国家湿地公园，</w:t>
      </w:r>
      <w:r>
        <w:rPr>
          <w:rFonts w:hint="eastAsia"/>
          <w:color w:val="auto"/>
          <w:highlight w:val="none"/>
          <w:vertAlign w:val="baseline"/>
          <w:lang w:val="en-US" w:eastAsia="zh-CN"/>
        </w:rPr>
        <w:t>项目已纳入水运“十四五”</w:t>
      </w:r>
      <w:r>
        <w:rPr>
          <w:rFonts w:hint="eastAsia"/>
          <w:bCs/>
          <w:color w:val="auto"/>
          <w:szCs w:val="26"/>
          <w:highlight w:val="none"/>
          <w:vertAlign w:val="baseline"/>
          <w:lang w:val="en-US" w:eastAsia="zh-CN"/>
        </w:rPr>
        <w:t>发展规划</w:t>
      </w:r>
      <w:r>
        <w:rPr>
          <w:rFonts w:hint="eastAsia"/>
          <w:color w:val="auto"/>
          <w:highlight w:val="none"/>
          <w:vertAlign w:val="baseline"/>
          <w:lang w:val="en-US" w:eastAsia="zh-CN"/>
        </w:rPr>
        <w:t>重点建设项目，不属于不符合生态保护红线、湿地公园管控要求的开发活动，目前</w:t>
      </w:r>
      <w:r>
        <w:rPr>
          <w:rFonts w:hint="eastAsia"/>
          <w:bCs/>
          <w:color w:val="auto"/>
          <w:highlight w:val="none"/>
          <w:lang w:eastAsia="zh-CN"/>
        </w:rPr>
        <w:t>正在按照要求编制生态红线不可避让论证报告和湿地公园专题报告。</w:t>
      </w:r>
    </w:p>
    <w:p>
      <w:pPr>
        <w:ind w:firstLine="520"/>
        <w:rPr>
          <w:rFonts w:hint="eastAsia"/>
          <w:bCs/>
          <w:color w:val="auto"/>
          <w:highlight w:val="none"/>
          <w:lang w:eastAsia="zh-CN"/>
        </w:rPr>
      </w:pPr>
      <w:r>
        <w:rPr>
          <w:rFonts w:hint="eastAsia"/>
          <w:bCs/>
          <w:color w:val="auto"/>
          <w:highlight w:val="none"/>
          <w:lang w:eastAsia="zh-CN"/>
        </w:rPr>
        <w:t>在此基础上，本次对船闸布置进行了比选，分为方案一（右岸方案）、方案二（左岸方案），经过工程、环境、技术经济等几方面综合比较：方案二虽与原建筑干扰较少，施工场地条件好，土石方量较小，但影响河道行洪，建设成本较高，且新增占地面积较大，占用永久基本农田面积较大，且周边分布居民点较多，对生态影响相对较大。方案一通航条件较好，管理方便，建设成本较低，且通过合理布局可以对现有枢纽管理区进行充分利用，新增临时占地面积较小，周边仅有零星散户居民点分布，施工期生态影响相当较小。</w:t>
      </w:r>
    </w:p>
    <w:p>
      <w:pPr>
        <w:ind w:firstLine="520"/>
        <w:rPr>
          <w:rFonts w:hint="eastAsia"/>
          <w:bCs/>
          <w:color w:val="auto"/>
          <w:highlight w:val="none"/>
          <w:lang w:eastAsia="zh-CN"/>
        </w:rPr>
      </w:pPr>
      <w:r>
        <w:rPr>
          <w:rFonts w:hint="eastAsia"/>
          <w:bCs/>
          <w:color w:val="auto"/>
          <w:highlight w:val="none"/>
          <w:lang w:eastAsia="zh-CN"/>
        </w:rPr>
        <w:t>经综合比较</w:t>
      </w:r>
      <w:r>
        <w:rPr>
          <w:rFonts w:hint="eastAsia"/>
          <w:bCs/>
          <w:color w:val="auto"/>
          <w:highlight w:val="none"/>
          <w:shd w:val="clear" w:fill="FFFFFF"/>
          <w:lang w:eastAsia="zh-CN"/>
        </w:rPr>
        <w:t>，从</w:t>
      </w:r>
      <w:r>
        <w:rPr>
          <w:rFonts w:hint="eastAsia"/>
          <w:bCs/>
          <w:color w:val="auto"/>
          <w:highlight w:val="none"/>
          <w:lang w:eastAsia="zh-CN"/>
        </w:rPr>
        <w:t>环境保护角度分析，评价认为项目可研、初步设计方案推荐的船闸“方案一（右岸方案）”选址合理可行。</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）施工场地布置的环境合理性分析</w:t>
      </w:r>
    </w:p>
    <w:p>
      <w:pPr>
        <w:bidi w:val="0"/>
        <w:rPr>
          <w:rFonts w:hint="eastAsia"/>
          <w:color w:val="auto"/>
          <w:highlight w:val="none"/>
        </w:rPr>
      </w:pPr>
      <w:r>
        <w:rPr>
          <w:rFonts w:hint="eastAsia"/>
          <w:color w:val="auto"/>
          <w:highlight w:val="none"/>
        </w:rPr>
        <w:t>本工程施工布置主要包括</w:t>
      </w:r>
      <w:r>
        <w:rPr>
          <w:rFonts w:hint="eastAsia"/>
          <w:color w:val="auto"/>
          <w:highlight w:val="none"/>
          <w:lang w:eastAsia="zh-CN"/>
        </w:rPr>
        <w:t>施工场地</w:t>
      </w:r>
      <w:r>
        <w:rPr>
          <w:rFonts w:hint="eastAsia"/>
          <w:color w:val="auto"/>
          <w:highlight w:val="none"/>
        </w:rPr>
        <w:t>、</w:t>
      </w:r>
      <w:r>
        <w:rPr>
          <w:rFonts w:hint="eastAsia"/>
          <w:color w:val="auto"/>
          <w:highlight w:val="none"/>
          <w:lang w:eastAsia="zh-CN"/>
        </w:rPr>
        <w:t>临时堆料场、</w:t>
      </w:r>
      <w:r>
        <w:rPr>
          <w:rFonts w:hint="eastAsia"/>
          <w:color w:val="auto"/>
          <w:highlight w:val="none"/>
        </w:rPr>
        <w:t>弃渣场等。</w:t>
      </w:r>
    </w:p>
    <w:p>
      <w:pPr>
        <w:bidi w:val="0"/>
        <w:rPr>
          <w:rFonts w:hint="eastAsia"/>
          <w:color w:val="auto"/>
          <w:highlight w:val="none"/>
        </w:rPr>
      </w:pPr>
      <w:r>
        <w:rPr>
          <w:rFonts w:hint="eastAsia"/>
          <w:color w:val="auto"/>
          <w:highlight w:val="none"/>
        </w:rPr>
        <w:t>船闸的</w:t>
      </w:r>
      <w:r>
        <w:rPr>
          <w:rFonts w:hint="eastAsia"/>
          <w:color w:val="auto"/>
          <w:highlight w:val="none"/>
          <w:lang w:eastAsia="zh-CN"/>
        </w:rPr>
        <w:t>施工场地</w:t>
      </w:r>
      <w:r>
        <w:rPr>
          <w:rFonts w:hint="eastAsia"/>
          <w:color w:val="auto"/>
          <w:highlight w:val="none"/>
        </w:rPr>
        <w:t>布置在</w:t>
      </w:r>
      <w:r>
        <w:rPr>
          <w:rFonts w:hint="eastAsia"/>
          <w:color w:val="auto"/>
          <w:highlight w:val="none"/>
          <w:lang w:eastAsia="zh-CN"/>
        </w:rPr>
        <w:t>枢纽右岸</w:t>
      </w:r>
      <w:r>
        <w:rPr>
          <w:rFonts w:hint="eastAsia"/>
          <w:color w:val="auto"/>
          <w:highlight w:val="none"/>
        </w:rPr>
        <w:t>，</w:t>
      </w:r>
      <w:r>
        <w:rPr>
          <w:rFonts w:hint="eastAsia"/>
          <w:color w:val="auto"/>
          <w:highlight w:val="none"/>
          <w:lang w:eastAsia="zh-CN"/>
        </w:rPr>
        <w:t>充分利用现状枢纽生产管理区办公场地及预留场地布置</w:t>
      </w:r>
      <w:r>
        <w:rPr>
          <w:rFonts w:hint="eastAsia"/>
          <w:color w:val="auto"/>
          <w:highlight w:val="none"/>
        </w:rPr>
        <w:t>，布置有</w:t>
      </w:r>
      <w:r>
        <w:rPr>
          <w:color w:val="auto"/>
          <w:highlight w:val="none"/>
        </w:rPr>
        <w:t>机械停放场地、模板加工场地、钢筋加工场地、料场、搅拌站场地</w:t>
      </w:r>
      <w:r>
        <w:rPr>
          <w:rFonts w:hint="eastAsia"/>
          <w:color w:val="auto"/>
          <w:highlight w:val="none"/>
        </w:rPr>
        <w:t>、施工管理和生活用地等施工临时设施</w:t>
      </w:r>
      <w:r>
        <w:rPr>
          <w:rFonts w:hint="eastAsia"/>
          <w:color w:val="auto"/>
          <w:highlight w:val="none"/>
          <w:lang w:eastAsia="zh-CN"/>
        </w:rPr>
        <w:t>，临时堆料场主要用于临时堆放疏浚渣，紧邻施工场地布置，不占用生态保护红线、湿地公园、永久基本农田等。周边主要为农村散户居民点，无集中居住区分布，通过严格落实施工期扬尘、噪声等控制措施后，对周边居民点影响可接受，施工布置相对合理</w:t>
      </w:r>
      <w:r>
        <w:rPr>
          <w:rFonts w:hint="eastAsia"/>
          <w:color w:val="auto"/>
          <w:highlight w:val="none"/>
        </w:rPr>
        <w:t>。</w:t>
      </w:r>
    </w:p>
    <w:p>
      <w:pPr>
        <w:bidi w:val="0"/>
        <w:rPr>
          <w:rFonts w:hint="eastAsia"/>
          <w:color w:val="auto"/>
          <w:highlight w:val="none"/>
          <w:lang w:val="en-US" w:eastAsia="zh-CN"/>
        </w:rPr>
      </w:pPr>
      <w:r>
        <w:rPr>
          <w:rFonts w:hint="eastAsia"/>
          <w:color w:val="auto"/>
          <w:highlight w:val="none"/>
          <w:lang w:eastAsia="zh-CN"/>
        </w:rPr>
        <w:t>本项目设置临时弃渣场</w:t>
      </w:r>
      <w:r>
        <w:rPr>
          <w:rFonts w:hint="eastAsia"/>
          <w:color w:val="auto"/>
          <w:highlight w:val="none"/>
          <w:lang w:val="en-US" w:eastAsia="zh-CN"/>
        </w:rPr>
        <w:t>2个，对难以回填利用的弃方进行堆存，</w:t>
      </w:r>
      <w:r>
        <w:rPr>
          <w:rFonts w:hint="eastAsia"/>
          <w:color w:val="auto"/>
          <w:highlight w:val="none"/>
          <w:lang w:eastAsia="zh-CN"/>
        </w:rPr>
        <w:t>1#弃渣场位于渭沱枢纽东南侧约300m山沟处，容量约22万m³；2#弃渣场位于铜溪镇熊家岩坪南侧、省道S451北侧，运距约7km，容量约163万m³</w:t>
      </w:r>
      <w:r>
        <w:rPr>
          <w:rFonts w:hint="eastAsia"/>
          <w:color w:val="auto"/>
          <w:highlight w:val="none"/>
          <w:lang w:val="en-US" w:eastAsia="zh-CN"/>
        </w:rPr>
        <w:t>。从项目周边区域土地利用分析，合川区农业土地开发利用非常完备，永久基本农田分布范围较广，难以找到荒地或未利用地，故弃渣场不可避免占用了部分永久基本农田。本项目临时渣场分别选址于船闸东南侧300m处以及省道S451北侧，运输条件较好，除占用少量永久基本农田外，</w:t>
      </w:r>
      <w:r>
        <w:rPr>
          <w:rFonts w:hint="eastAsia"/>
          <w:color w:val="auto"/>
          <w:highlight w:val="none"/>
          <w:shd w:val="clear" w:fill="FFFFFF"/>
          <w:lang w:val="en-US" w:eastAsia="zh-CN"/>
        </w:rPr>
        <w:t>无其他</w:t>
      </w:r>
      <w:r>
        <w:rPr>
          <w:rFonts w:hint="eastAsia"/>
          <w:color w:val="auto"/>
          <w:highlight w:val="none"/>
          <w:lang w:val="en-US" w:eastAsia="zh-CN"/>
        </w:rPr>
        <w:t>敏感生态目标，不存在</w:t>
      </w:r>
      <w:r>
        <w:rPr>
          <w:rFonts w:hint="eastAsia"/>
          <w:color w:val="auto"/>
          <w:highlight w:val="none"/>
          <w:shd w:val="clear" w:fill="FFFFFF"/>
          <w:lang w:val="en-US" w:eastAsia="zh-CN"/>
        </w:rPr>
        <w:t>其他环境</w:t>
      </w:r>
      <w:r>
        <w:rPr>
          <w:rFonts w:hint="eastAsia"/>
          <w:color w:val="auto"/>
          <w:highlight w:val="none"/>
          <w:lang w:val="en-US" w:eastAsia="zh-CN"/>
        </w:rPr>
        <w:t>制约因素，弃渣场占地属于临时占地，通过落实表土剥离、复垦复耕等措施后，可恢复原种植条件，与永久基本农田及临时用地有关管理要求不冲突，从环境保护角度看选址相对合理。</w:t>
      </w:r>
    </w:p>
    <w:p>
      <w:pPr>
        <w:bidi w:val="0"/>
        <w:rPr>
          <w:rFonts w:hint="eastAsia" w:ascii="Times New Roman" w:hAnsi="Times New Roman" w:eastAsia="宋体" w:cs="Times New Roman"/>
          <w:color w:val="auto"/>
          <w:highlight w:val="none"/>
        </w:rPr>
      </w:pPr>
      <w:r>
        <w:rPr>
          <w:rFonts w:hint="eastAsia"/>
          <w:color w:val="auto"/>
          <w:highlight w:val="none"/>
        </w:rPr>
        <w:t>综上</w:t>
      </w:r>
      <w:r>
        <w:rPr>
          <w:rFonts w:hint="eastAsia"/>
          <w:color w:val="auto"/>
          <w:highlight w:val="none"/>
          <w:lang w:eastAsia="zh-CN"/>
        </w:rPr>
        <w:t>所述</w:t>
      </w:r>
      <w:r>
        <w:rPr>
          <w:rFonts w:hint="eastAsia"/>
          <w:color w:val="auto"/>
          <w:highlight w:val="none"/>
        </w:rPr>
        <w:t>，</w:t>
      </w:r>
      <w:r>
        <w:rPr>
          <w:rFonts w:hint="eastAsia"/>
          <w:color w:val="auto"/>
          <w:highlight w:val="none"/>
          <w:lang w:eastAsia="zh-CN"/>
        </w:rPr>
        <w:t>项目</w:t>
      </w:r>
      <w:r>
        <w:rPr>
          <w:rFonts w:hint="eastAsia"/>
          <w:color w:val="auto"/>
          <w:highlight w:val="none"/>
          <w:shd w:val="clear" w:fill="FFFFFF"/>
          <w:lang w:eastAsia="zh-CN"/>
        </w:rPr>
        <w:t>施工占</w:t>
      </w:r>
      <w:r>
        <w:rPr>
          <w:rFonts w:hint="eastAsia"/>
          <w:color w:val="auto"/>
          <w:highlight w:val="none"/>
          <w:lang w:eastAsia="zh-CN"/>
        </w:rPr>
        <w:t>地充分利用了现有枢纽管理区，除临时弃渣场占用少量永久基本农田外，</w:t>
      </w:r>
      <w:r>
        <w:rPr>
          <w:rFonts w:hint="eastAsia"/>
          <w:color w:val="auto"/>
          <w:highlight w:val="none"/>
        </w:rPr>
        <w:t>不占用生态保护红线、</w:t>
      </w:r>
      <w:r>
        <w:rPr>
          <w:rFonts w:hint="eastAsia"/>
          <w:color w:val="auto"/>
          <w:highlight w:val="none"/>
          <w:lang w:eastAsia="zh-CN"/>
        </w:rPr>
        <w:t>湿地公园</w:t>
      </w:r>
      <w:r>
        <w:rPr>
          <w:rFonts w:hint="eastAsia"/>
          <w:color w:val="auto"/>
          <w:highlight w:val="none"/>
        </w:rPr>
        <w:t>、饮用水源保护区等</w:t>
      </w:r>
      <w:r>
        <w:rPr>
          <w:rFonts w:hint="eastAsia"/>
          <w:color w:val="auto"/>
          <w:highlight w:val="none"/>
          <w:lang w:eastAsia="zh-CN"/>
        </w:rPr>
        <w:t>生态环境</w:t>
      </w:r>
      <w:r>
        <w:rPr>
          <w:rFonts w:hint="eastAsia"/>
          <w:color w:val="auto"/>
          <w:highlight w:val="none"/>
        </w:rPr>
        <w:t>敏感区，同时施工行为对周边居民点影响有限。根据施工方案，在施工前对各类临时占地范围内的</w:t>
      </w:r>
      <w:r>
        <w:rPr>
          <w:rFonts w:hint="eastAsia" w:ascii="Times New Roman" w:hAnsi="Times New Roman" w:eastAsia="宋体" w:cs="Times New Roman"/>
          <w:color w:val="auto"/>
          <w:highlight w:val="none"/>
        </w:rPr>
        <w:t>表层土壤进行剥离并保存，待施工作业完成后进行场地平整、覆土和绿化或恢复为农用地，对环境影响较小，因此本工程施工临时占地选址合理，从环境保护角度具有可行性。</w:t>
      </w:r>
    </w:p>
    <w:p>
      <w:pPr>
        <w:pStyle w:val="5"/>
        <w:ind w:firstLine="522"/>
        <w:rPr>
          <w:color w:val="auto"/>
          <w:highlight w:val="none"/>
        </w:rPr>
        <w:sectPr>
          <w:pgSz w:w="11906" w:h="16838"/>
          <w:pgMar w:top="1701" w:right="1588" w:bottom="1588" w:left="1588" w:header="1304" w:footer="1247" w:gutter="0"/>
          <w:cols w:space="425" w:num="1"/>
          <w:docGrid w:linePitch="312" w:charSpace="0"/>
        </w:sectPr>
      </w:pPr>
    </w:p>
    <w:p>
      <w:pPr>
        <w:spacing w:line="240" w:lineRule="auto"/>
        <w:ind w:firstLine="520"/>
        <w:rPr>
          <w:color w:val="auto"/>
          <w:highlight w:val="none"/>
        </w:rPr>
      </w:pPr>
    </w:p>
    <w:p>
      <w:pPr>
        <w:pStyle w:val="3"/>
        <w:snapToGrid w:val="0"/>
        <w:spacing w:line="240" w:lineRule="auto"/>
        <w:ind w:firstLineChars="0"/>
        <w:rPr>
          <w:color w:val="auto"/>
          <w:highlight w:val="none"/>
        </w:rPr>
      </w:pPr>
      <w:bookmarkStart w:id="65" w:name="_Toc20293"/>
      <w:r>
        <w:rPr>
          <w:rFonts w:hint="eastAsia"/>
          <w:color w:val="auto"/>
          <w:highlight w:val="none"/>
        </w:rPr>
        <w:t>建设项目</w:t>
      </w:r>
      <w:r>
        <w:rPr>
          <w:color w:val="auto"/>
          <w:highlight w:val="none"/>
        </w:rPr>
        <w:t>工程分析</w:t>
      </w:r>
      <w:bookmarkEnd w:id="65"/>
    </w:p>
    <w:p>
      <w:pPr>
        <w:snapToGrid w:val="0"/>
        <w:spacing w:line="240" w:lineRule="auto"/>
        <w:ind w:firstLine="520"/>
        <w:jc w:val="left"/>
        <w:rPr>
          <w:color w:val="auto"/>
          <w:highlight w:val="none"/>
        </w:rPr>
      </w:pPr>
    </w:p>
    <w:p>
      <w:pPr>
        <w:pStyle w:val="4"/>
        <w:rPr>
          <w:color w:val="auto"/>
          <w:highlight w:val="none"/>
        </w:rPr>
      </w:pPr>
      <w:bookmarkStart w:id="66" w:name="_Toc31435"/>
      <w:r>
        <w:rPr>
          <w:rFonts w:hint="eastAsia"/>
          <w:color w:val="auto"/>
          <w:highlight w:val="none"/>
        </w:rPr>
        <w:t>工程位置</w:t>
      </w:r>
      <w:bookmarkEnd w:id="66"/>
    </w:p>
    <w:p>
      <w:pPr>
        <w:ind w:firstLine="520"/>
        <w:rPr>
          <w:color w:val="auto"/>
          <w:highlight w:val="none"/>
        </w:rPr>
      </w:pPr>
      <w:bookmarkStart w:id="67" w:name="OLE_LINK25"/>
      <w:r>
        <w:rPr>
          <w:rFonts w:hint="eastAsia"/>
          <w:color w:val="auto"/>
          <w:highlight w:val="none"/>
        </w:rPr>
        <w:t>涪江系嘉陵江右岸最大支流，发源于四川松潘县黄龙至平武一带，流经四川省遂宁与重庆市潼南、铜梁、合川等市区，在三星大坝进入渝境，渝境内长136公里，为涪江下游段，航道开发条件较好，是重庆规划建设“一干四支六线”航道</w:t>
      </w:r>
      <w:r>
        <w:rPr>
          <w:rFonts w:hint="eastAsia"/>
          <w:color w:val="auto"/>
          <w:highlight w:val="none"/>
          <w:shd w:val="clear" w:fill="FFFFFF"/>
          <w:lang w:eastAsia="zh-CN"/>
        </w:rPr>
        <w:t>网络中</w:t>
      </w:r>
      <w:r>
        <w:rPr>
          <w:rFonts w:hint="eastAsia"/>
          <w:color w:val="auto"/>
          <w:highlight w:val="none"/>
        </w:rPr>
        <w:t>四支之一。</w:t>
      </w:r>
    </w:p>
    <w:p>
      <w:pPr>
        <w:ind w:firstLine="520"/>
        <w:rPr>
          <w:color w:val="auto"/>
          <w:highlight w:val="none"/>
        </w:rPr>
      </w:pPr>
      <w:r>
        <w:rPr>
          <w:rFonts w:hint="eastAsia"/>
          <w:color w:val="auto"/>
          <w:highlight w:val="none"/>
        </w:rPr>
        <w:t>涪江航道重庆段规划有双江、潼南、富金坝、安居和渭沱共5个梯级，渭沱枢纽工程位于合川区渭沱镇涪江干流，是涪江流域总体规划中最后一级，下距涪江、嘉陵江交汇处23km，距离合川城区20km，距离重庆主城区118km。本次对渭沱枢纽现有船闸进行改造，位于现有枢纽右岸。</w:t>
      </w:r>
    </w:p>
    <w:bookmarkEnd w:id="67"/>
    <w:p>
      <w:pPr>
        <w:pStyle w:val="2"/>
        <w:jc w:val="center"/>
        <w:rPr>
          <w:color w:val="auto"/>
          <w:highlight w:val="none"/>
        </w:rPr>
      </w:pPr>
      <w:r>
        <w:rPr>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3587115</wp:posOffset>
                </wp:positionH>
                <wp:positionV relativeFrom="paragraph">
                  <wp:posOffset>2760345</wp:posOffset>
                </wp:positionV>
                <wp:extent cx="827405" cy="257175"/>
                <wp:effectExtent l="6350" t="6350" r="23495" b="22225"/>
                <wp:wrapNone/>
                <wp:docPr id="114" name="矩形 114"/>
                <wp:cNvGraphicFramePr/>
                <a:graphic xmlns:a="http://schemas.openxmlformats.org/drawingml/2006/main">
                  <a:graphicData uri="http://schemas.microsoft.com/office/word/2010/wordprocessingShape">
                    <wps:wsp>
                      <wps:cNvSpPr/>
                      <wps:spPr>
                        <a:xfrm>
                          <a:off x="4606290" y="7388225"/>
                          <a:ext cx="827405" cy="257175"/>
                        </a:xfrm>
                        <a:prstGeom prst="rect">
                          <a:avLst/>
                        </a:prstGeom>
                        <a:solidFill>
                          <a:srgbClr val="FF0000">
                            <a:alpha val="42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2.45pt;margin-top:217.35pt;height:20.25pt;width:65.15pt;z-index:251663360;v-text-anchor:middle;mso-width-relative:page;mso-height-relative:page;" fillcolor="#FF0000" filled="t" stroked="t" coordsize="21600,21600" o:gfxdata="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0siwb2wAA&#10;AAsBAAAPAAAAAAAAAAEAIAAAACIAAABkcnMvZG93bnJldi54bWxQSwECFAAUAAAACACHTuJA7pPV&#10;t40CAAAkBQAADgAAAAAAAAABACAAAAAqAQAAZHJzL2Uyb0RvYy54bWxQSwUGAAAAAAYABgBZAQAA&#10;KQYAAAAA&#10;">
                <v:fill on="t" opacity="27525f" focussize="0,0"/>
                <v:stroke weight="1pt" color="#FF0000 [3204]" miterlimit="8" joinstyle="miter"/>
                <v:imagedata o:title=""/>
                <o:lock v:ext="edit" aspectratio="f"/>
              </v:rect>
            </w:pict>
          </mc:Fallback>
        </mc:AlternateContent>
      </w:r>
      <w:r>
        <w:rPr>
          <w:color w:val="auto"/>
          <w:highlight w:val="none"/>
        </w:rPr>
        <w:drawing>
          <wp:inline distT="0" distB="0" distL="114300" distR="114300">
            <wp:extent cx="5252720" cy="4509770"/>
            <wp:effectExtent l="0" t="0" r="5080" b="5080"/>
            <wp:docPr id="1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7"/>
                    <pic:cNvPicPr>
                      <a:picLocks noChangeAspect="1"/>
                    </pic:cNvPicPr>
                  </pic:nvPicPr>
                  <pic:blipFill>
                    <a:blip r:embed="rId20"/>
                    <a:stretch>
                      <a:fillRect/>
                    </a:stretch>
                  </pic:blipFill>
                  <pic:spPr>
                    <a:xfrm>
                      <a:off x="0" y="0"/>
                      <a:ext cx="5252720" cy="4509770"/>
                    </a:xfrm>
                    <a:prstGeom prst="rect">
                      <a:avLst/>
                    </a:prstGeom>
                    <a:noFill/>
                    <a:ln>
                      <a:noFill/>
                    </a:ln>
                  </pic:spPr>
                </pic:pic>
              </a:graphicData>
            </a:graphic>
          </wp:inline>
        </w:drawing>
      </w:r>
    </w:p>
    <w:p>
      <w:pPr>
        <w:ind w:firstLine="522"/>
        <w:jc w:val="center"/>
        <w:rPr>
          <w:b/>
          <w:bCs/>
          <w:color w:val="auto"/>
          <w:highlight w:val="none"/>
        </w:rPr>
      </w:pPr>
      <w:r>
        <w:rPr>
          <w:rFonts w:hint="eastAsia"/>
          <w:b/>
          <w:bCs/>
          <w:color w:val="auto"/>
          <w:highlight w:val="none"/>
        </w:rPr>
        <w:t>图2.1-1 涪江（遂宁至合川段）梯级布局图</w:t>
      </w:r>
    </w:p>
    <w:p>
      <w:pPr>
        <w:pStyle w:val="4"/>
        <w:rPr>
          <w:color w:val="auto"/>
          <w:highlight w:val="none"/>
        </w:rPr>
      </w:pPr>
      <w:bookmarkStart w:id="68" w:name="_Toc20315"/>
      <w:r>
        <w:rPr>
          <w:rFonts w:hint="eastAsia"/>
          <w:color w:val="auto"/>
          <w:highlight w:val="none"/>
          <w:lang w:eastAsia="zh-CN"/>
        </w:rPr>
        <w:t>航道规划情况</w:t>
      </w:r>
      <w:bookmarkEnd w:id="68"/>
    </w:p>
    <w:p>
      <w:pPr>
        <w:rPr>
          <w:rFonts w:hint="eastAsia"/>
          <w:color w:val="auto"/>
          <w:highlight w:val="none"/>
          <w:lang w:val="en-US" w:eastAsia="zh-CN"/>
        </w:rPr>
      </w:pPr>
      <w:r>
        <w:rPr>
          <w:rFonts w:hint="eastAsia"/>
          <w:color w:val="auto"/>
          <w:highlight w:val="none"/>
        </w:rPr>
        <w:t>1977年，四川省水利水电勘察设计</w:t>
      </w:r>
      <w:r>
        <w:rPr>
          <w:rFonts w:hint="eastAsia"/>
          <w:color w:val="auto"/>
          <w:highlight w:val="none"/>
          <w:shd w:val="clear" w:fill="FFFFFF"/>
          <w:lang w:eastAsia="zh-CN"/>
        </w:rPr>
        <w:t>研究院</w:t>
      </w:r>
      <w:r>
        <w:rPr>
          <w:rFonts w:hint="eastAsia"/>
          <w:color w:val="auto"/>
          <w:highlight w:val="none"/>
        </w:rPr>
        <w:t>编制了《四川省涪江综合利用规划报告》</w:t>
      </w:r>
      <w:r>
        <w:rPr>
          <w:rFonts w:hint="eastAsia"/>
          <w:color w:val="auto"/>
          <w:highlight w:val="none"/>
          <w:lang w:eastAsia="zh-CN"/>
        </w:rPr>
        <w:t>；</w:t>
      </w:r>
      <w:r>
        <w:rPr>
          <w:rFonts w:hint="eastAsia"/>
          <w:color w:val="auto"/>
          <w:highlight w:val="none"/>
        </w:rPr>
        <w:t>1994年</w:t>
      </w:r>
      <w:r>
        <w:rPr>
          <w:rFonts w:hint="eastAsia"/>
          <w:color w:val="auto"/>
          <w:highlight w:val="none"/>
          <w:lang w:eastAsia="zh-CN"/>
        </w:rPr>
        <w:t>，</w:t>
      </w:r>
      <w:r>
        <w:rPr>
          <w:rFonts w:hint="eastAsia"/>
          <w:color w:val="auto"/>
          <w:highlight w:val="none"/>
        </w:rPr>
        <w:t>编制了《四川省涪江流域水资源开发总体规划补充报告》</w:t>
      </w:r>
      <w:r>
        <w:rPr>
          <w:rFonts w:hint="eastAsia"/>
          <w:color w:val="auto"/>
          <w:highlight w:val="none"/>
          <w:lang w:eastAsia="zh-CN"/>
        </w:rPr>
        <w:t>，其中在涪江重庆段规划了双江、大佛场、富金坝、安居和渭沱</w:t>
      </w:r>
      <w:r>
        <w:rPr>
          <w:rFonts w:hint="eastAsia"/>
          <w:color w:val="auto"/>
          <w:highlight w:val="none"/>
          <w:lang w:val="en-US" w:eastAsia="zh-CN"/>
        </w:rPr>
        <w:t>5</w:t>
      </w:r>
      <w:r>
        <w:rPr>
          <w:rFonts w:hint="eastAsia"/>
          <w:color w:val="auto"/>
          <w:highlight w:val="none"/>
          <w:lang w:eastAsia="zh-CN"/>
        </w:rPr>
        <w:t>个梯级，</w:t>
      </w:r>
      <w:r>
        <w:rPr>
          <w:rFonts w:ascii="Times New Roman" w:hAnsi="Times New Roman"/>
          <w:color w:val="auto"/>
          <w:sz w:val="26"/>
          <w:szCs w:val="26"/>
          <w:highlight w:val="none"/>
        </w:rPr>
        <w:t>涪江干流规划航道等级</w:t>
      </w:r>
      <w:r>
        <w:rPr>
          <w:rFonts w:hint="eastAsia" w:ascii="Times New Roman" w:hAnsi="Times New Roman"/>
          <w:color w:val="auto"/>
          <w:sz w:val="26"/>
          <w:szCs w:val="26"/>
          <w:highlight w:val="none"/>
          <w:lang w:eastAsia="zh-CN"/>
        </w:rPr>
        <w:t>为</w:t>
      </w:r>
      <w:r>
        <w:rPr>
          <w:rFonts w:ascii="Times New Roman" w:hAnsi="Times New Roman"/>
          <w:color w:val="auto"/>
          <w:sz w:val="26"/>
          <w:szCs w:val="26"/>
          <w:highlight w:val="none"/>
        </w:rPr>
        <w:fldChar w:fldCharType="begin"/>
      </w:r>
      <w:r>
        <w:rPr>
          <w:rFonts w:ascii="Times New Roman" w:hAnsi="Times New Roman"/>
          <w:color w:val="auto"/>
          <w:sz w:val="26"/>
          <w:szCs w:val="26"/>
          <w:highlight w:val="none"/>
        </w:rPr>
        <w:instrText xml:space="preserve"> = 5 \* ROMAN </w:instrText>
      </w:r>
      <w:r>
        <w:rPr>
          <w:rFonts w:ascii="Times New Roman" w:hAnsi="Times New Roman"/>
          <w:color w:val="auto"/>
          <w:sz w:val="26"/>
          <w:szCs w:val="26"/>
          <w:highlight w:val="none"/>
        </w:rPr>
        <w:fldChar w:fldCharType="separate"/>
      </w:r>
      <w:r>
        <w:rPr>
          <w:rFonts w:ascii="Times New Roman" w:hAnsi="Times New Roman"/>
          <w:color w:val="auto"/>
          <w:sz w:val="26"/>
          <w:szCs w:val="26"/>
          <w:highlight w:val="none"/>
        </w:rPr>
        <w:t>V</w:t>
      </w:r>
      <w:r>
        <w:rPr>
          <w:rFonts w:ascii="Times New Roman" w:hAnsi="Times New Roman"/>
          <w:color w:val="auto"/>
          <w:sz w:val="26"/>
          <w:szCs w:val="26"/>
          <w:highlight w:val="none"/>
        </w:rPr>
        <w:fldChar w:fldCharType="end"/>
      </w:r>
      <w:r>
        <w:rPr>
          <w:rFonts w:ascii="Times New Roman" w:hAnsi="Times New Roman"/>
          <w:color w:val="auto"/>
          <w:sz w:val="26"/>
          <w:szCs w:val="26"/>
          <w:highlight w:val="none"/>
        </w:rPr>
        <w:t>级</w:t>
      </w:r>
      <w:r>
        <w:rPr>
          <w:rFonts w:hint="eastAsia"/>
          <w:color w:val="auto"/>
          <w:highlight w:val="none"/>
          <w:lang w:eastAsia="zh-CN"/>
        </w:rPr>
        <w:t>；2013年，重庆市发展和改革委员会以渝发改能</w:t>
      </w:r>
      <w:r>
        <w:rPr>
          <w:rFonts w:hint="eastAsia"/>
          <w:color w:val="auto"/>
          <w:highlight w:val="none"/>
        </w:rPr>
        <w:t>〔2</w:t>
      </w:r>
      <w:r>
        <w:rPr>
          <w:rFonts w:hint="eastAsia"/>
          <w:color w:val="auto"/>
          <w:highlight w:val="none"/>
          <w:lang w:val="en-US" w:eastAsia="zh-CN"/>
        </w:rPr>
        <w:t>013</w:t>
      </w:r>
      <w:r>
        <w:rPr>
          <w:rFonts w:hint="eastAsia"/>
          <w:color w:val="auto"/>
          <w:highlight w:val="none"/>
        </w:rPr>
        <w:t>〕</w:t>
      </w:r>
      <w:r>
        <w:rPr>
          <w:rFonts w:hint="eastAsia"/>
          <w:color w:val="auto"/>
          <w:highlight w:val="none"/>
          <w:lang w:eastAsia="zh-CN"/>
        </w:rPr>
        <w:t>333号文批复了《涪江干流潼南段梯级规划调整报告》，该报告将重庆境内梯级调整为双江、潼南、富金坝、安居和渭沱5个梯级。</w:t>
      </w:r>
    </w:p>
    <w:p>
      <w:pPr>
        <w:rPr>
          <w:color w:val="auto"/>
          <w:highlight w:val="none"/>
        </w:rPr>
      </w:pPr>
      <w:r>
        <w:rPr>
          <w:rFonts w:hint="eastAsia"/>
          <w:color w:val="auto"/>
          <w:highlight w:val="none"/>
          <w:lang w:val="en-US" w:eastAsia="zh-CN"/>
        </w:rPr>
        <w:t>2024年11月，</w:t>
      </w:r>
      <w:r>
        <w:rPr>
          <w:rFonts w:hint="eastAsia"/>
          <w:color w:val="auto"/>
          <w:highlight w:val="none"/>
          <w:shd w:val="clear" w:fill="FFFFFF"/>
          <w:lang w:val="en-US" w:eastAsia="zh-CN"/>
        </w:rPr>
        <w:t>重庆市人民政府</w:t>
      </w:r>
      <w:r>
        <w:rPr>
          <w:rFonts w:hint="eastAsia"/>
          <w:color w:val="auto"/>
          <w:highlight w:val="none"/>
          <w:lang w:val="en-US" w:eastAsia="zh-CN"/>
        </w:rPr>
        <w:t>以“渝府〔2024〕80号”对</w:t>
      </w:r>
      <w:r>
        <w:rPr>
          <w:rFonts w:hint="eastAsia"/>
          <w:color w:val="auto"/>
          <w:highlight w:val="none"/>
          <w:lang w:eastAsia="zh-CN"/>
        </w:rPr>
        <w:t>《重庆市航道规划（2035年）》进行批复。规划指出：涪江是嘉陵江右岸最大的支流（长江二级支流），全国港口航道布局规划中涪江遂宁至合川188公里为国家高等级航道，在潼南区玉溪镇西进入重庆，于合川区市区南汇入嘉陵江，境内航道里程136公里，涪江开发建设是发展低碳经济、助力沿江产业发展的切实需要，对助推成渝地区双城经济圈建设具有重要意义。规划涪江三星大坝至合川</w:t>
      </w:r>
      <w:r>
        <w:rPr>
          <w:rFonts w:hint="eastAsia"/>
          <w:color w:val="auto"/>
          <w:highlight w:val="none"/>
          <w:shd w:val="clear" w:fill="FFFFFF"/>
          <w:lang w:eastAsia="zh-CN"/>
        </w:rPr>
        <w:t>鸭咀</w:t>
      </w:r>
      <w:r>
        <w:rPr>
          <w:rFonts w:hint="eastAsia"/>
          <w:color w:val="auto"/>
          <w:highlight w:val="none"/>
          <w:lang w:eastAsia="zh-CN"/>
        </w:rPr>
        <w:t>136公里为</w:t>
      </w:r>
      <w:r>
        <w:rPr>
          <w:rFonts w:hint="eastAsia"/>
          <w:color w:val="auto"/>
          <w:szCs w:val="26"/>
          <w:highlight w:val="none"/>
        </w:rPr>
        <w:fldChar w:fldCharType="begin"/>
      </w:r>
      <w:r>
        <w:rPr>
          <w:rFonts w:hint="eastAsia"/>
          <w:color w:val="auto"/>
          <w:szCs w:val="26"/>
          <w:highlight w:val="none"/>
        </w:rPr>
        <w:instrText xml:space="preserve"> = 3 \* ROMAN \* MERGEFORMAT </w:instrText>
      </w:r>
      <w:r>
        <w:rPr>
          <w:rFonts w:hint="eastAsia"/>
          <w:color w:val="auto"/>
          <w:szCs w:val="26"/>
          <w:highlight w:val="none"/>
        </w:rPr>
        <w:fldChar w:fldCharType="separate"/>
      </w:r>
      <w:r>
        <w:rPr>
          <w:color w:val="auto"/>
          <w:highlight w:val="none"/>
        </w:rPr>
        <w:t>III</w:t>
      </w:r>
      <w:r>
        <w:rPr>
          <w:rFonts w:hint="eastAsia"/>
          <w:color w:val="auto"/>
          <w:szCs w:val="26"/>
          <w:highlight w:val="none"/>
        </w:rPr>
        <w:fldChar w:fldCharType="end"/>
      </w:r>
      <w:r>
        <w:rPr>
          <w:rFonts w:hint="eastAsia"/>
          <w:color w:val="auto"/>
          <w:highlight w:val="none"/>
          <w:lang w:eastAsia="zh-CN"/>
        </w:rPr>
        <w:t>级航道。</w:t>
      </w:r>
    </w:p>
    <w:p>
      <w:pPr>
        <w:pStyle w:val="4"/>
        <w:rPr>
          <w:color w:val="auto"/>
          <w:highlight w:val="none"/>
        </w:rPr>
      </w:pPr>
      <w:bookmarkStart w:id="69" w:name="_Toc19571"/>
      <w:r>
        <w:rPr>
          <w:rFonts w:hint="eastAsia"/>
          <w:color w:val="auto"/>
          <w:highlight w:val="none"/>
        </w:rPr>
        <w:t>涪江航道及水运量现状</w:t>
      </w:r>
      <w:bookmarkEnd w:id="69"/>
    </w:p>
    <w:p>
      <w:pPr>
        <w:pStyle w:val="5"/>
        <w:ind w:firstLine="522"/>
        <w:rPr>
          <w:color w:val="auto"/>
          <w:highlight w:val="none"/>
          <w:lang w:val="zh-CN"/>
        </w:rPr>
      </w:pPr>
      <w:r>
        <w:rPr>
          <w:rFonts w:hint="eastAsia"/>
          <w:color w:val="auto"/>
          <w:highlight w:val="none"/>
          <w:lang w:val="zh-CN"/>
        </w:rPr>
        <w:t>航道尺度等级现状</w:t>
      </w:r>
    </w:p>
    <w:p>
      <w:pPr>
        <w:adjustRightInd w:val="0"/>
        <w:snapToGrid w:val="0"/>
        <w:ind w:firstLine="520"/>
        <w:rPr>
          <w:color w:val="auto"/>
          <w:szCs w:val="26"/>
          <w:highlight w:val="none"/>
          <w:lang w:val="zh-CN"/>
        </w:rPr>
      </w:pPr>
      <w:r>
        <w:rPr>
          <w:rFonts w:hint="eastAsia"/>
          <w:color w:val="auto"/>
          <w:szCs w:val="26"/>
          <w:highlight w:val="none"/>
          <w:lang w:val="zh-CN"/>
        </w:rPr>
        <w:t>涪江重庆境内河段海拔200m～700m，沿江两岸多为漫滩及冲积台地，河床渐次开阔，枯水河面宽100m～300m，地质多为砂卵石，落差约40m，河道水面比降0.49‰，河床稳定，水流集中，能通行100t～1000t级船舶。</w:t>
      </w:r>
    </w:p>
    <w:p>
      <w:pPr>
        <w:adjustRightInd w:val="0"/>
        <w:snapToGrid w:val="0"/>
        <w:ind w:firstLine="520"/>
        <w:rPr>
          <w:color w:val="auto"/>
          <w:szCs w:val="26"/>
          <w:highlight w:val="none"/>
          <w:lang w:val="zh-CN"/>
        </w:rPr>
      </w:pPr>
      <w:r>
        <w:rPr>
          <w:rFonts w:hint="eastAsia"/>
          <w:color w:val="auto"/>
          <w:szCs w:val="26"/>
          <w:highlight w:val="none"/>
          <w:lang w:val="zh-CN"/>
        </w:rPr>
        <w:t>涪江重庆境内分段航道维护尺度标准如下。</w:t>
      </w:r>
    </w:p>
    <w:p>
      <w:pPr>
        <w:adjustRightInd w:val="0"/>
        <w:snapToGrid w:val="0"/>
        <w:ind w:firstLine="520"/>
        <w:rPr>
          <w:color w:val="auto"/>
          <w:szCs w:val="26"/>
          <w:highlight w:val="none"/>
          <w:lang w:val="zh-CN"/>
        </w:rPr>
      </w:pPr>
      <w:r>
        <w:rPr>
          <w:rFonts w:hint="eastAsia"/>
          <w:color w:val="auto"/>
          <w:szCs w:val="26"/>
          <w:highlight w:val="none"/>
          <w:lang w:val="zh-CN"/>
        </w:rPr>
        <w:t>（</w:t>
      </w:r>
      <w:r>
        <w:rPr>
          <w:rFonts w:hint="eastAsia"/>
          <w:color w:val="auto"/>
          <w:szCs w:val="26"/>
          <w:highlight w:val="none"/>
        </w:rPr>
        <w:t>1</w:t>
      </w:r>
      <w:r>
        <w:rPr>
          <w:rFonts w:hint="eastAsia"/>
          <w:color w:val="auto"/>
          <w:szCs w:val="26"/>
          <w:highlight w:val="none"/>
          <w:lang w:val="zh-CN"/>
        </w:rPr>
        <w:t>）渭沱坝下～河口航段（草街枢纽库尾）：航道维护等级Ⅴ级，航道维护尺度(航深×航宽×弯曲半径)为：2.4×60×480m。</w:t>
      </w:r>
    </w:p>
    <w:p>
      <w:pPr>
        <w:adjustRightInd w:val="0"/>
        <w:snapToGrid w:val="0"/>
        <w:ind w:firstLine="520"/>
        <w:rPr>
          <w:color w:val="auto"/>
          <w:szCs w:val="26"/>
          <w:highlight w:val="none"/>
          <w:lang w:val="zh-CN"/>
        </w:rPr>
      </w:pPr>
      <w:r>
        <w:rPr>
          <w:rFonts w:hint="eastAsia"/>
          <w:color w:val="auto"/>
          <w:szCs w:val="26"/>
          <w:highlight w:val="none"/>
          <w:lang w:val="zh-CN"/>
        </w:rPr>
        <w:t>（</w:t>
      </w:r>
      <w:r>
        <w:rPr>
          <w:rFonts w:hint="eastAsia"/>
          <w:color w:val="auto"/>
          <w:szCs w:val="26"/>
          <w:highlight w:val="none"/>
        </w:rPr>
        <w:t>2</w:t>
      </w:r>
      <w:r>
        <w:rPr>
          <w:rFonts w:hint="eastAsia"/>
          <w:color w:val="auto"/>
          <w:szCs w:val="26"/>
          <w:highlight w:val="none"/>
          <w:lang w:val="zh-CN"/>
        </w:rPr>
        <w:t>）渭沱枢纽～安居枢纽航段：航道维护等级</w:t>
      </w:r>
      <w:r>
        <w:rPr>
          <w:rFonts w:hint="eastAsia"/>
          <w:color w:val="auto"/>
          <w:szCs w:val="26"/>
          <w:highlight w:val="none"/>
          <w:shd w:val="clear" w:color="auto" w:fill="FFFFFF"/>
          <w:lang w:val="zh-CN"/>
        </w:rPr>
        <w:t>Ⅵ级</w:t>
      </w:r>
      <w:r>
        <w:rPr>
          <w:rFonts w:hint="eastAsia"/>
          <w:color w:val="auto"/>
          <w:szCs w:val="26"/>
          <w:highlight w:val="none"/>
          <w:lang w:val="zh-CN"/>
        </w:rPr>
        <w:t>，航道维护尺度为：1.0×30×180m。</w:t>
      </w:r>
    </w:p>
    <w:p>
      <w:pPr>
        <w:adjustRightInd w:val="0"/>
        <w:snapToGrid w:val="0"/>
        <w:ind w:firstLine="520"/>
        <w:rPr>
          <w:color w:val="auto"/>
          <w:szCs w:val="26"/>
          <w:highlight w:val="none"/>
          <w:lang w:val="zh-CN"/>
        </w:rPr>
      </w:pPr>
      <w:r>
        <w:rPr>
          <w:rFonts w:hint="eastAsia"/>
          <w:color w:val="auto"/>
          <w:szCs w:val="26"/>
          <w:highlight w:val="none"/>
          <w:lang w:val="zh-CN"/>
        </w:rPr>
        <w:t>（</w:t>
      </w:r>
      <w:r>
        <w:rPr>
          <w:rFonts w:hint="eastAsia"/>
          <w:color w:val="auto"/>
          <w:szCs w:val="26"/>
          <w:highlight w:val="none"/>
        </w:rPr>
        <w:t>3</w:t>
      </w:r>
      <w:r>
        <w:rPr>
          <w:rFonts w:hint="eastAsia"/>
          <w:color w:val="auto"/>
          <w:szCs w:val="26"/>
          <w:highlight w:val="none"/>
          <w:lang w:val="zh-CN"/>
        </w:rPr>
        <w:t>）潼南枢纽～富金坝枢纽航段：航道维护等级V级，航道维护尺度为： 1.3×40×260m。</w:t>
      </w:r>
    </w:p>
    <w:p>
      <w:pPr>
        <w:adjustRightInd w:val="0"/>
        <w:snapToGrid w:val="0"/>
        <w:ind w:firstLine="520"/>
        <w:rPr>
          <w:color w:val="auto"/>
          <w:szCs w:val="26"/>
          <w:highlight w:val="none"/>
          <w:lang w:val="zh-CN"/>
        </w:rPr>
      </w:pPr>
      <w:r>
        <w:rPr>
          <w:rFonts w:hint="eastAsia"/>
          <w:color w:val="auto"/>
          <w:szCs w:val="26"/>
          <w:highlight w:val="none"/>
          <w:lang w:val="zh-CN"/>
        </w:rPr>
        <w:t>（</w:t>
      </w:r>
      <w:r>
        <w:rPr>
          <w:rFonts w:hint="eastAsia"/>
          <w:color w:val="auto"/>
          <w:szCs w:val="26"/>
          <w:highlight w:val="none"/>
        </w:rPr>
        <w:t>4</w:t>
      </w:r>
      <w:r>
        <w:rPr>
          <w:rFonts w:hint="eastAsia"/>
          <w:color w:val="auto"/>
          <w:szCs w:val="26"/>
          <w:highlight w:val="none"/>
          <w:lang w:val="zh-CN"/>
        </w:rPr>
        <w:t>）双江枢纽以上航段15km：航道维护等级Ⅶ级，航道维护尺度：0.7×24×130m。其中双江枢纽旁的三块石人工运河航段：航道维护等级</w:t>
      </w:r>
      <w:r>
        <w:rPr>
          <w:rFonts w:hint="eastAsia"/>
          <w:color w:val="auto"/>
          <w:szCs w:val="26"/>
          <w:highlight w:val="none"/>
          <w:shd w:val="clear" w:fill="FFFFFF"/>
          <w:lang w:val="zh-CN"/>
        </w:rPr>
        <w:t>Ⅵ级</w:t>
      </w:r>
      <w:r>
        <w:rPr>
          <w:rFonts w:hint="eastAsia"/>
          <w:color w:val="auto"/>
          <w:szCs w:val="26"/>
          <w:highlight w:val="none"/>
          <w:lang w:val="zh-CN"/>
        </w:rPr>
        <w:t>，航道维护尺度：1.0×30×180m。</w:t>
      </w:r>
    </w:p>
    <w:p>
      <w:pPr>
        <w:adjustRightInd w:val="0"/>
        <w:snapToGrid w:val="0"/>
        <w:ind w:firstLine="520"/>
        <w:rPr>
          <w:color w:val="auto"/>
          <w:szCs w:val="26"/>
          <w:highlight w:val="none"/>
          <w:lang w:val="zh-CN"/>
        </w:rPr>
      </w:pPr>
      <w:r>
        <w:rPr>
          <w:rFonts w:hint="eastAsia"/>
          <w:color w:val="auto"/>
          <w:szCs w:val="26"/>
          <w:highlight w:val="none"/>
          <w:lang w:val="zh-CN"/>
        </w:rPr>
        <w:t>涪江重庆段现有船闸的等级为Ⅳ至Ⅵ级。干流上已建有潼南、富金坝、安居、渭沱航电枢纽，在建双江航道枢纽。其中双江船闸为Ⅳ级，通行500t级（兼顾1000t级）船舶，潼南船闸为Ⅳ级，通行500t船舶、富金坝船闸为Ⅴ级，通行 300t船舶、安居船闸为Ⅵ级，通行100t船舶、渭沱船闸为Ⅵ级，通行100t 船舶，船闸级别低，不能满足1000t级船舶通行。</w:t>
      </w:r>
    </w:p>
    <w:p>
      <w:pPr>
        <w:pStyle w:val="5"/>
        <w:ind w:firstLine="522"/>
        <w:rPr>
          <w:color w:val="auto"/>
          <w:highlight w:val="none"/>
          <w:lang w:val="zh-CN"/>
        </w:rPr>
      </w:pPr>
      <w:r>
        <w:rPr>
          <w:rFonts w:hint="eastAsia"/>
          <w:color w:val="auto"/>
          <w:highlight w:val="none"/>
          <w:lang w:val="zh-CN"/>
        </w:rPr>
        <w:t>航电枢纽建设现状</w:t>
      </w:r>
    </w:p>
    <w:p>
      <w:pPr>
        <w:shd w:val="clear" w:color="auto" w:fill="FFFFFF"/>
        <w:adjustRightInd w:val="0"/>
        <w:snapToGrid w:val="0"/>
        <w:ind w:firstLine="520"/>
        <w:rPr>
          <w:color w:val="auto"/>
          <w:szCs w:val="26"/>
          <w:highlight w:val="none"/>
        </w:rPr>
      </w:pPr>
      <w:r>
        <w:rPr>
          <w:rFonts w:hint="eastAsia"/>
          <w:color w:val="auto"/>
          <w:szCs w:val="26"/>
          <w:highlight w:val="none"/>
        </w:rPr>
        <w:t>涪江航道（重庆段</w:t>
      </w:r>
      <w:r>
        <w:rPr>
          <w:rFonts w:hint="eastAsia"/>
          <w:color w:val="auto"/>
          <w:szCs w:val="26"/>
          <w:highlight w:val="none"/>
          <w:shd w:val="clear" w:color="auto" w:fill="FFFFFF"/>
        </w:rPr>
        <w:t>）</w:t>
      </w:r>
      <w:r>
        <w:rPr>
          <w:rFonts w:hint="eastAsia"/>
          <w:color w:val="auto"/>
          <w:szCs w:val="26"/>
          <w:highlight w:val="none"/>
        </w:rPr>
        <w:t>自上游至河口段共</w:t>
      </w:r>
      <w:r>
        <w:rPr>
          <w:rFonts w:hint="eastAsia"/>
          <w:color w:val="auto"/>
          <w:szCs w:val="26"/>
          <w:highlight w:val="none"/>
          <w:lang w:eastAsia="zh-CN"/>
        </w:rPr>
        <w:t>建设</w:t>
      </w:r>
      <w:r>
        <w:rPr>
          <w:rFonts w:hint="eastAsia"/>
          <w:color w:val="auto"/>
          <w:szCs w:val="26"/>
          <w:highlight w:val="none"/>
        </w:rPr>
        <w:t>有</w:t>
      </w:r>
      <w:r>
        <w:rPr>
          <w:color w:val="auto"/>
          <w:szCs w:val="26"/>
          <w:highlight w:val="none"/>
        </w:rPr>
        <w:t>双江、潼南、富金坝、安居和渭沱共5个梯级</w:t>
      </w:r>
      <w:r>
        <w:rPr>
          <w:rFonts w:hint="eastAsia"/>
          <w:color w:val="auto"/>
          <w:szCs w:val="26"/>
          <w:highlight w:val="none"/>
        </w:rPr>
        <w:t>航电枢纽</w:t>
      </w:r>
      <w:r>
        <w:rPr>
          <w:color w:val="auto"/>
          <w:szCs w:val="26"/>
          <w:highlight w:val="none"/>
        </w:rPr>
        <w:t>。各枢纽基本情况如下</w:t>
      </w:r>
      <w:r>
        <w:rPr>
          <w:rFonts w:hint="eastAsia"/>
          <w:color w:val="auto"/>
          <w:szCs w:val="26"/>
          <w:highlight w:val="none"/>
        </w:rPr>
        <w:t>：</w:t>
      </w:r>
    </w:p>
    <w:p>
      <w:pPr>
        <w:pStyle w:val="221"/>
        <w:spacing w:line="480" w:lineRule="exact"/>
        <w:ind w:firstLine="520"/>
        <w:rPr>
          <w:rFonts w:ascii="Times New Roman" w:hAnsi="Times New Roman"/>
          <w:color w:val="auto"/>
          <w:sz w:val="26"/>
          <w:szCs w:val="26"/>
          <w:highlight w:val="none"/>
        </w:rPr>
      </w:pPr>
      <w:r>
        <w:rPr>
          <w:rFonts w:ascii="Times New Roman" w:hAnsi="Times New Roman"/>
          <w:color w:val="auto"/>
          <w:sz w:val="26"/>
          <w:szCs w:val="26"/>
          <w:highlight w:val="none"/>
        </w:rPr>
        <w:t>（1）双江枢纽</w:t>
      </w:r>
    </w:p>
    <w:p>
      <w:pPr>
        <w:pStyle w:val="221"/>
        <w:spacing w:line="480" w:lineRule="exact"/>
        <w:ind w:firstLine="520"/>
        <w:rPr>
          <w:rFonts w:ascii="Times New Roman" w:hAnsi="Times New Roman"/>
          <w:color w:val="auto"/>
          <w:sz w:val="26"/>
          <w:szCs w:val="26"/>
          <w:highlight w:val="none"/>
        </w:rPr>
      </w:pPr>
      <w:r>
        <w:rPr>
          <w:rFonts w:ascii="Times New Roman" w:hAnsi="Times New Roman"/>
          <w:color w:val="auto"/>
          <w:sz w:val="26"/>
          <w:szCs w:val="26"/>
          <w:highlight w:val="none"/>
        </w:rPr>
        <w:t>双江航电枢纽工程坝址位于重庆市潼南区双江镇境内，处于涪江下游河段，原三块石拦河坝下游500m</w:t>
      </w:r>
      <w:r>
        <w:rPr>
          <w:rFonts w:hint="eastAsia" w:ascii="Times New Roman" w:hAnsi="Times New Roman"/>
          <w:color w:val="auto"/>
          <w:sz w:val="26"/>
          <w:szCs w:val="26"/>
          <w:highlight w:val="none"/>
        </w:rPr>
        <w:t>，工程于2022年开工建设，2024年底正式下闸蓄水</w:t>
      </w:r>
      <w:r>
        <w:rPr>
          <w:rFonts w:ascii="Times New Roman" w:hAnsi="Times New Roman"/>
          <w:color w:val="auto"/>
          <w:sz w:val="26"/>
          <w:szCs w:val="26"/>
          <w:highlight w:val="none"/>
        </w:rPr>
        <w:t>。</w:t>
      </w:r>
      <w:r>
        <w:rPr>
          <w:rFonts w:hint="eastAsia" w:ascii="Times New Roman" w:hAnsi="Times New Roman"/>
          <w:color w:val="auto"/>
          <w:sz w:val="26"/>
          <w:szCs w:val="26"/>
          <w:highlight w:val="none"/>
        </w:rPr>
        <w:t>工程开发任务</w:t>
      </w:r>
      <w:r>
        <w:rPr>
          <w:rFonts w:ascii="Times New Roman" w:hAnsi="Times New Roman"/>
          <w:color w:val="auto"/>
          <w:sz w:val="26"/>
          <w:szCs w:val="26"/>
          <w:highlight w:val="none"/>
        </w:rPr>
        <w:t>以航运为主，兼顾发电、河道生态修复等综合利用要求。双江航电枢纽工程</w:t>
      </w:r>
      <w:r>
        <w:rPr>
          <w:rFonts w:ascii="Times New Roman" w:hAnsi="Times New Roman"/>
          <w:bCs/>
          <w:color w:val="auto"/>
          <w:sz w:val="26"/>
          <w:szCs w:val="26"/>
          <w:highlight w:val="none"/>
        </w:rPr>
        <w:t>正常蓄水位249.00m，相应库容4868万m</w:t>
      </w:r>
      <w:r>
        <w:rPr>
          <w:rFonts w:ascii="Times New Roman" w:hAnsi="Times New Roman"/>
          <w:bCs/>
          <w:color w:val="auto"/>
          <w:sz w:val="26"/>
          <w:szCs w:val="26"/>
          <w:highlight w:val="none"/>
          <w:vertAlign w:val="superscript"/>
        </w:rPr>
        <w:t>3</w:t>
      </w:r>
      <w:r>
        <w:rPr>
          <w:rFonts w:ascii="Times New Roman" w:hAnsi="Times New Roman"/>
          <w:bCs/>
          <w:color w:val="auto"/>
          <w:sz w:val="26"/>
          <w:szCs w:val="26"/>
          <w:highlight w:val="none"/>
        </w:rPr>
        <w:t>，死水位248.00m</w:t>
      </w:r>
      <w:r>
        <w:rPr>
          <w:rFonts w:hint="eastAsia" w:ascii="Times New Roman" w:hAnsi="Times New Roman"/>
          <w:bCs/>
          <w:color w:val="auto"/>
          <w:sz w:val="26"/>
          <w:szCs w:val="26"/>
          <w:highlight w:val="none"/>
        </w:rPr>
        <w:t>。</w:t>
      </w:r>
      <w:r>
        <w:rPr>
          <w:rFonts w:ascii="Times New Roman" w:hAnsi="Times New Roman"/>
          <w:color w:val="auto"/>
          <w:sz w:val="26"/>
          <w:szCs w:val="26"/>
          <w:highlight w:val="none"/>
        </w:rPr>
        <w:t>电站装机容量</w:t>
      </w:r>
      <w:r>
        <w:rPr>
          <w:rFonts w:hint="eastAsia" w:ascii="Times New Roman" w:hAnsi="Times New Roman"/>
          <w:color w:val="auto"/>
          <w:sz w:val="26"/>
          <w:szCs w:val="26"/>
          <w:highlight w:val="none"/>
          <w:lang w:val="en-US" w:eastAsia="zh-CN"/>
        </w:rPr>
        <w:t>48M</w:t>
      </w:r>
      <w:r>
        <w:rPr>
          <w:rFonts w:ascii="Times New Roman" w:hAnsi="Times New Roman"/>
          <w:color w:val="auto"/>
          <w:sz w:val="26"/>
          <w:szCs w:val="26"/>
          <w:highlight w:val="none"/>
        </w:rPr>
        <w:t>W，船闸和航道等级为Ⅳ级</w:t>
      </w:r>
      <w:r>
        <w:rPr>
          <w:rFonts w:ascii="Times New Roman" w:hAnsi="Times New Roman"/>
          <w:bCs/>
          <w:color w:val="auto"/>
          <w:sz w:val="26"/>
          <w:szCs w:val="26"/>
          <w:highlight w:val="none"/>
        </w:rPr>
        <w:t>（500t级，兼顾1000t级）</w:t>
      </w:r>
      <w:r>
        <w:rPr>
          <w:rFonts w:hint="eastAsia" w:ascii="Times New Roman" w:hAnsi="Times New Roman"/>
          <w:bCs/>
          <w:color w:val="auto"/>
          <w:sz w:val="26"/>
          <w:szCs w:val="26"/>
          <w:highlight w:val="none"/>
        </w:rPr>
        <w:t>，船闸有效尺度150m×23m×4.2m（长×宽×门槛水深）</w:t>
      </w:r>
      <w:r>
        <w:rPr>
          <w:rFonts w:ascii="Times New Roman" w:hAnsi="Times New Roman"/>
          <w:bCs/>
          <w:color w:val="auto"/>
          <w:sz w:val="26"/>
          <w:szCs w:val="26"/>
          <w:highlight w:val="none"/>
        </w:rPr>
        <w:t>。</w:t>
      </w:r>
    </w:p>
    <w:p>
      <w:pPr>
        <w:pStyle w:val="221"/>
        <w:spacing w:line="480" w:lineRule="exact"/>
        <w:ind w:firstLine="520"/>
        <w:rPr>
          <w:rFonts w:ascii="Times New Roman" w:hAnsi="Times New Roman"/>
          <w:color w:val="auto"/>
          <w:sz w:val="26"/>
          <w:szCs w:val="26"/>
          <w:highlight w:val="none"/>
        </w:rPr>
      </w:pPr>
      <w:r>
        <w:rPr>
          <w:rFonts w:ascii="Times New Roman" w:hAnsi="Times New Roman"/>
          <w:color w:val="auto"/>
          <w:sz w:val="26"/>
          <w:szCs w:val="26"/>
          <w:highlight w:val="none"/>
        </w:rPr>
        <w:t>（2）潼南枢纽</w:t>
      </w:r>
    </w:p>
    <w:p>
      <w:pPr>
        <w:pStyle w:val="221"/>
        <w:spacing w:line="480" w:lineRule="exact"/>
        <w:ind w:firstLine="520"/>
        <w:rPr>
          <w:rFonts w:ascii="Times New Roman" w:hAnsi="Times New Roman"/>
          <w:color w:val="auto"/>
          <w:sz w:val="26"/>
          <w:szCs w:val="26"/>
          <w:highlight w:val="none"/>
        </w:rPr>
      </w:pPr>
      <w:r>
        <w:rPr>
          <w:rFonts w:ascii="Times New Roman" w:hAnsi="Times New Roman"/>
          <w:color w:val="auto"/>
          <w:sz w:val="26"/>
          <w:szCs w:val="26"/>
          <w:highlight w:val="none"/>
        </w:rPr>
        <w:t>潼南航电枢纽工程位于潼南区桂林街道，2014年动工，2016年完工</w:t>
      </w:r>
      <w:r>
        <w:rPr>
          <w:rFonts w:hint="eastAsia" w:ascii="Times New Roman" w:hAnsi="Times New Roman"/>
          <w:color w:val="auto"/>
          <w:sz w:val="26"/>
          <w:szCs w:val="26"/>
          <w:highlight w:val="none"/>
          <w:lang w:eastAsia="zh-CN"/>
        </w:rPr>
        <w:t>，</w:t>
      </w:r>
      <w:r>
        <w:rPr>
          <w:rFonts w:hint="eastAsia" w:ascii="Times New Roman" w:hAnsi="Times New Roman"/>
          <w:color w:val="auto"/>
          <w:sz w:val="26"/>
          <w:szCs w:val="26"/>
          <w:highlight w:val="none"/>
        </w:rPr>
        <w:t>坝址位于</w:t>
      </w:r>
      <w:r>
        <w:rPr>
          <w:rFonts w:hint="eastAsia" w:ascii="Times New Roman" w:hAnsi="Times New Roman"/>
          <w:color w:val="auto"/>
          <w:sz w:val="26"/>
          <w:szCs w:val="26"/>
          <w:highlight w:val="none"/>
          <w:shd w:val="clear" w:fill="FFFFFF"/>
          <w:lang w:eastAsia="zh-CN"/>
        </w:rPr>
        <w:t>潼南区</w:t>
      </w:r>
      <w:r>
        <w:rPr>
          <w:rFonts w:hint="eastAsia" w:ascii="Times New Roman" w:hAnsi="Times New Roman"/>
          <w:color w:val="auto"/>
          <w:sz w:val="26"/>
          <w:szCs w:val="26"/>
          <w:highlight w:val="none"/>
        </w:rPr>
        <w:t>城涪江大桥下游约3km处</w:t>
      </w:r>
      <w:r>
        <w:rPr>
          <w:rFonts w:ascii="Times New Roman" w:hAnsi="Times New Roman"/>
          <w:color w:val="auto"/>
          <w:sz w:val="26"/>
          <w:szCs w:val="26"/>
          <w:highlight w:val="none"/>
        </w:rPr>
        <w:t>，具有航运、发电、灌溉、生态修复和水体景观打造等综合功能。水库正常蓄水位为236.50m，相应库容1571万m</w:t>
      </w:r>
      <w:r>
        <w:rPr>
          <w:rFonts w:ascii="Times New Roman" w:hAnsi="Times New Roman"/>
          <w:color w:val="auto"/>
          <w:sz w:val="26"/>
          <w:szCs w:val="26"/>
          <w:highlight w:val="none"/>
          <w:vertAlign w:val="superscript"/>
        </w:rPr>
        <w:t>3</w:t>
      </w:r>
      <w:r>
        <w:rPr>
          <w:rFonts w:ascii="Times New Roman" w:hAnsi="Times New Roman"/>
          <w:color w:val="auto"/>
          <w:sz w:val="26"/>
          <w:szCs w:val="26"/>
          <w:highlight w:val="none"/>
        </w:rPr>
        <w:t>，</w:t>
      </w:r>
      <w:r>
        <w:rPr>
          <w:rFonts w:hint="eastAsia" w:ascii="Times New Roman" w:hAnsi="Times New Roman"/>
          <w:color w:val="auto"/>
          <w:sz w:val="26"/>
          <w:szCs w:val="26"/>
          <w:highlight w:val="none"/>
        </w:rPr>
        <w:t>死水位235.5m，校核洪水位 249.26m</w:t>
      </w:r>
      <w:r>
        <w:rPr>
          <w:rFonts w:hint="eastAsia" w:ascii="Times New Roman" w:hAnsi="Times New Roman"/>
          <w:color w:val="auto"/>
          <w:sz w:val="26"/>
          <w:szCs w:val="26"/>
          <w:highlight w:val="none"/>
          <w:lang w:eastAsia="zh-CN"/>
        </w:rPr>
        <w:t>，</w:t>
      </w:r>
      <w:r>
        <w:rPr>
          <w:rFonts w:ascii="Times New Roman" w:hAnsi="Times New Roman"/>
          <w:color w:val="auto"/>
          <w:sz w:val="26"/>
          <w:szCs w:val="26"/>
          <w:highlight w:val="none"/>
        </w:rPr>
        <w:t>船闸和航道等级为Ⅴ级，设计通航船舶吨级为300t，电站装机容量42MW。</w:t>
      </w:r>
    </w:p>
    <w:p>
      <w:pPr>
        <w:pStyle w:val="221"/>
        <w:spacing w:line="480" w:lineRule="exact"/>
        <w:ind w:firstLine="520"/>
        <w:rPr>
          <w:rFonts w:ascii="Times New Roman" w:hAnsi="Times New Roman"/>
          <w:color w:val="auto"/>
          <w:sz w:val="26"/>
          <w:szCs w:val="26"/>
          <w:highlight w:val="none"/>
        </w:rPr>
      </w:pPr>
      <w:r>
        <w:rPr>
          <w:rFonts w:ascii="Times New Roman" w:hAnsi="Times New Roman"/>
          <w:color w:val="auto"/>
          <w:sz w:val="26"/>
          <w:szCs w:val="26"/>
          <w:highlight w:val="none"/>
        </w:rPr>
        <w:t>（3）富金坝枢纽</w:t>
      </w:r>
    </w:p>
    <w:p>
      <w:pPr>
        <w:pStyle w:val="221"/>
        <w:spacing w:line="480" w:lineRule="exact"/>
        <w:ind w:firstLine="0" w:firstLineChars="0"/>
        <w:rPr>
          <w:rFonts w:ascii="Times New Roman" w:hAnsi="Times New Roman"/>
          <w:color w:val="auto"/>
          <w:sz w:val="26"/>
          <w:szCs w:val="26"/>
          <w:highlight w:val="none"/>
        </w:rPr>
      </w:pPr>
      <w:r>
        <w:rPr>
          <w:rFonts w:ascii="Times New Roman" w:hAnsi="Times New Roman"/>
          <w:color w:val="auto"/>
          <w:sz w:val="26"/>
          <w:szCs w:val="26"/>
          <w:highlight w:val="none"/>
        </w:rPr>
        <w:t>富金坝航运枢纽位于合川区太和镇，以航运为主，兼有发电、灌溉等功能。2003年动工，2007年完工，正常蓄水位229.0m，电站装机3台，总装机容量60MW</w:t>
      </w:r>
      <w:r>
        <w:rPr>
          <w:rFonts w:hint="eastAsia" w:ascii="Times New Roman" w:hAnsi="Times New Roman"/>
          <w:color w:val="auto"/>
          <w:sz w:val="26"/>
          <w:szCs w:val="26"/>
          <w:highlight w:val="none"/>
          <w:lang w:eastAsia="zh-CN"/>
        </w:rPr>
        <w:t>。</w:t>
      </w:r>
      <w:r>
        <w:rPr>
          <w:rFonts w:ascii="Times New Roman" w:hAnsi="Times New Roman"/>
          <w:color w:val="auto"/>
          <w:sz w:val="26"/>
          <w:szCs w:val="26"/>
          <w:highlight w:val="none"/>
        </w:rPr>
        <w:t>船闸平行布置于厂房右侧，采用裁弯取直，与电站布置在不同的渠道内</w:t>
      </w:r>
      <w:r>
        <w:rPr>
          <w:rFonts w:hint="eastAsia" w:ascii="Times New Roman" w:hAnsi="Times New Roman"/>
          <w:color w:val="auto"/>
          <w:sz w:val="26"/>
          <w:szCs w:val="26"/>
          <w:highlight w:val="none"/>
        </w:rPr>
        <w:t>，</w:t>
      </w:r>
      <w:r>
        <w:rPr>
          <w:rFonts w:ascii="Times New Roman" w:hAnsi="Times New Roman"/>
          <w:color w:val="auto"/>
          <w:sz w:val="26"/>
          <w:szCs w:val="26"/>
          <w:highlight w:val="none"/>
        </w:rPr>
        <w:t>船闸及航道等级为V级</w:t>
      </w:r>
      <w:r>
        <w:rPr>
          <w:rFonts w:hint="eastAsia" w:ascii="Times New Roman" w:hAnsi="Times New Roman"/>
          <w:color w:val="auto"/>
          <w:sz w:val="26"/>
          <w:szCs w:val="26"/>
          <w:highlight w:val="none"/>
        </w:rPr>
        <w:t>，</w:t>
      </w:r>
      <w:r>
        <w:rPr>
          <w:rFonts w:ascii="Times New Roman" w:hAnsi="Times New Roman"/>
          <w:color w:val="auto"/>
          <w:sz w:val="26"/>
          <w:szCs w:val="26"/>
          <w:highlight w:val="none"/>
        </w:rPr>
        <w:t>设计最大船舶吨级为300t。</w:t>
      </w:r>
    </w:p>
    <w:p>
      <w:pPr>
        <w:pStyle w:val="221"/>
        <w:spacing w:line="480" w:lineRule="exact"/>
        <w:ind w:firstLine="520"/>
        <w:rPr>
          <w:rFonts w:ascii="Times New Roman" w:hAnsi="Times New Roman"/>
          <w:color w:val="auto"/>
          <w:sz w:val="26"/>
          <w:szCs w:val="26"/>
          <w:highlight w:val="none"/>
        </w:rPr>
      </w:pPr>
      <w:r>
        <w:rPr>
          <w:rFonts w:ascii="Times New Roman" w:hAnsi="Times New Roman"/>
          <w:color w:val="auto"/>
          <w:sz w:val="26"/>
          <w:szCs w:val="26"/>
          <w:highlight w:val="none"/>
        </w:rPr>
        <w:t>（4）安居枢纽</w:t>
      </w:r>
    </w:p>
    <w:p>
      <w:pPr>
        <w:pStyle w:val="221"/>
        <w:spacing w:line="480" w:lineRule="exact"/>
        <w:ind w:firstLine="520"/>
        <w:rPr>
          <w:rFonts w:ascii="Times New Roman" w:hAnsi="Times New Roman"/>
          <w:color w:val="auto"/>
          <w:sz w:val="26"/>
          <w:szCs w:val="26"/>
          <w:highlight w:val="none"/>
        </w:rPr>
      </w:pPr>
      <w:r>
        <w:rPr>
          <w:rFonts w:ascii="Times New Roman" w:hAnsi="Times New Roman"/>
          <w:color w:val="auto"/>
          <w:sz w:val="26"/>
          <w:szCs w:val="26"/>
          <w:highlight w:val="none"/>
        </w:rPr>
        <w:t>安居电站位于安居镇琵琶村，是一座以发电为主，兼有发展航运、养鱼等综合性水利枢纽工程，</w:t>
      </w:r>
      <w:r>
        <w:rPr>
          <w:rFonts w:hint="eastAsia" w:ascii="Times New Roman" w:hAnsi="Times New Roman"/>
          <w:color w:val="auto"/>
          <w:sz w:val="26"/>
          <w:szCs w:val="26"/>
          <w:highlight w:val="none"/>
        </w:rPr>
        <w:t>上游正常蓄水位216.00m</w:t>
      </w:r>
      <w:r>
        <w:rPr>
          <w:rFonts w:hint="eastAsia" w:ascii="Times New Roman" w:hAnsi="Times New Roman"/>
          <w:color w:val="auto"/>
          <w:sz w:val="26"/>
          <w:szCs w:val="26"/>
          <w:highlight w:val="none"/>
          <w:lang w:eastAsia="zh-CN"/>
        </w:rPr>
        <w:t>，</w:t>
      </w:r>
      <w:r>
        <w:rPr>
          <w:rFonts w:ascii="Times New Roman" w:hAnsi="Times New Roman"/>
          <w:color w:val="auto"/>
          <w:sz w:val="26"/>
          <w:szCs w:val="26"/>
          <w:highlight w:val="none"/>
        </w:rPr>
        <w:t>总装机容量30MW</w:t>
      </w:r>
      <w:r>
        <w:rPr>
          <w:rFonts w:hint="eastAsia" w:ascii="Times New Roman" w:hAnsi="Times New Roman"/>
          <w:color w:val="auto"/>
          <w:sz w:val="26"/>
          <w:szCs w:val="26"/>
          <w:highlight w:val="none"/>
          <w:lang w:eastAsia="zh-CN"/>
        </w:rPr>
        <w:t>。</w:t>
      </w:r>
      <w:r>
        <w:rPr>
          <w:rFonts w:ascii="Times New Roman" w:hAnsi="Times New Roman"/>
          <w:color w:val="auto"/>
          <w:sz w:val="26"/>
          <w:szCs w:val="26"/>
          <w:highlight w:val="none"/>
        </w:rPr>
        <w:t>该电站于1987年破土动工，1991年下闸蓄水，1992年投产运行。2014年</w:t>
      </w:r>
      <w:r>
        <w:rPr>
          <w:rFonts w:hint="eastAsia" w:ascii="Times New Roman" w:hAnsi="Times New Roman"/>
          <w:color w:val="auto"/>
          <w:sz w:val="26"/>
          <w:szCs w:val="26"/>
          <w:highlight w:val="none"/>
        </w:rPr>
        <w:t>、2015年先后进行两次改造，改扩建后</w:t>
      </w:r>
      <w:r>
        <w:rPr>
          <w:rFonts w:ascii="Times New Roman" w:hAnsi="Times New Roman"/>
          <w:color w:val="auto"/>
          <w:sz w:val="26"/>
          <w:szCs w:val="26"/>
          <w:highlight w:val="none"/>
        </w:rPr>
        <w:t>总装机容量为</w:t>
      </w:r>
      <w:r>
        <w:rPr>
          <w:rFonts w:hint="eastAsia" w:ascii="Times New Roman" w:hAnsi="Times New Roman"/>
          <w:color w:val="auto"/>
          <w:sz w:val="26"/>
          <w:szCs w:val="26"/>
          <w:highlight w:val="none"/>
        </w:rPr>
        <w:t>49.8M</w:t>
      </w:r>
      <w:r>
        <w:rPr>
          <w:rFonts w:ascii="Times New Roman" w:hAnsi="Times New Roman"/>
          <w:color w:val="auto"/>
          <w:sz w:val="26"/>
          <w:szCs w:val="26"/>
          <w:highlight w:val="none"/>
        </w:rPr>
        <w:t>W。船闸等级为</w:t>
      </w:r>
      <w:r>
        <w:rPr>
          <w:rFonts w:ascii="Times New Roman" w:hAnsi="Times New Roman"/>
          <w:color w:val="auto"/>
          <w:sz w:val="26"/>
          <w:szCs w:val="26"/>
          <w:highlight w:val="none"/>
        </w:rPr>
        <w:fldChar w:fldCharType="begin"/>
      </w:r>
      <w:r>
        <w:rPr>
          <w:rFonts w:ascii="Times New Roman" w:hAnsi="Times New Roman"/>
          <w:color w:val="auto"/>
          <w:sz w:val="26"/>
          <w:szCs w:val="26"/>
          <w:highlight w:val="none"/>
        </w:rPr>
        <w:instrText xml:space="preserve"> = 6 \* ROMAN \* MERGEFORMAT </w:instrText>
      </w:r>
      <w:r>
        <w:rPr>
          <w:rFonts w:ascii="Times New Roman" w:hAnsi="Times New Roman"/>
          <w:color w:val="auto"/>
          <w:sz w:val="26"/>
          <w:szCs w:val="26"/>
          <w:highlight w:val="none"/>
        </w:rPr>
        <w:fldChar w:fldCharType="separate"/>
      </w:r>
      <w:r>
        <w:rPr>
          <w:rFonts w:ascii="Times New Roman" w:hAnsi="Times New Roman"/>
          <w:color w:val="auto"/>
          <w:sz w:val="26"/>
          <w:szCs w:val="26"/>
          <w:highlight w:val="none"/>
        </w:rPr>
        <w:t>VI</w:t>
      </w:r>
      <w:r>
        <w:rPr>
          <w:rFonts w:ascii="Times New Roman" w:hAnsi="Times New Roman"/>
          <w:color w:val="auto"/>
          <w:sz w:val="26"/>
          <w:szCs w:val="26"/>
          <w:highlight w:val="none"/>
        </w:rPr>
        <w:fldChar w:fldCharType="end"/>
      </w:r>
      <w:r>
        <w:rPr>
          <w:rFonts w:ascii="Times New Roman" w:hAnsi="Times New Roman"/>
          <w:color w:val="auto"/>
          <w:sz w:val="26"/>
          <w:szCs w:val="26"/>
          <w:highlight w:val="none"/>
        </w:rPr>
        <w:t>航道标准，过船吨位80t</w:t>
      </w:r>
      <w:r>
        <w:rPr>
          <w:rFonts w:hint="eastAsia" w:ascii="Times New Roman" w:hAnsi="Times New Roman"/>
          <w:color w:val="auto"/>
          <w:sz w:val="26"/>
          <w:szCs w:val="26"/>
          <w:highlight w:val="none"/>
          <w:lang w:eastAsia="zh-CN"/>
        </w:rPr>
        <w:t>。</w:t>
      </w:r>
    </w:p>
    <w:p>
      <w:pPr>
        <w:pStyle w:val="221"/>
        <w:spacing w:line="480" w:lineRule="exact"/>
        <w:ind w:firstLine="520"/>
        <w:rPr>
          <w:rFonts w:ascii="Times New Roman" w:hAnsi="Times New Roman"/>
          <w:color w:val="auto"/>
          <w:sz w:val="26"/>
          <w:szCs w:val="26"/>
          <w:highlight w:val="none"/>
        </w:rPr>
      </w:pPr>
      <w:r>
        <w:rPr>
          <w:rFonts w:ascii="Times New Roman" w:hAnsi="Times New Roman"/>
          <w:color w:val="auto"/>
          <w:sz w:val="26"/>
          <w:szCs w:val="26"/>
          <w:highlight w:val="none"/>
        </w:rPr>
        <w:t>（5）渭沱枢纽</w:t>
      </w:r>
    </w:p>
    <w:p>
      <w:pPr>
        <w:pStyle w:val="221"/>
        <w:spacing w:line="480" w:lineRule="exact"/>
        <w:ind w:firstLine="520"/>
        <w:rPr>
          <w:rFonts w:ascii="Times New Roman" w:hAnsi="Times New Roman"/>
          <w:color w:val="auto"/>
          <w:sz w:val="26"/>
          <w:szCs w:val="26"/>
          <w:highlight w:val="none"/>
        </w:rPr>
      </w:pPr>
      <w:r>
        <w:rPr>
          <w:rFonts w:ascii="Times New Roman" w:hAnsi="Times New Roman"/>
          <w:color w:val="auto"/>
          <w:sz w:val="26"/>
          <w:szCs w:val="26"/>
          <w:highlight w:val="none"/>
        </w:rPr>
        <w:t>渭沱枢纽工程位于合川区渭沱镇涪江干流，是涪江流域总体规划中最后一级，下距涪江、嘉陵江交汇处23km，距离合川城区20km，距离重庆主城区118km。根据原枢纽任务，其开发任务是以发电为主，兼顾通航和灌溉等综合利用的水利工程。工程于1988年12月开工建设，1992年竣工投产，2012年对电站设备进行技改，技改后装机容量</w:t>
      </w:r>
      <w:r>
        <w:rPr>
          <w:rFonts w:hint="eastAsia" w:ascii="Times New Roman" w:hAnsi="Times New Roman"/>
          <w:color w:val="auto"/>
          <w:sz w:val="26"/>
          <w:szCs w:val="26"/>
          <w:highlight w:val="none"/>
          <w:lang w:val="en-US" w:eastAsia="zh-CN"/>
        </w:rPr>
        <w:t>9.5</w:t>
      </w:r>
      <w:r>
        <w:rPr>
          <w:rFonts w:ascii="Times New Roman" w:hAnsi="Times New Roman"/>
          <w:color w:val="auto"/>
          <w:sz w:val="26"/>
          <w:szCs w:val="26"/>
          <w:highlight w:val="none"/>
        </w:rPr>
        <w:t>MW，船闸布置于厂房右侧，按Ⅵ级航道标准设计，有效尺度为100×12</w:t>
      </w:r>
      <w:r>
        <w:rPr>
          <w:rFonts w:hint="eastAsia" w:ascii="Times New Roman" w:hAnsi="Times New Roman"/>
          <w:color w:val="auto"/>
          <w:sz w:val="26"/>
          <w:szCs w:val="26"/>
          <w:highlight w:val="none"/>
        </w:rPr>
        <w:t>（8）</w:t>
      </w:r>
      <w:r>
        <w:rPr>
          <w:rFonts w:ascii="Times New Roman" w:hAnsi="Times New Roman"/>
          <w:color w:val="auto"/>
          <w:sz w:val="26"/>
          <w:szCs w:val="26"/>
          <w:highlight w:val="none"/>
        </w:rPr>
        <w:t>×2.0m，通行80t级货船。</w:t>
      </w:r>
    </w:p>
    <w:p>
      <w:pPr>
        <w:pStyle w:val="221"/>
        <w:spacing w:line="480" w:lineRule="exact"/>
        <w:ind w:firstLine="520"/>
        <w:rPr>
          <w:rFonts w:ascii="Times New Roman" w:hAnsi="Times New Roman"/>
          <w:color w:val="auto"/>
          <w:sz w:val="26"/>
          <w:szCs w:val="26"/>
          <w:highlight w:val="none"/>
        </w:rPr>
      </w:pPr>
      <w:r>
        <w:rPr>
          <w:rFonts w:ascii="Times New Roman" w:hAnsi="Times New Roman"/>
          <w:color w:val="auto"/>
          <w:sz w:val="26"/>
          <w:szCs w:val="26"/>
          <w:highlight w:val="none"/>
        </w:rPr>
        <w:t>涪江</w:t>
      </w:r>
      <w:r>
        <w:rPr>
          <w:rFonts w:hint="eastAsia" w:ascii="Times New Roman" w:hAnsi="Times New Roman"/>
          <w:color w:val="auto"/>
          <w:sz w:val="26"/>
          <w:szCs w:val="26"/>
          <w:highlight w:val="none"/>
        </w:rPr>
        <w:t>重庆</w:t>
      </w:r>
      <w:r>
        <w:rPr>
          <w:rFonts w:ascii="Times New Roman" w:hAnsi="Times New Roman"/>
          <w:color w:val="auto"/>
          <w:sz w:val="26"/>
          <w:szCs w:val="26"/>
          <w:highlight w:val="none"/>
        </w:rPr>
        <w:t>河段船闸等级及尺度见下表</w:t>
      </w:r>
      <w:r>
        <w:rPr>
          <w:rFonts w:hint="eastAsia" w:ascii="Times New Roman" w:hAnsi="Times New Roman"/>
          <w:color w:val="auto"/>
          <w:sz w:val="26"/>
          <w:szCs w:val="26"/>
          <w:highlight w:val="none"/>
        </w:rPr>
        <w:t>：</w:t>
      </w:r>
    </w:p>
    <w:p>
      <w:pPr>
        <w:pStyle w:val="220"/>
        <w:snapToGrid w:val="0"/>
        <w:spacing w:after="0" w:line="240" w:lineRule="auto"/>
        <w:ind w:firstLine="0" w:firstLineChars="0"/>
        <w:jc w:val="left"/>
        <w:rPr>
          <w:rFonts w:ascii="Times New Roman" w:hAnsi="Times New Roman" w:eastAsia="宋体" w:cs="Times New Roman"/>
          <w:color w:val="auto"/>
          <w:sz w:val="26"/>
          <w:szCs w:val="26"/>
          <w:highlight w:val="none"/>
        </w:rPr>
      </w:pPr>
    </w:p>
    <w:p>
      <w:pPr>
        <w:pStyle w:val="220"/>
        <w:snapToGrid w:val="0"/>
        <w:spacing w:after="0" w:line="240" w:lineRule="auto"/>
        <w:ind w:firstLine="0" w:firstLineChars="0"/>
        <w:rPr>
          <w:rFonts w:ascii="Times New Roman" w:hAnsi="Times New Roman" w:eastAsia="宋体" w:cs="Times New Roman"/>
          <w:color w:val="auto"/>
          <w:sz w:val="26"/>
          <w:szCs w:val="26"/>
          <w:highlight w:val="none"/>
        </w:rPr>
      </w:pPr>
      <w:r>
        <w:rPr>
          <w:rFonts w:ascii="Times New Roman" w:hAnsi="Times New Roman" w:eastAsia="宋体" w:cs="Times New Roman"/>
          <w:color w:val="auto"/>
          <w:sz w:val="26"/>
          <w:szCs w:val="26"/>
          <w:highlight w:val="none"/>
        </w:rPr>
        <w:t>表</w:t>
      </w:r>
      <w:r>
        <w:rPr>
          <w:rFonts w:hint="eastAsia" w:ascii="Times New Roman" w:hAnsi="Times New Roman" w:eastAsia="宋体" w:cs="Times New Roman"/>
          <w:color w:val="auto"/>
          <w:sz w:val="26"/>
          <w:szCs w:val="26"/>
          <w:highlight w:val="none"/>
          <w:lang w:val="en-US" w:eastAsia="zh-CN"/>
        </w:rPr>
        <w:t>2.3.2</w:t>
      </w:r>
      <w:r>
        <w:rPr>
          <w:rFonts w:ascii="Times New Roman" w:hAnsi="Times New Roman" w:eastAsia="宋体" w:cs="Times New Roman"/>
          <w:color w:val="auto"/>
          <w:sz w:val="26"/>
          <w:szCs w:val="26"/>
          <w:highlight w:val="none"/>
        </w:rPr>
        <w:t>-</w:t>
      </w:r>
      <w:r>
        <w:rPr>
          <w:rFonts w:hint="eastAsia" w:ascii="Times New Roman" w:hAnsi="Times New Roman" w:eastAsia="宋体" w:cs="Times New Roman"/>
          <w:color w:val="auto"/>
          <w:sz w:val="26"/>
          <w:szCs w:val="26"/>
          <w:highlight w:val="none"/>
        </w:rPr>
        <w:t>1</w:t>
      </w:r>
      <w:r>
        <w:rPr>
          <w:rFonts w:ascii="Times New Roman" w:hAnsi="Times New Roman" w:eastAsia="宋体" w:cs="Times New Roman"/>
          <w:color w:val="auto"/>
          <w:sz w:val="26"/>
          <w:szCs w:val="26"/>
          <w:highlight w:val="none"/>
        </w:rPr>
        <w:t xml:space="preserve">  涪江（</w:t>
      </w:r>
      <w:r>
        <w:rPr>
          <w:rFonts w:hint="eastAsia" w:ascii="Times New Roman" w:hAnsi="Times New Roman" w:eastAsia="宋体" w:cs="Times New Roman"/>
          <w:color w:val="auto"/>
          <w:sz w:val="26"/>
          <w:szCs w:val="26"/>
          <w:highlight w:val="none"/>
        </w:rPr>
        <w:t>重庆段</w:t>
      </w:r>
      <w:r>
        <w:rPr>
          <w:rFonts w:ascii="Times New Roman" w:hAnsi="Times New Roman" w:eastAsia="宋体" w:cs="Times New Roman"/>
          <w:color w:val="auto"/>
          <w:sz w:val="26"/>
          <w:szCs w:val="26"/>
          <w:highlight w:val="none"/>
        </w:rPr>
        <w:t>）通航建筑物等级及尺度</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7"/>
        <w:gridCol w:w="1502"/>
        <w:gridCol w:w="1264"/>
        <w:gridCol w:w="1353"/>
        <w:gridCol w:w="1175"/>
        <w:gridCol w:w="12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1218" w:type="pct"/>
            <w:shd w:val="clear" w:color="auto" w:fill="auto"/>
            <w:noWrap/>
            <w:vAlign w:val="center"/>
          </w:tcPr>
          <w:p>
            <w:pPr>
              <w:autoSpaceDE w:val="0"/>
              <w:autoSpaceDN w:val="0"/>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枢纽名称</w:t>
            </w:r>
          </w:p>
        </w:tc>
        <w:tc>
          <w:tcPr>
            <w:tcW w:w="864" w:type="pct"/>
            <w:shd w:val="clear" w:color="auto" w:fill="auto"/>
            <w:noWrap/>
            <w:vAlign w:val="center"/>
          </w:tcPr>
          <w:p>
            <w:pPr>
              <w:autoSpaceDE w:val="0"/>
              <w:autoSpaceDN w:val="0"/>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双江</w:t>
            </w:r>
          </w:p>
        </w:tc>
        <w:tc>
          <w:tcPr>
            <w:tcW w:w="728" w:type="pct"/>
            <w:shd w:val="clear" w:color="auto" w:fill="auto"/>
            <w:noWrap/>
            <w:vAlign w:val="center"/>
          </w:tcPr>
          <w:p>
            <w:pPr>
              <w:autoSpaceDE w:val="0"/>
              <w:autoSpaceDN w:val="0"/>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潼南</w:t>
            </w:r>
          </w:p>
        </w:tc>
        <w:tc>
          <w:tcPr>
            <w:tcW w:w="780" w:type="pct"/>
            <w:shd w:val="clear" w:color="auto" w:fill="auto"/>
            <w:noWrap/>
            <w:vAlign w:val="center"/>
          </w:tcPr>
          <w:p>
            <w:pPr>
              <w:autoSpaceDE w:val="0"/>
              <w:autoSpaceDN w:val="0"/>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富金坝</w:t>
            </w:r>
          </w:p>
        </w:tc>
        <w:tc>
          <w:tcPr>
            <w:tcW w:w="677" w:type="pct"/>
            <w:shd w:val="clear" w:color="auto" w:fill="auto"/>
            <w:noWrap/>
            <w:vAlign w:val="center"/>
          </w:tcPr>
          <w:p>
            <w:pPr>
              <w:autoSpaceDE w:val="0"/>
              <w:autoSpaceDN w:val="0"/>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安居</w:t>
            </w:r>
          </w:p>
        </w:tc>
        <w:tc>
          <w:tcPr>
            <w:tcW w:w="730" w:type="pct"/>
            <w:shd w:val="clear" w:color="auto" w:fill="auto"/>
            <w:noWrap/>
            <w:vAlign w:val="center"/>
          </w:tcPr>
          <w:p>
            <w:pPr>
              <w:autoSpaceDE w:val="0"/>
              <w:autoSpaceDN w:val="0"/>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渭沱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1218" w:type="pct"/>
            <w:shd w:val="clear" w:color="auto" w:fill="auto"/>
            <w:noWrap/>
            <w:vAlign w:val="center"/>
          </w:tcPr>
          <w:p>
            <w:pPr>
              <w:autoSpaceDE w:val="0"/>
              <w:autoSpaceDN w:val="0"/>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通航建筑物等级</w:t>
            </w:r>
          </w:p>
        </w:tc>
        <w:tc>
          <w:tcPr>
            <w:tcW w:w="864" w:type="pct"/>
            <w:shd w:val="clear" w:color="auto" w:fill="auto"/>
            <w:noWrap/>
            <w:vAlign w:val="center"/>
          </w:tcPr>
          <w:p>
            <w:pPr>
              <w:autoSpaceDE w:val="0"/>
              <w:autoSpaceDN w:val="0"/>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Ⅳ级（兼顾1000t）</w:t>
            </w:r>
          </w:p>
        </w:tc>
        <w:tc>
          <w:tcPr>
            <w:tcW w:w="728" w:type="pct"/>
            <w:shd w:val="clear" w:color="auto" w:fill="auto"/>
            <w:noWrap/>
            <w:vAlign w:val="center"/>
          </w:tcPr>
          <w:p>
            <w:pPr>
              <w:autoSpaceDE w:val="0"/>
              <w:autoSpaceDN w:val="0"/>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Ⅳ级</w:t>
            </w:r>
          </w:p>
        </w:tc>
        <w:tc>
          <w:tcPr>
            <w:tcW w:w="780" w:type="pct"/>
            <w:shd w:val="clear" w:color="auto" w:fill="auto"/>
            <w:noWrap/>
            <w:vAlign w:val="center"/>
          </w:tcPr>
          <w:p>
            <w:pPr>
              <w:autoSpaceDE w:val="0"/>
              <w:autoSpaceDN w:val="0"/>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Ⅴ级</w:t>
            </w:r>
          </w:p>
        </w:tc>
        <w:tc>
          <w:tcPr>
            <w:tcW w:w="677" w:type="pct"/>
            <w:shd w:val="clear" w:color="auto" w:fill="auto"/>
            <w:noWrap/>
            <w:vAlign w:val="center"/>
          </w:tcPr>
          <w:p>
            <w:pPr>
              <w:autoSpaceDE w:val="0"/>
              <w:autoSpaceDN w:val="0"/>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Ⅵ级</w:t>
            </w:r>
          </w:p>
        </w:tc>
        <w:tc>
          <w:tcPr>
            <w:tcW w:w="730" w:type="pct"/>
            <w:shd w:val="clear" w:color="auto" w:fill="auto"/>
            <w:noWrap/>
            <w:vAlign w:val="center"/>
          </w:tcPr>
          <w:p>
            <w:pPr>
              <w:autoSpaceDE w:val="0"/>
              <w:autoSpaceDN w:val="0"/>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Ⅵ级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1218" w:type="pct"/>
            <w:shd w:val="clear" w:color="auto" w:fill="auto"/>
            <w:noWrap/>
            <w:vAlign w:val="center"/>
          </w:tcPr>
          <w:p>
            <w:pPr>
              <w:autoSpaceDE w:val="0"/>
              <w:autoSpaceDN w:val="0"/>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闸室尺度（长×宽×门槛水深，m）</w:t>
            </w:r>
          </w:p>
        </w:tc>
        <w:tc>
          <w:tcPr>
            <w:tcW w:w="864" w:type="pct"/>
            <w:shd w:val="clear" w:color="auto" w:fill="auto"/>
            <w:noWrap/>
            <w:vAlign w:val="center"/>
          </w:tcPr>
          <w:p>
            <w:pPr>
              <w:widowControl/>
              <w:adjustRightInd w:val="0"/>
              <w:snapToGrid w:val="0"/>
              <w:spacing w:line="240" w:lineRule="auto"/>
              <w:ind w:firstLine="0" w:firstLineChars="0"/>
              <w:jc w:val="center"/>
              <w:textAlignment w:val="center"/>
              <w:rPr>
                <w:color w:val="auto"/>
                <w:kern w:val="0"/>
                <w:sz w:val="22"/>
                <w:szCs w:val="22"/>
                <w:highlight w:val="none"/>
              </w:rPr>
            </w:pPr>
            <w:r>
              <w:rPr>
                <w:color w:val="auto"/>
                <w:kern w:val="0"/>
                <w:sz w:val="22"/>
                <w:szCs w:val="22"/>
                <w:highlight w:val="none"/>
              </w:rPr>
              <w:t>150×23×4.2</w:t>
            </w:r>
          </w:p>
        </w:tc>
        <w:tc>
          <w:tcPr>
            <w:tcW w:w="728" w:type="pct"/>
            <w:shd w:val="clear" w:color="auto" w:fill="auto"/>
            <w:noWrap/>
            <w:vAlign w:val="center"/>
          </w:tcPr>
          <w:p>
            <w:pPr>
              <w:widowControl/>
              <w:adjustRightInd w:val="0"/>
              <w:snapToGrid w:val="0"/>
              <w:spacing w:line="240" w:lineRule="auto"/>
              <w:ind w:firstLine="0" w:firstLineChars="0"/>
              <w:jc w:val="center"/>
              <w:textAlignment w:val="center"/>
              <w:rPr>
                <w:color w:val="auto"/>
                <w:kern w:val="0"/>
                <w:sz w:val="22"/>
                <w:szCs w:val="22"/>
                <w:highlight w:val="none"/>
              </w:rPr>
            </w:pPr>
            <w:r>
              <w:rPr>
                <w:color w:val="auto"/>
                <w:kern w:val="0"/>
                <w:sz w:val="22"/>
                <w:szCs w:val="22"/>
                <w:highlight w:val="none"/>
              </w:rPr>
              <w:t>120×12×3</w:t>
            </w:r>
          </w:p>
        </w:tc>
        <w:tc>
          <w:tcPr>
            <w:tcW w:w="780" w:type="pct"/>
            <w:shd w:val="clear" w:color="auto" w:fill="auto"/>
            <w:noWrap/>
            <w:vAlign w:val="center"/>
          </w:tcPr>
          <w:p>
            <w:pPr>
              <w:widowControl/>
              <w:adjustRightInd w:val="0"/>
              <w:snapToGrid w:val="0"/>
              <w:spacing w:line="240" w:lineRule="auto"/>
              <w:ind w:firstLine="0" w:firstLineChars="0"/>
              <w:jc w:val="center"/>
              <w:textAlignment w:val="center"/>
              <w:rPr>
                <w:color w:val="auto"/>
                <w:kern w:val="0"/>
                <w:sz w:val="22"/>
                <w:szCs w:val="22"/>
                <w:highlight w:val="none"/>
              </w:rPr>
            </w:pPr>
            <w:r>
              <w:rPr>
                <w:color w:val="auto"/>
                <w:kern w:val="0"/>
                <w:sz w:val="22"/>
                <w:szCs w:val="22"/>
                <w:highlight w:val="none"/>
              </w:rPr>
              <w:t>100×12×2.5</w:t>
            </w:r>
          </w:p>
        </w:tc>
        <w:tc>
          <w:tcPr>
            <w:tcW w:w="677" w:type="pct"/>
            <w:shd w:val="clear" w:color="auto" w:fill="auto"/>
            <w:noWrap/>
            <w:vAlign w:val="center"/>
          </w:tcPr>
          <w:p>
            <w:pPr>
              <w:widowControl/>
              <w:adjustRightInd w:val="0"/>
              <w:snapToGrid w:val="0"/>
              <w:spacing w:line="240" w:lineRule="auto"/>
              <w:ind w:firstLine="0" w:firstLineChars="0"/>
              <w:jc w:val="center"/>
              <w:textAlignment w:val="center"/>
              <w:rPr>
                <w:color w:val="auto"/>
                <w:kern w:val="0"/>
                <w:sz w:val="22"/>
                <w:szCs w:val="22"/>
                <w:highlight w:val="none"/>
              </w:rPr>
            </w:pPr>
            <w:r>
              <w:rPr>
                <w:color w:val="auto"/>
                <w:kern w:val="0"/>
                <w:sz w:val="22"/>
                <w:szCs w:val="22"/>
                <w:highlight w:val="none"/>
              </w:rPr>
              <w:t>100×8×2</w:t>
            </w:r>
          </w:p>
        </w:tc>
        <w:tc>
          <w:tcPr>
            <w:tcW w:w="730" w:type="pct"/>
            <w:shd w:val="clear" w:color="auto" w:fill="auto"/>
            <w:noWrap/>
            <w:vAlign w:val="center"/>
          </w:tcPr>
          <w:p>
            <w:pPr>
              <w:widowControl/>
              <w:adjustRightInd w:val="0"/>
              <w:snapToGrid w:val="0"/>
              <w:spacing w:line="240" w:lineRule="auto"/>
              <w:ind w:firstLine="0" w:firstLineChars="0"/>
              <w:jc w:val="center"/>
              <w:textAlignment w:val="center"/>
              <w:rPr>
                <w:color w:val="auto"/>
                <w:kern w:val="0"/>
                <w:sz w:val="22"/>
                <w:szCs w:val="22"/>
                <w:highlight w:val="none"/>
              </w:rPr>
            </w:pPr>
            <w:r>
              <w:rPr>
                <w:color w:val="auto"/>
                <w:kern w:val="0"/>
                <w:sz w:val="22"/>
                <w:szCs w:val="22"/>
                <w:highlight w:val="none"/>
              </w:rPr>
              <w:t>100×8×2</w:t>
            </w:r>
          </w:p>
        </w:tc>
      </w:tr>
    </w:tbl>
    <w:p>
      <w:pPr>
        <w:shd w:val="clear" w:color="auto" w:fill="FFFFFF"/>
        <w:adjustRightInd w:val="0"/>
        <w:snapToGrid w:val="0"/>
        <w:spacing w:line="240" w:lineRule="auto"/>
        <w:ind w:firstLine="0" w:firstLineChars="0"/>
        <w:jc w:val="left"/>
        <w:rPr>
          <w:color w:val="auto"/>
          <w:sz w:val="24"/>
          <w:highlight w:val="none"/>
        </w:rPr>
      </w:pPr>
    </w:p>
    <w:p>
      <w:pPr>
        <w:shd w:val="clear" w:color="auto" w:fill="FFFFFF"/>
        <w:snapToGrid w:val="0"/>
        <w:ind w:firstLine="520"/>
        <w:rPr>
          <w:color w:val="auto"/>
          <w:szCs w:val="26"/>
          <w:highlight w:val="none"/>
        </w:rPr>
      </w:pPr>
      <w:r>
        <w:rPr>
          <w:color w:val="auto"/>
          <w:szCs w:val="26"/>
          <w:highlight w:val="none"/>
        </w:rPr>
        <w:t>从</w:t>
      </w:r>
      <w:r>
        <w:rPr>
          <w:rFonts w:hint="eastAsia"/>
          <w:color w:val="auto"/>
          <w:szCs w:val="26"/>
          <w:highlight w:val="none"/>
        </w:rPr>
        <w:t>上</w:t>
      </w:r>
      <w:r>
        <w:rPr>
          <w:color w:val="auto"/>
          <w:szCs w:val="26"/>
          <w:highlight w:val="none"/>
        </w:rPr>
        <w:t>表中可以看出，</w:t>
      </w:r>
      <w:r>
        <w:rPr>
          <w:rFonts w:hint="eastAsia"/>
          <w:color w:val="auto"/>
          <w:szCs w:val="26"/>
          <w:highlight w:val="none"/>
        </w:rPr>
        <w:t>除双江枢纽外，其余潼</w:t>
      </w:r>
      <w:r>
        <w:rPr>
          <w:color w:val="auto"/>
          <w:szCs w:val="26"/>
          <w:highlight w:val="none"/>
        </w:rPr>
        <w:t>富金坝、安居和渭沱共</w:t>
      </w:r>
      <w:r>
        <w:rPr>
          <w:rFonts w:hint="eastAsia"/>
          <w:color w:val="auto"/>
          <w:szCs w:val="26"/>
          <w:highlight w:val="none"/>
        </w:rPr>
        <w:t>4</w:t>
      </w:r>
      <w:r>
        <w:rPr>
          <w:color w:val="auto"/>
          <w:szCs w:val="26"/>
          <w:highlight w:val="none"/>
        </w:rPr>
        <w:t>处船闸</w:t>
      </w:r>
      <w:r>
        <w:rPr>
          <w:rFonts w:hint="eastAsia"/>
          <w:color w:val="auto"/>
          <w:szCs w:val="26"/>
          <w:highlight w:val="none"/>
        </w:rPr>
        <w:t>均</w:t>
      </w:r>
      <w:r>
        <w:rPr>
          <w:color w:val="auto"/>
          <w:szCs w:val="26"/>
          <w:highlight w:val="none"/>
        </w:rPr>
        <w:t>不能达到Ⅲ级要求。</w:t>
      </w:r>
    </w:p>
    <w:p>
      <w:pPr>
        <w:shd w:val="clear" w:color="auto" w:fill="FFFFFF"/>
        <w:snapToGrid w:val="0"/>
        <w:ind w:firstLine="520"/>
        <w:rPr>
          <w:color w:val="auto"/>
          <w:szCs w:val="26"/>
          <w:highlight w:val="none"/>
        </w:rPr>
      </w:pPr>
      <w:r>
        <w:rPr>
          <w:color w:val="auto"/>
          <w:szCs w:val="26"/>
          <w:highlight w:val="none"/>
        </w:rPr>
        <w:t>从上至下规划建设有双江、潼南、富金坝、安居、渭沱等枢纽，枢纽间设计最低通航水位衔接。涪江汇入嘉陵江之后，其下游约24km建有草街枢纽，草街的正常蓄水位为203m，消落水位为200m，高于渭沱下游最低通航水位。可见，涪江梯级枢纽的建设为涪江航道等级的提升提供了良好的条件，仅需采取适当的航道整治和船闸改造措施，即可将航道提高为Ⅲ级标准。</w:t>
      </w:r>
    </w:p>
    <w:p>
      <w:pPr>
        <w:shd w:val="clear" w:color="auto" w:fill="FFFFFF"/>
        <w:adjustRightInd w:val="0"/>
        <w:snapToGrid w:val="0"/>
        <w:spacing w:line="240" w:lineRule="auto"/>
        <w:ind w:firstLine="520"/>
        <w:jc w:val="left"/>
        <w:rPr>
          <w:color w:val="auto"/>
          <w:szCs w:val="26"/>
          <w:highlight w:val="none"/>
        </w:rPr>
      </w:pPr>
    </w:p>
    <w:p>
      <w:pPr>
        <w:pStyle w:val="220"/>
        <w:snapToGrid w:val="0"/>
        <w:spacing w:after="0" w:line="240" w:lineRule="auto"/>
        <w:ind w:firstLine="0" w:firstLineChars="0"/>
        <w:rPr>
          <w:rFonts w:ascii="Times New Roman" w:hAnsi="Times New Roman" w:eastAsia="宋体" w:cs="Times New Roman"/>
          <w:color w:val="auto"/>
          <w:kern w:val="2"/>
          <w:sz w:val="26"/>
          <w:szCs w:val="26"/>
          <w:highlight w:val="none"/>
        </w:rPr>
      </w:pPr>
    </w:p>
    <w:p>
      <w:pPr>
        <w:pStyle w:val="220"/>
        <w:snapToGrid w:val="0"/>
        <w:spacing w:after="0" w:line="240" w:lineRule="auto"/>
        <w:ind w:firstLine="0" w:firstLineChars="0"/>
        <w:rPr>
          <w:rFonts w:ascii="Times New Roman" w:hAnsi="Times New Roman" w:eastAsia="宋体" w:cs="Times New Roman"/>
          <w:color w:val="auto"/>
          <w:kern w:val="2"/>
          <w:sz w:val="26"/>
          <w:szCs w:val="26"/>
          <w:highlight w:val="none"/>
        </w:rPr>
      </w:pPr>
    </w:p>
    <w:p>
      <w:pPr>
        <w:pStyle w:val="220"/>
        <w:snapToGrid w:val="0"/>
        <w:spacing w:after="0" w:line="240" w:lineRule="auto"/>
        <w:ind w:firstLine="0" w:firstLineChars="0"/>
        <w:rPr>
          <w:rFonts w:ascii="Times New Roman" w:hAnsi="Times New Roman" w:eastAsia="宋体" w:cs="Times New Roman"/>
          <w:color w:val="auto"/>
          <w:kern w:val="2"/>
          <w:sz w:val="26"/>
          <w:szCs w:val="26"/>
          <w:highlight w:val="none"/>
        </w:rPr>
      </w:pPr>
    </w:p>
    <w:p>
      <w:pPr>
        <w:pStyle w:val="220"/>
        <w:snapToGrid w:val="0"/>
        <w:spacing w:after="0" w:line="240" w:lineRule="auto"/>
        <w:ind w:firstLine="0" w:firstLineChars="0"/>
        <w:rPr>
          <w:rFonts w:ascii="Times New Roman" w:hAnsi="Times New Roman" w:eastAsia="宋体" w:cs="Times New Roman"/>
          <w:color w:val="auto"/>
          <w:kern w:val="2"/>
          <w:sz w:val="26"/>
          <w:szCs w:val="26"/>
          <w:highlight w:val="none"/>
        </w:rPr>
      </w:pPr>
    </w:p>
    <w:p>
      <w:pPr>
        <w:pStyle w:val="220"/>
        <w:snapToGrid w:val="0"/>
        <w:spacing w:after="0" w:line="240" w:lineRule="auto"/>
        <w:ind w:firstLine="0" w:firstLineChars="0"/>
        <w:rPr>
          <w:rFonts w:ascii="Times New Roman" w:hAnsi="Times New Roman" w:eastAsia="宋体" w:cs="Times New Roman"/>
          <w:color w:val="auto"/>
          <w:kern w:val="2"/>
          <w:sz w:val="26"/>
          <w:szCs w:val="26"/>
          <w:highlight w:val="none"/>
        </w:rPr>
      </w:pPr>
      <w:r>
        <w:rPr>
          <w:rFonts w:ascii="Times New Roman" w:hAnsi="Times New Roman" w:eastAsia="宋体" w:cs="Times New Roman"/>
          <w:color w:val="auto"/>
          <w:kern w:val="2"/>
          <w:sz w:val="26"/>
          <w:szCs w:val="26"/>
          <w:highlight w:val="none"/>
        </w:rPr>
        <w:t>表</w:t>
      </w:r>
      <w:r>
        <w:rPr>
          <w:rFonts w:hint="eastAsia" w:ascii="Times New Roman" w:hAnsi="Times New Roman" w:eastAsia="宋体" w:cs="Times New Roman"/>
          <w:color w:val="auto"/>
          <w:kern w:val="2"/>
          <w:sz w:val="26"/>
          <w:szCs w:val="26"/>
          <w:highlight w:val="none"/>
          <w:lang w:val="en-US" w:eastAsia="zh-CN"/>
        </w:rPr>
        <w:t>2.3.2</w:t>
      </w:r>
      <w:r>
        <w:rPr>
          <w:rFonts w:ascii="Times New Roman" w:hAnsi="Times New Roman" w:eastAsia="宋体" w:cs="Times New Roman"/>
          <w:color w:val="auto"/>
          <w:kern w:val="2"/>
          <w:sz w:val="26"/>
          <w:szCs w:val="26"/>
          <w:highlight w:val="none"/>
        </w:rPr>
        <w:t>-</w:t>
      </w:r>
      <w:r>
        <w:rPr>
          <w:rFonts w:hint="eastAsia" w:ascii="Times New Roman" w:hAnsi="Times New Roman" w:eastAsia="宋体" w:cs="Times New Roman"/>
          <w:color w:val="auto"/>
          <w:kern w:val="2"/>
          <w:sz w:val="26"/>
          <w:szCs w:val="26"/>
          <w:highlight w:val="none"/>
        </w:rPr>
        <w:t>2</w:t>
      </w:r>
      <w:r>
        <w:rPr>
          <w:rFonts w:ascii="Times New Roman" w:hAnsi="Times New Roman" w:eastAsia="宋体" w:cs="Times New Roman"/>
          <w:color w:val="auto"/>
          <w:kern w:val="2"/>
          <w:sz w:val="26"/>
          <w:szCs w:val="26"/>
          <w:highlight w:val="none"/>
        </w:rPr>
        <w:t xml:space="preserve">  涪江重庆境内枢纽通航水位</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88"/>
        <w:gridCol w:w="2038"/>
        <w:gridCol w:w="821"/>
        <w:gridCol w:w="1107"/>
        <w:gridCol w:w="1062"/>
        <w:gridCol w:w="1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4"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枢纽名称</w:t>
            </w:r>
          </w:p>
        </w:tc>
        <w:tc>
          <w:tcPr>
            <w:tcW w:w="979"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双江</w:t>
            </w:r>
          </w:p>
        </w:tc>
        <w:tc>
          <w:tcPr>
            <w:tcW w:w="525"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潼南</w:t>
            </w:r>
          </w:p>
        </w:tc>
        <w:tc>
          <w:tcPr>
            <w:tcW w:w="752"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富金坝</w:t>
            </w:r>
          </w:p>
        </w:tc>
        <w:tc>
          <w:tcPr>
            <w:tcW w:w="695"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安居</w:t>
            </w:r>
          </w:p>
        </w:tc>
        <w:tc>
          <w:tcPr>
            <w:tcW w:w="695"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渭沱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4"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通航建筑物等级</w:t>
            </w:r>
          </w:p>
        </w:tc>
        <w:tc>
          <w:tcPr>
            <w:tcW w:w="979"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Ⅳ级（兼顾1000t）</w:t>
            </w:r>
          </w:p>
        </w:tc>
        <w:tc>
          <w:tcPr>
            <w:tcW w:w="525"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Ⅳ级</w:t>
            </w:r>
          </w:p>
        </w:tc>
        <w:tc>
          <w:tcPr>
            <w:tcW w:w="752"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Ⅳ级</w:t>
            </w:r>
          </w:p>
        </w:tc>
        <w:tc>
          <w:tcPr>
            <w:tcW w:w="695"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color w:val="auto"/>
                <w:kern w:val="0"/>
                <w:sz w:val="22"/>
                <w:szCs w:val="22"/>
                <w:highlight w:val="none"/>
              </w:rPr>
              <w:t>Ⅴ级</w:t>
            </w:r>
          </w:p>
        </w:tc>
        <w:tc>
          <w:tcPr>
            <w:tcW w:w="695"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color w:val="auto"/>
                <w:kern w:val="0"/>
                <w:sz w:val="22"/>
                <w:szCs w:val="22"/>
                <w:highlight w:val="none"/>
              </w:rPr>
              <w:t>Ⅴ级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4"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上游最低通航水位（m）</w:t>
            </w:r>
          </w:p>
        </w:tc>
        <w:tc>
          <w:tcPr>
            <w:tcW w:w="979"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248.00</w:t>
            </w:r>
          </w:p>
        </w:tc>
        <w:tc>
          <w:tcPr>
            <w:tcW w:w="525"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235.50</w:t>
            </w:r>
          </w:p>
        </w:tc>
        <w:tc>
          <w:tcPr>
            <w:tcW w:w="752"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227.50</w:t>
            </w:r>
          </w:p>
        </w:tc>
        <w:tc>
          <w:tcPr>
            <w:tcW w:w="695"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215.50</w:t>
            </w:r>
          </w:p>
        </w:tc>
        <w:tc>
          <w:tcPr>
            <w:tcW w:w="695"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205.00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4"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下游最低通航水位（m）</w:t>
            </w:r>
          </w:p>
        </w:tc>
        <w:tc>
          <w:tcPr>
            <w:tcW w:w="979"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235.50</w:t>
            </w:r>
          </w:p>
        </w:tc>
        <w:tc>
          <w:tcPr>
            <w:tcW w:w="525"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227.50</w:t>
            </w:r>
          </w:p>
        </w:tc>
        <w:tc>
          <w:tcPr>
            <w:tcW w:w="752"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215.00</w:t>
            </w:r>
          </w:p>
        </w:tc>
        <w:tc>
          <w:tcPr>
            <w:tcW w:w="695"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206.27</w:t>
            </w:r>
          </w:p>
        </w:tc>
        <w:tc>
          <w:tcPr>
            <w:tcW w:w="695" w:type="pct"/>
            <w:shd w:val="clear" w:color="auto" w:fill="auto"/>
            <w:noWrap/>
            <w:vAlign w:val="center"/>
          </w:tcPr>
          <w:p>
            <w:pPr>
              <w:autoSpaceDE w:val="0"/>
              <w:autoSpaceDN w:val="0"/>
              <w:adjustRightInd w:val="0"/>
              <w:snapToGrid w:val="0"/>
              <w:spacing w:line="240" w:lineRule="auto"/>
              <w:ind w:firstLine="0" w:firstLineChars="0"/>
              <w:jc w:val="center"/>
              <w:rPr>
                <w:bCs/>
                <w:color w:val="auto"/>
                <w:sz w:val="22"/>
                <w:szCs w:val="22"/>
                <w:highlight w:val="none"/>
              </w:rPr>
            </w:pPr>
            <w:r>
              <w:rPr>
                <w:bCs/>
                <w:color w:val="auto"/>
                <w:sz w:val="22"/>
                <w:szCs w:val="22"/>
                <w:highlight w:val="none"/>
              </w:rPr>
              <w:t>199.40</w:t>
            </w:r>
          </w:p>
        </w:tc>
      </w:tr>
    </w:tbl>
    <w:p>
      <w:pPr>
        <w:adjustRightInd w:val="0"/>
        <w:snapToGrid w:val="0"/>
        <w:spacing w:line="240" w:lineRule="auto"/>
        <w:ind w:firstLine="0" w:firstLineChars="0"/>
        <w:jc w:val="center"/>
        <w:rPr>
          <w:color w:val="auto"/>
          <w:highlight w:val="none"/>
        </w:rPr>
      </w:pPr>
    </w:p>
    <w:p>
      <w:pPr>
        <w:adjustRightInd w:val="0"/>
        <w:snapToGrid w:val="0"/>
        <w:spacing w:line="240" w:lineRule="auto"/>
        <w:ind w:firstLine="0" w:firstLineChars="0"/>
        <w:jc w:val="center"/>
        <w:rPr>
          <w:color w:val="auto"/>
          <w:highlight w:val="none"/>
        </w:rPr>
      </w:pPr>
      <w:r>
        <w:rPr>
          <w:color w:val="auto"/>
          <w:highlight w:val="none"/>
        </w:rPr>
        <w:drawing>
          <wp:inline distT="0" distB="0" distL="114300" distR="114300">
            <wp:extent cx="5400040" cy="1943100"/>
            <wp:effectExtent l="0" t="0" r="10160" b="0"/>
            <wp:docPr id="73" name="图片 9" descr="说明: E:\2020年项目\0双江船闸工可\双江船闸工可汇总20200414\SJCZ-02 涪江干流（重庆市境内）梯级纵剖面示意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9" descr="说明: E:\2020年项目\0双江船闸工可\双江船闸工可汇总20200414\SJCZ-02 涪江干流（重庆市境内）梯级纵剖面示意图.png"/>
                    <pic:cNvPicPr>
                      <a:picLocks noChangeAspect="1"/>
                    </pic:cNvPicPr>
                  </pic:nvPicPr>
                  <pic:blipFill>
                    <a:blip r:embed="rId21"/>
                    <a:srcRect l="13841" t="16309" r="19072" b="34138"/>
                    <a:stretch>
                      <a:fillRect/>
                    </a:stretch>
                  </pic:blipFill>
                  <pic:spPr>
                    <a:xfrm>
                      <a:off x="0" y="0"/>
                      <a:ext cx="5400040" cy="1943100"/>
                    </a:xfrm>
                    <a:prstGeom prst="rect">
                      <a:avLst/>
                    </a:prstGeom>
                    <a:noFill/>
                    <a:ln>
                      <a:noFill/>
                    </a:ln>
                  </pic:spPr>
                </pic:pic>
              </a:graphicData>
            </a:graphic>
          </wp:inline>
        </w:drawing>
      </w:r>
    </w:p>
    <w:p>
      <w:pPr>
        <w:pStyle w:val="220"/>
        <w:snapToGrid w:val="0"/>
        <w:spacing w:after="0" w:line="240" w:lineRule="auto"/>
        <w:ind w:firstLine="0" w:firstLineChars="0"/>
        <w:rPr>
          <w:rFonts w:ascii="Times New Roman" w:hAnsi="Times New Roman" w:eastAsia="宋体" w:cs="Times New Roman"/>
          <w:b/>
          <w:bCs/>
          <w:color w:val="auto"/>
          <w:kern w:val="2"/>
          <w:sz w:val="26"/>
          <w:szCs w:val="26"/>
          <w:highlight w:val="none"/>
        </w:rPr>
      </w:pPr>
      <w:r>
        <w:rPr>
          <w:rFonts w:hint="eastAsia" w:ascii="Times New Roman" w:hAnsi="Times New Roman" w:eastAsia="宋体" w:cs="Times New Roman"/>
          <w:b/>
          <w:bCs/>
          <w:color w:val="auto"/>
          <w:kern w:val="2"/>
          <w:sz w:val="26"/>
          <w:szCs w:val="26"/>
          <w:highlight w:val="none"/>
        </w:rPr>
        <w:t>图</w:t>
      </w:r>
      <w:r>
        <w:rPr>
          <w:rFonts w:hint="eastAsia" w:ascii="Times New Roman" w:hAnsi="Times New Roman" w:eastAsia="宋体" w:cs="Times New Roman"/>
          <w:b/>
          <w:bCs/>
          <w:color w:val="auto"/>
          <w:kern w:val="2"/>
          <w:sz w:val="26"/>
          <w:szCs w:val="26"/>
          <w:highlight w:val="none"/>
          <w:lang w:val="en-US" w:eastAsia="zh-CN"/>
        </w:rPr>
        <w:t>2.3.2-1</w:t>
      </w:r>
      <w:r>
        <w:rPr>
          <w:rFonts w:hint="eastAsia" w:ascii="Times New Roman" w:hAnsi="Times New Roman" w:eastAsia="宋体" w:cs="Times New Roman"/>
          <w:b/>
          <w:bCs/>
          <w:color w:val="auto"/>
          <w:kern w:val="2"/>
          <w:sz w:val="26"/>
          <w:szCs w:val="26"/>
          <w:highlight w:val="none"/>
        </w:rPr>
        <w:t xml:space="preserve">  涪江重庆境内枢纽布置纵断面图</w:t>
      </w:r>
    </w:p>
    <w:p>
      <w:pPr>
        <w:keepNext/>
        <w:keepLines/>
        <w:adjustRightInd w:val="0"/>
        <w:snapToGrid w:val="0"/>
        <w:spacing w:line="240" w:lineRule="auto"/>
        <w:ind w:firstLine="520"/>
        <w:jc w:val="left"/>
        <w:rPr>
          <w:color w:val="auto"/>
          <w:szCs w:val="26"/>
          <w:highlight w:val="none"/>
        </w:rPr>
      </w:pPr>
    </w:p>
    <w:p>
      <w:pPr>
        <w:pStyle w:val="4"/>
        <w:rPr>
          <w:color w:val="auto"/>
          <w:highlight w:val="none"/>
        </w:rPr>
      </w:pPr>
      <w:bookmarkStart w:id="70" w:name="_Toc9281"/>
      <w:r>
        <w:rPr>
          <w:rFonts w:hint="eastAsia"/>
          <w:color w:val="auto"/>
          <w:highlight w:val="none"/>
        </w:rPr>
        <w:t>渭沱枢纽现状</w:t>
      </w:r>
      <w:bookmarkEnd w:id="70"/>
    </w:p>
    <w:p>
      <w:pPr>
        <w:pStyle w:val="5"/>
        <w:ind w:firstLine="522"/>
        <w:rPr>
          <w:color w:val="auto"/>
          <w:highlight w:val="none"/>
        </w:rPr>
      </w:pPr>
      <w:r>
        <w:rPr>
          <w:rFonts w:hint="eastAsia"/>
          <w:color w:val="auto"/>
          <w:highlight w:val="none"/>
        </w:rPr>
        <w:t>枢纽工程概况</w:t>
      </w:r>
    </w:p>
    <w:p>
      <w:pPr>
        <w:ind w:firstLine="520"/>
        <w:rPr>
          <w:rFonts w:hint="eastAsia" w:eastAsia="宋体"/>
          <w:color w:val="auto"/>
          <w:highlight w:val="none"/>
          <w:lang w:eastAsia="zh-CN"/>
        </w:rPr>
      </w:pPr>
      <w:r>
        <w:rPr>
          <w:rFonts w:hint="eastAsia"/>
          <w:color w:val="auto"/>
          <w:highlight w:val="none"/>
        </w:rPr>
        <w:t>（1）</w:t>
      </w:r>
      <w:r>
        <w:rPr>
          <w:rFonts w:hint="eastAsia"/>
          <w:color w:val="auto"/>
          <w:highlight w:val="none"/>
          <w:lang w:eastAsia="zh-CN"/>
        </w:rPr>
        <w:t>建设历程</w:t>
      </w:r>
    </w:p>
    <w:p>
      <w:pPr>
        <w:ind w:firstLine="520"/>
        <w:rPr>
          <w:rFonts w:hint="eastAsia"/>
          <w:color w:val="auto"/>
          <w:highlight w:val="none"/>
          <w:lang w:eastAsia="zh-CN"/>
        </w:rPr>
      </w:pPr>
      <w:r>
        <w:rPr>
          <w:color w:val="auto"/>
          <w:highlight w:val="none"/>
        </w:rPr>
        <w:t>渭沱枢纽工程位于合川区渭沱镇涪江干流，是涪江流域总体规划中最后一级，下距涪江、嘉陵江交汇处23km，距离合川城区20km，距离重庆主城区 118km。根据原枢纽任务，其开发任务是以发电为主，兼顾通航和灌溉等综合利用的水利工程。</w:t>
      </w:r>
      <w:r>
        <w:rPr>
          <w:rFonts w:hint="eastAsia"/>
          <w:color w:val="auto"/>
          <w:highlight w:val="none"/>
          <w:lang w:eastAsia="zh-CN"/>
        </w:rPr>
        <w:t>原</w:t>
      </w:r>
      <w:r>
        <w:rPr>
          <w:color w:val="auto"/>
          <w:highlight w:val="none"/>
        </w:rPr>
        <w:t>工程于1988年12月开工建设，1992年竣工投产，原电站装机容量30MW</w:t>
      </w:r>
      <w:r>
        <w:rPr>
          <w:rFonts w:hint="eastAsia"/>
          <w:color w:val="auto"/>
          <w:highlight w:val="none"/>
          <w:lang w:eastAsia="zh-CN"/>
        </w:rPr>
        <w:t>。</w:t>
      </w:r>
    </w:p>
    <w:p>
      <w:pPr>
        <w:ind w:firstLine="520"/>
        <w:rPr>
          <w:rFonts w:hint="default" w:eastAsia="宋体"/>
          <w:color w:val="auto"/>
          <w:highlight w:val="none"/>
          <w:lang w:val="en-US" w:eastAsia="zh-CN"/>
        </w:rPr>
      </w:pPr>
      <w:r>
        <w:rPr>
          <w:rFonts w:hint="eastAsia"/>
          <w:color w:val="auto"/>
          <w:highlight w:val="none"/>
          <w:lang w:val="en-US" w:eastAsia="zh-CN"/>
        </w:rPr>
        <w:t>2009年，</w:t>
      </w:r>
      <w:r>
        <w:rPr>
          <w:rFonts w:hint="eastAsia"/>
          <w:color w:val="auto"/>
          <w:highlight w:val="none"/>
          <w:lang w:eastAsia="zh-CN"/>
        </w:rPr>
        <w:t>由于草街航电枢纽运行后，将渭沱枢纽尾水抬高，导致原电站发电水头降低，故重庆航运建设发展有限公司</w:t>
      </w:r>
      <w:r>
        <w:rPr>
          <w:color w:val="auto"/>
          <w:highlight w:val="none"/>
        </w:rPr>
        <w:t>对电站设备进行技改，</w:t>
      </w:r>
      <w:r>
        <w:rPr>
          <w:rFonts w:hint="eastAsia"/>
          <w:color w:val="auto"/>
          <w:highlight w:val="none"/>
          <w:lang w:eastAsia="zh-CN"/>
        </w:rPr>
        <w:t>降低装机规模，</w:t>
      </w:r>
      <w:r>
        <w:rPr>
          <w:color w:val="auto"/>
          <w:highlight w:val="none"/>
        </w:rPr>
        <w:t>技改后装机容量</w:t>
      </w:r>
      <w:r>
        <w:rPr>
          <w:rFonts w:hint="eastAsia"/>
          <w:color w:val="auto"/>
          <w:highlight w:val="none"/>
          <w:lang w:val="en-US" w:eastAsia="zh-CN"/>
        </w:rPr>
        <w:t>9.5</w:t>
      </w:r>
      <w:r>
        <w:rPr>
          <w:color w:val="auto"/>
          <w:highlight w:val="none"/>
        </w:rPr>
        <w:t>MW，安装2台灯泡贯流式机组，年利用小时数5771h，多年平均发电量3808.5万kW·h，最大工作净水头</w:t>
      </w:r>
      <w:r>
        <w:rPr>
          <w:rFonts w:hint="eastAsia"/>
          <w:color w:val="auto"/>
          <w:highlight w:val="none"/>
          <w:lang w:val="en-US" w:eastAsia="zh-CN"/>
        </w:rPr>
        <w:t>4.3</w:t>
      </w:r>
      <w:r>
        <w:rPr>
          <w:color w:val="auto"/>
          <w:highlight w:val="none"/>
        </w:rPr>
        <w:t>m，最小工作净水头2m，</w:t>
      </w:r>
      <w:r>
        <w:rPr>
          <w:rFonts w:hint="eastAsia"/>
          <w:color w:val="auto"/>
          <w:highlight w:val="none"/>
          <w:lang w:eastAsia="zh-CN"/>
        </w:rPr>
        <w:t>年加强平均水头</w:t>
      </w:r>
      <w:r>
        <w:rPr>
          <w:rFonts w:hint="eastAsia"/>
          <w:color w:val="auto"/>
          <w:highlight w:val="none"/>
          <w:lang w:val="en-US" w:eastAsia="zh-CN"/>
        </w:rPr>
        <w:t>2.3m</w:t>
      </w:r>
      <w:r>
        <w:rPr>
          <w:color w:val="auto"/>
          <w:highlight w:val="none"/>
        </w:rPr>
        <w:t>，设计引用流量</w:t>
      </w:r>
      <w:r>
        <w:rPr>
          <w:rFonts w:hint="eastAsia"/>
          <w:color w:val="auto"/>
          <w:highlight w:val="none"/>
          <w:lang w:val="en-US" w:eastAsia="zh-CN"/>
        </w:rPr>
        <w:t>2*2</w:t>
      </w:r>
      <w:r>
        <w:rPr>
          <w:color w:val="auto"/>
          <w:highlight w:val="none"/>
        </w:rPr>
        <w:t>00m³/s</w:t>
      </w:r>
      <w:r>
        <w:rPr>
          <w:rFonts w:hint="eastAsia"/>
          <w:color w:val="auto"/>
          <w:highlight w:val="none"/>
          <w:lang w:eastAsia="zh-CN"/>
        </w:rPr>
        <w:t>。技改方案于</w:t>
      </w:r>
      <w:r>
        <w:rPr>
          <w:rFonts w:hint="eastAsia"/>
          <w:color w:val="auto"/>
          <w:highlight w:val="none"/>
          <w:lang w:val="en-US" w:eastAsia="zh-CN"/>
        </w:rPr>
        <w:t>2009年5月取得合川区发展和改革委员会核准（合川</w:t>
      </w:r>
      <w:r>
        <w:rPr>
          <w:rFonts w:hint="eastAsia"/>
          <w:color w:val="auto"/>
          <w:highlight w:val="none"/>
          <w:shd w:val="clear" w:fill="FFFFFF"/>
          <w:lang w:val="en-US" w:eastAsia="zh-CN"/>
        </w:rPr>
        <w:t>发改发</w:t>
      </w:r>
      <w:r>
        <w:rPr>
          <w:rFonts w:hint="eastAsia"/>
          <w:color w:val="auto"/>
          <w:highlight w:val="none"/>
        </w:rPr>
        <w:t>〔20</w:t>
      </w:r>
      <w:r>
        <w:rPr>
          <w:rFonts w:hint="eastAsia"/>
          <w:color w:val="auto"/>
          <w:highlight w:val="none"/>
          <w:lang w:val="en-US" w:eastAsia="zh-CN"/>
        </w:rPr>
        <w:t>09</w:t>
      </w:r>
      <w:r>
        <w:rPr>
          <w:rFonts w:hint="eastAsia"/>
          <w:color w:val="auto"/>
          <w:highlight w:val="none"/>
        </w:rPr>
        <w:t>〕</w:t>
      </w:r>
      <w:r>
        <w:rPr>
          <w:rFonts w:hint="eastAsia"/>
          <w:color w:val="auto"/>
          <w:highlight w:val="none"/>
          <w:lang w:val="en-US" w:eastAsia="zh-CN"/>
        </w:rPr>
        <w:t>343号）。</w:t>
      </w:r>
    </w:p>
    <w:p>
      <w:pPr>
        <w:ind w:firstLine="520"/>
        <w:rPr>
          <w:rFonts w:hint="eastAsia"/>
          <w:color w:val="auto"/>
          <w:highlight w:val="none"/>
          <w:lang w:eastAsia="zh-CN"/>
        </w:rPr>
      </w:pPr>
      <w:r>
        <w:rPr>
          <w:color w:val="auto"/>
          <w:highlight w:val="none"/>
        </w:rPr>
        <w:t>2012年</w:t>
      </w:r>
      <w:r>
        <w:rPr>
          <w:rFonts w:hint="eastAsia"/>
          <w:color w:val="auto"/>
          <w:highlight w:val="none"/>
          <w:lang w:val="en-US" w:eastAsia="zh-CN"/>
        </w:rPr>
        <w:t>8月</w:t>
      </w:r>
      <w:r>
        <w:rPr>
          <w:rFonts w:hint="eastAsia"/>
          <w:color w:val="auto"/>
          <w:highlight w:val="none"/>
          <w:lang w:eastAsia="zh-CN"/>
        </w:rPr>
        <w:t>，渭沱水电站改造工程建设完成并完成竣工验收。</w:t>
      </w:r>
    </w:p>
    <w:p>
      <w:pPr>
        <w:ind w:firstLine="52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工程内容</w:t>
      </w:r>
    </w:p>
    <w:p>
      <w:pPr>
        <w:ind w:firstLine="520"/>
        <w:rPr>
          <w:rFonts w:hint="eastAsia"/>
          <w:color w:val="auto"/>
          <w:highlight w:val="none"/>
        </w:rPr>
      </w:pPr>
      <w:r>
        <w:rPr>
          <w:rFonts w:hint="eastAsia"/>
          <w:color w:val="auto"/>
          <w:highlight w:val="none"/>
          <w:lang w:eastAsia="zh-CN"/>
        </w:rPr>
        <w:t>渭沱枢纽现状占地</w:t>
      </w:r>
      <w:r>
        <w:rPr>
          <w:rFonts w:hint="eastAsia"/>
          <w:color w:val="auto"/>
          <w:szCs w:val="26"/>
          <w:highlight w:val="none"/>
          <w:lang w:eastAsia="zh-CN"/>
        </w:rPr>
        <w:t>约</w:t>
      </w:r>
      <w:r>
        <w:rPr>
          <w:rFonts w:hint="eastAsia"/>
          <w:color w:val="auto"/>
          <w:sz w:val="26"/>
          <w:szCs w:val="26"/>
          <w:highlight w:val="none"/>
          <w:lang w:val="en-US" w:eastAsia="zh-CN"/>
        </w:rPr>
        <w:t>24.3亩，</w:t>
      </w:r>
      <w:r>
        <w:rPr>
          <w:rFonts w:hint="eastAsia"/>
          <w:color w:val="auto"/>
          <w:szCs w:val="26"/>
          <w:highlight w:val="none"/>
          <w:lang w:eastAsia="zh-CN"/>
        </w:rPr>
        <w:t>现</w:t>
      </w:r>
      <w:r>
        <w:rPr>
          <w:rFonts w:hint="eastAsia"/>
          <w:color w:val="auto"/>
          <w:highlight w:val="none"/>
          <w:lang w:eastAsia="zh-CN"/>
        </w:rPr>
        <w:t>状主体工程包括挡水构筑物、泄水构筑物、船闸、引水构筑物、发电厂房、</w:t>
      </w:r>
      <w:r>
        <w:rPr>
          <w:rFonts w:hint="eastAsia"/>
          <w:color w:val="auto"/>
          <w:highlight w:val="none"/>
          <w:lang w:val="en-US" w:eastAsia="zh-CN"/>
        </w:rPr>
        <w:t>35kV升压站等，公用工程主要为生产管理区，环保工程主要布置在管理区内。</w:t>
      </w:r>
      <w:r>
        <w:rPr>
          <w:rFonts w:hint="eastAsia"/>
          <w:color w:val="auto"/>
          <w:highlight w:val="none"/>
          <w:lang w:eastAsia="zh-CN"/>
        </w:rPr>
        <w:t>渭沱枢纽现状工程内容</w:t>
      </w:r>
      <w:r>
        <w:rPr>
          <w:rFonts w:hint="eastAsia"/>
          <w:color w:val="auto"/>
          <w:highlight w:val="none"/>
        </w:rPr>
        <w:t>详见下表：</w:t>
      </w:r>
    </w:p>
    <w:p>
      <w:pPr>
        <w:pStyle w:val="222"/>
        <w:keepNext w:val="0"/>
        <w:keepLines w:val="0"/>
        <w:pageBreakBefore w:val="0"/>
        <w:widowControl w:val="0"/>
        <w:kinsoku/>
        <w:wordWrap/>
        <w:overflowPunct/>
        <w:topLinePunct w:val="0"/>
        <w:bidi w:val="0"/>
        <w:snapToGrid w:val="0"/>
        <w:spacing w:line="240" w:lineRule="auto"/>
        <w:ind w:firstLine="0" w:firstLineChars="0"/>
        <w:jc w:val="center"/>
        <w:rPr>
          <w:rFonts w:hint="default" w:ascii="Times New Roman" w:hAnsi="Times New Roman" w:eastAsia="宋体" w:cs="Times New Roman"/>
          <w:color w:val="auto"/>
          <w:highlight w:val="none"/>
          <w:lang w:val="zh-CN"/>
        </w:rPr>
      </w:pPr>
    </w:p>
    <w:p>
      <w:pPr>
        <w:pStyle w:val="222"/>
        <w:keepNext w:val="0"/>
        <w:keepLines w:val="0"/>
        <w:pageBreakBefore w:val="0"/>
        <w:widowControl w:val="0"/>
        <w:kinsoku/>
        <w:wordWrap/>
        <w:overflowPunct/>
        <w:topLinePunct w:val="0"/>
        <w:bidi w:val="0"/>
        <w:snapToGrid w:val="0"/>
        <w:spacing w:line="240" w:lineRule="auto"/>
        <w:ind w:firstLine="0" w:firstLineChars="0"/>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表</w:t>
      </w:r>
      <w:r>
        <w:rPr>
          <w:rFonts w:hint="eastAsia" w:ascii="Times New Roman" w:hAnsi="Times New Roman" w:cs="Times New Roman"/>
          <w:color w:val="auto"/>
          <w:highlight w:val="none"/>
          <w:lang w:val="en-US" w:eastAsia="zh-CN"/>
        </w:rPr>
        <w:t xml:space="preserve">2.4.1-1  </w:t>
      </w:r>
      <w:r>
        <w:rPr>
          <w:rFonts w:hint="default" w:ascii="Times New Roman" w:hAnsi="Times New Roman" w:eastAsia="宋体" w:cs="Times New Roman"/>
          <w:color w:val="auto"/>
          <w:highlight w:val="none"/>
          <w:lang w:val="zh-CN"/>
        </w:rPr>
        <w:t>渭沱航电枢纽工程</w:t>
      </w:r>
      <w:r>
        <w:rPr>
          <w:rFonts w:hint="eastAsia" w:ascii="Times New Roman" w:hAnsi="Times New Roman" w:cs="Times New Roman"/>
          <w:color w:val="auto"/>
          <w:highlight w:val="none"/>
          <w:lang w:val="zh-CN"/>
        </w:rPr>
        <w:t>（现状）</w:t>
      </w:r>
      <w:r>
        <w:rPr>
          <w:rFonts w:hint="default" w:ascii="Times New Roman" w:hAnsi="Times New Roman" w:eastAsia="宋体" w:cs="Times New Roman"/>
          <w:color w:val="auto"/>
          <w:highlight w:val="none"/>
          <w:lang w:val="zh-CN"/>
        </w:rPr>
        <w:t>项目组成表</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925"/>
        <w:gridCol w:w="5975"/>
        <w:gridCol w:w="10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Align w:val="center"/>
          </w:tcPr>
          <w:p>
            <w:pPr>
              <w:pStyle w:val="223"/>
              <w:keepNext w:val="0"/>
              <w:keepLines w:val="0"/>
              <w:pageBreakBefore w:val="0"/>
              <w:widowControl w:val="0"/>
              <w:kinsoku/>
              <w:wordWrap/>
              <w:overflowPunct/>
              <w:topLinePunct w:val="0"/>
              <w:bidi w:val="0"/>
              <w:snapToGrid w:val="0"/>
              <w:spacing w:before="0" w:line="240" w:lineRule="auto"/>
              <w:ind w:firstLine="0" w:firstLineChars="0"/>
              <w:jc w:val="center"/>
              <w:rPr>
                <w:color w:val="auto"/>
                <w:sz w:val="22"/>
                <w:szCs w:val="22"/>
                <w:highlight w:val="none"/>
                <w:lang w:val="sq-AL"/>
              </w:rPr>
            </w:pPr>
            <w:r>
              <w:rPr>
                <w:color w:val="auto"/>
                <w:sz w:val="22"/>
                <w:szCs w:val="22"/>
                <w:highlight w:val="none"/>
                <w:lang w:val="sq-AL"/>
              </w:rPr>
              <w:t>工程项目</w:t>
            </w:r>
          </w:p>
        </w:tc>
        <w:tc>
          <w:tcPr>
            <w:tcW w:w="6900" w:type="dxa"/>
            <w:gridSpan w:val="2"/>
            <w:vAlign w:val="center"/>
          </w:tcPr>
          <w:p>
            <w:pPr>
              <w:pStyle w:val="223"/>
              <w:keepNext w:val="0"/>
              <w:keepLines w:val="0"/>
              <w:pageBreakBefore w:val="0"/>
              <w:widowControl w:val="0"/>
              <w:kinsoku/>
              <w:wordWrap/>
              <w:overflowPunct/>
              <w:topLinePunct w:val="0"/>
              <w:bidi w:val="0"/>
              <w:snapToGrid w:val="0"/>
              <w:spacing w:before="0" w:line="240" w:lineRule="auto"/>
              <w:ind w:firstLine="0" w:firstLineChars="0"/>
              <w:jc w:val="center"/>
              <w:rPr>
                <w:color w:val="auto"/>
                <w:sz w:val="22"/>
                <w:szCs w:val="22"/>
                <w:highlight w:val="none"/>
                <w:lang w:val="sq-AL"/>
              </w:rPr>
            </w:pPr>
            <w:r>
              <w:rPr>
                <w:color w:val="auto"/>
                <w:sz w:val="22"/>
                <w:szCs w:val="22"/>
                <w:highlight w:val="none"/>
                <w:lang w:val="sq-AL"/>
              </w:rPr>
              <w:t>工 程 组 成</w:t>
            </w:r>
          </w:p>
        </w:tc>
        <w:tc>
          <w:tcPr>
            <w:tcW w:w="1087" w:type="dxa"/>
            <w:vAlign w:val="center"/>
          </w:tcPr>
          <w:p>
            <w:pPr>
              <w:pStyle w:val="223"/>
              <w:keepNext w:val="0"/>
              <w:keepLines w:val="0"/>
              <w:pageBreakBefore w:val="0"/>
              <w:widowControl w:val="0"/>
              <w:kinsoku/>
              <w:wordWrap/>
              <w:overflowPunct/>
              <w:topLinePunct w:val="0"/>
              <w:bidi w:val="0"/>
              <w:snapToGrid w:val="0"/>
              <w:spacing w:before="0" w:line="240" w:lineRule="auto"/>
              <w:ind w:firstLine="0" w:firstLineChars="0"/>
              <w:jc w:val="center"/>
              <w:rPr>
                <w:rFonts w:hint="eastAsia" w:eastAsia="宋体"/>
                <w:color w:val="auto"/>
                <w:sz w:val="22"/>
                <w:szCs w:val="22"/>
                <w:highlight w:val="none"/>
                <w:lang w:val="sq-AL" w:eastAsia="zh-CN"/>
              </w:rPr>
            </w:pPr>
            <w:r>
              <w:rPr>
                <w:rFonts w:hint="eastAsia"/>
                <w:color w:val="auto"/>
                <w:sz w:val="22"/>
                <w:szCs w:val="22"/>
                <w:highlight w:val="none"/>
                <w:lang w:val="sq-AL"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restart"/>
            <w:vAlign w:val="center"/>
          </w:tcPr>
          <w:p>
            <w:pPr>
              <w:pStyle w:val="223"/>
              <w:snapToGrid w:val="0"/>
              <w:spacing w:before="0" w:line="240" w:lineRule="auto"/>
              <w:ind w:firstLine="0" w:firstLineChars="0"/>
              <w:jc w:val="center"/>
              <w:rPr>
                <w:color w:val="auto"/>
                <w:sz w:val="22"/>
                <w:szCs w:val="22"/>
                <w:highlight w:val="none"/>
                <w:lang w:val="sq-AL"/>
              </w:rPr>
            </w:pPr>
            <w:r>
              <w:rPr>
                <w:color w:val="auto"/>
                <w:sz w:val="22"/>
                <w:szCs w:val="22"/>
                <w:highlight w:val="none"/>
                <w:lang w:val="sq-AL"/>
              </w:rPr>
              <w:t>主体工程</w:t>
            </w:r>
          </w:p>
        </w:tc>
        <w:tc>
          <w:tcPr>
            <w:tcW w:w="925" w:type="dxa"/>
            <w:vAlign w:val="center"/>
          </w:tcPr>
          <w:p>
            <w:pPr>
              <w:pStyle w:val="223"/>
              <w:snapToGrid w:val="0"/>
              <w:spacing w:before="0" w:line="240" w:lineRule="auto"/>
              <w:ind w:firstLine="0" w:firstLineChars="0"/>
              <w:jc w:val="center"/>
              <w:rPr>
                <w:color w:val="auto"/>
                <w:sz w:val="22"/>
                <w:szCs w:val="22"/>
                <w:highlight w:val="none"/>
                <w:lang w:val="sq-AL"/>
              </w:rPr>
            </w:pPr>
            <w:r>
              <w:rPr>
                <w:rFonts w:hint="eastAsia"/>
                <w:color w:val="auto"/>
                <w:sz w:val="22"/>
                <w:szCs w:val="22"/>
                <w:highlight w:val="none"/>
                <w:lang w:val="sq-AL"/>
              </w:rPr>
              <w:t>挡水构筑物</w:t>
            </w:r>
          </w:p>
        </w:tc>
        <w:tc>
          <w:tcPr>
            <w:tcW w:w="5975" w:type="dxa"/>
            <w:vAlign w:val="center"/>
          </w:tcPr>
          <w:p>
            <w:pPr>
              <w:pStyle w:val="224"/>
              <w:adjustRightInd w:val="0"/>
              <w:snapToGrid w:val="0"/>
              <w:spacing w:line="240" w:lineRule="auto"/>
              <w:ind w:firstLine="0" w:firstLineChars="0"/>
              <w:rPr>
                <w:rFonts w:hint="eastAsia" w:eastAsia="宋体"/>
                <w:color w:val="auto"/>
                <w:sz w:val="22"/>
                <w:szCs w:val="22"/>
                <w:highlight w:val="none"/>
                <w:lang w:eastAsia="zh-CN"/>
              </w:rPr>
            </w:pPr>
            <w:r>
              <w:rPr>
                <w:rFonts w:hint="eastAsia"/>
                <w:color w:val="auto"/>
                <w:sz w:val="22"/>
                <w:szCs w:val="22"/>
                <w:highlight w:val="none"/>
              </w:rPr>
              <w:t>挡水建筑物为1座主坝、2 座副坝。主坝坝型为溢流式重力坝，坝顶长度150m，无防浪墙，最大坝高13.4m，坝顶宽度1m。副坝坝型分别为混凝土支墩坝、折线型浆砌石坝。混凝土支墩坝最大坝高13.3m，坝顶长度185m。折线型浆砌石坝最大坝高3m，坝顶长度89.5m。</w:t>
            </w:r>
          </w:p>
        </w:tc>
        <w:tc>
          <w:tcPr>
            <w:tcW w:w="1087" w:type="dxa"/>
            <w:vAlign w:val="center"/>
          </w:tcPr>
          <w:p>
            <w:pPr>
              <w:pStyle w:val="224"/>
              <w:adjustRightInd w:val="0"/>
              <w:snapToGrid w:val="0"/>
              <w:spacing w:line="240" w:lineRule="auto"/>
              <w:ind w:left="-130" w:leftChars="-50" w:right="-130" w:rightChars="-50"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本次不涉及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vAlign w:val="center"/>
          </w:tcPr>
          <w:p>
            <w:pPr>
              <w:pStyle w:val="223"/>
              <w:snapToGrid w:val="0"/>
              <w:spacing w:before="0" w:line="240" w:lineRule="auto"/>
              <w:ind w:firstLine="0" w:firstLineChars="0"/>
              <w:jc w:val="center"/>
              <w:rPr>
                <w:color w:val="auto"/>
                <w:sz w:val="22"/>
                <w:szCs w:val="22"/>
                <w:highlight w:val="none"/>
                <w:lang w:val="sq-AL"/>
              </w:rPr>
            </w:pPr>
          </w:p>
        </w:tc>
        <w:tc>
          <w:tcPr>
            <w:tcW w:w="925" w:type="dxa"/>
            <w:vAlign w:val="center"/>
          </w:tcPr>
          <w:p>
            <w:pPr>
              <w:pStyle w:val="223"/>
              <w:snapToGrid w:val="0"/>
              <w:spacing w:before="0" w:line="240" w:lineRule="auto"/>
              <w:ind w:firstLine="0" w:firstLineChars="0"/>
              <w:jc w:val="center"/>
              <w:rPr>
                <w:rFonts w:hint="eastAsia" w:eastAsia="宋体"/>
                <w:color w:val="auto"/>
                <w:sz w:val="22"/>
                <w:szCs w:val="22"/>
                <w:highlight w:val="none"/>
                <w:lang w:val="sq-AL" w:eastAsia="zh-CN"/>
              </w:rPr>
            </w:pPr>
            <w:r>
              <w:rPr>
                <w:color w:val="auto"/>
                <w:sz w:val="22"/>
                <w:szCs w:val="22"/>
                <w:highlight w:val="none"/>
                <w:lang w:val="sq-AL"/>
              </w:rPr>
              <w:t>泄水</w:t>
            </w:r>
            <w:r>
              <w:rPr>
                <w:rFonts w:hint="eastAsia"/>
                <w:color w:val="auto"/>
                <w:sz w:val="22"/>
                <w:szCs w:val="22"/>
                <w:highlight w:val="none"/>
                <w:lang w:val="sq-AL" w:eastAsia="zh-CN"/>
              </w:rPr>
              <w:t>构筑物</w:t>
            </w:r>
          </w:p>
        </w:tc>
        <w:tc>
          <w:tcPr>
            <w:tcW w:w="5975" w:type="dxa"/>
            <w:vAlign w:val="center"/>
          </w:tcPr>
          <w:p>
            <w:pPr>
              <w:pStyle w:val="224"/>
              <w:adjustRightInd w:val="0"/>
              <w:snapToGrid w:val="0"/>
              <w:spacing w:line="240" w:lineRule="auto"/>
              <w:ind w:firstLine="0" w:firstLineChars="0"/>
              <w:rPr>
                <w:color w:val="auto"/>
                <w:sz w:val="22"/>
                <w:szCs w:val="22"/>
                <w:highlight w:val="none"/>
              </w:rPr>
            </w:pPr>
            <w:r>
              <w:rPr>
                <w:rFonts w:hint="default" w:ascii="Times New Roman" w:hAnsi="Times New Roman" w:cs="Times New Roman"/>
                <w:color w:val="auto"/>
                <w:sz w:val="22"/>
                <w:szCs w:val="22"/>
                <w:highlight w:val="none"/>
              </w:rPr>
              <w:t>泄水建筑物包含泄洪孔、排沙孔。泄洪孔为开敞平底式，数量为11条，断面尺寸10m×10.5m（宽×高），工作</w:t>
            </w:r>
            <w:r>
              <w:rPr>
                <w:rFonts w:hint="eastAsia" w:cs="Times New Roman"/>
                <w:color w:val="auto"/>
                <w:sz w:val="22"/>
                <w:szCs w:val="22"/>
                <w:highlight w:val="none"/>
                <w:shd w:val="clear" w:fill="FFFFFF"/>
                <w:lang w:eastAsia="zh-CN"/>
              </w:rPr>
              <w:t>闸门型式</w:t>
            </w:r>
            <w:r>
              <w:rPr>
                <w:rFonts w:hint="default" w:ascii="Times New Roman" w:hAnsi="Times New Roman" w:cs="Times New Roman"/>
                <w:color w:val="auto"/>
                <w:sz w:val="22"/>
                <w:szCs w:val="22"/>
                <w:highlight w:val="none"/>
              </w:rPr>
              <w:t>为平板闸门，启闭方式为卷扬式，设计泄洪流量8450</w:t>
            </w:r>
            <w:r>
              <w:rPr>
                <w:rFonts w:hint="default" w:ascii="Times New Roman" w:hAnsi="Times New Roman" w:cs="Times New Roman"/>
                <w:color w:val="auto"/>
                <w:sz w:val="22"/>
                <w:szCs w:val="22"/>
                <w:highlight w:val="none"/>
                <w:lang w:val="en-US" w:eastAsia="zh-CN"/>
              </w:rPr>
              <w:t>m³</w:t>
            </w:r>
            <w:r>
              <w:rPr>
                <w:rFonts w:hint="default" w:ascii="Times New Roman" w:hAnsi="Times New Roman" w:cs="Times New Roman"/>
                <w:color w:val="auto"/>
                <w:sz w:val="22"/>
                <w:szCs w:val="22"/>
                <w:highlight w:val="none"/>
              </w:rPr>
              <w:t>/s，消能方式为底流平板消能、消力池和海漫。排沙孔为开敞平底式，数量3条，断面尺寸10m×10.5m（宽×高），工作闸门形式为平板闸门，启闭方式为卷扬式，设计泄洪流量8450</w:t>
            </w:r>
            <w:r>
              <w:rPr>
                <w:rFonts w:hint="default" w:ascii="Times New Roman" w:hAnsi="Times New Roman" w:cs="Times New Roman"/>
                <w:color w:val="auto"/>
                <w:sz w:val="22"/>
                <w:szCs w:val="22"/>
                <w:highlight w:val="none"/>
                <w:lang w:val="en-US" w:eastAsia="zh-CN"/>
              </w:rPr>
              <w:t>m³</w:t>
            </w:r>
            <w:r>
              <w:rPr>
                <w:rFonts w:hint="default" w:ascii="Times New Roman" w:hAnsi="Times New Roman" w:cs="Times New Roman"/>
                <w:color w:val="auto"/>
                <w:sz w:val="22"/>
                <w:szCs w:val="22"/>
                <w:highlight w:val="none"/>
              </w:rPr>
              <w:t>/s，消能方式为底流平板消能、消力池和海漫。</w:t>
            </w:r>
          </w:p>
        </w:tc>
        <w:tc>
          <w:tcPr>
            <w:tcW w:w="1087" w:type="dxa"/>
            <w:vAlign w:val="center"/>
          </w:tcPr>
          <w:p>
            <w:pPr>
              <w:pStyle w:val="224"/>
              <w:adjustRightInd w:val="0"/>
              <w:snapToGrid w:val="0"/>
              <w:spacing w:line="240" w:lineRule="auto"/>
              <w:ind w:left="-130" w:leftChars="-50" w:right="-130" w:rightChars="-50" w:firstLine="0" w:firstLineChars="0"/>
              <w:jc w:val="center"/>
              <w:rPr>
                <w:rFonts w:hint="default" w:ascii="Times New Roman" w:hAnsi="Times New Roman" w:cs="Times New Roman"/>
                <w:color w:val="auto"/>
                <w:sz w:val="22"/>
                <w:szCs w:val="22"/>
                <w:highlight w:val="none"/>
              </w:rPr>
            </w:pPr>
            <w:r>
              <w:rPr>
                <w:rFonts w:hint="eastAsia"/>
                <w:color w:val="auto"/>
                <w:sz w:val="22"/>
                <w:szCs w:val="22"/>
                <w:highlight w:val="none"/>
                <w:lang w:eastAsia="zh-CN"/>
              </w:rPr>
              <w:t>本次不涉及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vAlign w:val="center"/>
          </w:tcPr>
          <w:p>
            <w:pPr>
              <w:pStyle w:val="223"/>
              <w:snapToGrid w:val="0"/>
              <w:spacing w:before="0" w:line="240" w:lineRule="auto"/>
              <w:ind w:firstLine="0" w:firstLineChars="0"/>
              <w:jc w:val="center"/>
              <w:rPr>
                <w:color w:val="auto"/>
                <w:sz w:val="22"/>
                <w:szCs w:val="22"/>
                <w:highlight w:val="none"/>
                <w:lang w:val="sq-AL"/>
              </w:rPr>
            </w:pPr>
          </w:p>
        </w:tc>
        <w:tc>
          <w:tcPr>
            <w:tcW w:w="925" w:type="dxa"/>
            <w:vAlign w:val="center"/>
          </w:tcPr>
          <w:p>
            <w:pPr>
              <w:pStyle w:val="223"/>
              <w:snapToGrid w:val="0"/>
              <w:spacing w:before="0" w:line="240" w:lineRule="auto"/>
              <w:ind w:firstLine="0" w:firstLineChars="0"/>
              <w:jc w:val="center"/>
              <w:rPr>
                <w:color w:val="auto"/>
                <w:sz w:val="22"/>
                <w:szCs w:val="22"/>
                <w:highlight w:val="none"/>
                <w:lang w:val="sq-AL"/>
              </w:rPr>
            </w:pPr>
            <w:r>
              <w:rPr>
                <w:color w:val="auto"/>
                <w:sz w:val="22"/>
                <w:szCs w:val="22"/>
                <w:highlight w:val="none"/>
                <w:lang w:val="sq-AL"/>
              </w:rPr>
              <w:t>船闸</w:t>
            </w:r>
          </w:p>
        </w:tc>
        <w:tc>
          <w:tcPr>
            <w:tcW w:w="5975" w:type="dxa"/>
            <w:vAlign w:val="center"/>
          </w:tcPr>
          <w:p>
            <w:pPr>
              <w:pStyle w:val="224"/>
              <w:adjustRightInd w:val="0"/>
              <w:snapToGrid w:val="0"/>
              <w:spacing w:line="240" w:lineRule="auto"/>
              <w:ind w:firstLine="0" w:firstLineChars="0"/>
              <w:rPr>
                <w:color w:val="auto"/>
                <w:sz w:val="22"/>
                <w:szCs w:val="22"/>
                <w:highlight w:val="none"/>
              </w:rPr>
            </w:pPr>
            <w:r>
              <w:rPr>
                <w:rFonts w:hint="eastAsia"/>
                <w:color w:val="auto"/>
                <w:sz w:val="22"/>
                <w:szCs w:val="22"/>
                <w:highlight w:val="none"/>
              </w:rPr>
              <w:t>布置</w:t>
            </w:r>
            <w:r>
              <w:rPr>
                <w:rFonts w:hint="eastAsia"/>
                <w:color w:val="auto"/>
                <w:sz w:val="22"/>
                <w:szCs w:val="22"/>
                <w:highlight w:val="none"/>
                <w:lang w:eastAsia="zh-CN"/>
              </w:rPr>
              <w:t>于</w:t>
            </w:r>
            <w:r>
              <w:rPr>
                <w:rFonts w:hint="eastAsia"/>
                <w:color w:val="auto"/>
                <w:sz w:val="22"/>
                <w:szCs w:val="22"/>
                <w:highlight w:val="none"/>
              </w:rPr>
              <w:t>厂房右侧，按</w:t>
            </w:r>
            <w:r>
              <w:rPr>
                <w:rFonts w:hint="eastAsia"/>
                <w:color w:val="auto"/>
                <w:sz w:val="22"/>
                <w:szCs w:val="22"/>
                <w:highlight w:val="none"/>
                <w:shd w:val="clear" w:fill="FFFFFF"/>
                <w:lang w:eastAsia="zh-CN"/>
              </w:rPr>
              <w:t>Ⅵ级</w:t>
            </w:r>
            <w:r>
              <w:rPr>
                <w:rFonts w:hint="eastAsia"/>
                <w:color w:val="auto"/>
                <w:sz w:val="22"/>
                <w:szCs w:val="22"/>
                <w:highlight w:val="none"/>
              </w:rPr>
              <w:t>航道标准设计，有效尺寸100×12（8）×2.0m（长×宽×门槛水深），可通行80t级货船，上闸首交通桥通航净高9.5m。船闸采用短廊道输水系统，闸门为横拉门。船闸主要由上游引航道、上闸首、闸室、下闸首及下引航道等组成，总长约738m。</w:t>
            </w:r>
          </w:p>
        </w:tc>
        <w:tc>
          <w:tcPr>
            <w:tcW w:w="1087" w:type="dxa"/>
            <w:vAlign w:val="center"/>
          </w:tcPr>
          <w:p>
            <w:pPr>
              <w:pStyle w:val="224"/>
              <w:adjustRightInd w:val="0"/>
              <w:snapToGrid w:val="0"/>
              <w:spacing w:line="240" w:lineRule="auto"/>
              <w:ind w:left="-130" w:leftChars="-50" w:right="-130" w:rightChars="-50"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本次改造为鱼道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vAlign w:val="center"/>
          </w:tcPr>
          <w:p>
            <w:pPr>
              <w:pStyle w:val="223"/>
              <w:snapToGrid w:val="0"/>
              <w:spacing w:before="0" w:line="240" w:lineRule="auto"/>
              <w:ind w:firstLine="0" w:firstLineChars="0"/>
              <w:jc w:val="center"/>
              <w:rPr>
                <w:color w:val="auto"/>
                <w:sz w:val="22"/>
                <w:szCs w:val="22"/>
                <w:highlight w:val="none"/>
                <w:lang w:val="sq-AL"/>
              </w:rPr>
            </w:pPr>
          </w:p>
        </w:tc>
        <w:tc>
          <w:tcPr>
            <w:tcW w:w="925" w:type="dxa"/>
            <w:vAlign w:val="center"/>
          </w:tcPr>
          <w:p>
            <w:pPr>
              <w:pStyle w:val="223"/>
              <w:snapToGrid w:val="0"/>
              <w:spacing w:before="0"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引水构筑物</w:t>
            </w:r>
          </w:p>
        </w:tc>
        <w:tc>
          <w:tcPr>
            <w:tcW w:w="5975" w:type="dxa"/>
            <w:vAlign w:val="center"/>
          </w:tcPr>
          <w:p>
            <w:pPr>
              <w:pStyle w:val="224"/>
              <w:adjustRightInd w:val="0"/>
              <w:snapToGrid w:val="0"/>
              <w:spacing w:line="240" w:lineRule="auto"/>
              <w:ind w:firstLine="0" w:firstLineChars="0"/>
              <w:rPr>
                <w:color w:val="auto"/>
                <w:sz w:val="22"/>
                <w:szCs w:val="22"/>
                <w:highlight w:val="none"/>
              </w:rPr>
            </w:pPr>
            <w:r>
              <w:rPr>
                <w:rFonts w:hint="eastAsia"/>
                <w:color w:val="auto"/>
                <w:sz w:val="22"/>
                <w:szCs w:val="22"/>
                <w:highlight w:val="none"/>
              </w:rPr>
              <w:t>引水建筑物采用无压力引水道，设计引用流量400</w:t>
            </w:r>
            <w:r>
              <w:rPr>
                <w:rFonts w:hint="eastAsia"/>
                <w:color w:val="auto"/>
                <w:sz w:val="22"/>
                <w:szCs w:val="22"/>
                <w:highlight w:val="none"/>
                <w:lang w:val="en-US" w:eastAsia="zh-CN"/>
              </w:rPr>
              <w:t>m³</w:t>
            </w:r>
            <w:r>
              <w:rPr>
                <w:rFonts w:hint="eastAsia"/>
                <w:color w:val="auto"/>
                <w:sz w:val="22"/>
                <w:szCs w:val="22"/>
                <w:highlight w:val="none"/>
              </w:rPr>
              <w:t>/s。</w:t>
            </w:r>
          </w:p>
        </w:tc>
        <w:tc>
          <w:tcPr>
            <w:tcW w:w="1087" w:type="dxa"/>
            <w:vAlign w:val="center"/>
          </w:tcPr>
          <w:p>
            <w:pPr>
              <w:pStyle w:val="224"/>
              <w:adjustRightInd w:val="0"/>
              <w:snapToGrid w:val="0"/>
              <w:spacing w:line="240" w:lineRule="auto"/>
              <w:ind w:left="-130" w:leftChars="-50" w:right="-130" w:rightChars="-50" w:firstLine="0" w:firstLineChars="0"/>
              <w:jc w:val="center"/>
              <w:rPr>
                <w:rFonts w:hint="eastAsia"/>
                <w:color w:val="auto"/>
                <w:sz w:val="22"/>
                <w:szCs w:val="22"/>
                <w:highlight w:val="none"/>
              </w:rPr>
            </w:pPr>
            <w:r>
              <w:rPr>
                <w:rFonts w:hint="eastAsia"/>
                <w:color w:val="auto"/>
                <w:sz w:val="22"/>
                <w:szCs w:val="22"/>
                <w:highlight w:val="none"/>
                <w:lang w:eastAsia="zh-CN"/>
              </w:rPr>
              <w:t>本次不涉及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vAlign w:val="center"/>
          </w:tcPr>
          <w:p>
            <w:pPr>
              <w:pStyle w:val="223"/>
              <w:snapToGrid w:val="0"/>
              <w:spacing w:before="0" w:line="240" w:lineRule="auto"/>
              <w:ind w:firstLine="0" w:firstLineChars="0"/>
              <w:jc w:val="center"/>
              <w:rPr>
                <w:color w:val="auto"/>
                <w:sz w:val="22"/>
                <w:szCs w:val="22"/>
                <w:highlight w:val="none"/>
                <w:lang w:val="sq-AL"/>
              </w:rPr>
            </w:pPr>
          </w:p>
        </w:tc>
        <w:tc>
          <w:tcPr>
            <w:tcW w:w="925" w:type="dxa"/>
            <w:vAlign w:val="center"/>
          </w:tcPr>
          <w:p>
            <w:pPr>
              <w:pStyle w:val="223"/>
              <w:snapToGrid w:val="0"/>
              <w:spacing w:before="0" w:line="240" w:lineRule="auto"/>
              <w:ind w:firstLine="0" w:firstLineChars="0"/>
              <w:jc w:val="center"/>
              <w:rPr>
                <w:rFonts w:hint="eastAsia"/>
                <w:color w:val="auto"/>
                <w:sz w:val="22"/>
                <w:szCs w:val="22"/>
                <w:highlight w:val="none"/>
              </w:rPr>
            </w:pPr>
            <w:r>
              <w:rPr>
                <w:rFonts w:hint="eastAsia"/>
                <w:color w:val="auto"/>
                <w:sz w:val="22"/>
                <w:szCs w:val="22"/>
                <w:highlight w:val="none"/>
              </w:rPr>
              <w:t>发电</w:t>
            </w:r>
          </w:p>
          <w:p>
            <w:pPr>
              <w:pStyle w:val="223"/>
              <w:snapToGrid w:val="0"/>
              <w:spacing w:before="0" w:line="240" w:lineRule="auto"/>
              <w:ind w:firstLine="0" w:firstLineChars="0"/>
              <w:jc w:val="center"/>
              <w:rPr>
                <w:color w:val="auto"/>
                <w:sz w:val="22"/>
                <w:szCs w:val="22"/>
                <w:highlight w:val="none"/>
              </w:rPr>
            </w:pPr>
            <w:r>
              <w:rPr>
                <w:rFonts w:hint="eastAsia"/>
                <w:color w:val="auto"/>
                <w:sz w:val="22"/>
                <w:szCs w:val="22"/>
                <w:highlight w:val="none"/>
              </w:rPr>
              <w:t>厂房</w:t>
            </w:r>
          </w:p>
        </w:tc>
        <w:tc>
          <w:tcPr>
            <w:tcW w:w="5975" w:type="dxa"/>
            <w:vAlign w:val="center"/>
          </w:tcPr>
          <w:p>
            <w:pPr>
              <w:pStyle w:val="224"/>
              <w:adjustRightInd w:val="0"/>
              <w:snapToGrid w:val="0"/>
              <w:spacing w:line="240" w:lineRule="auto"/>
              <w:ind w:firstLine="0" w:firstLineChars="0"/>
              <w:rPr>
                <w:color w:val="auto"/>
                <w:sz w:val="22"/>
                <w:szCs w:val="22"/>
                <w:highlight w:val="none"/>
              </w:rPr>
            </w:pPr>
            <w:r>
              <w:rPr>
                <w:color w:val="auto"/>
                <w:sz w:val="22"/>
                <w:szCs w:val="22"/>
                <w:highlight w:val="none"/>
              </w:rPr>
              <w:t>在河道右岸、船闸左侧布置河床式厂房，</w:t>
            </w:r>
            <w:r>
              <w:rPr>
                <w:rFonts w:hint="eastAsia"/>
                <w:color w:val="auto"/>
                <w:sz w:val="22"/>
                <w:szCs w:val="22"/>
                <w:highlight w:val="none"/>
              </w:rPr>
              <w:t>主厂房尺寸 79.5m</w:t>
            </w:r>
            <w:r>
              <w:rPr>
                <w:rFonts w:hint="default" w:ascii="Times New Roman" w:hAnsi="Times New Roman" w:cs="Times New Roman"/>
                <w:color w:val="auto"/>
                <w:sz w:val="22"/>
                <w:szCs w:val="22"/>
                <w:highlight w:val="none"/>
              </w:rPr>
              <w:t>×</w:t>
            </w:r>
            <w:r>
              <w:rPr>
                <w:rFonts w:hint="eastAsia"/>
                <w:color w:val="auto"/>
                <w:sz w:val="22"/>
                <w:szCs w:val="22"/>
                <w:highlight w:val="none"/>
              </w:rPr>
              <w:t>68.55m</w:t>
            </w:r>
            <w:r>
              <w:rPr>
                <w:rFonts w:hint="default" w:ascii="Times New Roman" w:hAnsi="Times New Roman" w:cs="Times New Roman"/>
                <w:color w:val="auto"/>
                <w:sz w:val="22"/>
                <w:szCs w:val="22"/>
                <w:highlight w:val="none"/>
              </w:rPr>
              <w:t>×</w:t>
            </w:r>
            <w:r>
              <w:rPr>
                <w:rFonts w:hint="eastAsia"/>
                <w:color w:val="auto"/>
                <w:sz w:val="22"/>
                <w:szCs w:val="22"/>
                <w:highlight w:val="none"/>
              </w:rPr>
              <w:t>60.3m（长</w:t>
            </w:r>
            <w:r>
              <w:rPr>
                <w:rFonts w:hint="default" w:ascii="Times New Roman" w:hAnsi="Times New Roman" w:cs="Times New Roman"/>
                <w:color w:val="auto"/>
                <w:sz w:val="22"/>
                <w:szCs w:val="22"/>
                <w:highlight w:val="none"/>
              </w:rPr>
              <w:t>×</w:t>
            </w:r>
            <w:r>
              <w:rPr>
                <w:rFonts w:hint="eastAsia"/>
                <w:color w:val="auto"/>
                <w:sz w:val="22"/>
                <w:szCs w:val="22"/>
                <w:highlight w:val="none"/>
              </w:rPr>
              <w:t>宽</w:t>
            </w:r>
            <w:r>
              <w:rPr>
                <w:rFonts w:hint="default" w:ascii="Times New Roman" w:hAnsi="Times New Roman" w:cs="Times New Roman"/>
                <w:color w:val="auto"/>
                <w:sz w:val="22"/>
                <w:szCs w:val="22"/>
                <w:highlight w:val="none"/>
              </w:rPr>
              <w:t>×</w:t>
            </w:r>
            <w:r>
              <w:rPr>
                <w:rFonts w:hint="eastAsia"/>
                <w:color w:val="auto"/>
                <w:sz w:val="22"/>
                <w:szCs w:val="22"/>
                <w:highlight w:val="none"/>
              </w:rPr>
              <w:t>高）</w:t>
            </w:r>
            <w:r>
              <w:rPr>
                <w:color w:val="auto"/>
                <w:sz w:val="22"/>
                <w:szCs w:val="22"/>
                <w:highlight w:val="none"/>
              </w:rPr>
              <w:t>安装</w:t>
            </w:r>
            <w:r>
              <w:rPr>
                <w:rFonts w:hint="eastAsia"/>
                <w:color w:val="auto"/>
                <w:sz w:val="22"/>
                <w:szCs w:val="22"/>
                <w:highlight w:val="none"/>
                <w:lang w:val="en-US" w:eastAsia="zh-CN"/>
              </w:rPr>
              <w:t>2</w:t>
            </w:r>
            <w:r>
              <w:rPr>
                <w:color w:val="auto"/>
                <w:sz w:val="22"/>
                <w:szCs w:val="22"/>
                <w:highlight w:val="none"/>
              </w:rPr>
              <w:t>台灯泡贯流式机组，总装机</w:t>
            </w:r>
            <w:r>
              <w:rPr>
                <w:rFonts w:hint="eastAsia"/>
                <w:color w:val="auto"/>
                <w:sz w:val="22"/>
                <w:szCs w:val="22"/>
                <w:highlight w:val="none"/>
                <w:lang w:val="en-US" w:eastAsia="zh-CN"/>
              </w:rPr>
              <w:t>9.5</w:t>
            </w:r>
            <w:r>
              <w:rPr>
                <w:color w:val="auto"/>
                <w:sz w:val="22"/>
                <w:szCs w:val="22"/>
                <w:highlight w:val="none"/>
              </w:rPr>
              <w:t>MW。</w:t>
            </w:r>
          </w:p>
        </w:tc>
        <w:tc>
          <w:tcPr>
            <w:tcW w:w="1087" w:type="dxa"/>
            <w:vAlign w:val="center"/>
          </w:tcPr>
          <w:p>
            <w:pPr>
              <w:pStyle w:val="224"/>
              <w:adjustRightInd w:val="0"/>
              <w:snapToGrid w:val="0"/>
              <w:spacing w:line="240" w:lineRule="auto"/>
              <w:ind w:left="-130" w:leftChars="-50" w:right="-130" w:rightChars="-50" w:firstLine="0" w:firstLineChars="0"/>
              <w:jc w:val="center"/>
              <w:rPr>
                <w:color w:val="auto"/>
                <w:sz w:val="22"/>
                <w:szCs w:val="22"/>
                <w:highlight w:val="none"/>
              </w:rPr>
            </w:pPr>
            <w:r>
              <w:rPr>
                <w:rFonts w:hint="eastAsia"/>
                <w:color w:val="auto"/>
                <w:sz w:val="22"/>
                <w:szCs w:val="22"/>
                <w:highlight w:val="none"/>
                <w:lang w:eastAsia="zh-CN"/>
              </w:rPr>
              <w:t>本次不涉及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vAlign w:val="center"/>
          </w:tcPr>
          <w:p>
            <w:pPr>
              <w:pStyle w:val="223"/>
              <w:snapToGrid w:val="0"/>
              <w:spacing w:before="0" w:line="240" w:lineRule="auto"/>
              <w:ind w:firstLine="0" w:firstLineChars="0"/>
              <w:jc w:val="center"/>
              <w:rPr>
                <w:color w:val="auto"/>
                <w:sz w:val="22"/>
                <w:szCs w:val="22"/>
                <w:highlight w:val="none"/>
                <w:lang w:val="sq-AL"/>
              </w:rPr>
            </w:pPr>
          </w:p>
        </w:tc>
        <w:tc>
          <w:tcPr>
            <w:tcW w:w="925" w:type="dxa"/>
            <w:vAlign w:val="center"/>
          </w:tcPr>
          <w:p>
            <w:pPr>
              <w:pStyle w:val="224"/>
              <w:adjustRightInd w:val="0"/>
              <w:snapToGrid w:val="0"/>
              <w:spacing w:line="240" w:lineRule="auto"/>
              <w:ind w:firstLine="0" w:firstLineChars="0"/>
              <w:jc w:val="center"/>
              <w:rPr>
                <w:rFonts w:hint="default"/>
                <w:color w:val="auto"/>
                <w:sz w:val="22"/>
                <w:szCs w:val="22"/>
                <w:highlight w:val="none"/>
                <w:lang w:val="en-US" w:eastAsia="zh-CN"/>
              </w:rPr>
            </w:pPr>
            <w:r>
              <w:rPr>
                <w:rFonts w:hint="eastAsia"/>
                <w:color w:val="auto"/>
                <w:sz w:val="22"/>
                <w:szCs w:val="22"/>
                <w:highlight w:val="none"/>
                <w:lang w:val="en-US" w:eastAsia="zh-CN"/>
              </w:rPr>
              <w:t>35kV升压站</w:t>
            </w:r>
          </w:p>
        </w:tc>
        <w:tc>
          <w:tcPr>
            <w:tcW w:w="5975" w:type="dxa"/>
            <w:vAlign w:val="center"/>
          </w:tcPr>
          <w:p>
            <w:pPr>
              <w:pStyle w:val="224"/>
              <w:adjustRightInd w:val="0"/>
              <w:snapToGrid w:val="0"/>
              <w:spacing w:line="240" w:lineRule="auto"/>
              <w:ind w:firstLine="0" w:firstLineChars="0"/>
              <w:rPr>
                <w:rFonts w:hint="default"/>
                <w:color w:val="auto"/>
                <w:sz w:val="22"/>
                <w:szCs w:val="22"/>
                <w:highlight w:val="none"/>
                <w:lang w:val="en-US" w:eastAsia="zh-CN"/>
              </w:rPr>
            </w:pPr>
            <w:r>
              <w:rPr>
                <w:rFonts w:hint="eastAsia"/>
                <w:color w:val="auto"/>
                <w:sz w:val="22"/>
                <w:szCs w:val="22"/>
                <w:highlight w:val="none"/>
              </w:rPr>
              <w:t>升压站和开关站位于主厂房右下游侧岸坡上，升压站布置有2台主变</w:t>
            </w:r>
            <w:r>
              <w:rPr>
                <w:rFonts w:hint="eastAsia"/>
                <w:color w:val="auto"/>
                <w:sz w:val="22"/>
                <w:szCs w:val="22"/>
                <w:highlight w:val="none"/>
                <w:lang w:eastAsia="zh-CN"/>
              </w:rPr>
              <w:t>，</w:t>
            </w:r>
            <w:r>
              <w:rPr>
                <w:rFonts w:hint="eastAsia"/>
                <w:color w:val="auto"/>
                <w:sz w:val="22"/>
                <w:szCs w:val="22"/>
                <w:highlight w:val="none"/>
              </w:rPr>
              <w:t>主变总容量20000KVA，另配35KV开关室一座，35KV出线结构架一副。开关站布置有厂用变压器1台，容量1250KVA。</w:t>
            </w:r>
          </w:p>
        </w:tc>
        <w:tc>
          <w:tcPr>
            <w:tcW w:w="1087" w:type="dxa"/>
            <w:vAlign w:val="center"/>
          </w:tcPr>
          <w:p>
            <w:pPr>
              <w:pStyle w:val="224"/>
              <w:adjustRightInd w:val="0"/>
              <w:snapToGrid w:val="0"/>
              <w:spacing w:line="240" w:lineRule="auto"/>
              <w:ind w:left="-130" w:leftChars="-50" w:right="-130" w:rightChars="-50" w:firstLine="0" w:firstLineChars="0"/>
              <w:jc w:val="center"/>
              <w:rPr>
                <w:rFonts w:hint="eastAsia"/>
                <w:color w:val="auto"/>
                <w:sz w:val="22"/>
                <w:szCs w:val="22"/>
                <w:highlight w:val="none"/>
              </w:rPr>
            </w:pPr>
            <w:r>
              <w:rPr>
                <w:rFonts w:hint="eastAsia"/>
                <w:color w:val="auto"/>
                <w:sz w:val="22"/>
                <w:szCs w:val="22"/>
                <w:highlight w:val="none"/>
                <w:lang w:eastAsia="zh-CN"/>
              </w:rPr>
              <w:t>本次拆除后重建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restart"/>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公用工程</w:t>
            </w:r>
          </w:p>
        </w:tc>
        <w:tc>
          <w:tcPr>
            <w:tcW w:w="925" w:type="dxa"/>
            <w:vAlign w:val="center"/>
          </w:tcPr>
          <w:p>
            <w:pPr>
              <w:adjustRightInd w:val="0"/>
              <w:snapToGrid w:val="0"/>
              <w:spacing w:line="240" w:lineRule="auto"/>
              <w:ind w:firstLine="0" w:firstLineChars="0"/>
              <w:jc w:val="center"/>
              <w:rPr>
                <w:rFonts w:hint="eastAsia"/>
                <w:color w:val="auto"/>
                <w:sz w:val="22"/>
                <w:szCs w:val="22"/>
                <w:highlight w:val="none"/>
              </w:rPr>
            </w:pPr>
            <w:r>
              <w:rPr>
                <w:rFonts w:hint="default" w:ascii="Times New Roman" w:hAnsi="Times New Roman" w:cs="Times New Roman"/>
                <w:color w:val="auto"/>
                <w:sz w:val="22"/>
                <w:szCs w:val="22"/>
                <w:highlight w:val="none"/>
              </w:rPr>
              <w:t>生产管理区</w:t>
            </w:r>
          </w:p>
        </w:tc>
        <w:tc>
          <w:tcPr>
            <w:tcW w:w="5975" w:type="dxa"/>
            <w:vAlign w:val="center"/>
          </w:tcPr>
          <w:p>
            <w:pPr>
              <w:pStyle w:val="223"/>
              <w:snapToGrid w:val="0"/>
              <w:spacing w:before="0" w:line="240" w:lineRule="auto"/>
              <w:ind w:firstLine="0" w:firstLineChars="0"/>
              <w:rPr>
                <w:rFonts w:hint="eastAsia" w:eastAsia="宋体"/>
                <w:color w:val="auto"/>
                <w:sz w:val="22"/>
                <w:szCs w:val="22"/>
                <w:highlight w:val="none"/>
                <w:lang w:val="sq-AL" w:eastAsia="zh-CN"/>
              </w:rPr>
            </w:pPr>
            <w:r>
              <w:rPr>
                <w:rFonts w:hint="eastAsia"/>
                <w:color w:val="auto"/>
                <w:sz w:val="22"/>
                <w:szCs w:val="22"/>
                <w:highlight w:val="none"/>
                <w:lang w:val="sq-AL" w:eastAsia="zh-CN"/>
              </w:rPr>
              <w:t>生产管理区布置在右岸，包括办公楼、食堂、宿舍楼等。</w:t>
            </w:r>
          </w:p>
        </w:tc>
        <w:tc>
          <w:tcPr>
            <w:tcW w:w="1087" w:type="dxa"/>
            <w:vAlign w:val="center"/>
          </w:tcPr>
          <w:p>
            <w:pPr>
              <w:pStyle w:val="223"/>
              <w:snapToGrid w:val="0"/>
              <w:spacing w:before="0" w:line="240" w:lineRule="auto"/>
              <w:ind w:left="-130" w:leftChars="-50" w:right="-130" w:rightChars="-50" w:firstLine="0" w:firstLineChars="0"/>
              <w:jc w:val="center"/>
              <w:rPr>
                <w:rFonts w:hint="eastAsia"/>
                <w:color w:val="auto"/>
                <w:sz w:val="22"/>
                <w:szCs w:val="22"/>
                <w:highlight w:val="none"/>
                <w:lang w:val="sq-AL" w:eastAsia="zh-CN"/>
              </w:rPr>
            </w:pPr>
            <w:r>
              <w:rPr>
                <w:rFonts w:hint="eastAsia"/>
                <w:color w:val="auto"/>
                <w:sz w:val="22"/>
                <w:szCs w:val="22"/>
                <w:highlight w:val="none"/>
                <w:lang w:eastAsia="zh-CN"/>
              </w:rPr>
              <w:t>本次拆除后重建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vAlign w:val="center"/>
          </w:tcPr>
          <w:p>
            <w:pPr>
              <w:adjustRightInd w:val="0"/>
              <w:snapToGrid w:val="0"/>
              <w:spacing w:line="240" w:lineRule="auto"/>
              <w:ind w:firstLine="0" w:firstLineChars="0"/>
              <w:jc w:val="center"/>
              <w:rPr>
                <w:rFonts w:hint="eastAsia"/>
                <w:color w:val="auto"/>
                <w:sz w:val="22"/>
                <w:szCs w:val="22"/>
                <w:highlight w:val="none"/>
              </w:rPr>
            </w:pPr>
          </w:p>
        </w:tc>
        <w:tc>
          <w:tcPr>
            <w:tcW w:w="925" w:type="dxa"/>
            <w:vAlign w:val="center"/>
          </w:tcPr>
          <w:p>
            <w:pPr>
              <w:pStyle w:val="224"/>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default" w:ascii="Times New Roman" w:hAnsi="Times New Roman" w:cs="Times New Roman"/>
                <w:color w:val="auto"/>
                <w:sz w:val="22"/>
                <w:szCs w:val="22"/>
                <w:highlight w:val="none"/>
              </w:rPr>
              <w:t>给水</w:t>
            </w:r>
          </w:p>
        </w:tc>
        <w:tc>
          <w:tcPr>
            <w:tcW w:w="5975" w:type="dxa"/>
            <w:vAlign w:val="center"/>
          </w:tcPr>
          <w:p>
            <w:pPr>
              <w:pStyle w:val="223"/>
              <w:snapToGrid w:val="0"/>
              <w:spacing w:before="0" w:line="240" w:lineRule="auto"/>
              <w:ind w:firstLine="0" w:firstLineChars="0"/>
              <w:rPr>
                <w:rFonts w:hint="eastAsia" w:eastAsia="宋体"/>
                <w:color w:val="auto"/>
                <w:sz w:val="22"/>
                <w:szCs w:val="22"/>
                <w:highlight w:val="none"/>
                <w:lang w:val="sq-AL" w:eastAsia="zh-CN"/>
              </w:rPr>
            </w:pPr>
            <w:r>
              <w:rPr>
                <w:rFonts w:hint="eastAsia"/>
                <w:color w:val="auto"/>
                <w:sz w:val="22"/>
                <w:szCs w:val="22"/>
                <w:highlight w:val="none"/>
                <w:lang w:val="sq-AL" w:eastAsia="zh-CN"/>
              </w:rPr>
              <w:t>由市政管网供给。</w:t>
            </w:r>
          </w:p>
        </w:tc>
        <w:tc>
          <w:tcPr>
            <w:tcW w:w="1087" w:type="dxa"/>
            <w:vAlign w:val="center"/>
          </w:tcPr>
          <w:p>
            <w:pPr>
              <w:pStyle w:val="223"/>
              <w:snapToGrid w:val="0"/>
              <w:spacing w:before="0" w:line="240" w:lineRule="auto"/>
              <w:ind w:left="-130" w:leftChars="-50" w:right="-130" w:rightChars="-50" w:firstLine="0" w:firstLineChars="0"/>
              <w:jc w:val="center"/>
              <w:rPr>
                <w:rFonts w:hint="default"/>
                <w:color w:val="auto"/>
                <w:sz w:val="22"/>
                <w:szCs w:val="22"/>
                <w:highlight w:val="none"/>
                <w:lang w:val="en-US" w:eastAsia="zh-CN"/>
              </w:rPr>
            </w:pPr>
            <w:r>
              <w:rPr>
                <w:rFonts w:hint="eastAsia"/>
                <w:color w:val="auto"/>
                <w:sz w:val="22"/>
                <w:szCs w:val="22"/>
                <w:highlight w:val="none"/>
                <w:lang w:eastAsia="zh-CN"/>
              </w:rPr>
              <w:t>本次拆除后重建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vAlign w:val="center"/>
          </w:tcPr>
          <w:p>
            <w:pPr>
              <w:adjustRightInd w:val="0"/>
              <w:snapToGrid w:val="0"/>
              <w:spacing w:line="240" w:lineRule="auto"/>
              <w:ind w:firstLine="0" w:firstLineChars="0"/>
              <w:jc w:val="center"/>
              <w:rPr>
                <w:rFonts w:hint="eastAsia"/>
                <w:color w:val="auto"/>
                <w:sz w:val="22"/>
                <w:szCs w:val="22"/>
                <w:highlight w:val="none"/>
              </w:rPr>
            </w:pPr>
          </w:p>
        </w:tc>
        <w:tc>
          <w:tcPr>
            <w:tcW w:w="925" w:type="dxa"/>
            <w:vAlign w:val="center"/>
          </w:tcPr>
          <w:p>
            <w:pPr>
              <w:pStyle w:val="224"/>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default" w:ascii="Times New Roman" w:hAnsi="Times New Roman" w:cs="Times New Roman"/>
                <w:color w:val="auto"/>
                <w:sz w:val="22"/>
                <w:szCs w:val="22"/>
                <w:highlight w:val="none"/>
              </w:rPr>
              <w:t>排水</w:t>
            </w:r>
          </w:p>
        </w:tc>
        <w:tc>
          <w:tcPr>
            <w:tcW w:w="5975" w:type="dxa"/>
            <w:vAlign w:val="center"/>
          </w:tcPr>
          <w:p>
            <w:pPr>
              <w:pStyle w:val="223"/>
              <w:snapToGrid w:val="0"/>
              <w:spacing w:before="0" w:line="240" w:lineRule="auto"/>
              <w:ind w:firstLine="0" w:firstLineChars="0"/>
              <w:rPr>
                <w:rFonts w:hint="default" w:eastAsia="宋体"/>
                <w:color w:val="auto"/>
                <w:sz w:val="22"/>
                <w:szCs w:val="22"/>
                <w:highlight w:val="none"/>
                <w:lang w:val="en-US" w:eastAsia="zh-CN"/>
              </w:rPr>
            </w:pPr>
            <w:r>
              <w:rPr>
                <w:rFonts w:hint="eastAsia"/>
                <w:color w:val="auto"/>
                <w:sz w:val="22"/>
                <w:szCs w:val="22"/>
                <w:highlight w:val="none"/>
                <w:lang w:val="en-US" w:eastAsia="zh-CN"/>
              </w:rPr>
              <w:t>生产管理区设置1套生活污水一体化污水处理站设备，生活污水经预处理后排入涪江。</w:t>
            </w:r>
          </w:p>
        </w:tc>
        <w:tc>
          <w:tcPr>
            <w:tcW w:w="1087" w:type="dxa"/>
            <w:vAlign w:val="center"/>
          </w:tcPr>
          <w:p>
            <w:pPr>
              <w:pStyle w:val="223"/>
              <w:snapToGrid w:val="0"/>
              <w:spacing w:before="0" w:line="240" w:lineRule="auto"/>
              <w:ind w:left="-130" w:leftChars="-50" w:right="-130" w:rightChars="-50" w:firstLine="0" w:firstLineChars="0"/>
              <w:jc w:val="center"/>
              <w:rPr>
                <w:rFonts w:hint="eastAsia"/>
                <w:color w:val="auto"/>
                <w:sz w:val="22"/>
                <w:szCs w:val="22"/>
                <w:highlight w:val="none"/>
                <w:lang w:val="en-US" w:eastAsia="zh-CN"/>
              </w:rPr>
            </w:pPr>
            <w:r>
              <w:rPr>
                <w:rFonts w:hint="eastAsia"/>
                <w:color w:val="auto"/>
                <w:sz w:val="22"/>
                <w:szCs w:val="22"/>
                <w:highlight w:val="none"/>
                <w:lang w:eastAsia="zh-CN"/>
              </w:rPr>
              <w:t>本次拆除后重建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vAlign w:val="center"/>
          </w:tcPr>
          <w:p>
            <w:pPr>
              <w:adjustRightInd w:val="0"/>
              <w:snapToGrid w:val="0"/>
              <w:spacing w:line="240" w:lineRule="auto"/>
              <w:ind w:firstLine="0" w:firstLineChars="0"/>
              <w:jc w:val="center"/>
              <w:rPr>
                <w:rFonts w:hint="eastAsia"/>
                <w:color w:val="auto"/>
                <w:sz w:val="22"/>
                <w:szCs w:val="22"/>
                <w:highlight w:val="none"/>
              </w:rPr>
            </w:pPr>
          </w:p>
        </w:tc>
        <w:tc>
          <w:tcPr>
            <w:tcW w:w="925" w:type="dxa"/>
            <w:vAlign w:val="center"/>
          </w:tcPr>
          <w:p>
            <w:pPr>
              <w:pStyle w:val="224"/>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default" w:ascii="Times New Roman" w:hAnsi="Times New Roman" w:cs="Times New Roman"/>
                <w:color w:val="auto"/>
                <w:sz w:val="22"/>
                <w:szCs w:val="22"/>
                <w:highlight w:val="none"/>
              </w:rPr>
              <w:t xml:space="preserve">供配电 </w:t>
            </w:r>
          </w:p>
        </w:tc>
        <w:tc>
          <w:tcPr>
            <w:tcW w:w="5975" w:type="dxa"/>
            <w:vAlign w:val="center"/>
          </w:tcPr>
          <w:p>
            <w:pPr>
              <w:pStyle w:val="223"/>
              <w:snapToGrid w:val="0"/>
              <w:spacing w:before="0" w:line="240" w:lineRule="auto"/>
              <w:ind w:firstLine="0" w:firstLineChars="0"/>
              <w:rPr>
                <w:rFonts w:hint="default" w:eastAsia="宋体"/>
                <w:color w:val="auto"/>
                <w:sz w:val="22"/>
                <w:szCs w:val="22"/>
                <w:highlight w:val="none"/>
                <w:lang w:val="en-US" w:eastAsia="zh-CN"/>
              </w:rPr>
            </w:pPr>
            <w:r>
              <w:rPr>
                <w:rFonts w:hint="eastAsia"/>
                <w:color w:val="auto"/>
                <w:sz w:val="22"/>
                <w:szCs w:val="22"/>
                <w:highlight w:val="none"/>
                <w:lang w:val="sq-AL" w:eastAsia="zh-CN"/>
              </w:rPr>
              <w:t>配备</w:t>
            </w:r>
            <w:r>
              <w:rPr>
                <w:rFonts w:hint="eastAsia"/>
                <w:color w:val="auto"/>
                <w:sz w:val="22"/>
                <w:szCs w:val="22"/>
                <w:highlight w:val="none"/>
                <w:lang w:val="en-US" w:eastAsia="zh-CN"/>
              </w:rPr>
              <w:t>1台柴油发电机作为备用电源。</w:t>
            </w:r>
          </w:p>
        </w:tc>
        <w:tc>
          <w:tcPr>
            <w:tcW w:w="1087" w:type="dxa"/>
            <w:vAlign w:val="center"/>
          </w:tcPr>
          <w:p>
            <w:pPr>
              <w:pStyle w:val="223"/>
              <w:snapToGrid w:val="0"/>
              <w:spacing w:before="0" w:line="240" w:lineRule="auto"/>
              <w:ind w:left="-130" w:leftChars="-50" w:right="-130" w:rightChars="-50" w:firstLine="0" w:firstLineChars="0"/>
              <w:jc w:val="center"/>
              <w:rPr>
                <w:rFonts w:hint="default"/>
                <w:color w:val="auto"/>
                <w:sz w:val="22"/>
                <w:szCs w:val="22"/>
                <w:highlight w:val="none"/>
                <w:lang w:val="en-US" w:eastAsia="zh-CN"/>
              </w:rPr>
            </w:pPr>
            <w:r>
              <w:rPr>
                <w:rFonts w:hint="eastAsia"/>
                <w:color w:val="auto"/>
                <w:sz w:val="22"/>
                <w:szCs w:val="2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restart"/>
            <w:vAlign w:val="center"/>
          </w:tcPr>
          <w:p>
            <w:pPr>
              <w:pStyle w:val="224"/>
              <w:adjustRightInd w:val="0"/>
              <w:snapToGrid w:val="0"/>
              <w:spacing w:line="240" w:lineRule="auto"/>
              <w:ind w:firstLine="0" w:firstLineChars="0"/>
              <w:jc w:val="center"/>
              <w:rPr>
                <w:color w:val="auto"/>
                <w:sz w:val="22"/>
                <w:szCs w:val="22"/>
                <w:highlight w:val="none"/>
              </w:rPr>
            </w:pPr>
            <w:r>
              <w:rPr>
                <w:color w:val="auto"/>
                <w:sz w:val="22"/>
                <w:szCs w:val="22"/>
                <w:highlight w:val="none"/>
                <w:lang w:val="sq-AL"/>
              </w:rPr>
              <w:t>环保工程</w:t>
            </w:r>
          </w:p>
        </w:tc>
        <w:tc>
          <w:tcPr>
            <w:tcW w:w="925" w:type="dxa"/>
            <w:vAlign w:val="center"/>
          </w:tcPr>
          <w:p>
            <w:pPr>
              <w:pStyle w:val="224"/>
              <w:adjustRightInd w:val="0"/>
              <w:snapToGrid w:val="0"/>
              <w:spacing w:line="240" w:lineRule="auto"/>
              <w:ind w:firstLine="0" w:firstLineChars="0"/>
              <w:jc w:val="center"/>
              <w:rPr>
                <w:rFonts w:hint="eastAsia" w:eastAsia="宋体"/>
                <w:color w:val="auto"/>
                <w:sz w:val="22"/>
                <w:szCs w:val="22"/>
                <w:highlight w:val="none"/>
                <w:lang w:val="sq-AL" w:eastAsia="zh-CN"/>
              </w:rPr>
            </w:pPr>
            <w:r>
              <w:rPr>
                <w:rFonts w:hint="eastAsia"/>
                <w:color w:val="auto"/>
                <w:sz w:val="22"/>
                <w:szCs w:val="22"/>
                <w:highlight w:val="none"/>
                <w:lang w:val="sq-AL" w:eastAsia="zh-CN"/>
              </w:rPr>
              <w:t>生态流量泄放</w:t>
            </w:r>
          </w:p>
        </w:tc>
        <w:tc>
          <w:tcPr>
            <w:tcW w:w="5975" w:type="dxa"/>
            <w:vAlign w:val="center"/>
          </w:tcPr>
          <w:p>
            <w:pPr>
              <w:pStyle w:val="223"/>
              <w:snapToGrid w:val="0"/>
              <w:spacing w:before="0" w:line="240" w:lineRule="auto"/>
              <w:ind w:firstLine="0" w:firstLineChars="0"/>
              <w:rPr>
                <w:rFonts w:hint="eastAsia" w:eastAsia="宋体"/>
                <w:color w:val="auto"/>
                <w:sz w:val="22"/>
                <w:szCs w:val="22"/>
                <w:highlight w:val="none"/>
                <w:lang w:val="sq-AL" w:eastAsia="zh-CN"/>
              </w:rPr>
            </w:pPr>
            <w:r>
              <w:rPr>
                <w:rFonts w:hint="eastAsia"/>
                <w:color w:val="auto"/>
                <w:sz w:val="22"/>
                <w:szCs w:val="22"/>
                <w:highlight w:val="none"/>
                <w:lang w:val="sq-AL" w:eastAsia="zh-CN"/>
              </w:rPr>
              <w:t>通过泄洪闸门进行生态流量泄放，配备有生态流量泄放监控及监测设施，确保生态流量泄放满足要求。</w:t>
            </w:r>
          </w:p>
        </w:tc>
        <w:tc>
          <w:tcPr>
            <w:tcW w:w="1087" w:type="dxa"/>
            <w:vAlign w:val="center"/>
          </w:tcPr>
          <w:p>
            <w:pPr>
              <w:pStyle w:val="223"/>
              <w:snapToGrid w:val="0"/>
              <w:spacing w:before="0" w:line="240" w:lineRule="auto"/>
              <w:ind w:left="-130" w:leftChars="-50" w:right="-130" w:rightChars="-50" w:firstLine="0" w:firstLineChars="0"/>
              <w:jc w:val="center"/>
              <w:rPr>
                <w:rFonts w:hint="eastAsia"/>
                <w:color w:val="auto"/>
                <w:sz w:val="22"/>
                <w:szCs w:val="22"/>
                <w:highlight w:val="none"/>
                <w:lang w:val="sq-AL" w:eastAsia="zh-CN"/>
              </w:rPr>
            </w:pPr>
            <w:r>
              <w:rPr>
                <w:rFonts w:hint="eastAsia"/>
                <w:color w:val="auto"/>
                <w:sz w:val="22"/>
                <w:szCs w:val="22"/>
                <w:highlight w:val="none"/>
                <w:lang w:eastAsia="zh-CN"/>
              </w:rPr>
              <w:t>本次不涉及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vAlign w:val="center"/>
          </w:tcPr>
          <w:p>
            <w:pPr>
              <w:pStyle w:val="224"/>
              <w:adjustRightInd w:val="0"/>
              <w:snapToGrid w:val="0"/>
              <w:spacing w:line="240" w:lineRule="auto"/>
              <w:ind w:firstLine="0" w:firstLineChars="0"/>
              <w:jc w:val="center"/>
              <w:rPr>
                <w:color w:val="auto"/>
                <w:sz w:val="22"/>
                <w:szCs w:val="22"/>
                <w:highlight w:val="none"/>
                <w:lang w:val="sq-AL"/>
              </w:rPr>
            </w:pPr>
          </w:p>
        </w:tc>
        <w:tc>
          <w:tcPr>
            <w:tcW w:w="925" w:type="dxa"/>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废水</w:t>
            </w:r>
          </w:p>
          <w:p>
            <w:pPr>
              <w:pStyle w:val="224"/>
              <w:adjustRightInd w:val="0"/>
              <w:snapToGrid w:val="0"/>
              <w:spacing w:line="240" w:lineRule="auto"/>
              <w:ind w:firstLine="0" w:firstLineChars="0"/>
              <w:jc w:val="center"/>
              <w:rPr>
                <w:rFonts w:hint="eastAsia" w:eastAsia="宋体"/>
                <w:color w:val="auto"/>
                <w:sz w:val="22"/>
                <w:szCs w:val="22"/>
                <w:highlight w:val="none"/>
                <w:lang w:val="sq-AL" w:eastAsia="zh-CN"/>
              </w:rPr>
            </w:pPr>
            <w:r>
              <w:rPr>
                <w:rFonts w:hint="default" w:ascii="Times New Roman" w:hAnsi="Times New Roman" w:cs="Times New Roman"/>
                <w:color w:val="auto"/>
                <w:sz w:val="22"/>
                <w:szCs w:val="22"/>
                <w:highlight w:val="none"/>
                <w:lang w:val="sq-AL"/>
              </w:rPr>
              <w:t>治理</w:t>
            </w:r>
          </w:p>
        </w:tc>
        <w:tc>
          <w:tcPr>
            <w:tcW w:w="5975" w:type="dxa"/>
            <w:vAlign w:val="center"/>
          </w:tcPr>
          <w:p>
            <w:pPr>
              <w:pStyle w:val="223"/>
              <w:snapToGrid w:val="0"/>
              <w:spacing w:before="0" w:line="240" w:lineRule="auto"/>
              <w:ind w:firstLine="0" w:firstLineChars="0"/>
              <w:rPr>
                <w:color w:val="auto"/>
                <w:sz w:val="22"/>
                <w:szCs w:val="22"/>
                <w:highlight w:val="none"/>
              </w:rPr>
            </w:pPr>
            <w:r>
              <w:rPr>
                <w:rFonts w:hint="eastAsia"/>
                <w:color w:val="auto"/>
                <w:sz w:val="22"/>
                <w:szCs w:val="22"/>
                <w:highlight w:val="none"/>
                <w:lang w:val="en-US" w:eastAsia="zh-CN"/>
              </w:rPr>
              <w:t>生产管理区设置1套生活污水一体化污水处理站设备，处理规模为10m³/d，食堂废水经隔油池隔油预处理后与其他生活污水进入污水处理设备处理</w:t>
            </w:r>
            <w:r>
              <w:rPr>
                <w:rFonts w:hint="eastAsia"/>
                <w:color w:val="auto"/>
                <w:sz w:val="22"/>
                <w:szCs w:val="22"/>
                <w:highlight w:val="none"/>
                <w:shd w:val="clear" w:fill="FFFFFF"/>
                <w:lang w:val="en-US" w:eastAsia="zh-CN"/>
              </w:rPr>
              <w:t>达到</w:t>
            </w:r>
            <w:r>
              <w:rPr>
                <w:rFonts w:hint="eastAsia"/>
                <w:color w:val="auto"/>
                <w:sz w:val="22"/>
                <w:szCs w:val="22"/>
                <w:highlight w:val="none"/>
                <w:lang w:val="en-US" w:eastAsia="zh-CN"/>
              </w:rPr>
              <w:t>《污水综合排放标准》（GB 8978 1996）一级标准后排入涪江。</w:t>
            </w:r>
          </w:p>
        </w:tc>
        <w:tc>
          <w:tcPr>
            <w:tcW w:w="1087" w:type="dxa"/>
            <w:vAlign w:val="center"/>
          </w:tcPr>
          <w:p>
            <w:pPr>
              <w:pStyle w:val="223"/>
              <w:snapToGrid w:val="0"/>
              <w:spacing w:before="0" w:line="240" w:lineRule="auto"/>
              <w:ind w:left="-130" w:leftChars="-50" w:right="-130" w:rightChars="-50" w:firstLine="0" w:firstLineChars="0"/>
              <w:jc w:val="center"/>
              <w:rPr>
                <w:rFonts w:hint="eastAsia"/>
                <w:color w:val="auto"/>
                <w:sz w:val="22"/>
                <w:szCs w:val="22"/>
                <w:highlight w:val="none"/>
                <w:lang w:val="en-US" w:eastAsia="zh-CN"/>
              </w:rPr>
            </w:pPr>
            <w:r>
              <w:rPr>
                <w:rFonts w:hint="eastAsia"/>
                <w:color w:val="auto"/>
                <w:sz w:val="22"/>
                <w:szCs w:val="22"/>
                <w:highlight w:val="none"/>
                <w:lang w:eastAsia="zh-CN"/>
              </w:rPr>
              <w:t>本次拆除后重建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vAlign w:val="center"/>
          </w:tcPr>
          <w:p>
            <w:pPr>
              <w:pStyle w:val="224"/>
              <w:adjustRightInd w:val="0"/>
              <w:snapToGrid w:val="0"/>
              <w:spacing w:line="240" w:lineRule="auto"/>
              <w:ind w:firstLine="0" w:firstLineChars="0"/>
              <w:jc w:val="center"/>
              <w:rPr>
                <w:color w:val="auto"/>
                <w:sz w:val="22"/>
                <w:szCs w:val="22"/>
                <w:highlight w:val="none"/>
                <w:lang w:val="sq-AL"/>
              </w:rPr>
            </w:pPr>
          </w:p>
        </w:tc>
        <w:tc>
          <w:tcPr>
            <w:tcW w:w="925" w:type="dxa"/>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废气</w:t>
            </w:r>
          </w:p>
          <w:p>
            <w:pPr>
              <w:pStyle w:val="224"/>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sq-AL" w:eastAsia="zh-CN" w:bidi="ar-SA"/>
              </w:rPr>
            </w:pPr>
            <w:r>
              <w:rPr>
                <w:rFonts w:hint="default" w:ascii="Times New Roman" w:hAnsi="Times New Roman" w:cs="Times New Roman"/>
                <w:color w:val="auto"/>
                <w:sz w:val="22"/>
                <w:szCs w:val="22"/>
                <w:highlight w:val="none"/>
                <w:lang w:val="sq-AL"/>
              </w:rPr>
              <w:t>治理</w:t>
            </w:r>
          </w:p>
        </w:tc>
        <w:tc>
          <w:tcPr>
            <w:tcW w:w="5975" w:type="dxa"/>
            <w:vAlign w:val="center"/>
          </w:tcPr>
          <w:p>
            <w:pPr>
              <w:pStyle w:val="223"/>
              <w:snapToGrid w:val="0"/>
              <w:spacing w:before="0" w:line="240" w:lineRule="auto"/>
              <w:ind w:firstLine="0" w:firstLineChars="0"/>
              <w:rPr>
                <w:rFonts w:hint="eastAsia" w:eastAsia="宋体"/>
                <w:color w:val="auto"/>
                <w:sz w:val="22"/>
                <w:szCs w:val="22"/>
                <w:highlight w:val="none"/>
                <w:lang w:eastAsia="zh-CN"/>
              </w:rPr>
            </w:pPr>
            <w:r>
              <w:rPr>
                <w:rFonts w:hint="eastAsia"/>
                <w:color w:val="auto"/>
                <w:sz w:val="22"/>
                <w:szCs w:val="22"/>
                <w:highlight w:val="none"/>
                <w:lang w:eastAsia="zh-CN"/>
              </w:rPr>
              <w:t>食堂油烟经油烟净化器处理后排放。</w:t>
            </w:r>
          </w:p>
        </w:tc>
        <w:tc>
          <w:tcPr>
            <w:tcW w:w="1087" w:type="dxa"/>
            <w:vAlign w:val="center"/>
          </w:tcPr>
          <w:p>
            <w:pPr>
              <w:pStyle w:val="223"/>
              <w:snapToGrid w:val="0"/>
              <w:spacing w:before="0" w:line="240" w:lineRule="auto"/>
              <w:ind w:left="-130" w:leftChars="-50" w:right="-130" w:rightChars="-50" w:firstLine="0" w:firstLineChars="0"/>
              <w:jc w:val="center"/>
              <w:rPr>
                <w:rFonts w:hint="eastAsia"/>
                <w:color w:val="auto"/>
                <w:sz w:val="22"/>
                <w:szCs w:val="22"/>
                <w:highlight w:val="none"/>
                <w:lang w:eastAsia="zh-CN"/>
              </w:rPr>
            </w:pPr>
            <w:r>
              <w:rPr>
                <w:rFonts w:hint="eastAsia"/>
                <w:color w:val="auto"/>
                <w:sz w:val="22"/>
                <w:szCs w:val="22"/>
                <w:highlight w:val="none"/>
                <w:lang w:eastAsia="zh-CN"/>
              </w:rPr>
              <w:t>本次拆除后重建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vAlign w:val="center"/>
          </w:tcPr>
          <w:p>
            <w:pPr>
              <w:pStyle w:val="224"/>
              <w:adjustRightInd w:val="0"/>
              <w:snapToGrid w:val="0"/>
              <w:spacing w:line="240" w:lineRule="auto"/>
              <w:ind w:firstLine="0" w:firstLineChars="0"/>
              <w:jc w:val="center"/>
              <w:rPr>
                <w:color w:val="auto"/>
                <w:sz w:val="22"/>
                <w:szCs w:val="22"/>
                <w:highlight w:val="none"/>
                <w:lang w:val="sq-AL"/>
              </w:rPr>
            </w:pPr>
          </w:p>
        </w:tc>
        <w:tc>
          <w:tcPr>
            <w:tcW w:w="925" w:type="dxa"/>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固废</w:t>
            </w:r>
          </w:p>
          <w:p>
            <w:pPr>
              <w:pStyle w:val="224"/>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sq-AL" w:eastAsia="zh-CN" w:bidi="ar-SA"/>
              </w:rPr>
            </w:pPr>
            <w:r>
              <w:rPr>
                <w:rFonts w:hint="default" w:ascii="Times New Roman" w:hAnsi="Times New Roman" w:cs="Times New Roman"/>
                <w:color w:val="auto"/>
                <w:sz w:val="22"/>
                <w:szCs w:val="22"/>
                <w:highlight w:val="none"/>
                <w:lang w:val="sq-AL"/>
              </w:rPr>
              <w:t>治理</w:t>
            </w:r>
          </w:p>
        </w:tc>
        <w:tc>
          <w:tcPr>
            <w:tcW w:w="5975" w:type="dxa"/>
            <w:vAlign w:val="center"/>
          </w:tcPr>
          <w:p>
            <w:pPr>
              <w:pStyle w:val="223"/>
              <w:snapToGrid w:val="0"/>
              <w:spacing w:before="0" w:line="240" w:lineRule="auto"/>
              <w:ind w:firstLine="0" w:firstLineChars="0"/>
              <w:rPr>
                <w:rFonts w:hint="eastAsia"/>
                <w:color w:val="auto"/>
                <w:sz w:val="22"/>
                <w:szCs w:val="22"/>
                <w:highlight w:val="none"/>
                <w:lang w:eastAsia="zh-CN"/>
              </w:rPr>
            </w:pPr>
            <w:r>
              <w:rPr>
                <w:rFonts w:hint="eastAsia"/>
                <w:color w:val="auto"/>
                <w:sz w:val="22"/>
                <w:szCs w:val="22"/>
                <w:highlight w:val="none"/>
                <w:lang w:eastAsia="zh-CN"/>
              </w:rPr>
              <w:t>生活垃圾集中收集后交由铜溪镇环卫部门定期清运处置；</w:t>
            </w:r>
          </w:p>
          <w:p>
            <w:pPr>
              <w:pStyle w:val="223"/>
              <w:snapToGrid w:val="0"/>
              <w:spacing w:before="0" w:line="240" w:lineRule="auto"/>
              <w:ind w:firstLine="0" w:firstLineChars="0"/>
              <w:rPr>
                <w:rFonts w:hint="eastAsia"/>
                <w:color w:val="auto"/>
                <w:sz w:val="22"/>
                <w:szCs w:val="22"/>
                <w:highlight w:val="none"/>
                <w:lang w:eastAsia="zh-CN"/>
              </w:rPr>
            </w:pPr>
            <w:r>
              <w:rPr>
                <w:rFonts w:hint="eastAsia"/>
                <w:color w:val="auto"/>
                <w:sz w:val="22"/>
                <w:szCs w:val="22"/>
                <w:highlight w:val="none"/>
                <w:lang w:eastAsia="zh-CN"/>
              </w:rPr>
              <w:t>废油桶、废棉纱手套等危险废物经危废暂存间（</w:t>
            </w:r>
            <w:r>
              <w:rPr>
                <w:rFonts w:hint="eastAsia"/>
                <w:color w:val="auto"/>
                <w:sz w:val="22"/>
                <w:szCs w:val="22"/>
                <w:highlight w:val="none"/>
                <w:lang w:val="en-US" w:eastAsia="zh-CN"/>
              </w:rPr>
              <w:t>5m</w:t>
            </w:r>
            <w:r>
              <w:rPr>
                <w:rFonts w:hint="eastAsia"/>
                <w:color w:val="auto"/>
                <w:sz w:val="22"/>
                <w:szCs w:val="22"/>
                <w:highlight w:val="none"/>
                <w:vertAlign w:val="superscript"/>
                <w:lang w:val="en-US" w:eastAsia="zh-CN"/>
              </w:rPr>
              <w:t>2</w:t>
            </w:r>
            <w:r>
              <w:rPr>
                <w:rFonts w:hint="eastAsia"/>
                <w:color w:val="auto"/>
                <w:sz w:val="22"/>
                <w:szCs w:val="22"/>
                <w:highlight w:val="none"/>
                <w:lang w:eastAsia="zh-CN"/>
              </w:rPr>
              <w:t>）暂存后，定期</w:t>
            </w:r>
            <w:r>
              <w:rPr>
                <w:rFonts w:hint="eastAsia"/>
                <w:color w:val="auto"/>
                <w:sz w:val="22"/>
                <w:szCs w:val="22"/>
                <w:highlight w:val="none"/>
                <w:shd w:val="clear" w:fill="FFFFFF"/>
                <w:lang w:eastAsia="zh-CN"/>
              </w:rPr>
              <w:t>交有</w:t>
            </w:r>
            <w:r>
              <w:rPr>
                <w:rFonts w:hint="eastAsia"/>
                <w:color w:val="auto"/>
                <w:sz w:val="22"/>
                <w:szCs w:val="22"/>
                <w:highlight w:val="none"/>
                <w:lang w:eastAsia="zh-CN"/>
              </w:rPr>
              <w:t>危废处理资质单位处置。</w:t>
            </w:r>
          </w:p>
        </w:tc>
        <w:tc>
          <w:tcPr>
            <w:tcW w:w="1087" w:type="dxa"/>
            <w:vAlign w:val="center"/>
          </w:tcPr>
          <w:p>
            <w:pPr>
              <w:pStyle w:val="223"/>
              <w:snapToGrid w:val="0"/>
              <w:spacing w:before="0" w:line="240" w:lineRule="auto"/>
              <w:ind w:left="-130" w:leftChars="-50" w:right="-130" w:rightChars="-50" w:firstLine="0" w:firstLineChars="0"/>
              <w:jc w:val="center"/>
              <w:rPr>
                <w:rFonts w:hint="eastAsia"/>
                <w:color w:val="auto"/>
                <w:sz w:val="22"/>
                <w:szCs w:val="22"/>
                <w:highlight w:val="none"/>
                <w:lang w:eastAsia="zh-CN"/>
              </w:rPr>
            </w:pPr>
            <w:r>
              <w:rPr>
                <w:rFonts w:hint="eastAsia"/>
                <w:color w:val="auto"/>
                <w:sz w:val="22"/>
                <w:szCs w:val="22"/>
                <w:highlight w:val="none"/>
                <w:lang w:eastAsia="zh-CN"/>
              </w:rPr>
              <w:t>本次拆除后重建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1" w:type="dxa"/>
            <w:vMerge w:val="continue"/>
            <w:vAlign w:val="center"/>
          </w:tcPr>
          <w:p>
            <w:pPr>
              <w:pStyle w:val="224"/>
              <w:adjustRightInd w:val="0"/>
              <w:snapToGrid w:val="0"/>
              <w:spacing w:line="240" w:lineRule="auto"/>
              <w:ind w:firstLine="0" w:firstLineChars="0"/>
              <w:jc w:val="center"/>
              <w:rPr>
                <w:color w:val="auto"/>
                <w:sz w:val="22"/>
                <w:szCs w:val="22"/>
                <w:highlight w:val="none"/>
                <w:lang w:val="sq-AL"/>
              </w:rPr>
            </w:pPr>
          </w:p>
        </w:tc>
        <w:tc>
          <w:tcPr>
            <w:tcW w:w="925" w:type="dxa"/>
            <w:vAlign w:val="center"/>
          </w:tcPr>
          <w:p>
            <w:pPr>
              <w:pStyle w:val="224"/>
              <w:adjustRightInd w:val="0"/>
              <w:snapToGrid w:val="0"/>
              <w:spacing w:line="240" w:lineRule="auto"/>
              <w:ind w:firstLine="0" w:firstLineChars="0"/>
              <w:jc w:val="center"/>
              <w:rPr>
                <w:rFonts w:hint="eastAsia"/>
                <w:color w:val="auto"/>
                <w:sz w:val="22"/>
                <w:szCs w:val="22"/>
                <w:highlight w:val="none"/>
                <w:lang w:val="sq-AL" w:eastAsia="zh-CN"/>
              </w:rPr>
            </w:pPr>
            <w:r>
              <w:rPr>
                <w:rFonts w:hint="eastAsia"/>
                <w:color w:val="auto"/>
                <w:sz w:val="22"/>
                <w:szCs w:val="22"/>
                <w:highlight w:val="none"/>
                <w:lang w:val="sq-AL" w:eastAsia="zh-CN"/>
              </w:rPr>
              <w:t>噪声</w:t>
            </w:r>
          </w:p>
          <w:p>
            <w:pPr>
              <w:pStyle w:val="224"/>
              <w:adjustRightInd w:val="0"/>
              <w:snapToGrid w:val="0"/>
              <w:spacing w:line="240" w:lineRule="auto"/>
              <w:ind w:firstLine="0" w:firstLineChars="0"/>
              <w:jc w:val="center"/>
              <w:rPr>
                <w:rFonts w:hint="eastAsia" w:eastAsia="宋体"/>
                <w:color w:val="auto"/>
                <w:sz w:val="22"/>
                <w:szCs w:val="22"/>
                <w:highlight w:val="none"/>
                <w:lang w:val="sq-AL" w:eastAsia="zh-CN"/>
              </w:rPr>
            </w:pPr>
            <w:r>
              <w:rPr>
                <w:rFonts w:hint="eastAsia"/>
                <w:color w:val="auto"/>
                <w:sz w:val="22"/>
                <w:szCs w:val="22"/>
                <w:highlight w:val="none"/>
                <w:lang w:val="sq-AL" w:eastAsia="zh-CN"/>
              </w:rPr>
              <w:t>治理</w:t>
            </w:r>
          </w:p>
        </w:tc>
        <w:tc>
          <w:tcPr>
            <w:tcW w:w="5975" w:type="dxa"/>
            <w:vAlign w:val="center"/>
          </w:tcPr>
          <w:p>
            <w:pPr>
              <w:pStyle w:val="223"/>
              <w:snapToGrid w:val="0"/>
              <w:spacing w:before="0" w:line="240" w:lineRule="auto"/>
              <w:ind w:firstLine="0" w:firstLineChars="0"/>
              <w:rPr>
                <w:rFonts w:hint="eastAsia" w:eastAsia="宋体"/>
                <w:color w:val="auto"/>
                <w:sz w:val="22"/>
                <w:szCs w:val="22"/>
                <w:highlight w:val="none"/>
                <w:lang w:eastAsia="zh-CN"/>
              </w:rPr>
            </w:pPr>
            <w:r>
              <w:rPr>
                <w:rFonts w:hint="eastAsia"/>
                <w:color w:val="auto"/>
                <w:sz w:val="22"/>
                <w:szCs w:val="22"/>
                <w:highlight w:val="none"/>
                <w:lang w:eastAsia="zh-CN"/>
              </w:rPr>
              <w:t>发电机组置于厂房内，设置基础建筑、厂房隔声等措施。</w:t>
            </w:r>
          </w:p>
        </w:tc>
        <w:tc>
          <w:tcPr>
            <w:tcW w:w="1087" w:type="dxa"/>
            <w:vAlign w:val="center"/>
          </w:tcPr>
          <w:p>
            <w:pPr>
              <w:pStyle w:val="223"/>
              <w:snapToGrid w:val="0"/>
              <w:spacing w:before="0" w:line="240" w:lineRule="auto"/>
              <w:ind w:left="-130" w:leftChars="-50" w:right="-130" w:rightChars="-50" w:firstLine="0" w:firstLineChars="0"/>
              <w:jc w:val="center"/>
              <w:rPr>
                <w:rFonts w:hint="eastAsia"/>
                <w:color w:val="auto"/>
                <w:sz w:val="22"/>
                <w:szCs w:val="22"/>
                <w:highlight w:val="none"/>
                <w:lang w:eastAsia="zh-CN"/>
              </w:rPr>
            </w:pPr>
            <w:r>
              <w:rPr>
                <w:rFonts w:hint="eastAsia"/>
                <w:color w:val="auto"/>
                <w:sz w:val="22"/>
                <w:szCs w:val="22"/>
                <w:highlight w:val="none"/>
                <w:lang w:eastAsia="zh-CN"/>
              </w:rPr>
              <w:t>本次不涉及</w:t>
            </w:r>
          </w:p>
        </w:tc>
      </w:tr>
    </w:tbl>
    <w:p>
      <w:pPr>
        <w:adjustRightInd w:val="0"/>
        <w:snapToGrid w:val="0"/>
        <w:spacing w:line="240" w:lineRule="auto"/>
        <w:ind w:firstLine="0" w:firstLineChars="0"/>
        <w:rPr>
          <w:color w:val="auto"/>
          <w:highlight w:val="none"/>
        </w:rPr>
      </w:pPr>
    </w:p>
    <w:p>
      <w:pPr>
        <w:adjustRightInd w:val="0"/>
        <w:snapToGrid w:val="0"/>
        <w:spacing w:line="240" w:lineRule="auto"/>
        <w:ind w:firstLine="0" w:firstLineChars="0"/>
        <w:rPr>
          <w:color w:val="auto"/>
          <w:highlight w:val="none"/>
        </w:rPr>
      </w:pPr>
      <w:r>
        <w:rPr>
          <w:color w:val="auto"/>
          <w:highlight w:val="none"/>
        </w:rPr>
        <w:drawing>
          <wp:inline distT="0" distB="0" distL="114300" distR="114300">
            <wp:extent cx="5542280" cy="2976245"/>
            <wp:effectExtent l="0" t="0" r="1270" b="14605"/>
            <wp:docPr id="1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8"/>
                    <pic:cNvPicPr>
                      <a:picLocks noChangeAspect="1"/>
                    </pic:cNvPicPr>
                  </pic:nvPicPr>
                  <pic:blipFill>
                    <a:blip r:embed="rId22"/>
                    <a:stretch>
                      <a:fillRect/>
                    </a:stretch>
                  </pic:blipFill>
                  <pic:spPr>
                    <a:xfrm>
                      <a:off x="0" y="0"/>
                      <a:ext cx="5542280" cy="2976245"/>
                    </a:xfrm>
                    <a:prstGeom prst="rect">
                      <a:avLst/>
                    </a:prstGeom>
                    <a:noFill/>
                    <a:ln>
                      <a:noFill/>
                    </a:ln>
                  </pic:spPr>
                </pic:pic>
              </a:graphicData>
            </a:graphic>
          </wp:inline>
        </w:drawing>
      </w:r>
    </w:p>
    <w:tbl>
      <w:tblPr>
        <w:tblStyle w:val="29"/>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73"/>
        <w:gridCol w:w="4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3" w:type="dxa"/>
            <w:vAlign w:val="top"/>
          </w:tcPr>
          <w:p>
            <w:pPr>
              <w:pStyle w:val="22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drawing>
                <wp:inline distT="0" distB="0" distL="114300" distR="114300">
                  <wp:extent cx="2700020" cy="2112645"/>
                  <wp:effectExtent l="0" t="0" r="5080" b="1905"/>
                  <wp:docPr id="63" name="图片 63" descr="IMG_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IMG_2577"/>
                          <pic:cNvPicPr>
                            <a:picLocks noChangeAspect="1"/>
                          </pic:cNvPicPr>
                        </pic:nvPicPr>
                        <pic:blipFill>
                          <a:blip r:embed="rId23"/>
                          <a:srcRect t="9468" r="36697" b="24492"/>
                          <a:stretch>
                            <a:fillRect/>
                          </a:stretch>
                        </pic:blipFill>
                        <pic:spPr>
                          <a:xfrm>
                            <a:off x="0" y="0"/>
                            <a:ext cx="2700020" cy="2112645"/>
                          </a:xfrm>
                          <a:prstGeom prst="rect">
                            <a:avLst/>
                          </a:prstGeom>
                        </pic:spPr>
                      </pic:pic>
                    </a:graphicData>
                  </a:graphic>
                </wp:inline>
              </w:drawing>
            </w:r>
          </w:p>
        </w:tc>
        <w:tc>
          <w:tcPr>
            <w:tcW w:w="4473" w:type="dxa"/>
            <w:vAlign w:val="top"/>
          </w:tcPr>
          <w:p>
            <w:pPr>
              <w:pStyle w:val="22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vertAlign w:val="baseline"/>
                <w:lang w:eastAsia="zh-CN"/>
              </w:rPr>
            </w:pPr>
            <w:r>
              <w:rPr>
                <w:color w:val="auto"/>
                <w:highlight w:val="none"/>
              </w:rPr>
              <w:drawing>
                <wp:inline distT="0" distB="0" distL="114300" distR="114300">
                  <wp:extent cx="2700020" cy="2102485"/>
                  <wp:effectExtent l="0" t="0" r="5080" b="12065"/>
                  <wp:docPr id="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1"/>
                          </pic:cNvPicPr>
                        </pic:nvPicPr>
                        <pic:blipFill>
                          <a:blip r:embed="rId24"/>
                          <a:stretch>
                            <a:fillRect/>
                          </a:stretch>
                        </pic:blipFill>
                        <pic:spPr>
                          <a:xfrm>
                            <a:off x="0" y="0"/>
                            <a:ext cx="2700020" cy="21024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3" w:type="dxa"/>
            <w:vAlign w:val="top"/>
          </w:tcPr>
          <w:p>
            <w:pPr>
              <w:pStyle w:val="222"/>
              <w:snapToGrid/>
              <w:spacing w:line="240" w:lineRule="auto"/>
              <w:ind w:firstLine="0" w:firstLineChars="0"/>
              <w:jc w:val="center"/>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渭沱枢纽</w:t>
            </w:r>
          </w:p>
        </w:tc>
        <w:tc>
          <w:tcPr>
            <w:tcW w:w="4473" w:type="dxa"/>
            <w:vAlign w:val="top"/>
          </w:tcPr>
          <w:p>
            <w:pPr>
              <w:pStyle w:val="22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vertAlign w:val="baseline"/>
                <w:lang w:eastAsia="zh-CN"/>
              </w:rPr>
            </w:pPr>
            <w:r>
              <w:rPr>
                <w:rFonts w:hint="eastAsia" w:ascii="Times New Roman" w:hAnsi="Times New Roman" w:eastAsia="宋体" w:cs="Times New Roman"/>
                <w:color w:val="auto"/>
                <w:sz w:val="22"/>
                <w:szCs w:val="22"/>
                <w:highlight w:val="none"/>
                <w:vertAlign w:val="baseline"/>
                <w:lang w:eastAsia="zh-CN"/>
              </w:rPr>
              <w:t>现有船闸</w:t>
            </w:r>
          </w:p>
        </w:tc>
      </w:tr>
    </w:tbl>
    <w:p>
      <w:pPr>
        <w:pStyle w:val="222"/>
        <w:snapToGrid/>
        <w:spacing w:line="240" w:lineRule="auto"/>
        <w:ind w:firstLine="0" w:firstLineChars="0"/>
        <w:jc w:val="center"/>
        <w:rPr>
          <w:rFonts w:hint="eastAsia" w:ascii="Times New Roman" w:hAnsi="Times New Roman" w:eastAsia="宋体" w:cs="Times New Roman"/>
          <w:color w:val="auto"/>
          <w:sz w:val="22"/>
          <w:szCs w:val="22"/>
          <w:highlight w:val="none"/>
          <w:vertAlign w:val="baseline"/>
          <w:lang w:eastAsia="zh-CN"/>
        </w:rPr>
      </w:pPr>
    </w:p>
    <w:p>
      <w:pPr>
        <w:pStyle w:val="2"/>
        <w:adjustRightInd w:val="0"/>
        <w:snapToGrid w:val="0"/>
        <w:spacing w:line="480" w:lineRule="exact"/>
        <w:ind w:firstLine="520" w:firstLineChars="200"/>
        <w:rPr>
          <w:color w:val="auto"/>
          <w:sz w:val="26"/>
          <w:szCs w:val="26"/>
          <w:highlight w:val="none"/>
          <w:lang w:val="en-US"/>
        </w:rPr>
      </w:pPr>
      <w:r>
        <w:rPr>
          <w:rFonts w:hint="eastAsia"/>
          <w:color w:val="auto"/>
          <w:sz w:val="26"/>
          <w:szCs w:val="26"/>
          <w:highlight w:val="none"/>
          <w:lang w:val="en-US"/>
        </w:rPr>
        <w:t>（2）工程特性表</w:t>
      </w:r>
    </w:p>
    <w:p>
      <w:pPr>
        <w:ind w:firstLine="520"/>
        <w:rPr>
          <w:color w:val="auto"/>
          <w:highlight w:val="none"/>
        </w:rPr>
      </w:pPr>
      <w:r>
        <w:rPr>
          <w:rFonts w:hint="eastAsia"/>
          <w:color w:val="auto"/>
          <w:highlight w:val="none"/>
        </w:rPr>
        <w:t>根据渭沱电厂设计资料，</w:t>
      </w:r>
      <w:r>
        <w:rPr>
          <w:rFonts w:hint="eastAsia"/>
          <w:color w:val="auto"/>
          <w:highlight w:val="none"/>
          <w:lang w:eastAsia="zh-CN"/>
        </w:rPr>
        <w:t>枢纽</w:t>
      </w:r>
      <w:r>
        <w:rPr>
          <w:rFonts w:hint="eastAsia"/>
          <w:color w:val="auto"/>
          <w:highlight w:val="none"/>
        </w:rPr>
        <w:t>正常蓄水位</w:t>
      </w:r>
      <w:r>
        <w:rPr>
          <w:rFonts w:hint="eastAsia"/>
          <w:color w:val="auto"/>
          <w:highlight w:val="none"/>
          <w:lang w:eastAsia="zh-CN"/>
        </w:rPr>
        <w:t>为</w:t>
      </w:r>
      <w:r>
        <w:rPr>
          <w:rFonts w:hint="eastAsia"/>
          <w:color w:val="auto"/>
          <w:highlight w:val="none"/>
        </w:rPr>
        <w:t>206.00m，死水位</w:t>
      </w:r>
      <w:r>
        <w:rPr>
          <w:rFonts w:hint="eastAsia"/>
          <w:color w:val="auto"/>
          <w:highlight w:val="none"/>
          <w:lang w:eastAsia="zh-CN"/>
        </w:rPr>
        <w:t>为</w:t>
      </w:r>
      <w:r>
        <w:rPr>
          <w:rFonts w:hint="eastAsia"/>
          <w:color w:val="auto"/>
          <w:highlight w:val="none"/>
        </w:rPr>
        <w:t>205.00m，校核洪水位</w:t>
      </w:r>
      <w:r>
        <w:rPr>
          <w:rFonts w:hint="eastAsia"/>
          <w:color w:val="auto"/>
          <w:highlight w:val="none"/>
          <w:lang w:eastAsia="zh-CN"/>
        </w:rPr>
        <w:t>为</w:t>
      </w:r>
      <w:r>
        <w:rPr>
          <w:rFonts w:hint="eastAsia"/>
          <w:color w:val="auto"/>
          <w:highlight w:val="none"/>
        </w:rPr>
        <w:t>223.25m（0.5%），设计洪水位</w:t>
      </w:r>
      <w:r>
        <w:rPr>
          <w:rFonts w:hint="eastAsia"/>
          <w:color w:val="auto"/>
          <w:highlight w:val="none"/>
          <w:lang w:eastAsia="zh-CN"/>
        </w:rPr>
        <w:t>为</w:t>
      </w:r>
      <w:r>
        <w:rPr>
          <w:rFonts w:hint="eastAsia"/>
          <w:color w:val="auto"/>
          <w:highlight w:val="none"/>
        </w:rPr>
        <w:t>219.40m（2%）。</w:t>
      </w:r>
      <w:r>
        <w:rPr>
          <w:rFonts w:hint="eastAsia"/>
          <w:color w:val="auto"/>
          <w:highlight w:val="none"/>
          <w:lang w:eastAsia="zh-CN"/>
        </w:rPr>
        <w:t>渭沱枢纽</w:t>
      </w:r>
      <w:r>
        <w:rPr>
          <w:rFonts w:hint="eastAsia"/>
          <w:color w:val="auto"/>
          <w:highlight w:val="none"/>
        </w:rPr>
        <w:t>主要工程特性见下表：</w:t>
      </w:r>
    </w:p>
    <w:p>
      <w:pPr>
        <w:pStyle w:val="2"/>
        <w:adjustRightInd w:val="0"/>
        <w:snapToGrid w:val="0"/>
        <w:jc w:val="center"/>
        <w:rPr>
          <w:color w:val="auto"/>
          <w:sz w:val="26"/>
          <w:szCs w:val="26"/>
          <w:highlight w:val="none"/>
          <w:lang w:val="en-US"/>
        </w:rPr>
      </w:pPr>
      <w:r>
        <w:rPr>
          <w:color w:val="auto"/>
          <w:sz w:val="26"/>
          <w:szCs w:val="26"/>
          <w:highlight w:val="none"/>
          <w:lang w:val="en-US"/>
        </w:rPr>
        <w:t>表2.</w:t>
      </w:r>
      <w:r>
        <w:rPr>
          <w:rFonts w:hint="eastAsia"/>
          <w:color w:val="auto"/>
          <w:sz w:val="26"/>
          <w:szCs w:val="26"/>
          <w:highlight w:val="none"/>
          <w:lang w:val="en-US" w:eastAsia="zh-CN"/>
        </w:rPr>
        <w:t>4</w:t>
      </w:r>
      <w:r>
        <w:rPr>
          <w:color w:val="auto"/>
          <w:sz w:val="26"/>
          <w:szCs w:val="26"/>
          <w:highlight w:val="none"/>
          <w:lang w:val="en-US"/>
        </w:rPr>
        <w:t xml:space="preserve">.1-2 </w:t>
      </w:r>
      <w:r>
        <w:rPr>
          <w:rFonts w:hint="eastAsia"/>
          <w:color w:val="auto"/>
          <w:sz w:val="26"/>
          <w:szCs w:val="26"/>
          <w:highlight w:val="none"/>
          <w:lang w:val="en-US" w:eastAsia="zh-CN"/>
        </w:rPr>
        <w:t xml:space="preserve"> </w:t>
      </w:r>
      <w:r>
        <w:rPr>
          <w:color w:val="auto"/>
          <w:sz w:val="26"/>
          <w:szCs w:val="26"/>
          <w:highlight w:val="none"/>
          <w:lang w:val="en-US"/>
        </w:rPr>
        <w:t>渭沱枢纽主要工程特性表</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4"/>
        <w:gridCol w:w="2506"/>
        <w:gridCol w:w="1735"/>
        <w:gridCol w:w="1736"/>
        <w:gridCol w:w="17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序号</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名称</w:t>
            </w:r>
          </w:p>
        </w:tc>
        <w:tc>
          <w:tcPr>
            <w:tcW w:w="1735"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单位</w:t>
            </w: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数值或内容</w:t>
            </w:r>
          </w:p>
        </w:tc>
        <w:tc>
          <w:tcPr>
            <w:tcW w:w="1737"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1</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坝址以上流域面积</w:t>
            </w:r>
          </w:p>
        </w:tc>
        <w:tc>
          <w:tcPr>
            <w:tcW w:w="1735" w:type="dxa"/>
            <w:vAlign w:val="center"/>
          </w:tcPr>
          <w:p>
            <w:pPr>
              <w:adjustRightInd w:val="0"/>
              <w:snapToGrid w:val="0"/>
              <w:spacing w:line="240" w:lineRule="auto"/>
              <w:ind w:firstLine="0" w:firstLineChars="0"/>
              <w:jc w:val="center"/>
              <w:rPr>
                <w:color w:val="auto"/>
                <w:sz w:val="22"/>
                <w:szCs w:val="22"/>
                <w:highlight w:val="none"/>
                <w:vertAlign w:val="superscript"/>
              </w:rPr>
            </w:pPr>
            <w:r>
              <w:rPr>
                <w:color w:val="auto"/>
                <w:sz w:val="22"/>
                <w:szCs w:val="22"/>
                <w:highlight w:val="none"/>
              </w:rPr>
              <w:t>km</w:t>
            </w:r>
            <w:r>
              <w:rPr>
                <w:color w:val="auto"/>
                <w:sz w:val="22"/>
                <w:szCs w:val="22"/>
                <w:highlight w:val="none"/>
                <w:vertAlign w:val="superscript"/>
              </w:rPr>
              <w:t>2</w:t>
            </w: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34375</w:t>
            </w:r>
          </w:p>
        </w:tc>
        <w:tc>
          <w:tcPr>
            <w:tcW w:w="1737" w:type="dxa"/>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2</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 xml:space="preserve">坝址多年平均流量  </w:t>
            </w:r>
          </w:p>
        </w:tc>
        <w:tc>
          <w:tcPr>
            <w:tcW w:w="1735"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km</w:t>
            </w:r>
            <w:r>
              <w:rPr>
                <w:color w:val="auto"/>
                <w:sz w:val="22"/>
                <w:szCs w:val="22"/>
                <w:highlight w:val="none"/>
                <w:vertAlign w:val="superscript"/>
              </w:rPr>
              <w:t>2</w:t>
            </w: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537</w:t>
            </w:r>
          </w:p>
        </w:tc>
        <w:tc>
          <w:tcPr>
            <w:tcW w:w="1737" w:type="dxa"/>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3</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 xml:space="preserve">设计洪水流量及频率  </w:t>
            </w:r>
          </w:p>
        </w:tc>
        <w:tc>
          <w:tcPr>
            <w:tcW w:w="1735"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m³/s</w:t>
            </w: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25900</w:t>
            </w:r>
          </w:p>
        </w:tc>
        <w:tc>
          <w:tcPr>
            <w:tcW w:w="1737"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4</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校核洪水流量及频率</w:t>
            </w:r>
          </w:p>
        </w:tc>
        <w:tc>
          <w:tcPr>
            <w:tcW w:w="1735"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m³/s</w:t>
            </w: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33500</w:t>
            </w:r>
          </w:p>
        </w:tc>
        <w:tc>
          <w:tcPr>
            <w:tcW w:w="1737"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5</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校核洪水位</w:t>
            </w:r>
          </w:p>
        </w:tc>
        <w:tc>
          <w:tcPr>
            <w:tcW w:w="1735"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m</w:t>
            </w: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223.25</w:t>
            </w:r>
          </w:p>
        </w:tc>
        <w:tc>
          <w:tcPr>
            <w:tcW w:w="1737" w:type="dxa"/>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6</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 xml:space="preserve">设计洪水位  </w:t>
            </w:r>
          </w:p>
        </w:tc>
        <w:tc>
          <w:tcPr>
            <w:tcW w:w="1735"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m</w:t>
            </w: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219.40</w:t>
            </w:r>
          </w:p>
        </w:tc>
        <w:tc>
          <w:tcPr>
            <w:tcW w:w="1737" w:type="dxa"/>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7</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正常蓄水位</w:t>
            </w:r>
          </w:p>
        </w:tc>
        <w:tc>
          <w:tcPr>
            <w:tcW w:w="1735"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m</w:t>
            </w: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206.00</w:t>
            </w:r>
          </w:p>
        </w:tc>
        <w:tc>
          <w:tcPr>
            <w:tcW w:w="1737" w:type="dxa"/>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8</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死水位</w:t>
            </w:r>
          </w:p>
        </w:tc>
        <w:tc>
          <w:tcPr>
            <w:tcW w:w="1735"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m</w:t>
            </w: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205.00</w:t>
            </w:r>
          </w:p>
        </w:tc>
        <w:tc>
          <w:tcPr>
            <w:tcW w:w="1737" w:type="dxa"/>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9</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 xml:space="preserve">总库容 </w:t>
            </w:r>
          </w:p>
        </w:tc>
        <w:tc>
          <w:tcPr>
            <w:tcW w:w="1735"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万m³</w:t>
            </w: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19700</w:t>
            </w:r>
          </w:p>
        </w:tc>
        <w:tc>
          <w:tcPr>
            <w:tcW w:w="1737" w:type="dxa"/>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10</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正常蓄水位下库容</w:t>
            </w:r>
          </w:p>
        </w:tc>
        <w:tc>
          <w:tcPr>
            <w:tcW w:w="1735"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万m³</w:t>
            </w: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1640</w:t>
            </w:r>
          </w:p>
        </w:tc>
        <w:tc>
          <w:tcPr>
            <w:tcW w:w="1737" w:type="dxa"/>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11</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 xml:space="preserve">死库容  </w:t>
            </w:r>
          </w:p>
        </w:tc>
        <w:tc>
          <w:tcPr>
            <w:tcW w:w="1735"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万m³</w:t>
            </w: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2100</w:t>
            </w:r>
          </w:p>
        </w:tc>
        <w:tc>
          <w:tcPr>
            <w:tcW w:w="1737" w:type="dxa"/>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12</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 xml:space="preserve">水电站水情调节能  </w:t>
            </w:r>
          </w:p>
        </w:tc>
        <w:tc>
          <w:tcPr>
            <w:tcW w:w="1735" w:type="dxa"/>
            <w:vAlign w:val="center"/>
          </w:tcPr>
          <w:p>
            <w:pPr>
              <w:adjustRightInd w:val="0"/>
              <w:snapToGrid w:val="0"/>
              <w:spacing w:line="240" w:lineRule="auto"/>
              <w:ind w:firstLine="0" w:firstLineChars="0"/>
              <w:jc w:val="center"/>
              <w:rPr>
                <w:color w:val="auto"/>
                <w:sz w:val="22"/>
                <w:szCs w:val="22"/>
                <w:highlight w:val="none"/>
              </w:rPr>
            </w:pP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日调节</w:t>
            </w:r>
          </w:p>
        </w:tc>
        <w:tc>
          <w:tcPr>
            <w:tcW w:w="1737" w:type="dxa"/>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13</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 xml:space="preserve">总装机容量  </w:t>
            </w:r>
          </w:p>
        </w:tc>
        <w:tc>
          <w:tcPr>
            <w:tcW w:w="1735"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MW</w:t>
            </w:r>
          </w:p>
        </w:tc>
        <w:tc>
          <w:tcPr>
            <w:tcW w:w="1736" w:type="dxa"/>
            <w:vAlign w:val="center"/>
          </w:tcPr>
          <w:p>
            <w:pPr>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9.5</w:t>
            </w:r>
          </w:p>
        </w:tc>
        <w:tc>
          <w:tcPr>
            <w:tcW w:w="1737" w:type="dxa"/>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14</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 xml:space="preserve">装机台数  </w:t>
            </w:r>
          </w:p>
        </w:tc>
        <w:tc>
          <w:tcPr>
            <w:tcW w:w="1735"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台</w:t>
            </w: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2</w:t>
            </w:r>
          </w:p>
        </w:tc>
        <w:tc>
          <w:tcPr>
            <w:tcW w:w="1737" w:type="dxa"/>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15</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 xml:space="preserve">多年平均发电量  </w:t>
            </w:r>
          </w:p>
        </w:tc>
        <w:tc>
          <w:tcPr>
            <w:tcW w:w="1735"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万kW·h</w:t>
            </w: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3808.5</w:t>
            </w:r>
          </w:p>
        </w:tc>
        <w:tc>
          <w:tcPr>
            <w:tcW w:w="1737" w:type="dxa"/>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16</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年利用小时</w:t>
            </w:r>
          </w:p>
        </w:tc>
        <w:tc>
          <w:tcPr>
            <w:tcW w:w="1735"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h</w:t>
            </w: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5771</w:t>
            </w:r>
          </w:p>
        </w:tc>
        <w:tc>
          <w:tcPr>
            <w:tcW w:w="1737" w:type="dxa"/>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17</w:t>
            </w:r>
          </w:p>
        </w:tc>
        <w:tc>
          <w:tcPr>
            <w:tcW w:w="2506" w:type="dxa"/>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设计引用流量</w:t>
            </w:r>
          </w:p>
        </w:tc>
        <w:tc>
          <w:tcPr>
            <w:tcW w:w="1735" w:type="dxa"/>
            <w:vAlign w:val="center"/>
          </w:tcPr>
          <w:p>
            <w:pPr>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m³/s</w:t>
            </w:r>
          </w:p>
        </w:tc>
        <w:tc>
          <w:tcPr>
            <w:tcW w:w="1736" w:type="dxa"/>
            <w:vAlign w:val="center"/>
          </w:tcPr>
          <w:p>
            <w:pPr>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2*200</w:t>
            </w:r>
          </w:p>
        </w:tc>
        <w:tc>
          <w:tcPr>
            <w:tcW w:w="1737" w:type="dxa"/>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rFonts w:hint="eastAsia" w:eastAsia="宋体"/>
                <w:color w:val="auto"/>
                <w:sz w:val="22"/>
                <w:szCs w:val="22"/>
                <w:highlight w:val="none"/>
                <w:lang w:val="en-US" w:eastAsia="zh-CN"/>
              </w:rPr>
            </w:pPr>
            <w:r>
              <w:rPr>
                <w:color w:val="auto"/>
                <w:sz w:val="22"/>
                <w:szCs w:val="22"/>
                <w:highlight w:val="none"/>
              </w:rPr>
              <w:t>1</w:t>
            </w:r>
            <w:r>
              <w:rPr>
                <w:rFonts w:hint="eastAsia"/>
                <w:color w:val="auto"/>
                <w:sz w:val="22"/>
                <w:szCs w:val="22"/>
                <w:highlight w:val="none"/>
                <w:lang w:val="en-US" w:eastAsia="zh-CN"/>
              </w:rPr>
              <w:t>8</w:t>
            </w:r>
          </w:p>
        </w:tc>
        <w:tc>
          <w:tcPr>
            <w:tcW w:w="250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 xml:space="preserve">全厂机组最大过水能力  </w:t>
            </w:r>
          </w:p>
        </w:tc>
        <w:tc>
          <w:tcPr>
            <w:tcW w:w="1735"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m³/s</w:t>
            </w:r>
          </w:p>
        </w:tc>
        <w:tc>
          <w:tcPr>
            <w:tcW w:w="1736"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515</w:t>
            </w:r>
          </w:p>
        </w:tc>
        <w:tc>
          <w:tcPr>
            <w:tcW w:w="1737" w:type="dxa"/>
            <w:vAlign w:val="center"/>
          </w:tcPr>
          <w:p>
            <w:pPr>
              <w:adjustRightInd w:val="0"/>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vAlign w:val="center"/>
          </w:tcPr>
          <w:p>
            <w:pPr>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19</w:t>
            </w:r>
          </w:p>
        </w:tc>
        <w:tc>
          <w:tcPr>
            <w:tcW w:w="2506" w:type="dxa"/>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占地面积</w:t>
            </w:r>
          </w:p>
        </w:tc>
        <w:tc>
          <w:tcPr>
            <w:tcW w:w="1735" w:type="dxa"/>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亩</w:t>
            </w:r>
          </w:p>
        </w:tc>
        <w:tc>
          <w:tcPr>
            <w:tcW w:w="1736" w:type="dxa"/>
            <w:vAlign w:val="center"/>
          </w:tcPr>
          <w:p>
            <w:pPr>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24.3</w:t>
            </w:r>
          </w:p>
        </w:tc>
        <w:tc>
          <w:tcPr>
            <w:tcW w:w="1737" w:type="dxa"/>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房地证 2007 字第 08379 号</w:t>
            </w:r>
          </w:p>
        </w:tc>
      </w:tr>
    </w:tbl>
    <w:p>
      <w:pPr>
        <w:spacing w:line="240" w:lineRule="auto"/>
        <w:ind w:firstLine="0" w:firstLineChars="0"/>
        <w:jc w:val="center"/>
        <w:rPr>
          <w:color w:val="auto"/>
          <w:highlight w:val="none"/>
        </w:rPr>
      </w:pPr>
    </w:p>
    <w:p>
      <w:pPr>
        <w:pStyle w:val="2"/>
        <w:adjustRightInd w:val="0"/>
        <w:snapToGrid w:val="0"/>
        <w:spacing w:line="480" w:lineRule="exact"/>
        <w:ind w:firstLine="520" w:firstLineChars="200"/>
        <w:rPr>
          <w:color w:val="auto"/>
          <w:sz w:val="26"/>
          <w:szCs w:val="26"/>
          <w:highlight w:val="none"/>
          <w:lang w:val="en-US"/>
        </w:rPr>
      </w:pPr>
      <w:r>
        <w:rPr>
          <w:rFonts w:hint="eastAsia"/>
          <w:color w:val="auto"/>
          <w:sz w:val="26"/>
          <w:szCs w:val="26"/>
          <w:highlight w:val="none"/>
          <w:lang w:val="en-US"/>
        </w:rPr>
        <w:t>（3）枢纽运行方式</w:t>
      </w:r>
    </w:p>
    <w:p>
      <w:pPr>
        <w:adjustRightInd w:val="0"/>
        <w:snapToGrid w:val="0"/>
        <w:ind w:firstLine="520"/>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rPr>
        <w:fldChar w:fldCharType="begin"/>
      </w:r>
      <w:r>
        <w:rPr>
          <w:rFonts w:hint="default" w:ascii="Times New Roman" w:hAnsi="Times New Roman" w:cs="Times New Roman"/>
          <w:color w:val="auto"/>
          <w:sz w:val="26"/>
          <w:szCs w:val="26"/>
          <w:highlight w:val="none"/>
        </w:rPr>
        <w:instrText xml:space="preserve"> = 1 \* GB3 \* MERGEFORMAT </w:instrText>
      </w:r>
      <w:r>
        <w:rPr>
          <w:rFonts w:hint="default" w:ascii="Times New Roman" w:hAnsi="Times New Roman" w:cs="Times New Roman"/>
          <w:color w:val="auto"/>
          <w:sz w:val="26"/>
          <w:szCs w:val="26"/>
          <w:highlight w:val="none"/>
        </w:rPr>
        <w:fldChar w:fldCharType="separate"/>
      </w:r>
      <w:r>
        <w:rPr>
          <w:rFonts w:hint="default" w:ascii="Times New Roman" w:hAnsi="Times New Roman" w:cs="Times New Roman"/>
          <w:color w:val="auto"/>
          <w:sz w:val="26"/>
          <w:szCs w:val="26"/>
          <w:highlight w:val="none"/>
        </w:rPr>
        <w:t>①</w:t>
      </w:r>
      <w:r>
        <w:rPr>
          <w:rFonts w:hint="default" w:ascii="Times New Roman" w:hAnsi="Times New Roman" w:cs="Times New Roman"/>
          <w:color w:val="auto"/>
          <w:sz w:val="26"/>
          <w:szCs w:val="26"/>
          <w:highlight w:val="none"/>
        </w:rPr>
        <w:fldChar w:fldCharType="end"/>
      </w:r>
      <w:r>
        <w:rPr>
          <w:rFonts w:hint="default" w:ascii="Times New Roman" w:hAnsi="Times New Roman" w:cs="Times New Roman"/>
          <w:color w:val="auto"/>
          <w:sz w:val="26"/>
          <w:szCs w:val="26"/>
          <w:highlight w:val="none"/>
        </w:rPr>
        <w:t>正常情况调度</w:t>
      </w:r>
    </w:p>
    <w:p>
      <w:pPr>
        <w:adjustRightInd w:val="0"/>
        <w:snapToGrid w:val="0"/>
        <w:ind w:firstLine="520"/>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rPr>
        <w:t>根据审查通过的《重庆草街航运电力开发有限公司渭沱航电枢纽2024~2026年水库调度规程》（2024.4），</w:t>
      </w:r>
      <w:r>
        <w:rPr>
          <w:rFonts w:hint="eastAsia" w:cs="Times New Roman"/>
          <w:color w:val="auto"/>
          <w:sz w:val="26"/>
          <w:szCs w:val="26"/>
          <w:highlight w:val="none"/>
          <w:lang w:eastAsia="zh-CN"/>
        </w:rPr>
        <w:t>渭沱枢纽</w:t>
      </w:r>
      <w:r>
        <w:rPr>
          <w:rFonts w:hint="default" w:ascii="Times New Roman" w:hAnsi="Times New Roman" w:cs="Times New Roman"/>
          <w:color w:val="auto"/>
          <w:sz w:val="26"/>
          <w:szCs w:val="26"/>
          <w:highlight w:val="none"/>
        </w:rPr>
        <w:t>具体调度方案如下。</w:t>
      </w:r>
    </w:p>
    <w:p>
      <w:pPr>
        <w:adjustRightInd w:val="0"/>
        <w:snapToGrid w:val="0"/>
        <w:ind w:firstLine="520"/>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rPr>
        <w:t>A</w:t>
      </w:r>
      <w:r>
        <w:rPr>
          <w:rFonts w:hint="default" w:ascii="Times New Roman" w:hAnsi="Times New Roman" w:cs="Times New Roman"/>
          <w:color w:val="auto"/>
          <w:sz w:val="26"/>
          <w:szCs w:val="26"/>
          <w:highlight w:val="none"/>
          <w:shd w:val="clear" w:fill="FFFFFF"/>
        </w:rPr>
        <w:t>、</w:t>
      </w:r>
      <w:r>
        <w:rPr>
          <w:rFonts w:hint="default" w:ascii="Times New Roman" w:hAnsi="Times New Roman" w:cs="Times New Roman"/>
          <w:color w:val="auto"/>
          <w:sz w:val="26"/>
          <w:szCs w:val="26"/>
          <w:highlight w:val="none"/>
        </w:rPr>
        <w:t>渭沱航电枢纽为径流式水电站，拦河坝体不高，拦蓄库容较小，其工程任务为水力发电及通航运输，不承担下游防洪任务，故可不设置汛限水位，汛期可蓄至正常蓄水位206.00m运行。</w:t>
      </w:r>
    </w:p>
    <w:p>
      <w:pPr>
        <w:adjustRightInd w:val="0"/>
        <w:snapToGrid w:val="0"/>
        <w:ind w:firstLine="520"/>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rPr>
        <w:t>B</w:t>
      </w:r>
      <w:r>
        <w:rPr>
          <w:rFonts w:hint="default" w:ascii="Times New Roman" w:hAnsi="Times New Roman" w:cs="Times New Roman"/>
          <w:color w:val="auto"/>
          <w:sz w:val="26"/>
          <w:szCs w:val="26"/>
          <w:highlight w:val="none"/>
          <w:shd w:val="clear" w:fill="FFFFFF"/>
        </w:rPr>
        <w:t>、</w:t>
      </w:r>
      <w:r>
        <w:rPr>
          <w:rFonts w:hint="default" w:ascii="Times New Roman" w:hAnsi="Times New Roman" w:cs="Times New Roman"/>
          <w:color w:val="auto"/>
          <w:sz w:val="26"/>
          <w:szCs w:val="26"/>
          <w:highlight w:val="none"/>
        </w:rPr>
        <w:t>当汛期未发生洪水，航电枢纽坝址来水流量小于多年平均流量、坝前水位在正常蓄水位206.00m及以下时，按电网调度正常发电，此时可不开启冲砂泄洪闸闸门。</w:t>
      </w:r>
    </w:p>
    <w:p>
      <w:pPr>
        <w:adjustRightInd w:val="0"/>
        <w:snapToGrid w:val="0"/>
        <w:ind w:firstLine="520"/>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rPr>
        <w:t>C</w:t>
      </w:r>
      <w:r>
        <w:rPr>
          <w:rFonts w:hint="default" w:ascii="Times New Roman" w:hAnsi="Times New Roman" w:cs="Times New Roman"/>
          <w:color w:val="auto"/>
          <w:sz w:val="26"/>
          <w:szCs w:val="26"/>
          <w:highlight w:val="none"/>
          <w:shd w:val="clear" w:fill="FFFFFF"/>
        </w:rPr>
        <w:t>、</w:t>
      </w:r>
      <w:r>
        <w:rPr>
          <w:rFonts w:hint="default" w:ascii="Times New Roman" w:hAnsi="Times New Roman" w:cs="Times New Roman"/>
          <w:color w:val="auto"/>
          <w:sz w:val="26"/>
          <w:szCs w:val="26"/>
          <w:highlight w:val="none"/>
        </w:rPr>
        <w:t>当航电枢纽大坝上下游水位差低于2m时，停止发电。</w:t>
      </w:r>
    </w:p>
    <w:p>
      <w:pPr>
        <w:adjustRightInd w:val="0"/>
        <w:snapToGrid w:val="0"/>
        <w:ind w:firstLine="520"/>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rPr>
        <w:t>D</w:t>
      </w:r>
      <w:r>
        <w:rPr>
          <w:rFonts w:hint="default" w:ascii="Times New Roman" w:hAnsi="Times New Roman" w:cs="Times New Roman"/>
          <w:color w:val="auto"/>
          <w:sz w:val="26"/>
          <w:szCs w:val="26"/>
          <w:highlight w:val="none"/>
          <w:shd w:val="clear" w:fill="FFFFFF"/>
        </w:rPr>
        <w:t>、</w:t>
      </w:r>
      <w:r>
        <w:rPr>
          <w:rFonts w:hint="default" w:ascii="Times New Roman" w:hAnsi="Times New Roman" w:cs="Times New Roman"/>
          <w:color w:val="auto"/>
          <w:sz w:val="26"/>
          <w:szCs w:val="26"/>
          <w:highlight w:val="none"/>
        </w:rPr>
        <w:t>当汛期遭遇重现期2年及以下洪水，坝前水位达到206.00m并有持续上升趋势时，逐步打开1~14#冲砂泄洪闸闸门</w:t>
      </w:r>
      <w:r>
        <w:rPr>
          <w:rFonts w:hint="eastAsia" w:cs="Times New Roman"/>
          <w:color w:val="auto"/>
          <w:sz w:val="26"/>
          <w:szCs w:val="26"/>
          <w:highlight w:val="none"/>
          <w:lang w:eastAsia="zh-CN"/>
        </w:rPr>
        <w:t>，</w:t>
      </w:r>
      <w:r>
        <w:rPr>
          <w:rFonts w:hint="default" w:ascii="Times New Roman" w:hAnsi="Times New Roman" w:cs="Times New Roman"/>
          <w:color w:val="auto"/>
          <w:sz w:val="26"/>
          <w:szCs w:val="26"/>
          <w:highlight w:val="none"/>
        </w:rPr>
        <w:t>尽量维持坝前水位在正常蓄水位206.00m，直至14扇闸门均全部打开敞泄洪水。若来水流量较大，全开14泄洪闸后水位仍将上升，重现期2年洪水最高坝前水位可达210.87m。</w:t>
      </w:r>
    </w:p>
    <w:p>
      <w:pPr>
        <w:adjustRightInd w:val="0"/>
        <w:snapToGrid w:val="0"/>
        <w:ind w:firstLine="520"/>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rPr>
        <w:t>E</w:t>
      </w:r>
      <w:r>
        <w:rPr>
          <w:rFonts w:hint="default" w:ascii="Times New Roman" w:hAnsi="Times New Roman" w:cs="Times New Roman"/>
          <w:color w:val="auto"/>
          <w:sz w:val="26"/>
          <w:szCs w:val="26"/>
          <w:highlight w:val="none"/>
          <w:shd w:val="clear" w:fill="FFFFFF"/>
        </w:rPr>
        <w:t>、</w:t>
      </w:r>
      <w:r>
        <w:rPr>
          <w:rFonts w:hint="default" w:ascii="Times New Roman" w:hAnsi="Times New Roman" w:cs="Times New Roman"/>
          <w:color w:val="auto"/>
          <w:sz w:val="26"/>
          <w:szCs w:val="26"/>
          <w:highlight w:val="none"/>
        </w:rPr>
        <w:t>当汛期遭遇重现期2年~50年洪水，坝前水位在210.87~219.40m 之间时保持14扇冲砂泄洪闸全开进行泄洪。</w:t>
      </w:r>
    </w:p>
    <w:p>
      <w:pPr>
        <w:adjustRightInd w:val="0"/>
        <w:snapToGrid w:val="0"/>
        <w:ind w:firstLine="520"/>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rPr>
        <w:t>F</w:t>
      </w:r>
      <w:r>
        <w:rPr>
          <w:rFonts w:hint="default" w:ascii="Times New Roman" w:hAnsi="Times New Roman" w:cs="Times New Roman"/>
          <w:color w:val="auto"/>
          <w:sz w:val="26"/>
          <w:szCs w:val="26"/>
          <w:highlight w:val="none"/>
          <w:shd w:val="clear" w:fill="FFFFFF"/>
        </w:rPr>
        <w:t>、</w:t>
      </w:r>
      <w:r>
        <w:rPr>
          <w:rFonts w:hint="default" w:ascii="Times New Roman" w:hAnsi="Times New Roman" w:cs="Times New Roman"/>
          <w:color w:val="auto"/>
          <w:sz w:val="26"/>
          <w:szCs w:val="26"/>
          <w:highlight w:val="none"/>
        </w:rPr>
        <w:t>当汛期遭遇超过重现期50年的洪水，坝前水位超过设计洪水位 219.40m时，需执行“非常情况调度”的运行方式。</w:t>
      </w:r>
    </w:p>
    <w:p>
      <w:pPr>
        <w:adjustRightInd w:val="0"/>
        <w:snapToGrid w:val="0"/>
        <w:ind w:firstLine="520"/>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rPr>
        <w:fldChar w:fldCharType="begin"/>
      </w:r>
      <w:r>
        <w:rPr>
          <w:rFonts w:hint="default" w:ascii="Times New Roman" w:hAnsi="Times New Roman" w:cs="Times New Roman"/>
          <w:color w:val="auto"/>
          <w:sz w:val="26"/>
          <w:szCs w:val="26"/>
          <w:highlight w:val="none"/>
        </w:rPr>
        <w:instrText xml:space="preserve"> = 2 \* GB3 \* MERGEFORMAT </w:instrText>
      </w:r>
      <w:r>
        <w:rPr>
          <w:rFonts w:hint="default" w:ascii="Times New Roman" w:hAnsi="Times New Roman" w:cs="Times New Roman"/>
          <w:color w:val="auto"/>
          <w:sz w:val="26"/>
          <w:szCs w:val="26"/>
          <w:highlight w:val="none"/>
        </w:rPr>
        <w:fldChar w:fldCharType="separate"/>
      </w:r>
      <w:r>
        <w:rPr>
          <w:rFonts w:hint="default" w:ascii="Times New Roman" w:hAnsi="Times New Roman" w:cs="Times New Roman"/>
          <w:color w:val="auto"/>
          <w:sz w:val="26"/>
          <w:szCs w:val="26"/>
          <w:highlight w:val="none"/>
        </w:rPr>
        <w:t>②</w:t>
      </w:r>
      <w:r>
        <w:rPr>
          <w:rFonts w:hint="default" w:ascii="Times New Roman" w:hAnsi="Times New Roman" w:cs="Times New Roman"/>
          <w:color w:val="auto"/>
          <w:sz w:val="26"/>
          <w:szCs w:val="26"/>
          <w:highlight w:val="none"/>
        </w:rPr>
        <w:fldChar w:fldCharType="end"/>
      </w:r>
      <w:r>
        <w:rPr>
          <w:rFonts w:hint="default" w:ascii="Times New Roman" w:hAnsi="Times New Roman" w:cs="Times New Roman"/>
          <w:color w:val="auto"/>
          <w:sz w:val="26"/>
          <w:szCs w:val="26"/>
          <w:highlight w:val="none"/>
        </w:rPr>
        <w:t>非常情况调度1</w:t>
      </w:r>
    </w:p>
    <w:p>
      <w:pPr>
        <w:adjustRightInd w:val="0"/>
        <w:snapToGrid w:val="0"/>
        <w:ind w:firstLine="520"/>
        <w:rPr>
          <w:rFonts w:hint="eastAsia" w:ascii="Times New Roman" w:hAnsi="Times New Roman" w:eastAsia="宋体" w:cs="Times New Roman"/>
          <w:color w:val="auto"/>
          <w:sz w:val="26"/>
          <w:szCs w:val="26"/>
          <w:highlight w:val="none"/>
          <w:lang w:eastAsia="zh-CN"/>
        </w:rPr>
      </w:pPr>
      <w:r>
        <w:rPr>
          <w:rFonts w:hint="default" w:ascii="Times New Roman" w:hAnsi="Times New Roman" w:cs="Times New Roman"/>
          <w:color w:val="auto"/>
          <w:sz w:val="26"/>
          <w:szCs w:val="26"/>
          <w:highlight w:val="none"/>
        </w:rPr>
        <w:t>针对渭沱航电枢纽遭遇超设计标准洪水，危及工程自身安全以及一些其他非常情况时的调度运行方式，具体调度方案如下</w:t>
      </w:r>
      <w:r>
        <w:rPr>
          <w:rFonts w:hint="eastAsia" w:ascii="Times New Roman" w:hAnsi="Times New Roman" w:cs="Times New Roman"/>
          <w:color w:val="auto"/>
          <w:sz w:val="26"/>
          <w:szCs w:val="26"/>
          <w:highlight w:val="none"/>
          <w:lang w:eastAsia="zh-CN"/>
        </w:rPr>
        <w:t>：</w:t>
      </w:r>
    </w:p>
    <w:p>
      <w:pPr>
        <w:adjustRightInd w:val="0"/>
        <w:snapToGrid w:val="0"/>
        <w:ind w:firstLine="520"/>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rPr>
        <w:t>A</w:t>
      </w:r>
      <w:r>
        <w:rPr>
          <w:rFonts w:hint="default" w:ascii="Times New Roman" w:hAnsi="Times New Roman" w:cs="Times New Roman"/>
          <w:color w:val="auto"/>
          <w:sz w:val="26"/>
          <w:szCs w:val="26"/>
          <w:highlight w:val="none"/>
          <w:shd w:val="clear" w:fill="FFFFFF"/>
        </w:rPr>
        <w:t>、</w:t>
      </w:r>
      <w:r>
        <w:rPr>
          <w:rFonts w:hint="default" w:ascii="Times New Roman" w:hAnsi="Times New Roman" w:cs="Times New Roman"/>
          <w:color w:val="auto"/>
          <w:sz w:val="26"/>
          <w:szCs w:val="26"/>
          <w:highlight w:val="none"/>
        </w:rPr>
        <w:t>当汛期遭遇重现期50年~200年洪水</w:t>
      </w:r>
      <w:r>
        <w:rPr>
          <w:rFonts w:hint="eastAsia" w:ascii="Times New Roman" w:hAnsi="Times New Roman" w:cs="Times New Roman"/>
          <w:color w:val="auto"/>
          <w:sz w:val="26"/>
          <w:szCs w:val="26"/>
          <w:highlight w:val="none"/>
          <w:lang w:eastAsia="zh-CN"/>
        </w:rPr>
        <w:t>，</w:t>
      </w:r>
      <w:r>
        <w:rPr>
          <w:rFonts w:hint="default" w:ascii="Times New Roman" w:hAnsi="Times New Roman" w:cs="Times New Roman"/>
          <w:color w:val="auto"/>
          <w:sz w:val="26"/>
          <w:szCs w:val="26"/>
          <w:highlight w:val="none"/>
        </w:rPr>
        <w:t>坝前水位在 219.40~223.25m 之间时，保持14扇冲砂泄洪闸全开进行泄洪，并向合川区水利局、合川区应急管理局及地方政府请求援助，增强防洪力量。</w:t>
      </w:r>
    </w:p>
    <w:p>
      <w:pPr>
        <w:adjustRightInd w:val="0"/>
        <w:snapToGrid w:val="0"/>
        <w:ind w:firstLine="520"/>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rPr>
        <w:t>B</w:t>
      </w:r>
      <w:r>
        <w:rPr>
          <w:rFonts w:hint="default" w:ascii="Times New Roman" w:hAnsi="Times New Roman" w:cs="Times New Roman"/>
          <w:color w:val="auto"/>
          <w:sz w:val="26"/>
          <w:szCs w:val="26"/>
          <w:highlight w:val="none"/>
          <w:shd w:val="clear" w:fill="FFFFFF"/>
        </w:rPr>
        <w:t>、</w:t>
      </w:r>
      <w:r>
        <w:rPr>
          <w:rFonts w:hint="default" w:ascii="Times New Roman" w:hAnsi="Times New Roman" w:cs="Times New Roman"/>
          <w:color w:val="auto"/>
          <w:sz w:val="26"/>
          <w:szCs w:val="26"/>
          <w:highlight w:val="none"/>
        </w:rPr>
        <w:t>在坝前水位超过校核洪水位223.25m并持续上升，或发生冲砂泄洪闸闸门损坏等危险情况发生时，及时将水、雨情信息及时向合川区水利局、上下游政府汇报，并请求防洪力量的增援，做好航电枢纽人员及重要财产设备的疏散、转移和保护工作。</w:t>
      </w:r>
    </w:p>
    <w:p>
      <w:pPr>
        <w:adjustRightInd w:val="0"/>
        <w:snapToGrid w:val="0"/>
        <w:ind w:firstLine="520"/>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rPr>
        <w:t>C</w:t>
      </w:r>
      <w:r>
        <w:rPr>
          <w:rFonts w:hint="default" w:ascii="Times New Roman" w:hAnsi="Times New Roman" w:cs="Times New Roman"/>
          <w:color w:val="auto"/>
          <w:sz w:val="26"/>
          <w:szCs w:val="26"/>
          <w:highlight w:val="none"/>
          <w:shd w:val="clear" w:fill="FFFFFF"/>
        </w:rPr>
        <w:t>、</w:t>
      </w:r>
      <w:r>
        <w:rPr>
          <w:rFonts w:hint="default" w:ascii="Times New Roman" w:hAnsi="Times New Roman" w:cs="Times New Roman"/>
          <w:color w:val="auto"/>
          <w:sz w:val="26"/>
          <w:szCs w:val="26"/>
          <w:highlight w:val="none"/>
        </w:rPr>
        <w:t>当航电枢纽坝址以上洪水消退、防洪压力不大时，汛期调度方式则转为如上“正常情况调度”的运行方式。</w:t>
      </w:r>
    </w:p>
    <w:p>
      <w:pPr>
        <w:pStyle w:val="2"/>
        <w:adjustRightInd w:val="0"/>
        <w:snapToGrid w:val="0"/>
        <w:spacing w:line="480" w:lineRule="exact"/>
        <w:ind w:firstLine="520" w:firstLineChars="200"/>
        <w:rPr>
          <w:rFonts w:hint="default" w:ascii="Times New Roman" w:hAnsi="Times New Roman" w:cs="Times New Roman"/>
          <w:color w:val="auto"/>
          <w:sz w:val="26"/>
          <w:szCs w:val="26"/>
          <w:highlight w:val="none"/>
          <w:lang w:val="en-US"/>
        </w:rPr>
      </w:pPr>
      <w:r>
        <w:rPr>
          <w:rFonts w:hint="default" w:ascii="Times New Roman" w:hAnsi="Times New Roman" w:cs="Times New Roman"/>
          <w:color w:val="auto"/>
          <w:sz w:val="26"/>
          <w:szCs w:val="26"/>
          <w:highlight w:val="none"/>
          <w:lang w:val="en-US"/>
        </w:rPr>
        <w:fldChar w:fldCharType="begin"/>
      </w:r>
      <w:r>
        <w:rPr>
          <w:rFonts w:hint="default" w:ascii="Times New Roman" w:hAnsi="Times New Roman" w:cs="Times New Roman"/>
          <w:color w:val="auto"/>
          <w:sz w:val="26"/>
          <w:szCs w:val="26"/>
          <w:highlight w:val="none"/>
          <w:lang w:val="en-US"/>
        </w:rPr>
        <w:instrText xml:space="preserve"> = 3 \* GB3 \* MERGEFORMAT </w:instrText>
      </w:r>
      <w:r>
        <w:rPr>
          <w:rFonts w:hint="default" w:ascii="Times New Roman" w:hAnsi="Times New Roman" w:cs="Times New Roman"/>
          <w:color w:val="auto"/>
          <w:sz w:val="26"/>
          <w:szCs w:val="26"/>
          <w:highlight w:val="none"/>
          <w:lang w:val="en-US"/>
        </w:rPr>
        <w:fldChar w:fldCharType="separate"/>
      </w:r>
      <w:r>
        <w:rPr>
          <w:rFonts w:hint="default" w:ascii="Times New Roman" w:hAnsi="Times New Roman" w:cs="Times New Roman"/>
          <w:color w:val="auto"/>
          <w:sz w:val="26"/>
          <w:szCs w:val="26"/>
          <w:highlight w:val="none"/>
        </w:rPr>
        <w:t>③</w:t>
      </w:r>
      <w:r>
        <w:rPr>
          <w:rFonts w:hint="default" w:ascii="Times New Roman" w:hAnsi="Times New Roman" w:cs="Times New Roman"/>
          <w:color w:val="auto"/>
          <w:sz w:val="26"/>
          <w:szCs w:val="26"/>
          <w:highlight w:val="none"/>
          <w:lang w:val="en-US"/>
        </w:rPr>
        <w:fldChar w:fldCharType="end"/>
      </w:r>
      <w:r>
        <w:rPr>
          <w:rFonts w:hint="default" w:ascii="Times New Roman" w:hAnsi="Times New Roman" w:cs="Times New Roman"/>
          <w:color w:val="auto"/>
          <w:sz w:val="26"/>
          <w:szCs w:val="26"/>
          <w:highlight w:val="none"/>
          <w:lang w:val="en-US"/>
        </w:rPr>
        <w:t>非常情况调度2</w:t>
      </w:r>
    </w:p>
    <w:p>
      <w:pPr>
        <w:pStyle w:val="2"/>
        <w:adjustRightInd w:val="0"/>
        <w:snapToGrid w:val="0"/>
        <w:spacing w:line="480" w:lineRule="exact"/>
        <w:ind w:firstLine="520" w:firstLineChars="200"/>
        <w:rPr>
          <w:rFonts w:hint="default" w:ascii="Times New Roman" w:hAnsi="Times New Roman" w:cs="Times New Roman"/>
          <w:color w:val="auto"/>
          <w:sz w:val="26"/>
          <w:szCs w:val="26"/>
          <w:highlight w:val="none"/>
          <w:lang w:val="en-US"/>
        </w:rPr>
      </w:pPr>
      <w:r>
        <w:rPr>
          <w:rFonts w:hint="default" w:ascii="Times New Roman" w:hAnsi="Times New Roman" w:cs="Times New Roman"/>
          <w:color w:val="auto"/>
          <w:sz w:val="26"/>
          <w:szCs w:val="26"/>
          <w:highlight w:val="none"/>
          <w:lang w:val="en-US"/>
        </w:rPr>
        <w:t>针对嘉陵江洪水暴涨</w:t>
      </w:r>
      <w:r>
        <w:rPr>
          <w:rFonts w:hint="eastAsia" w:cs="Times New Roman"/>
          <w:color w:val="auto"/>
          <w:sz w:val="26"/>
          <w:szCs w:val="26"/>
          <w:highlight w:val="none"/>
          <w:lang w:val="en-US" w:eastAsia="zh-CN"/>
        </w:rPr>
        <w:t>，</w:t>
      </w:r>
      <w:r>
        <w:rPr>
          <w:rFonts w:hint="default" w:ascii="Times New Roman" w:hAnsi="Times New Roman" w:cs="Times New Roman"/>
          <w:color w:val="auto"/>
          <w:sz w:val="26"/>
          <w:szCs w:val="26"/>
          <w:highlight w:val="none"/>
          <w:lang w:val="en-US"/>
        </w:rPr>
        <w:t>倒灌航电枢纽库区进行的防洪调度</w:t>
      </w:r>
      <w:r>
        <w:rPr>
          <w:rFonts w:hint="eastAsia" w:cs="Times New Roman"/>
          <w:color w:val="auto"/>
          <w:sz w:val="26"/>
          <w:szCs w:val="26"/>
          <w:highlight w:val="none"/>
          <w:lang w:val="en-US" w:eastAsia="zh-CN"/>
        </w:rPr>
        <w:t>，</w:t>
      </w:r>
      <w:r>
        <w:rPr>
          <w:rFonts w:hint="default" w:ascii="Times New Roman" w:hAnsi="Times New Roman" w:cs="Times New Roman"/>
          <w:color w:val="auto"/>
          <w:sz w:val="26"/>
          <w:szCs w:val="26"/>
          <w:highlight w:val="none"/>
          <w:lang w:val="en-US"/>
        </w:rPr>
        <w:t>具体调度方案如下：</w:t>
      </w:r>
    </w:p>
    <w:p>
      <w:pPr>
        <w:pStyle w:val="2"/>
        <w:adjustRightInd w:val="0"/>
        <w:snapToGrid w:val="0"/>
        <w:spacing w:line="480" w:lineRule="exact"/>
        <w:ind w:firstLine="520" w:firstLineChars="200"/>
        <w:rPr>
          <w:rFonts w:hint="default" w:ascii="Times New Roman" w:hAnsi="Times New Roman" w:cs="Times New Roman"/>
          <w:color w:val="auto"/>
          <w:sz w:val="26"/>
          <w:szCs w:val="26"/>
          <w:highlight w:val="none"/>
          <w:lang w:val="en-US"/>
        </w:rPr>
      </w:pPr>
      <w:r>
        <w:rPr>
          <w:rFonts w:hint="default" w:ascii="Times New Roman" w:hAnsi="Times New Roman" w:cs="Times New Roman"/>
          <w:color w:val="auto"/>
          <w:sz w:val="26"/>
          <w:szCs w:val="26"/>
          <w:highlight w:val="none"/>
          <w:lang w:val="en-US"/>
        </w:rPr>
        <w:t>A</w:t>
      </w:r>
      <w:r>
        <w:rPr>
          <w:rFonts w:hint="default" w:ascii="Times New Roman" w:hAnsi="Times New Roman" w:cs="Times New Roman"/>
          <w:color w:val="auto"/>
          <w:sz w:val="26"/>
          <w:szCs w:val="26"/>
          <w:highlight w:val="none"/>
          <w:shd w:val="clear" w:fill="FFFFFF"/>
          <w:lang w:val="en-US"/>
        </w:rPr>
        <w:t>、</w:t>
      </w:r>
      <w:r>
        <w:rPr>
          <w:rFonts w:hint="default" w:ascii="Times New Roman" w:hAnsi="Times New Roman" w:cs="Times New Roman"/>
          <w:color w:val="auto"/>
          <w:sz w:val="26"/>
          <w:szCs w:val="26"/>
          <w:highlight w:val="none"/>
          <w:lang w:val="en-US"/>
        </w:rPr>
        <w:t>若大坝下游水位超过死水位205.00m，则应逐步开启1#~14#泄洪闸进行泄洪，减缓倒灌洪水位上涨速度。</w:t>
      </w:r>
    </w:p>
    <w:p>
      <w:pPr>
        <w:pStyle w:val="2"/>
        <w:adjustRightInd w:val="0"/>
        <w:snapToGrid w:val="0"/>
        <w:spacing w:line="480" w:lineRule="exact"/>
        <w:ind w:firstLine="520" w:firstLineChars="200"/>
        <w:rPr>
          <w:rFonts w:hint="default" w:ascii="Times New Roman" w:hAnsi="Times New Roman" w:cs="Times New Roman"/>
          <w:color w:val="auto"/>
          <w:sz w:val="26"/>
          <w:szCs w:val="26"/>
          <w:highlight w:val="none"/>
          <w:lang w:val="en-US"/>
        </w:rPr>
      </w:pPr>
      <w:r>
        <w:rPr>
          <w:rFonts w:hint="default" w:ascii="Times New Roman" w:hAnsi="Times New Roman" w:cs="Times New Roman"/>
          <w:color w:val="auto"/>
          <w:sz w:val="26"/>
          <w:szCs w:val="26"/>
          <w:highlight w:val="none"/>
          <w:lang w:val="en-US"/>
        </w:rPr>
        <w:t>B</w:t>
      </w:r>
      <w:r>
        <w:rPr>
          <w:rFonts w:hint="default" w:ascii="Times New Roman" w:hAnsi="Times New Roman" w:cs="Times New Roman"/>
          <w:color w:val="auto"/>
          <w:sz w:val="26"/>
          <w:szCs w:val="26"/>
          <w:highlight w:val="none"/>
          <w:shd w:val="clear" w:fill="FFFFFF"/>
          <w:lang w:val="en-US"/>
        </w:rPr>
        <w:t>、</w:t>
      </w:r>
      <w:r>
        <w:rPr>
          <w:rFonts w:hint="default" w:ascii="Times New Roman" w:hAnsi="Times New Roman" w:cs="Times New Roman"/>
          <w:color w:val="auto"/>
          <w:sz w:val="26"/>
          <w:szCs w:val="26"/>
          <w:highlight w:val="none"/>
          <w:lang w:val="en-US"/>
        </w:rPr>
        <w:t>根据以往调度经验，结合《重庆市嘉陵江航运开发草街航电枢纽工程初步设计报告》(2004.10)综合分析：</w:t>
      </w:r>
    </w:p>
    <w:p>
      <w:pPr>
        <w:pStyle w:val="2"/>
        <w:adjustRightInd w:val="0"/>
        <w:snapToGrid w:val="0"/>
        <w:spacing w:line="480" w:lineRule="exact"/>
        <w:ind w:firstLine="520" w:firstLineChars="200"/>
        <w:rPr>
          <w:rFonts w:hint="default" w:ascii="Times New Roman" w:hAnsi="Times New Roman" w:cs="Times New Roman"/>
          <w:color w:val="auto"/>
          <w:sz w:val="26"/>
          <w:szCs w:val="26"/>
          <w:highlight w:val="none"/>
          <w:lang w:val="en-US"/>
        </w:rPr>
      </w:pPr>
      <w:r>
        <w:rPr>
          <w:rFonts w:hint="default" w:ascii="Times New Roman" w:hAnsi="Times New Roman" w:cs="Times New Roman"/>
          <w:color w:val="auto"/>
          <w:sz w:val="26"/>
          <w:szCs w:val="26"/>
          <w:highlight w:val="none"/>
          <w:lang w:val="en-US"/>
        </w:rPr>
        <w:t>a—若仅嘉陵江发生洪水，涪江未发生洪水</w:t>
      </w:r>
      <w:r>
        <w:rPr>
          <w:rFonts w:hint="eastAsia" w:ascii="Times New Roman" w:hAnsi="Times New Roman" w:cs="Times New Roman"/>
          <w:color w:val="auto"/>
          <w:sz w:val="26"/>
          <w:szCs w:val="26"/>
          <w:highlight w:val="none"/>
          <w:lang w:val="en-US" w:eastAsia="zh-CN"/>
        </w:rPr>
        <w:t>，</w:t>
      </w:r>
      <w:r>
        <w:rPr>
          <w:rFonts w:hint="default" w:ascii="Times New Roman" w:hAnsi="Times New Roman" w:cs="Times New Roman"/>
          <w:color w:val="auto"/>
          <w:sz w:val="26"/>
          <w:szCs w:val="26"/>
          <w:highlight w:val="none"/>
          <w:lang w:val="en-US"/>
        </w:rPr>
        <w:t>当草街航电枢纽遭遇多年平均及以上洪水，即Q≥24600m</w:t>
      </w:r>
      <w:r>
        <w:rPr>
          <w:rFonts w:hint="default" w:ascii="Times New Roman" w:hAnsi="Times New Roman" w:cs="Times New Roman"/>
          <w:color w:val="auto"/>
          <w:sz w:val="26"/>
          <w:szCs w:val="26"/>
          <w:highlight w:val="none"/>
          <w:vertAlign w:val="superscript"/>
          <w:lang w:val="en-US"/>
        </w:rPr>
        <w:t>3</w:t>
      </w:r>
      <w:r>
        <w:rPr>
          <w:rFonts w:hint="default" w:ascii="Times New Roman" w:hAnsi="Times New Roman" w:cs="Times New Roman"/>
          <w:color w:val="auto"/>
          <w:sz w:val="26"/>
          <w:szCs w:val="26"/>
          <w:highlight w:val="none"/>
          <w:lang w:val="en-US"/>
        </w:rPr>
        <w:t>/s，应拆除209.00m船闸电机。</w:t>
      </w:r>
    </w:p>
    <w:p>
      <w:pPr>
        <w:pStyle w:val="2"/>
        <w:adjustRightInd w:val="0"/>
        <w:snapToGrid w:val="0"/>
        <w:spacing w:line="480" w:lineRule="exact"/>
        <w:ind w:firstLine="520" w:firstLineChars="200"/>
        <w:rPr>
          <w:rFonts w:hint="default" w:ascii="Times New Roman" w:hAnsi="Times New Roman" w:cs="Times New Roman"/>
          <w:color w:val="auto"/>
          <w:sz w:val="26"/>
          <w:szCs w:val="26"/>
          <w:highlight w:val="none"/>
          <w:lang w:val="en-US"/>
        </w:rPr>
      </w:pPr>
      <w:r>
        <w:rPr>
          <w:rFonts w:hint="default" w:ascii="Times New Roman" w:hAnsi="Times New Roman" w:cs="Times New Roman"/>
          <w:color w:val="auto"/>
          <w:sz w:val="26"/>
          <w:szCs w:val="26"/>
          <w:highlight w:val="none"/>
          <w:lang w:val="en-US"/>
        </w:rPr>
        <w:t>b—若嘉陵江、涪江同时发生洪水，当草街航电枢纽遭遇重现期2年及以上洪水，即Q&gt;23300m³/s，渭沱航电枢纽大坝下游水位达到204.50m并有持续上升趋势时，应拆除209.00m船闸电机；坝下水位达到217.00m并有持续上升趋势时，应立即关闭回车场集水井自然排水出口闸阀</w:t>
      </w:r>
      <w:r>
        <w:rPr>
          <w:rFonts w:hint="eastAsia" w:cs="Times New Roman"/>
          <w:color w:val="auto"/>
          <w:sz w:val="26"/>
          <w:szCs w:val="26"/>
          <w:highlight w:val="none"/>
          <w:lang w:val="en-US" w:eastAsia="zh-CN"/>
        </w:rPr>
        <w:t>；</w:t>
      </w:r>
      <w:r>
        <w:rPr>
          <w:rFonts w:hint="default" w:ascii="Times New Roman" w:hAnsi="Times New Roman" w:cs="Times New Roman"/>
          <w:color w:val="auto"/>
          <w:sz w:val="26"/>
          <w:szCs w:val="26"/>
          <w:highlight w:val="none"/>
          <w:lang w:val="en-US"/>
        </w:rPr>
        <w:t>坝下水位达到219.00m并有持续上升趋势时，应立即关闭升压站叠梁门、用棉被沙土堵漏。</w:t>
      </w:r>
    </w:p>
    <w:p>
      <w:pPr>
        <w:pStyle w:val="5"/>
        <w:ind w:firstLine="522"/>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rPr>
        <w:t>现有船闸概况</w:t>
      </w:r>
    </w:p>
    <w:p>
      <w:pPr>
        <w:pStyle w:val="2"/>
        <w:spacing w:line="480" w:lineRule="exact"/>
        <w:ind w:firstLine="520" w:firstLineChars="200"/>
        <w:rPr>
          <w:rFonts w:hint="default" w:ascii="Times New Roman" w:hAnsi="Times New Roman" w:cs="Times New Roman"/>
          <w:color w:val="auto"/>
          <w:sz w:val="26"/>
          <w:szCs w:val="26"/>
          <w:highlight w:val="none"/>
          <w:lang w:val="en-US"/>
        </w:rPr>
      </w:pPr>
      <w:r>
        <w:rPr>
          <w:rFonts w:hint="default" w:ascii="Times New Roman" w:hAnsi="Times New Roman" w:cs="Times New Roman"/>
          <w:color w:val="auto"/>
          <w:sz w:val="26"/>
          <w:szCs w:val="26"/>
          <w:highlight w:val="none"/>
          <w:lang w:val="en-US"/>
        </w:rPr>
        <w:t>（1）船闸工程概况</w:t>
      </w:r>
    </w:p>
    <w:p>
      <w:pPr>
        <w:pStyle w:val="2"/>
        <w:spacing w:line="480" w:lineRule="exact"/>
        <w:ind w:firstLine="520" w:firstLineChars="200"/>
        <w:rPr>
          <w:rFonts w:hint="default" w:ascii="Times New Roman" w:hAnsi="Times New Roman" w:cs="Times New Roman"/>
          <w:color w:val="auto"/>
          <w:sz w:val="26"/>
          <w:szCs w:val="26"/>
          <w:highlight w:val="none"/>
          <w:shd w:val="clear" w:color="auto" w:fill="FFFFFF"/>
          <w:lang w:val="en-US"/>
        </w:rPr>
      </w:pPr>
      <w:r>
        <w:rPr>
          <w:rFonts w:hint="default" w:ascii="Times New Roman" w:hAnsi="Times New Roman" w:cs="Times New Roman"/>
          <w:color w:val="auto"/>
          <w:sz w:val="26"/>
          <w:szCs w:val="26"/>
          <w:highlight w:val="none"/>
          <w:lang w:val="en-US"/>
        </w:rPr>
        <w:t>渭沱枢纽船闸布置</w:t>
      </w:r>
      <w:r>
        <w:rPr>
          <w:rFonts w:hint="eastAsia" w:cs="Times New Roman"/>
          <w:color w:val="auto"/>
          <w:sz w:val="26"/>
          <w:szCs w:val="26"/>
          <w:highlight w:val="none"/>
          <w:lang w:val="en-US" w:eastAsia="zh-CN"/>
        </w:rPr>
        <w:t>于</w:t>
      </w:r>
      <w:r>
        <w:rPr>
          <w:rFonts w:hint="default" w:ascii="Times New Roman" w:hAnsi="Times New Roman" w:cs="Times New Roman"/>
          <w:color w:val="auto"/>
          <w:sz w:val="26"/>
          <w:szCs w:val="26"/>
          <w:highlight w:val="none"/>
          <w:lang w:val="en-US"/>
        </w:rPr>
        <w:t>厂房右侧，按</w:t>
      </w:r>
      <w:r>
        <w:rPr>
          <w:rFonts w:hint="default" w:ascii="Times New Roman" w:hAnsi="Times New Roman" w:cs="Times New Roman"/>
          <w:color w:val="auto"/>
          <w:sz w:val="26"/>
          <w:szCs w:val="26"/>
          <w:highlight w:val="none"/>
          <w:lang w:val="en-US"/>
        </w:rPr>
        <w:fldChar w:fldCharType="begin"/>
      </w:r>
      <w:r>
        <w:rPr>
          <w:rFonts w:hint="default" w:ascii="Times New Roman" w:hAnsi="Times New Roman" w:cs="Times New Roman"/>
          <w:color w:val="auto"/>
          <w:sz w:val="26"/>
          <w:szCs w:val="26"/>
          <w:highlight w:val="none"/>
          <w:lang w:val="en-US"/>
        </w:rPr>
        <w:instrText xml:space="preserve"> = 6 \* ROMAN \* MERGEFORMAT </w:instrText>
      </w:r>
      <w:r>
        <w:rPr>
          <w:rFonts w:hint="default" w:ascii="Times New Roman" w:hAnsi="Times New Roman" w:cs="Times New Roman"/>
          <w:color w:val="auto"/>
          <w:sz w:val="26"/>
          <w:szCs w:val="26"/>
          <w:highlight w:val="none"/>
          <w:lang w:val="en-US"/>
        </w:rPr>
        <w:fldChar w:fldCharType="separate"/>
      </w:r>
      <w:r>
        <w:rPr>
          <w:rFonts w:hint="default" w:ascii="Times New Roman" w:hAnsi="Times New Roman" w:cs="Times New Roman"/>
          <w:color w:val="auto"/>
          <w:sz w:val="26"/>
          <w:szCs w:val="26"/>
          <w:highlight w:val="none"/>
        </w:rPr>
        <w:t>VI</w:t>
      </w:r>
      <w:r>
        <w:rPr>
          <w:rFonts w:hint="default" w:ascii="Times New Roman" w:hAnsi="Times New Roman" w:cs="Times New Roman"/>
          <w:color w:val="auto"/>
          <w:sz w:val="26"/>
          <w:szCs w:val="26"/>
          <w:highlight w:val="none"/>
          <w:lang w:val="en-US"/>
        </w:rPr>
        <w:fldChar w:fldCharType="end"/>
      </w:r>
      <w:r>
        <w:rPr>
          <w:rFonts w:hint="default" w:ascii="Times New Roman" w:hAnsi="Times New Roman" w:cs="Times New Roman"/>
          <w:color w:val="auto"/>
          <w:sz w:val="26"/>
          <w:szCs w:val="26"/>
          <w:highlight w:val="none"/>
          <w:lang w:val="en-US"/>
        </w:rPr>
        <w:t>级航道标准设计，有效尺寸100×12</w:t>
      </w:r>
      <w:r>
        <w:rPr>
          <w:rFonts w:hint="default" w:ascii="Times New Roman" w:hAnsi="Times New Roman" w:cs="Times New Roman"/>
          <w:color w:val="auto"/>
          <w:sz w:val="26"/>
          <w:szCs w:val="26"/>
          <w:highlight w:val="none"/>
          <w:shd w:val="clear" w:color="auto" w:fill="FFFFFF"/>
        </w:rPr>
        <w:t>（</w:t>
      </w:r>
      <w:r>
        <w:rPr>
          <w:rFonts w:hint="default" w:ascii="Times New Roman" w:hAnsi="Times New Roman" w:cs="Times New Roman"/>
          <w:color w:val="auto"/>
          <w:sz w:val="26"/>
          <w:szCs w:val="26"/>
          <w:highlight w:val="none"/>
          <w:shd w:val="clear" w:color="auto" w:fill="FFFFFF"/>
          <w:lang w:val="en-US"/>
        </w:rPr>
        <w:t>8</w:t>
      </w:r>
      <w:r>
        <w:rPr>
          <w:rFonts w:hint="default" w:ascii="Times New Roman" w:hAnsi="Times New Roman" w:cs="Times New Roman"/>
          <w:color w:val="auto"/>
          <w:sz w:val="26"/>
          <w:szCs w:val="26"/>
          <w:highlight w:val="none"/>
          <w:shd w:val="clear" w:color="auto" w:fill="FFFFFF"/>
        </w:rPr>
        <w:t>）×</w:t>
      </w:r>
      <w:r>
        <w:rPr>
          <w:rFonts w:hint="default" w:ascii="Times New Roman" w:hAnsi="Times New Roman" w:cs="Times New Roman"/>
          <w:color w:val="auto"/>
          <w:sz w:val="26"/>
          <w:szCs w:val="26"/>
          <w:highlight w:val="none"/>
          <w:shd w:val="clear" w:color="auto" w:fill="FFFFFF"/>
          <w:lang w:val="en-US"/>
        </w:rPr>
        <w:t>2.0m（长×宽×门槛水深），可通行80t级货船，上闸首交通桥通航净高9.5m。船闸采用短廊道输水系统，闸门为横拉门。现状船闸和电站同岸布置在右岸，船闸紧邻电站厂房，船闸轴线与坝轴线正交。船闸主要由上游引航道、上闸首、闸室、下闸首及下引航道等组成，总长约738m。</w:t>
      </w:r>
    </w:p>
    <w:p>
      <w:pPr>
        <w:pStyle w:val="2"/>
        <w:spacing w:line="480" w:lineRule="exact"/>
        <w:ind w:firstLine="520" w:firstLineChars="200"/>
        <w:rPr>
          <w:rFonts w:hint="default" w:ascii="Times New Roman" w:hAnsi="Times New Roman" w:cs="Times New Roman"/>
          <w:color w:val="auto"/>
          <w:sz w:val="26"/>
          <w:szCs w:val="26"/>
          <w:highlight w:val="none"/>
          <w:shd w:val="clear" w:color="auto" w:fill="FFFFFF"/>
          <w:lang w:val="en-US"/>
        </w:rPr>
      </w:pPr>
      <w:r>
        <w:rPr>
          <w:rFonts w:hint="default" w:ascii="Times New Roman" w:hAnsi="Times New Roman" w:cs="Times New Roman"/>
          <w:color w:val="auto"/>
          <w:sz w:val="26"/>
          <w:szCs w:val="26"/>
          <w:highlight w:val="none"/>
          <w:shd w:val="clear" w:color="auto" w:fill="FFFFFF"/>
          <w:lang w:val="en-US"/>
        </w:rPr>
        <w:fldChar w:fldCharType="begin"/>
      </w:r>
      <w:r>
        <w:rPr>
          <w:rFonts w:hint="default" w:ascii="Times New Roman" w:hAnsi="Times New Roman" w:cs="Times New Roman"/>
          <w:color w:val="auto"/>
          <w:sz w:val="26"/>
          <w:szCs w:val="26"/>
          <w:highlight w:val="none"/>
          <w:shd w:val="clear" w:color="auto" w:fill="FFFFFF"/>
          <w:lang w:val="en-US"/>
        </w:rPr>
        <w:instrText xml:space="preserve"> = 1 \* GB3 \* MERGEFORMAT </w:instrText>
      </w:r>
      <w:r>
        <w:rPr>
          <w:rFonts w:hint="default" w:ascii="Times New Roman" w:hAnsi="Times New Roman" w:cs="Times New Roman"/>
          <w:color w:val="auto"/>
          <w:sz w:val="26"/>
          <w:szCs w:val="26"/>
          <w:highlight w:val="none"/>
          <w:shd w:val="clear" w:color="auto" w:fill="FFFFFF"/>
          <w:lang w:val="en-US"/>
        </w:rPr>
        <w:fldChar w:fldCharType="separate"/>
      </w:r>
      <w:r>
        <w:rPr>
          <w:rFonts w:hint="default" w:ascii="Times New Roman" w:hAnsi="Times New Roman" w:cs="Times New Roman"/>
          <w:color w:val="auto"/>
          <w:sz w:val="26"/>
          <w:szCs w:val="26"/>
          <w:highlight w:val="none"/>
        </w:rPr>
        <w:t>①</w:t>
      </w:r>
      <w:r>
        <w:rPr>
          <w:rFonts w:hint="default" w:ascii="Times New Roman" w:hAnsi="Times New Roman" w:cs="Times New Roman"/>
          <w:color w:val="auto"/>
          <w:sz w:val="26"/>
          <w:szCs w:val="26"/>
          <w:highlight w:val="none"/>
          <w:shd w:val="clear" w:color="auto" w:fill="FFFFFF"/>
          <w:lang w:val="en-US"/>
        </w:rPr>
        <w:fldChar w:fldCharType="end"/>
      </w:r>
      <w:r>
        <w:rPr>
          <w:rFonts w:hint="default" w:ascii="Times New Roman" w:hAnsi="Times New Roman" w:cs="Times New Roman"/>
          <w:color w:val="auto"/>
          <w:sz w:val="26"/>
          <w:szCs w:val="26"/>
          <w:highlight w:val="none"/>
          <w:shd w:val="clear" w:color="auto" w:fill="FFFFFF"/>
          <w:lang w:val="en-US"/>
        </w:rPr>
        <w:t>上、下引航道</w:t>
      </w:r>
    </w:p>
    <w:p>
      <w:pPr>
        <w:pStyle w:val="2"/>
        <w:spacing w:line="480" w:lineRule="exact"/>
        <w:ind w:firstLine="520" w:firstLineChars="200"/>
        <w:rPr>
          <w:rFonts w:hint="default" w:ascii="Times New Roman" w:hAnsi="Times New Roman" w:cs="Times New Roman"/>
          <w:color w:val="auto"/>
          <w:sz w:val="26"/>
          <w:szCs w:val="26"/>
          <w:highlight w:val="none"/>
          <w:shd w:val="clear" w:color="auto" w:fill="FFFFFF"/>
          <w:lang w:val="en-US"/>
        </w:rPr>
      </w:pPr>
      <w:r>
        <w:rPr>
          <w:rFonts w:hint="default" w:ascii="Times New Roman" w:hAnsi="Times New Roman" w:cs="Times New Roman"/>
          <w:color w:val="auto"/>
          <w:sz w:val="26"/>
          <w:szCs w:val="26"/>
          <w:highlight w:val="none"/>
          <w:shd w:val="clear" w:color="auto" w:fill="FFFFFF"/>
          <w:lang w:val="en-US"/>
        </w:rPr>
        <w:t>上引航道右导墙为主导墙，导航段采用曲线形式，长46m，停泊段靠岸侧布置8个靠船墩，间距12m，长85m。左导墙为辅导墙，末端为弧线，长220m。</w:t>
      </w:r>
    </w:p>
    <w:p>
      <w:pPr>
        <w:bidi w:val="0"/>
        <w:rPr>
          <w:rFonts w:hint="default"/>
          <w:color w:val="auto"/>
          <w:highlight w:val="none"/>
          <w:lang w:val="en-US"/>
        </w:rPr>
      </w:pPr>
      <w:r>
        <w:rPr>
          <w:rFonts w:hint="default"/>
          <w:color w:val="auto"/>
          <w:highlight w:val="none"/>
          <w:lang w:val="en-US"/>
        </w:rPr>
        <w:t>下引航道右导墙导航段采用直线布置,调顺段顺岸坡布置为弧线</w:t>
      </w:r>
      <w:r>
        <w:rPr>
          <w:rFonts w:hint="eastAsia"/>
          <w:color w:val="auto"/>
          <w:highlight w:val="none"/>
          <w:lang w:val="en-US" w:eastAsia="zh-CN"/>
        </w:rPr>
        <w:t>，</w:t>
      </w:r>
      <w:r>
        <w:rPr>
          <w:rFonts w:hint="default"/>
          <w:color w:val="auto"/>
          <w:highlight w:val="none"/>
          <w:lang w:val="en-US"/>
        </w:rPr>
        <w:t>其后为7个靠船墩，间距10m，左导墙为辅导墙，呈直线布置，左导墙长104m，其后为间距15m的隔流墩。引航道底高程为194.8~198.4m。</w:t>
      </w:r>
    </w:p>
    <w:p>
      <w:pPr>
        <w:bidi w:val="0"/>
        <w:rPr>
          <w:rFonts w:hint="default"/>
          <w:color w:val="auto"/>
          <w:highlight w:val="none"/>
          <w:lang w:val="en-US"/>
        </w:rPr>
      </w:pPr>
      <w:r>
        <w:rPr>
          <w:rFonts w:hint="default"/>
          <w:color w:val="auto"/>
          <w:highlight w:val="none"/>
          <w:lang w:val="en-US"/>
        </w:rPr>
        <w:fldChar w:fldCharType="begin"/>
      </w:r>
      <w:r>
        <w:rPr>
          <w:rFonts w:hint="default"/>
          <w:color w:val="auto"/>
          <w:highlight w:val="none"/>
          <w:lang w:val="en-US"/>
        </w:rPr>
        <w:instrText xml:space="preserve"> = 2 \* GB3 \* MERGEFORMAT </w:instrText>
      </w:r>
      <w:r>
        <w:rPr>
          <w:rFonts w:hint="default"/>
          <w:color w:val="auto"/>
          <w:highlight w:val="none"/>
          <w:lang w:val="en-US"/>
        </w:rPr>
        <w:fldChar w:fldCharType="separate"/>
      </w:r>
      <w:r>
        <w:rPr>
          <w:rFonts w:hint="default"/>
          <w:color w:val="auto"/>
          <w:highlight w:val="none"/>
        </w:rPr>
        <w:t>②</w:t>
      </w:r>
      <w:r>
        <w:rPr>
          <w:rFonts w:hint="default"/>
          <w:color w:val="auto"/>
          <w:highlight w:val="none"/>
          <w:lang w:val="en-US"/>
        </w:rPr>
        <w:fldChar w:fldCharType="end"/>
      </w:r>
      <w:r>
        <w:rPr>
          <w:rFonts w:hint="default"/>
          <w:color w:val="auto"/>
          <w:highlight w:val="none"/>
          <w:lang w:val="en-US"/>
        </w:rPr>
        <w:t>闸首</w:t>
      </w:r>
    </w:p>
    <w:p>
      <w:pPr>
        <w:bidi w:val="0"/>
        <w:rPr>
          <w:color w:val="auto"/>
          <w:highlight w:val="none"/>
          <w:lang w:val="en-US"/>
        </w:rPr>
      </w:pPr>
      <w:r>
        <w:rPr>
          <w:color w:val="auto"/>
          <w:highlight w:val="none"/>
          <w:lang w:val="en-US"/>
        </w:rPr>
        <w:t>上闸首上边缘距坝轴线16m，其顶高程209.0m。上闸首长13m，由两侧边墩组成，两侧边墩平行船闸轴线布置，左边墩宽度为6m，右边墩因横拉门库布置需要宽度15m，闸首口门净宽8m。</w:t>
      </w:r>
    </w:p>
    <w:p>
      <w:pPr>
        <w:bidi w:val="0"/>
        <w:rPr>
          <w:color w:val="auto"/>
          <w:szCs w:val="26"/>
          <w:highlight w:val="none"/>
          <w:shd w:val="clear" w:color="auto" w:fill="FFFFFF"/>
          <w:lang w:val="en-US"/>
        </w:rPr>
      </w:pPr>
      <w:r>
        <w:rPr>
          <w:color w:val="auto"/>
          <w:highlight w:val="none"/>
          <w:lang w:val="en-US"/>
        </w:rPr>
        <w:t>下闸首长14m，由两侧边墩和底板组成，两侧边墩沿船闸轴线对称布置，左边墩宽度为6m，右边因横拉</w:t>
      </w:r>
      <w:r>
        <w:rPr>
          <w:color w:val="auto"/>
          <w:szCs w:val="26"/>
          <w:highlight w:val="none"/>
          <w:shd w:val="clear" w:color="auto" w:fill="FFFFFF"/>
          <w:lang w:val="en-US"/>
        </w:rPr>
        <w:t>门库布置需要宽度15m。门槛高程为201.65m。</w:t>
      </w:r>
    </w:p>
    <w:p>
      <w:pPr>
        <w:pStyle w:val="2"/>
        <w:spacing w:line="480" w:lineRule="exact"/>
        <w:ind w:firstLine="520" w:firstLineChars="200"/>
        <w:rPr>
          <w:rFonts w:hint="default" w:ascii="Times New Roman" w:hAnsi="Times New Roman" w:cs="Times New Roman"/>
          <w:color w:val="auto"/>
          <w:sz w:val="26"/>
          <w:szCs w:val="26"/>
          <w:highlight w:val="none"/>
          <w:shd w:val="clear" w:color="auto" w:fill="FFFFFF"/>
          <w:lang w:val="en-US"/>
        </w:rPr>
      </w:pPr>
      <w:r>
        <w:rPr>
          <w:rFonts w:hint="default" w:ascii="Times New Roman" w:hAnsi="Times New Roman" w:cs="Times New Roman"/>
          <w:color w:val="auto"/>
          <w:sz w:val="26"/>
          <w:szCs w:val="26"/>
          <w:highlight w:val="none"/>
          <w:shd w:val="clear" w:color="auto" w:fill="FFFFFF"/>
          <w:lang w:val="en-US"/>
        </w:rPr>
        <w:fldChar w:fldCharType="begin"/>
      </w:r>
      <w:r>
        <w:rPr>
          <w:rFonts w:hint="default" w:ascii="Times New Roman" w:hAnsi="Times New Roman" w:cs="Times New Roman"/>
          <w:color w:val="auto"/>
          <w:sz w:val="26"/>
          <w:szCs w:val="26"/>
          <w:highlight w:val="none"/>
          <w:shd w:val="clear" w:color="auto" w:fill="FFFFFF"/>
          <w:lang w:val="en-US"/>
        </w:rPr>
        <w:instrText xml:space="preserve"> = 3 \* GB3 \* MERGEFORMAT </w:instrText>
      </w:r>
      <w:r>
        <w:rPr>
          <w:rFonts w:hint="default" w:ascii="Times New Roman" w:hAnsi="Times New Roman" w:cs="Times New Roman"/>
          <w:color w:val="auto"/>
          <w:sz w:val="26"/>
          <w:szCs w:val="26"/>
          <w:highlight w:val="none"/>
          <w:shd w:val="clear" w:color="auto" w:fill="FFFFFF"/>
          <w:lang w:val="en-US"/>
        </w:rPr>
        <w:fldChar w:fldCharType="separate"/>
      </w:r>
      <w:r>
        <w:rPr>
          <w:rFonts w:hint="default" w:ascii="Times New Roman" w:hAnsi="Times New Roman" w:cs="Times New Roman"/>
          <w:color w:val="auto"/>
          <w:sz w:val="26"/>
          <w:szCs w:val="26"/>
          <w:highlight w:val="none"/>
          <w:shd w:val="clear" w:color="auto" w:fill="FFFFFF"/>
          <w:lang w:val="en-US"/>
        </w:rPr>
        <w:t>③</w:t>
      </w:r>
      <w:r>
        <w:rPr>
          <w:rFonts w:hint="default" w:ascii="Times New Roman" w:hAnsi="Times New Roman" w:cs="Times New Roman"/>
          <w:color w:val="auto"/>
          <w:sz w:val="26"/>
          <w:szCs w:val="26"/>
          <w:highlight w:val="none"/>
          <w:shd w:val="clear" w:color="auto" w:fill="FFFFFF"/>
          <w:lang w:val="en-US"/>
        </w:rPr>
        <w:fldChar w:fldCharType="end"/>
      </w:r>
      <w:r>
        <w:rPr>
          <w:rFonts w:hint="default" w:ascii="Times New Roman" w:hAnsi="Times New Roman" w:cs="Times New Roman"/>
          <w:color w:val="auto"/>
          <w:sz w:val="26"/>
          <w:szCs w:val="26"/>
          <w:highlight w:val="none"/>
          <w:shd w:val="clear" w:color="auto" w:fill="FFFFFF"/>
          <w:lang w:val="en-US"/>
        </w:rPr>
        <w:t>闸室</w:t>
      </w:r>
    </w:p>
    <w:p>
      <w:pPr>
        <w:pStyle w:val="2"/>
        <w:spacing w:line="480" w:lineRule="exact"/>
        <w:ind w:firstLine="520" w:firstLineChars="200"/>
        <w:rPr>
          <w:rFonts w:hint="default" w:ascii="Times New Roman" w:hAnsi="Times New Roman" w:cs="Times New Roman"/>
          <w:color w:val="auto"/>
          <w:sz w:val="26"/>
          <w:szCs w:val="26"/>
          <w:highlight w:val="none"/>
          <w:shd w:val="clear" w:color="auto" w:fill="FFFFFF"/>
          <w:lang w:val="en-US"/>
        </w:rPr>
      </w:pPr>
      <w:r>
        <w:rPr>
          <w:rFonts w:hint="default" w:ascii="Times New Roman" w:hAnsi="Times New Roman" w:cs="Times New Roman"/>
          <w:color w:val="auto"/>
          <w:sz w:val="26"/>
          <w:szCs w:val="26"/>
          <w:highlight w:val="none"/>
          <w:shd w:val="clear" w:color="auto" w:fill="FFFFFF"/>
          <w:lang w:val="en-US"/>
        </w:rPr>
        <w:t>闸室段长110m，两侧对称布置，闸室有效宽度12m，闸墙顶宽1m，闸墙两侧边墙布置系船设施。闸室底高程为193.4m，闸墙基础高程为198~198.8m。</w:t>
      </w:r>
    </w:p>
    <w:p>
      <w:pPr>
        <w:pStyle w:val="2"/>
        <w:spacing w:line="480" w:lineRule="exact"/>
        <w:ind w:firstLine="520" w:firstLineChars="200"/>
        <w:rPr>
          <w:rFonts w:hint="default" w:ascii="Times New Roman" w:hAnsi="Times New Roman" w:cs="Times New Roman"/>
          <w:color w:val="auto"/>
          <w:sz w:val="26"/>
          <w:szCs w:val="26"/>
          <w:highlight w:val="none"/>
          <w:shd w:val="clear" w:color="auto" w:fill="FFFFFF"/>
          <w:lang w:val="en-US"/>
        </w:rPr>
      </w:pPr>
      <w:r>
        <w:rPr>
          <w:rFonts w:hint="default" w:ascii="Times New Roman" w:hAnsi="Times New Roman" w:cs="Times New Roman"/>
          <w:color w:val="auto"/>
          <w:sz w:val="26"/>
          <w:szCs w:val="26"/>
          <w:highlight w:val="none"/>
          <w:shd w:val="clear" w:color="auto" w:fill="FFFFFF"/>
          <w:lang w:val="en-US"/>
        </w:rPr>
        <w:fldChar w:fldCharType="begin"/>
      </w:r>
      <w:r>
        <w:rPr>
          <w:rFonts w:hint="default" w:ascii="Times New Roman" w:hAnsi="Times New Roman" w:cs="Times New Roman"/>
          <w:color w:val="auto"/>
          <w:sz w:val="26"/>
          <w:szCs w:val="26"/>
          <w:highlight w:val="none"/>
          <w:shd w:val="clear" w:color="auto" w:fill="FFFFFF"/>
          <w:lang w:val="en-US"/>
        </w:rPr>
        <w:instrText xml:space="preserve"> = 4 \* GB3 \* MERGEFORMAT </w:instrText>
      </w:r>
      <w:r>
        <w:rPr>
          <w:rFonts w:hint="default" w:ascii="Times New Roman" w:hAnsi="Times New Roman" w:cs="Times New Roman"/>
          <w:color w:val="auto"/>
          <w:sz w:val="26"/>
          <w:szCs w:val="26"/>
          <w:highlight w:val="none"/>
          <w:shd w:val="clear" w:color="auto" w:fill="FFFFFF"/>
          <w:lang w:val="en-US"/>
        </w:rPr>
        <w:fldChar w:fldCharType="separate"/>
      </w:r>
      <w:r>
        <w:rPr>
          <w:rFonts w:hint="default" w:ascii="Times New Roman" w:hAnsi="Times New Roman" w:cs="Times New Roman"/>
          <w:color w:val="auto"/>
          <w:sz w:val="26"/>
          <w:szCs w:val="26"/>
          <w:highlight w:val="none"/>
          <w:shd w:val="clear" w:color="auto" w:fill="FFFFFF"/>
          <w:lang w:val="en-US"/>
        </w:rPr>
        <w:t>④</w:t>
      </w:r>
      <w:r>
        <w:rPr>
          <w:rFonts w:hint="default" w:ascii="Times New Roman" w:hAnsi="Times New Roman" w:cs="Times New Roman"/>
          <w:color w:val="auto"/>
          <w:sz w:val="26"/>
          <w:szCs w:val="26"/>
          <w:highlight w:val="none"/>
          <w:shd w:val="clear" w:color="auto" w:fill="FFFFFF"/>
          <w:lang w:val="en-US"/>
        </w:rPr>
        <w:fldChar w:fldCharType="end"/>
      </w:r>
      <w:r>
        <w:rPr>
          <w:rFonts w:hint="default" w:ascii="Times New Roman" w:hAnsi="Times New Roman" w:cs="Times New Roman"/>
          <w:color w:val="auto"/>
          <w:sz w:val="26"/>
          <w:szCs w:val="26"/>
          <w:highlight w:val="none"/>
          <w:shd w:val="clear" w:color="auto" w:fill="FFFFFF"/>
          <w:lang w:val="en-US"/>
        </w:rPr>
        <w:t>输水系统</w:t>
      </w:r>
    </w:p>
    <w:p>
      <w:pPr>
        <w:pStyle w:val="2"/>
        <w:spacing w:line="480" w:lineRule="exact"/>
        <w:ind w:firstLine="520" w:firstLineChars="200"/>
        <w:rPr>
          <w:rFonts w:hint="default" w:ascii="Times New Roman" w:hAnsi="Times New Roman" w:cs="Times New Roman"/>
          <w:color w:val="auto"/>
          <w:sz w:val="26"/>
          <w:szCs w:val="26"/>
          <w:highlight w:val="none"/>
          <w:shd w:val="clear" w:color="auto" w:fill="FFFFFF"/>
          <w:lang w:val="en-US"/>
        </w:rPr>
      </w:pPr>
      <w:r>
        <w:rPr>
          <w:rFonts w:hint="default" w:ascii="Times New Roman" w:hAnsi="Times New Roman" w:cs="Times New Roman"/>
          <w:color w:val="auto"/>
          <w:sz w:val="26"/>
          <w:szCs w:val="26"/>
          <w:highlight w:val="none"/>
          <w:shd w:val="clear" w:color="auto" w:fill="FFFFFF"/>
          <w:lang w:val="en-US"/>
        </w:rPr>
        <w:t>输水系统采用短廊道头部输水的输水型式，进出水口布置在上下闸首范围内，每侧廊道断面积2.96m</w:t>
      </w:r>
      <w:r>
        <w:rPr>
          <w:rFonts w:hint="default" w:ascii="Times New Roman" w:hAnsi="Times New Roman" w:cs="Times New Roman"/>
          <w:color w:val="auto"/>
          <w:sz w:val="26"/>
          <w:szCs w:val="26"/>
          <w:highlight w:val="none"/>
          <w:shd w:val="clear" w:color="auto" w:fill="FFFFFF"/>
          <w:vertAlign w:val="superscript"/>
          <w:lang w:val="en-US"/>
        </w:rPr>
        <w:t>2</w:t>
      </w:r>
      <w:r>
        <w:rPr>
          <w:rFonts w:hint="default" w:ascii="Times New Roman" w:hAnsi="Times New Roman" w:cs="Times New Roman"/>
          <w:color w:val="auto"/>
          <w:sz w:val="26"/>
          <w:szCs w:val="26"/>
          <w:highlight w:val="none"/>
          <w:shd w:val="clear" w:color="auto" w:fill="FFFFFF"/>
          <w:lang w:val="en-US"/>
        </w:rPr>
        <w:t>。上闸首输水廊道进口底高程201.65m</w:t>
      </w:r>
      <w:r>
        <w:rPr>
          <w:rFonts w:hint="eastAsia" w:cs="Times New Roman"/>
          <w:color w:val="auto"/>
          <w:sz w:val="26"/>
          <w:szCs w:val="26"/>
          <w:highlight w:val="none"/>
          <w:shd w:val="clear" w:color="auto" w:fill="FFFFFF"/>
          <w:lang w:val="en-US" w:eastAsia="zh-CN"/>
        </w:rPr>
        <w:t>，</w:t>
      </w:r>
      <w:r>
        <w:rPr>
          <w:rFonts w:hint="default" w:ascii="Times New Roman" w:hAnsi="Times New Roman" w:cs="Times New Roman"/>
          <w:color w:val="auto"/>
          <w:sz w:val="26"/>
          <w:szCs w:val="26"/>
          <w:highlight w:val="none"/>
          <w:shd w:val="clear" w:color="auto" w:fill="FFFFFF"/>
          <w:lang w:val="en-US"/>
        </w:rPr>
        <w:t>出口底高程192.4m。下闸首输水廊道进出口底高程均为192.4m。</w:t>
      </w:r>
    </w:p>
    <w:p>
      <w:pPr>
        <w:pStyle w:val="2"/>
        <w:spacing w:line="480" w:lineRule="exact"/>
        <w:ind w:firstLine="520" w:firstLineChars="200"/>
        <w:rPr>
          <w:rFonts w:hint="default" w:ascii="Times New Roman" w:hAnsi="Times New Roman" w:cs="Times New Roman"/>
          <w:color w:val="auto"/>
          <w:sz w:val="26"/>
          <w:szCs w:val="26"/>
          <w:highlight w:val="none"/>
          <w:shd w:val="clear" w:color="auto" w:fill="FFFFFF"/>
          <w:lang w:val="en-US"/>
        </w:rPr>
      </w:pPr>
      <w:r>
        <w:rPr>
          <w:rFonts w:hint="default" w:ascii="Times New Roman" w:hAnsi="Times New Roman" w:cs="Times New Roman"/>
          <w:color w:val="auto"/>
          <w:sz w:val="26"/>
          <w:szCs w:val="26"/>
          <w:highlight w:val="none"/>
          <w:shd w:val="clear" w:color="auto" w:fill="FFFFFF"/>
          <w:lang w:val="en-US"/>
        </w:rPr>
        <w:t>（2）船闸运行条件</w:t>
      </w:r>
    </w:p>
    <w:p>
      <w:pPr>
        <w:ind w:firstLine="520"/>
        <w:rPr>
          <w:color w:val="auto"/>
          <w:highlight w:val="none"/>
        </w:rPr>
      </w:pPr>
      <w:r>
        <w:rPr>
          <w:color w:val="auto"/>
          <w:highlight w:val="none"/>
        </w:rPr>
        <w:t>渭沱船闸上游设计最高通航水位207.78m（1956年黄海高程基准），设计最低通航水位205m；下游设计最高通航水位204m，设计最低通航水位195.4m。设计最大通航流量5580m³/s，实际最大通航流量3000m³/s。</w:t>
      </w:r>
    </w:p>
    <w:p>
      <w:pPr>
        <w:ind w:firstLine="520"/>
        <w:rPr>
          <w:color w:val="auto"/>
          <w:highlight w:val="none"/>
        </w:rPr>
      </w:pPr>
      <w:r>
        <w:rPr>
          <w:color w:val="auto"/>
          <w:highlight w:val="none"/>
        </w:rPr>
        <w:t>船闸设计代表船型为100t级干散货船（30m×6.4m×1m，总长×型宽×设计吃水，下同），设计一次过闸2×100t货船，设计年通过能力80万吨。实际最大通航船型尺度为40m×7.4m×1m（库区上游水位205 m时吃水深度），满足吃水深度1m的前提下，船舶宽度7.4m-7.8m时应在海事部门现场监管下放行，宽度超7.8m禁止通行。</w:t>
      </w:r>
    </w:p>
    <w:p>
      <w:pPr>
        <w:pStyle w:val="2"/>
        <w:spacing w:line="480" w:lineRule="exact"/>
        <w:ind w:firstLine="520" w:firstLineChars="200"/>
        <w:rPr>
          <w:color w:val="auto"/>
          <w:sz w:val="26"/>
          <w:szCs w:val="26"/>
          <w:highlight w:val="none"/>
          <w:shd w:val="clear" w:color="auto" w:fill="FFFFFF"/>
          <w:lang w:val="en-US"/>
        </w:rPr>
      </w:pPr>
      <w:r>
        <w:rPr>
          <w:color w:val="auto"/>
          <w:sz w:val="26"/>
          <w:szCs w:val="26"/>
          <w:highlight w:val="none"/>
          <w:shd w:val="clear" w:color="auto" w:fill="FFFFFF"/>
          <w:lang w:val="en-US"/>
        </w:rPr>
        <w:t>（</w:t>
      </w:r>
      <w:r>
        <w:rPr>
          <w:rFonts w:hint="eastAsia"/>
          <w:color w:val="auto"/>
          <w:sz w:val="26"/>
          <w:szCs w:val="26"/>
          <w:highlight w:val="none"/>
          <w:shd w:val="clear" w:color="auto" w:fill="FFFFFF"/>
          <w:lang w:val="en-US" w:eastAsia="zh-CN"/>
        </w:rPr>
        <w:t>3</w:t>
      </w:r>
      <w:r>
        <w:rPr>
          <w:color w:val="auto"/>
          <w:sz w:val="26"/>
          <w:szCs w:val="26"/>
          <w:highlight w:val="none"/>
          <w:shd w:val="clear" w:color="auto" w:fill="FFFFFF"/>
          <w:lang w:val="en-US"/>
        </w:rPr>
        <w:t>）船闸现状过闸运量</w:t>
      </w:r>
    </w:p>
    <w:p>
      <w:pPr>
        <w:ind w:firstLine="520"/>
        <w:rPr>
          <w:rFonts w:hint="eastAsia"/>
          <w:color w:val="auto"/>
          <w:highlight w:val="none"/>
        </w:rPr>
      </w:pPr>
      <w:r>
        <w:rPr>
          <w:color w:val="auto"/>
          <w:highlight w:val="none"/>
        </w:rPr>
        <w:t>根据统计数据，从1999年至202</w:t>
      </w:r>
      <w:r>
        <w:rPr>
          <w:rFonts w:hint="eastAsia"/>
          <w:color w:val="auto"/>
          <w:highlight w:val="none"/>
          <w:lang w:val="en-US" w:eastAsia="zh-CN"/>
        </w:rPr>
        <w:t>4</w:t>
      </w:r>
      <w:r>
        <w:rPr>
          <w:color w:val="auto"/>
          <w:highlight w:val="none"/>
        </w:rPr>
        <w:t>年，渭沱船闸通航的船舶运输货物主要以砂石为主，近几年则以空货船和客船过闸为主，且没有危险品货船通过。渭沱船闸的货运量在2014年达到了顶峰，过闸总吨位达到72.43万吨</w:t>
      </w:r>
      <w:r>
        <w:rPr>
          <w:rFonts w:hint="eastAsia"/>
          <w:color w:val="auto"/>
          <w:highlight w:val="none"/>
        </w:rPr>
        <w:t>。</w:t>
      </w:r>
    </w:p>
    <w:p>
      <w:pPr>
        <w:spacing w:line="240" w:lineRule="auto"/>
        <w:ind w:firstLine="0" w:firstLineChars="0"/>
        <w:jc w:val="center"/>
        <w:rPr>
          <w:rFonts w:hint="eastAsia"/>
          <w:color w:val="auto"/>
          <w:highlight w:val="none"/>
        </w:rPr>
      </w:pPr>
    </w:p>
    <w:p>
      <w:pPr>
        <w:spacing w:line="240" w:lineRule="auto"/>
        <w:ind w:firstLine="0" w:firstLineChars="0"/>
        <w:jc w:val="center"/>
        <w:rPr>
          <w:color w:val="auto"/>
          <w:highlight w:val="none"/>
        </w:rPr>
      </w:pPr>
      <w:r>
        <w:rPr>
          <w:rFonts w:hint="eastAsia"/>
          <w:color w:val="auto"/>
          <w:highlight w:val="none"/>
        </w:rPr>
        <w:t>表2.</w:t>
      </w:r>
      <w:r>
        <w:rPr>
          <w:rFonts w:hint="eastAsia"/>
          <w:color w:val="auto"/>
          <w:highlight w:val="none"/>
          <w:lang w:val="en-US" w:eastAsia="zh-CN"/>
        </w:rPr>
        <w:t>4</w:t>
      </w:r>
      <w:r>
        <w:rPr>
          <w:rFonts w:hint="eastAsia"/>
          <w:color w:val="auto"/>
          <w:highlight w:val="none"/>
        </w:rPr>
        <w:t>.2-1  渭沱船闸2000-202</w:t>
      </w:r>
      <w:r>
        <w:rPr>
          <w:rFonts w:hint="eastAsia"/>
          <w:color w:val="auto"/>
          <w:highlight w:val="none"/>
          <w:lang w:val="en-US" w:eastAsia="zh-CN"/>
        </w:rPr>
        <w:t>4</w:t>
      </w:r>
      <w:r>
        <w:rPr>
          <w:rFonts w:hint="eastAsia"/>
          <w:color w:val="auto"/>
          <w:highlight w:val="none"/>
        </w:rPr>
        <w:t>年通航数据表</w:t>
      </w:r>
    </w:p>
    <w:tbl>
      <w:tblPr>
        <w:tblStyle w:val="209"/>
        <w:tblW w:w="487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4"/>
        <w:gridCol w:w="1004"/>
        <w:gridCol w:w="1002"/>
        <w:gridCol w:w="1395"/>
        <w:gridCol w:w="871"/>
        <w:gridCol w:w="1879"/>
        <w:gridCol w:w="10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top w:val="single" w:color="000000" w:sz="10" w:space="0"/>
              <w:left w:val="single" w:color="000000" w:sz="10" w:space="0"/>
            </w:tcBorders>
            <w:vAlign w:val="center"/>
          </w:tcPr>
          <w:p>
            <w:pPr>
              <w:pStyle w:val="235"/>
              <w:keepNext w:val="0"/>
              <w:keepLines w:val="0"/>
              <w:pageBreakBefore w:val="0"/>
              <w:widowControl w:val="0"/>
              <w:kinsoku/>
              <w:wordWrap/>
              <w:overflowPunct/>
              <w:topLinePunct w:val="0"/>
              <w:autoSpaceDE/>
              <w:autoSpaceDN/>
              <w:bidi w:val="0"/>
              <w:adjustRightInd w:val="0"/>
              <w:snapToGrid w:val="0"/>
              <w:spacing w:line="219" w:lineRule="auto"/>
              <w:ind w:left="0" w:firstLine="0" w:firstLineChars="0"/>
              <w:jc w:val="center"/>
              <w:textAlignment w:val="auto"/>
              <w:rPr>
                <w:color w:val="auto"/>
                <w:sz w:val="22"/>
                <w:szCs w:val="22"/>
                <w:highlight w:val="none"/>
              </w:rPr>
            </w:pPr>
            <w:r>
              <w:rPr>
                <w:color w:val="auto"/>
                <w:sz w:val="22"/>
                <w:szCs w:val="22"/>
                <w:highlight w:val="none"/>
              </w:rPr>
              <w:t>年份</w:t>
            </w:r>
          </w:p>
        </w:tc>
        <w:tc>
          <w:tcPr>
            <w:tcW w:w="1001" w:type="dxa"/>
            <w:tcBorders>
              <w:top w:val="single" w:color="000000" w:sz="10" w:space="0"/>
            </w:tcBorders>
            <w:vAlign w:val="center"/>
          </w:tcPr>
          <w:p>
            <w:pPr>
              <w:pStyle w:val="235"/>
              <w:keepNext w:val="0"/>
              <w:keepLines w:val="0"/>
              <w:pageBreakBefore w:val="0"/>
              <w:widowControl w:val="0"/>
              <w:kinsoku/>
              <w:wordWrap/>
              <w:overflowPunct/>
              <w:topLinePunct w:val="0"/>
              <w:autoSpaceDE/>
              <w:autoSpaceDN/>
              <w:bidi w:val="0"/>
              <w:adjustRightInd w:val="0"/>
              <w:snapToGrid w:val="0"/>
              <w:spacing w:line="219" w:lineRule="auto"/>
              <w:ind w:left="0" w:firstLine="0" w:firstLineChars="0"/>
              <w:jc w:val="center"/>
              <w:textAlignment w:val="auto"/>
              <w:rPr>
                <w:color w:val="auto"/>
                <w:sz w:val="22"/>
                <w:szCs w:val="22"/>
                <w:highlight w:val="none"/>
              </w:rPr>
            </w:pPr>
            <w:r>
              <w:rPr>
                <w:color w:val="auto"/>
                <w:spacing w:val="3"/>
                <w:sz w:val="22"/>
                <w:szCs w:val="22"/>
                <w:highlight w:val="none"/>
              </w:rPr>
              <w:t>上行闸次</w:t>
            </w:r>
          </w:p>
        </w:tc>
        <w:tc>
          <w:tcPr>
            <w:tcW w:w="999" w:type="dxa"/>
            <w:tcBorders>
              <w:top w:val="single" w:color="000000" w:sz="10" w:space="0"/>
            </w:tcBorders>
            <w:vAlign w:val="center"/>
          </w:tcPr>
          <w:p>
            <w:pPr>
              <w:pStyle w:val="235"/>
              <w:keepNext w:val="0"/>
              <w:keepLines w:val="0"/>
              <w:pageBreakBefore w:val="0"/>
              <w:widowControl w:val="0"/>
              <w:kinsoku/>
              <w:wordWrap/>
              <w:overflowPunct/>
              <w:topLinePunct w:val="0"/>
              <w:autoSpaceDE/>
              <w:autoSpaceDN/>
              <w:bidi w:val="0"/>
              <w:adjustRightInd w:val="0"/>
              <w:snapToGrid w:val="0"/>
              <w:spacing w:line="219" w:lineRule="auto"/>
              <w:ind w:left="0" w:firstLine="0" w:firstLineChars="0"/>
              <w:jc w:val="center"/>
              <w:textAlignment w:val="auto"/>
              <w:rPr>
                <w:color w:val="auto"/>
                <w:sz w:val="22"/>
                <w:szCs w:val="22"/>
                <w:highlight w:val="none"/>
              </w:rPr>
            </w:pPr>
            <w:r>
              <w:rPr>
                <w:color w:val="auto"/>
                <w:spacing w:val="2"/>
                <w:sz w:val="22"/>
                <w:szCs w:val="22"/>
                <w:highlight w:val="none"/>
              </w:rPr>
              <w:t>下行闸次</w:t>
            </w:r>
          </w:p>
        </w:tc>
        <w:tc>
          <w:tcPr>
            <w:tcW w:w="1391" w:type="dxa"/>
            <w:tcBorders>
              <w:top w:val="single" w:color="000000" w:sz="10" w:space="0"/>
            </w:tcBorders>
            <w:vAlign w:val="center"/>
          </w:tcPr>
          <w:p>
            <w:pPr>
              <w:pStyle w:val="235"/>
              <w:keepNext w:val="0"/>
              <w:keepLines w:val="0"/>
              <w:pageBreakBefore w:val="0"/>
              <w:widowControl w:val="0"/>
              <w:kinsoku/>
              <w:wordWrap/>
              <w:overflowPunct/>
              <w:topLinePunct w:val="0"/>
              <w:autoSpaceDE/>
              <w:autoSpaceDN/>
              <w:bidi w:val="0"/>
              <w:adjustRightInd w:val="0"/>
              <w:snapToGrid w:val="0"/>
              <w:spacing w:line="219" w:lineRule="auto"/>
              <w:ind w:left="0" w:firstLine="0" w:firstLineChars="0"/>
              <w:jc w:val="center"/>
              <w:textAlignment w:val="auto"/>
              <w:rPr>
                <w:color w:val="auto"/>
                <w:sz w:val="22"/>
                <w:szCs w:val="22"/>
                <w:highlight w:val="none"/>
              </w:rPr>
            </w:pPr>
            <w:r>
              <w:rPr>
                <w:color w:val="auto"/>
                <w:spacing w:val="1"/>
                <w:sz w:val="22"/>
                <w:szCs w:val="22"/>
                <w:highlight w:val="none"/>
              </w:rPr>
              <w:t>总闸次</w:t>
            </w:r>
          </w:p>
        </w:tc>
        <w:tc>
          <w:tcPr>
            <w:tcW w:w="869" w:type="dxa"/>
            <w:tcBorders>
              <w:top w:val="single" w:color="000000" w:sz="10" w:space="0"/>
            </w:tcBorders>
            <w:vAlign w:val="center"/>
          </w:tcPr>
          <w:p>
            <w:pPr>
              <w:pStyle w:val="235"/>
              <w:keepNext w:val="0"/>
              <w:keepLines w:val="0"/>
              <w:pageBreakBefore w:val="0"/>
              <w:widowControl w:val="0"/>
              <w:kinsoku/>
              <w:wordWrap/>
              <w:overflowPunct/>
              <w:topLinePunct w:val="0"/>
              <w:autoSpaceDE/>
              <w:autoSpaceDN/>
              <w:bidi w:val="0"/>
              <w:adjustRightInd w:val="0"/>
              <w:snapToGrid w:val="0"/>
              <w:spacing w:line="219" w:lineRule="auto"/>
              <w:ind w:left="0" w:firstLine="0" w:firstLineChars="0"/>
              <w:jc w:val="center"/>
              <w:textAlignment w:val="auto"/>
              <w:rPr>
                <w:color w:val="auto"/>
                <w:sz w:val="22"/>
                <w:szCs w:val="22"/>
                <w:highlight w:val="none"/>
              </w:rPr>
            </w:pPr>
            <w:r>
              <w:rPr>
                <w:color w:val="auto"/>
                <w:spacing w:val="1"/>
                <w:sz w:val="22"/>
                <w:szCs w:val="22"/>
                <w:highlight w:val="none"/>
              </w:rPr>
              <w:t>艘次</w:t>
            </w:r>
          </w:p>
        </w:tc>
        <w:tc>
          <w:tcPr>
            <w:tcW w:w="1874" w:type="dxa"/>
            <w:tcBorders>
              <w:top w:val="single" w:color="000000" w:sz="10" w:space="0"/>
            </w:tcBorders>
            <w:vAlign w:val="center"/>
          </w:tcPr>
          <w:p>
            <w:pPr>
              <w:pStyle w:val="235"/>
              <w:keepNext w:val="0"/>
              <w:keepLines w:val="0"/>
              <w:pageBreakBefore w:val="0"/>
              <w:widowControl w:val="0"/>
              <w:kinsoku/>
              <w:wordWrap/>
              <w:overflowPunct/>
              <w:topLinePunct w:val="0"/>
              <w:autoSpaceDE/>
              <w:autoSpaceDN/>
              <w:bidi w:val="0"/>
              <w:adjustRightInd w:val="0"/>
              <w:snapToGrid w:val="0"/>
              <w:spacing w:line="208" w:lineRule="auto"/>
              <w:ind w:left="0" w:firstLine="0" w:firstLineChars="0"/>
              <w:jc w:val="center"/>
              <w:textAlignment w:val="auto"/>
              <w:rPr>
                <w:rFonts w:ascii="Times New Roman" w:hAnsi="Times New Roman" w:eastAsia="Times New Roman" w:cs="Times New Roman"/>
                <w:color w:val="auto"/>
                <w:sz w:val="22"/>
                <w:szCs w:val="22"/>
                <w:highlight w:val="none"/>
              </w:rPr>
            </w:pPr>
            <w:r>
              <w:rPr>
                <w:color w:val="auto"/>
                <w:spacing w:val="6"/>
                <w:sz w:val="22"/>
                <w:szCs w:val="22"/>
                <w:highlight w:val="none"/>
              </w:rPr>
              <w:t>过闸总吨位</w:t>
            </w:r>
            <w:r>
              <w:rPr>
                <w:rFonts w:ascii="Times New Roman" w:hAnsi="Times New Roman" w:eastAsia="Times New Roman" w:cs="Times New Roman"/>
                <w:color w:val="auto"/>
                <w:spacing w:val="6"/>
                <w:sz w:val="22"/>
                <w:szCs w:val="22"/>
                <w:highlight w:val="none"/>
              </w:rPr>
              <w:t>(</w:t>
            </w:r>
            <w:r>
              <w:rPr>
                <w:color w:val="auto"/>
                <w:spacing w:val="6"/>
                <w:sz w:val="22"/>
                <w:szCs w:val="22"/>
                <w:highlight w:val="none"/>
              </w:rPr>
              <w:t>万吨</w:t>
            </w:r>
            <w:r>
              <w:rPr>
                <w:rFonts w:ascii="Times New Roman" w:hAnsi="Times New Roman" w:eastAsia="Times New Roman" w:cs="Times New Roman"/>
                <w:color w:val="auto"/>
                <w:spacing w:val="6"/>
                <w:sz w:val="22"/>
                <w:szCs w:val="22"/>
                <w:highlight w:val="none"/>
              </w:rPr>
              <w:t>)</w:t>
            </w:r>
          </w:p>
        </w:tc>
        <w:tc>
          <w:tcPr>
            <w:tcW w:w="1014" w:type="dxa"/>
            <w:tcBorders>
              <w:top w:val="single" w:color="000000" w:sz="10" w:space="0"/>
              <w:right w:val="single" w:color="000000" w:sz="10" w:space="0"/>
            </w:tcBorders>
            <w:vAlign w:val="center"/>
          </w:tcPr>
          <w:p>
            <w:pPr>
              <w:pStyle w:val="235"/>
              <w:keepNext w:val="0"/>
              <w:keepLines w:val="0"/>
              <w:pageBreakBefore w:val="0"/>
              <w:widowControl w:val="0"/>
              <w:kinsoku/>
              <w:wordWrap/>
              <w:overflowPunct/>
              <w:topLinePunct w:val="0"/>
              <w:autoSpaceDE/>
              <w:autoSpaceDN/>
              <w:bidi w:val="0"/>
              <w:adjustRightInd w:val="0"/>
              <w:snapToGrid w:val="0"/>
              <w:spacing w:line="219" w:lineRule="auto"/>
              <w:ind w:left="0" w:firstLine="0" w:firstLineChars="0"/>
              <w:jc w:val="center"/>
              <w:textAlignment w:val="auto"/>
              <w:rPr>
                <w:color w:val="auto"/>
                <w:sz w:val="22"/>
                <w:szCs w:val="22"/>
                <w:highlight w:val="none"/>
              </w:rPr>
            </w:pPr>
            <w:r>
              <w:rPr>
                <w:color w:val="auto"/>
                <w:spacing w:val="4"/>
                <w:sz w:val="22"/>
                <w:szCs w:val="22"/>
                <w:highlight w:val="none"/>
              </w:rPr>
              <w:t>通航天数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1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2000</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21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21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21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13</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21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13</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21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0.11</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1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1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2001</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21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21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21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12</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21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12</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21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0.09</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1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1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2002</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21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21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21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11</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21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11</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21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0.08</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1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0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2003</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20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20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20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10</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20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10</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20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0.07</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0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07"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2004</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207"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207"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207"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11</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207"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11</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207"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0.09</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07"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0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2005</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20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20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20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9</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20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9</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20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0.07</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0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0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2006</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20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20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20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10</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20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10</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20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0.07</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0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04"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2007</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204"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204"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204"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10</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204"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10</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204"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0.07</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04"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03"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2008</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203"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203"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203"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39</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203"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42</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203"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0.06</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03"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0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2009</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20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20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20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50</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20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55</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20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0.37</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0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01"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2010</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201"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201"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201"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73</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201"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93</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201"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0.74</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01"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9"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2011</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199"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199"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199"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4"/>
                <w:sz w:val="22"/>
                <w:szCs w:val="22"/>
                <w:highlight w:val="none"/>
              </w:rPr>
              <w:t>111</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199"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4"/>
                <w:sz w:val="22"/>
                <w:szCs w:val="22"/>
                <w:highlight w:val="none"/>
              </w:rPr>
              <w:t>166</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199"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3"/>
                <w:sz w:val="22"/>
                <w:szCs w:val="22"/>
                <w:highlight w:val="none"/>
              </w:rPr>
              <w:t>1.60</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9"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2012</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19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19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19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343</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19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2820</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19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21.18</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7"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2013</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197"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197"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197"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584</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197"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2978</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197"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44.96</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7"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2014</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19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19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19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740</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19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3786</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19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72.43</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2015</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19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19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19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421</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19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3"/>
                <w:sz w:val="22"/>
                <w:szCs w:val="22"/>
                <w:highlight w:val="none"/>
              </w:rPr>
              <w:t>1300</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19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18.61</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4"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2016</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194"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194"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194"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342</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194"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3"/>
                <w:sz w:val="22"/>
                <w:szCs w:val="22"/>
                <w:highlight w:val="none"/>
              </w:rPr>
              <w:t>1026</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194"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17.44</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4"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2017</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19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19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19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492</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19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2460</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19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21.14</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326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1"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2018</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191"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205</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191"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4"/>
                <w:sz w:val="22"/>
                <w:szCs w:val="22"/>
                <w:highlight w:val="none"/>
              </w:rPr>
              <w:t>187</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191"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392</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191"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705</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191"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10.64</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1"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223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2019</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19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66</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19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33</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19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99</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19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4"/>
                <w:sz w:val="22"/>
                <w:szCs w:val="22"/>
                <w:highlight w:val="none"/>
              </w:rPr>
              <w:t>170</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19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2.30</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9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89"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2020</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189"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28</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189"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33</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189"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61</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189"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80</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189"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0.92</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89"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8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2021</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18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28</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18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26</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18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54</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18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43</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18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0.46</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88"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8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2022</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18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13</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18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14</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18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27</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18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28</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18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0.23</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86"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8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2023</w:t>
            </w:r>
          </w:p>
        </w:tc>
        <w:tc>
          <w:tcPr>
            <w:tcW w:w="1001" w:type="dxa"/>
            <w:vAlign w:val="center"/>
          </w:tcPr>
          <w:p>
            <w:pPr>
              <w:keepNext w:val="0"/>
              <w:keepLines w:val="0"/>
              <w:pageBreakBefore w:val="0"/>
              <w:widowControl w:val="0"/>
              <w:kinsoku/>
              <w:wordWrap/>
              <w:overflowPunct/>
              <w:topLinePunct w:val="0"/>
              <w:autoSpaceDE/>
              <w:autoSpaceDN/>
              <w:bidi w:val="0"/>
              <w:adjustRightInd w:val="0"/>
              <w:snapToGrid w:val="0"/>
              <w:spacing w:line="18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29</w:t>
            </w:r>
          </w:p>
        </w:tc>
        <w:tc>
          <w:tcPr>
            <w:tcW w:w="999" w:type="dxa"/>
            <w:vAlign w:val="center"/>
          </w:tcPr>
          <w:p>
            <w:pPr>
              <w:keepNext w:val="0"/>
              <w:keepLines w:val="0"/>
              <w:pageBreakBefore w:val="0"/>
              <w:widowControl w:val="0"/>
              <w:kinsoku/>
              <w:wordWrap/>
              <w:overflowPunct/>
              <w:topLinePunct w:val="0"/>
              <w:autoSpaceDE/>
              <w:autoSpaceDN/>
              <w:bidi w:val="0"/>
              <w:adjustRightInd w:val="0"/>
              <w:snapToGrid w:val="0"/>
              <w:spacing w:line="18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25</w:t>
            </w:r>
          </w:p>
        </w:tc>
        <w:tc>
          <w:tcPr>
            <w:tcW w:w="1391" w:type="dxa"/>
            <w:vAlign w:val="center"/>
          </w:tcPr>
          <w:p>
            <w:pPr>
              <w:keepNext w:val="0"/>
              <w:keepLines w:val="0"/>
              <w:pageBreakBefore w:val="0"/>
              <w:widowControl w:val="0"/>
              <w:kinsoku/>
              <w:wordWrap/>
              <w:overflowPunct/>
              <w:topLinePunct w:val="0"/>
              <w:autoSpaceDE/>
              <w:autoSpaceDN/>
              <w:bidi w:val="0"/>
              <w:adjustRightInd w:val="0"/>
              <w:snapToGrid w:val="0"/>
              <w:spacing w:line="18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54</w:t>
            </w:r>
          </w:p>
        </w:tc>
        <w:tc>
          <w:tcPr>
            <w:tcW w:w="869" w:type="dxa"/>
            <w:vAlign w:val="center"/>
          </w:tcPr>
          <w:p>
            <w:pPr>
              <w:keepNext w:val="0"/>
              <w:keepLines w:val="0"/>
              <w:pageBreakBefore w:val="0"/>
              <w:widowControl w:val="0"/>
              <w:kinsoku/>
              <w:wordWrap/>
              <w:overflowPunct/>
              <w:topLinePunct w:val="0"/>
              <w:autoSpaceDE/>
              <w:autoSpaceDN/>
              <w:bidi w:val="0"/>
              <w:adjustRightInd w:val="0"/>
              <w:snapToGrid w:val="0"/>
              <w:spacing w:line="18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76</w:t>
            </w:r>
          </w:p>
        </w:tc>
        <w:tc>
          <w:tcPr>
            <w:tcW w:w="1874" w:type="dxa"/>
            <w:vAlign w:val="center"/>
          </w:tcPr>
          <w:p>
            <w:pPr>
              <w:keepNext w:val="0"/>
              <w:keepLines w:val="0"/>
              <w:pageBreakBefore w:val="0"/>
              <w:widowControl w:val="0"/>
              <w:kinsoku/>
              <w:wordWrap/>
              <w:overflowPunct/>
              <w:topLinePunct w:val="0"/>
              <w:autoSpaceDE/>
              <w:autoSpaceDN/>
              <w:bidi w:val="0"/>
              <w:adjustRightInd w:val="0"/>
              <w:snapToGrid w:val="0"/>
              <w:spacing w:line="18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0.69</w:t>
            </w:r>
          </w:p>
        </w:tc>
        <w:tc>
          <w:tcPr>
            <w:tcW w:w="1014"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185"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70" w:type="dxa"/>
            <w:tcBorders>
              <w:left w:val="single" w:color="000000" w:sz="10" w:space="0"/>
              <w:bottom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1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2024</w:t>
            </w:r>
          </w:p>
        </w:tc>
        <w:tc>
          <w:tcPr>
            <w:tcW w:w="1001"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1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19</w:t>
            </w:r>
          </w:p>
        </w:tc>
        <w:tc>
          <w:tcPr>
            <w:tcW w:w="999"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1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19</w:t>
            </w:r>
          </w:p>
        </w:tc>
        <w:tc>
          <w:tcPr>
            <w:tcW w:w="1391"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1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38</w:t>
            </w:r>
          </w:p>
        </w:tc>
        <w:tc>
          <w:tcPr>
            <w:tcW w:w="869"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1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56</w:t>
            </w:r>
          </w:p>
        </w:tc>
        <w:tc>
          <w:tcPr>
            <w:tcW w:w="1874"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12"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eastAsia" w:eastAsia="宋体" w:cs="Times New Roman"/>
                <w:color w:val="auto"/>
                <w:spacing w:val="1"/>
                <w:sz w:val="22"/>
                <w:szCs w:val="22"/>
                <w:highlight w:val="none"/>
                <w:lang w:val="en-US" w:eastAsia="zh-CN"/>
              </w:rPr>
              <w:t>0.96</w:t>
            </w:r>
          </w:p>
        </w:tc>
        <w:tc>
          <w:tcPr>
            <w:tcW w:w="1014" w:type="dxa"/>
            <w:tcBorders>
              <w:bottom w:val="single" w:color="000000" w:sz="10" w:space="0"/>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12"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37</w:t>
            </w:r>
          </w:p>
        </w:tc>
      </w:tr>
    </w:tbl>
    <w:p>
      <w:pPr>
        <w:spacing w:line="240" w:lineRule="auto"/>
        <w:ind w:firstLine="0" w:firstLineChars="0"/>
        <w:rPr>
          <w:color w:val="auto"/>
          <w:highlight w:val="none"/>
        </w:rPr>
      </w:pPr>
    </w:p>
    <w:p>
      <w:pPr>
        <w:ind w:firstLine="520"/>
        <w:rPr>
          <w:color w:val="auto"/>
          <w:highlight w:val="none"/>
        </w:rPr>
      </w:pPr>
      <w:r>
        <w:rPr>
          <w:rFonts w:hint="eastAsia"/>
          <w:color w:val="auto"/>
          <w:highlight w:val="none"/>
        </w:rPr>
        <w:t>（</w:t>
      </w:r>
      <w:r>
        <w:rPr>
          <w:rFonts w:hint="eastAsia"/>
          <w:color w:val="auto"/>
          <w:highlight w:val="none"/>
          <w:lang w:val="en-US" w:eastAsia="zh-CN"/>
        </w:rPr>
        <w:t>4</w:t>
      </w:r>
      <w:r>
        <w:rPr>
          <w:rFonts w:hint="eastAsia"/>
          <w:color w:val="auto"/>
          <w:highlight w:val="none"/>
        </w:rPr>
        <w:t>）渭沱船闸运量预测</w:t>
      </w:r>
    </w:p>
    <w:p>
      <w:pPr>
        <w:adjustRightInd w:val="0"/>
        <w:snapToGrid w:val="0"/>
        <w:ind w:firstLine="520"/>
        <w:rPr>
          <w:color w:val="auto"/>
          <w:kern w:val="0"/>
          <w:szCs w:val="26"/>
          <w:highlight w:val="none"/>
        </w:rPr>
      </w:pPr>
      <w:r>
        <w:rPr>
          <w:color w:val="auto"/>
          <w:kern w:val="0"/>
          <w:szCs w:val="26"/>
          <w:highlight w:val="none"/>
        </w:rPr>
        <w:t>涪江是四川东部区域与重庆西部地区通江达海的重要水上通道，沿江地区产业结构特点鲜明，资源性产品和特色产品适水运输特征明显，对水路运输需求较为旺盛。</w:t>
      </w:r>
      <w:r>
        <w:rPr>
          <w:rFonts w:hint="eastAsia"/>
          <w:color w:val="auto"/>
          <w:kern w:val="0"/>
          <w:szCs w:val="26"/>
          <w:highlight w:val="none"/>
        </w:rPr>
        <w:t>随着成渝地区双城经济圈建设再提速，涪江美丽航道水运需求将继续不断攀升。《涪江干流渭沱电厂船闸升级改造工程可行性研究报告</w:t>
      </w:r>
      <w:r>
        <w:rPr>
          <w:rFonts w:hint="eastAsia"/>
          <w:color w:val="auto"/>
          <w:kern w:val="0"/>
          <w:szCs w:val="26"/>
          <w:highlight w:val="none"/>
          <w:shd w:val="clear" w:fill="FFFFFF"/>
          <w:lang w:eastAsia="zh-CN"/>
        </w:rPr>
        <w:t>》《</w:t>
      </w:r>
      <w:r>
        <w:rPr>
          <w:rFonts w:hint="eastAsia"/>
          <w:color w:val="auto"/>
          <w:kern w:val="0"/>
          <w:szCs w:val="26"/>
          <w:highlight w:val="none"/>
        </w:rPr>
        <w:t>涪江干流渭沱电厂船闸升级改造工程初步设计》</w:t>
      </w:r>
      <w:r>
        <w:rPr>
          <w:color w:val="auto"/>
          <w:kern w:val="0"/>
          <w:szCs w:val="26"/>
          <w:highlight w:val="none"/>
        </w:rPr>
        <w:t>根据涪江流域主要货类发展趋势分析，充分考虑涪江复航航道通航条件日益改善的影响，分析现有客货运状况，对流域大宗物资进行调查研究，</w:t>
      </w:r>
      <w:r>
        <w:rPr>
          <w:rFonts w:hint="eastAsia"/>
          <w:color w:val="auto"/>
          <w:kern w:val="0"/>
          <w:szCs w:val="26"/>
          <w:highlight w:val="none"/>
        </w:rPr>
        <w:t>对渭沱船闸水运量进行了预测，详</w:t>
      </w:r>
      <w:r>
        <w:rPr>
          <w:color w:val="auto"/>
          <w:kern w:val="0"/>
          <w:szCs w:val="26"/>
          <w:highlight w:val="none"/>
        </w:rPr>
        <w:t>见下表</w:t>
      </w:r>
      <w:r>
        <w:rPr>
          <w:rFonts w:hint="eastAsia"/>
          <w:color w:val="auto"/>
          <w:kern w:val="0"/>
          <w:szCs w:val="26"/>
          <w:highlight w:val="none"/>
        </w:rPr>
        <w:t>：</w:t>
      </w:r>
    </w:p>
    <w:p>
      <w:pPr>
        <w:pStyle w:val="220"/>
        <w:snapToGrid w:val="0"/>
        <w:spacing w:after="0" w:line="240" w:lineRule="auto"/>
        <w:ind w:firstLine="0" w:firstLineChars="0"/>
        <w:rPr>
          <w:rFonts w:ascii="Times New Roman" w:hAnsi="Times New Roman" w:eastAsia="宋体" w:cs="Times New Roman"/>
          <w:color w:val="auto"/>
          <w:sz w:val="26"/>
          <w:szCs w:val="26"/>
          <w:highlight w:val="none"/>
        </w:rPr>
      </w:pPr>
    </w:p>
    <w:p>
      <w:pPr>
        <w:pStyle w:val="220"/>
        <w:snapToGrid w:val="0"/>
        <w:spacing w:after="0" w:line="240" w:lineRule="auto"/>
        <w:ind w:firstLine="0" w:firstLineChars="0"/>
        <w:rPr>
          <w:rFonts w:ascii="Times New Roman" w:hAnsi="Times New Roman" w:eastAsia="宋体" w:cs="Times New Roman"/>
          <w:color w:val="auto"/>
          <w:sz w:val="26"/>
          <w:szCs w:val="26"/>
          <w:highlight w:val="none"/>
        </w:rPr>
      </w:pPr>
      <w:r>
        <w:rPr>
          <w:rFonts w:ascii="Times New Roman" w:hAnsi="Times New Roman" w:eastAsia="宋体" w:cs="Times New Roman"/>
          <w:color w:val="auto"/>
          <w:sz w:val="26"/>
          <w:szCs w:val="26"/>
          <w:highlight w:val="none"/>
        </w:rPr>
        <w:t>表</w:t>
      </w:r>
      <w:r>
        <w:rPr>
          <w:rFonts w:hint="eastAsia" w:ascii="Times New Roman" w:hAnsi="Times New Roman" w:eastAsia="宋体" w:cs="Times New Roman"/>
          <w:color w:val="auto"/>
          <w:sz w:val="26"/>
          <w:szCs w:val="26"/>
          <w:highlight w:val="none"/>
          <w:lang w:val="en-US" w:eastAsia="zh-CN"/>
        </w:rPr>
        <w:t xml:space="preserve">2.4.2-2 </w:t>
      </w:r>
      <w:r>
        <w:rPr>
          <w:rFonts w:ascii="Times New Roman" w:hAnsi="Times New Roman" w:eastAsia="宋体" w:cs="Times New Roman"/>
          <w:color w:val="auto"/>
          <w:sz w:val="26"/>
          <w:szCs w:val="26"/>
          <w:highlight w:val="none"/>
        </w:rPr>
        <w:t xml:space="preserve"> </w:t>
      </w:r>
      <w:r>
        <w:rPr>
          <w:rFonts w:hint="eastAsia" w:ascii="Times New Roman" w:hAnsi="Times New Roman" w:eastAsia="宋体" w:cs="Times New Roman"/>
          <w:color w:val="auto"/>
          <w:sz w:val="26"/>
          <w:szCs w:val="26"/>
          <w:highlight w:val="none"/>
        </w:rPr>
        <w:t>渭沱船闸</w:t>
      </w:r>
      <w:r>
        <w:rPr>
          <w:rFonts w:ascii="Times New Roman" w:hAnsi="Times New Roman" w:eastAsia="宋体" w:cs="Times New Roman"/>
          <w:color w:val="auto"/>
          <w:sz w:val="26"/>
          <w:szCs w:val="26"/>
          <w:highlight w:val="none"/>
        </w:rPr>
        <w:t xml:space="preserve">分货类运量预测表 </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28"/>
        <w:gridCol w:w="969"/>
        <w:gridCol w:w="971"/>
        <w:gridCol w:w="984"/>
        <w:gridCol w:w="971"/>
        <w:gridCol w:w="971"/>
        <w:gridCol w:w="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9" w:type="pct"/>
            <w:vMerge w:val="restart"/>
            <w:vAlign w:val="center"/>
          </w:tcPr>
          <w:p>
            <w:pPr>
              <w:pStyle w:val="202"/>
              <w:adjustRightInd w:val="0"/>
              <w:snapToGrid w:val="0"/>
              <w:rPr>
                <w:color w:val="auto"/>
                <w:szCs w:val="22"/>
                <w:highlight w:val="none"/>
              </w:rPr>
            </w:pPr>
            <w:r>
              <w:rPr>
                <w:color w:val="auto"/>
                <w:szCs w:val="22"/>
                <w:highlight w:val="none"/>
                <w:lang w:bidi="ar"/>
              </w:rPr>
              <w:t>货  类</w:t>
            </w:r>
          </w:p>
        </w:tc>
        <w:tc>
          <w:tcPr>
            <w:tcW w:w="1684" w:type="pct"/>
            <w:gridSpan w:val="3"/>
            <w:vAlign w:val="center"/>
          </w:tcPr>
          <w:p>
            <w:pPr>
              <w:pStyle w:val="202"/>
              <w:adjustRightInd w:val="0"/>
              <w:snapToGrid w:val="0"/>
              <w:rPr>
                <w:color w:val="auto"/>
                <w:szCs w:val="22"/>
                <w:highlight w:val="none"/>
              </w:rPr>
            </w:pPr>
            <w:r>
              <w:rPr>
                <w:rFonts w:hint="eastAsia"/>
                <w:color w:val="auto"/>
                <w:szCs w:val="22"/>
                <w:highlight w:val="none"/>
                <w:lang w:bidi="ar"/>
              </w:rPr>
              <w:t>2035</w:t>
            </w:r>
            <w:r>
              <w:rPr>
                <w:color w:val="auto"/>
                <w:szCs w:val="22"/>
                <w:highlight w:val="none"/>
                <w:lang w:bidi="ar"/>
              </w:rPr>
              <w:t>年</w:t>
            </w:r>
          </w:p>
        </w:tc>
        <w:tc>
          <w:tcPr>
            <w:tcW w:w="1685" w:type="pct"/>
            <w:gridSpan w:val="3"/>
            <w:vAlign w:val="center"/>
          </w:tcPr>
          <w:p>
            <w:pPr>
              <w:pStyle w:val="202"/>
              <w:adjustRightInd w:val="0"/>
              <w:snapToGrid w:val="0"/>
              <w:rPr>
                <w:color w:val="auto"/>
                <w:szCs w:val="22"/>
                <w:highlight w:val="none"/>
              </w:rPr>
            </w:pPr>
            <w:r>
              <w:rPr>
                <w:rFonts w:hint="eastAsia"/>
                <w:color w:val="auto"/>
                <w:szCs w:val="22"/>
                <w:highlight w:val="none"/>
                <w:lang w:bidi="ar"/>
              </w:rPr>
              <w:t>2050年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9" w:type="pct"/>
            <w:vMerge w:val="continue"/>
            <w:vAlign w:val="center"/>
          </w:tcPr>
          <w:p>
            <w:pPr>
              <w:pStyle w:val="202"/>
              <w:adjustRightInd w:val="0"/>
              <w:snapToGrid w:val="0"/>
              <w:rPr>
                <w:color w:val="auto"/>
                <w:szCs w:val="22"/>
                <w:highlight w:val="none"/>
              </w:rPr>
            </w:pPr>
          </w:p>
        </w:tc>
        <w:tc>
          <w:tcPr>
            <w:tcW w:w="558" w:type="pct"/>
            <w:vAlign w:val="center"/>
          </w:tcPr>
          <w:p>
            <w:pPr>
              <w:pStyle w:val="202"/>
              <w:adjustRightInd w:val="0"/>
              <w:snapToGrid w:val="0"/>
              <w:rPr>
                <w:color w:val="auto"/>
                <w:szCs w:val="22"/>
                <w:highlight w:val="none"/>
              </w:rPr>
            </w:pPr>
            <w:r>
              <w:rPr>
                <w:color w:val="auto"/>
                <w:szCs w:val="22"/>
                <w:highlight w:val="none"/>
                <w:lang w:bidi="ar"/>
              </w:rPr>
              <w:t>合计</w:t>
            </w:r>
          </w:p>
        </w:tc>
        <w:tc>
          <w:tcPr>
            <w:tcW w:w="559" w:type="pct"/>
            <w:vAlign w:val="center"/>
          </w:tcPr>
          <w:p>
            <w:pPr>
              <w:pStyle w:val="202"/>
              <w:adjustRightInd w:val="0"/>
              <w:snapToGrid w:val="0"/>
              <w:rPr>
                <w:color w:val="auto"/>
                <w:szCs w:val="22"/>
                <w:highlight w:val="none"/>
              </w:rPr>
            </w:pPr>
            <w:r>
              <w:rPr>
                <w:color w:val="auto"/>
                <w:szCs w:val="22"/>
                <w:highlight w:val="none"/>
                <w:lang w:bidi="ar"/>
              </w:rPr>
              <w:t>上行</w:t>
            </w:r>
          </w:p>
        </w:tc>
        <w:tc>
          <w:tcPr>
            <w:tcW w:w="566" w:type="pct"/>
            <w:vAlign w:val="center"/>
          </w:tcPr>
          <w:p>
            <w:pPr>
              <w:pStyle w:val="202"/>
              <w:adjustRightInd w:val="0"/>
              <w:snapToGrid w:val="0"/>
              <w:rPr>
                <w:color w:val="auto"/>
                <w:szCs w:val="22"/>
                <w:highlight w:val="none"/>
              </w:rPr>
            </w:pPr>
            <w:r>
              <w:rPr>
                <w:color w:val="auto"/>
                <w:szCs w:val="22"/>
                <w:highlight w:val="none"/>
                <w:lang w:bidi="ar"/>
              </w:rPr>
              <w:t>下行</w:t>
            </w:r>
          </w:p>
        </w:tc>
        <w:tc>
          <w:tcPr>
            <w:tcW w:w="559" w:type="pct"/>
            <w:vAlign w:val="center"/>
          </w:tcPr>
          <w:p>
            <w:pPr>
              <w:pStyle w:val="202"/>
              <w:adjustRightInd w:val="0"/>
              <w:snapToGrid w:val="0"/>
              <w:rPr>
                <w:color w:val="auto"/>
                <w:szCs w:val="22"/>
                <w:highlight w:val="none"/>
              </w:rPr>
            </w:pPr>
            <w:r>
              <w:rPr>
                <w:color w:val="auto"/>
                <w:szCs w:val="22"/>
                <w:highlight w:val="none"/>
                <w:lang w:bidi="ar"/>
              </w:rPr>
              <w:t>合计</w:t>
            </w:r>
          </w:p>
        </w:tc>
        <w:tc>
          <w:tcPr>
            <w:tcW w:w="559" w:type="pct"/>
            <w:vAlign w:val="center"/>
          </w:tcPr>
          <w:p>
            <w:pPr>
              <w:pStyle w:val="202"/>
              <w:adjustRightInd w:val="0"/>
              <w:snapToGrid w:val="0"/>
              <w:rPr>
                <w:color w:val="auto"/>
                <w:szCs w:val="22"/>
                <w:highlight w:val="none"/>
              </w:rPr>
            </w:pPr>
            <w:r>
              <w:rPr>
                <w:color w:val="auto"/>
                <w:szCs w:val="22"/>
                <w:highlight w:val="none"/>
                <w:lang w:bidi="ar"/>
              </w:rPr>
              <w:t>上行</w:t>
            </w:r>
          </w:p>
        </w:tc>
        <w:tc>
          <w:tcPr>
            <w:tcW w:w="566" w:type="pct"/>
            <w:vAlign w:val="center"/>
          </w:tcPr>
          <w:p>
            <w:pPr>
              <w:pStyle w:val="202"/>
              <w:adjustRightInd w:val="0"/>
              <w:snapToGrid w:val="0"/>
              <w:rPr>
                <w:color w:val="auto"/>
                <w:szCs w:val="22"/>
                <w:highlight w:val="none"/>
              </w:rPr>
            </w:pPr>
            <w:r>
              <w:rPr>
                <w:color w:val="auto"/>
                <w:szCs w:val="22"/>
                <w:highlight w:val="none"/>
                <w:lang w:bidi="ar"/>
              </w:rPr>
              <w:t>下行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9" w:type="pct"/>
            <w:vAlign w:val="center"/>
          </w:tcPr>
          <w:p>
            <w:pPr>
              <w:pStyle w:val="202"/>
              <w:adjustRightInd w:val="0"/>
              <w:snapToGrid w:val="0"/>
              <w:rPr>
                <w:color w:val="auto"/>
                <w:szCs w:val="22"/>
                <w:highlight w:val="none"/>
              </w:rPr>
            </w:pPr>
            <w:r>
              <w:rPr>
                <w:rFonts w:hint="eastAsia"/>
                <w:color w:val="auto"/>
                <w:szCs w:val="22"/>
                <w:highlight w:val="none"/>
                <w:lang w:bidi="ar"/>
              </w:rPr>
              <w:t>合计</w:t>
            </w:r>
            <w:r>
              <w:rPr>
                <w:color w:val="auto"/>
                <w:szCs w:val="22"/>
                <w:highlight w:val="none"/>
                <w:lang w:bidi="ar"/>
              </w:rPr>
              <w:t>（万吨）</w:t>
            </w:r>
          </w:p>
        </w:tc>
        <w:tc>
          <w:tcPr>
            <w:tcW w:w="558" w:type="pct"/>
            <w:vAlign w:val="center"/>
          </w:tcPr>
          <w:p>
            <w:pPr>
              <w:pStyle w:val="202"/>
              <w:adjustRightInd w:val="0"/>
              <w:snapToGrid w:val="0"/>
              <w:rPr>
                <w:color w:val="auto"/>
                <w:szCs w:val="22"/>
                <w:highlight w:val="none"/>
                <w:lang w:bidi="ar"/>
              </w:rPr>
            </w:pPr>
            <w:r>
              <w:rPr>
                <w:rFonts w:hint="eastAsia"/>
                <w:color w:val="auto"/>
                <w:szCs w:val="22"/>
                <w:highlight w:val="none"/>
                <w:lang w:bidi="ar"/>
              </w:rPr>
              <w:t>1350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646</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704</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2070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970</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1100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9" w:type="pct"/>
            <w:vAlign w:val="center"/>
          </w:tcPr>
          <w:p>
            <w:pPr>
              <w:pStyle w:val="202"/>
              <w:adjustRightInd w:val="0"/>
              <w:snapToGrid w:val="0"/>
              <w:rPr>
                <w:color w:val="auto"/>
                <w:szCs w:val="22"/>
                <w:highlight w:val="none"/>
              </w:rPr>
            </w:pPr>
            <w:r>
              <w:rPr>
                <w:rFonts w:hint="eastAsia"/>
                <w:color w:val="auto"/>
                <w:szCs w:val="22"/>
                <w:highlight w:val="none"/>
                <w:lang w:bidi="ar"/>
              </w:rPr>
              <w:t>1</w:t>
            </w:r>
            <w:r>
              <w:rPr>
                <w:color w:val="auto"/>
                <w:szCs w:val="22"/>
                <w:highlight w:val="none"/>
                <w:lang w:bidi="ar"/>
              </w:rPr>
              <w:t>.金属矿石</w:t>
            </w:r>
          </w:p>
        </w:tc>
        <w:tc>
          <w:tcPr>
            <w:tcW w:w="558" w:type="pct"/>
            <w:vAlign w:val="center"/>
          </w:tcPr>
          <w:p>
            <w:pPr>
              <w:pStyle w:val="202"/>
              <w:adjustRightInd w:val="0"/>
              <w:snapToGrid w:val="0"/>
              <w:rPr>
                <w:color w:val="auto"/>
                <w:szCs w:val="22"/>
                <w:highlight w:val="none"/>
                <w:lang w:bidi="ar"/>
              </w:rPr>
            </w:pPr>
            <w:r>
              <w:rPr>
                <w:rFonts w:hint="eastAsia"/>
                <w:color w:val="auto"/>
                <w:szCs w:val="22"/>
                <w:highlight w:val="none"/>
                <w:lang w:bidi="ar"/>
              </w:rPr>
              <w:t>235</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225</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10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365</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350</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9" w:type="pct"/>
            <w:vAlign w:val="center"/>
          </w:tcPr>
          <w:p>
            <w:pPr>
              <w:pStyle w:val="202"/>
              <w:adjustRightInd w:val="0"/>
              <w:snapToGrid w:val="0"/>
              <w:rPr>
                <w:color w:val="auto"/>
                <w:szCs w:val="22"/>
                <w:highlight w:val="none"/>
                <w:lang w:bidi="ar"/>
              </w:rPr>
            </w:pPr>
            <w:r>
              <w:rPr>
                <w:rFonts w:hint="eastAsia"/>
                <w:color w:val="auto"/>
                <w:szCs w:val="22"/>
                <w:highlight w:val="none"/>
                <w:lang w:bidi="ar"/>
              </w:rPr>
              <w:t>2</w:t>
            </w:r>
            <w:r>
              <w:rPr>
                <w:color w:val="auto"/>
                <w:szCs w:val="22"/>
                <w:highlight w:val="none"/>
                <w:lang w:bidi="ar"/>
              </w:rPr>
              <w:t>.钢铁</w:t>
            </w:r>
          </w:p>
        </w:tc>
        <w:tc>
          <w:tcPr>
            <w:tcW w:w="558" w:type="pct"/>
            <w:vAlign w:val="center"/>
          </w:tcPr>
          <w:p>
            <w:pPr>
              <w:pStyle w:val="202"/>
              <w:adjustRightInd w:val="0"/>
              <w:snapToGrid w:val="0"/>
              <w:rPr>
                <w:color w:val="auto"/>
                <w:szCs w:val="22"/>
                <w:highlight w:val="none"/>
                <w:lang w:bidi="ar"/>
              </w:rPr>
            </w:pPr>
            <w:r>
              <w:rPr>
                <w:rFonts w:hint="eastAsia"/>
                <w:color w:val="auto"/>
                <w:szCs w:val="22"/>
                <w:highlight w:val="none"/>
                <w:lang w:bidi="ar"/>
              </w:rPr>
              <w:t>50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40</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10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80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60</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9" w:type="pct"/>
            <w:vAlign w:val="center"/>
          </w:tcPr>
          <w:p>
            <w:pPr>
              <w:pStyle w:val="202"/>
              <w:adjustRightInd w:val="0"/>
              <w:snapToGrid w:val="0"/>
              <w:rPr>
                <w:color w:val="auto"/>
                <w:szCs w:val="22"/>
                <w:highlight w:val="none"/>
                <w:lang w:bidi="ar"/>
              </w:rPr>
            </w:pPr>
            <w:r>
              <w:rPr>
                <w:rFonts w:hint="eastAsia"/>
                <w:color w:val="auto"/>
                <w:szCs w:val="22"/>
                <w:highlight w:val="none"/>
                <w:lang w:bidi="ar"/>
              </w:rPr>
              <w:t>3</w:t>
            </w:r>
            <w:r>
              <w:rPr>
                <w:color w:val="auto"/>
                <w:szCs w:val="22"/>
                <w:highlight w:val="none"/>
                <w:lang w:bidi="ar"/>
              </w:rPr>
              <w:t>.矿建材料</w:t>
            </w:r>
          </w:p>
        </w:tc>
        <w:tc>
          <w:tcPr>
            <w:tcW w:w="558" w:type="pct"/>
            <w:vAlign w:val="center"/>
          </w:tcPr>
          <w:p>
            <w:pPr>
              <w:pStyle w:val="202"/>
              <w:adjustRightInd w:val="0"/>
              <w:snapToGrid w:val="0"/>
              <w:rPr>
                <w:color w:val="auto"/>
                <w:szCs w:val="22"/>
                <w:highlight w:val="none"/>
                <w:lang w:bidi="ar"/>
              </w:rPr>
            </w:pPr>
            <w:r>
              <w:rPr>
                <w:rFonts w:hint="eastAsia"/>
                <w:color w:val="auto"/>
                <w:szCs w:val="22"/>
                <w:highlight w:val="none"/>
                <w:lang w:bidi="ar"/>
              </w:rPr>
              <w:t>340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80</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260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520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100</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9" w:type="pct"/>
            <w:vAlign w:val="center"/>
          </w:tcPr>
          <w:p>
            <w:pPr>
              <w:pStyle w:val="202"/>
              <w:adjustRightInd w:val="0"/>
              <w:snapToGrid w:val="0"/>
              <w:rPr>
                <w:color w:val="auto"/>
                <w:szCs w:val="22"/>
                <w:highlight w:val="none"/>
                <w:lang w:bidi="ar"/>
              </w:rPr>
            </w:pPr>
            <w:r>
              <w:rPr>
                <w:rFonts w:hint="eastAsia"/>
                <w:color w:val="auto"/>
                <w:szCs w:val="22"/>
                <w:highlight w:val="none"/>
                <w:lang w:bidi="ar"/>
              </w:rPr>
              <w:t>4</w:t>
            </w:r>
            <w:r>
              <w:rPr>
                <w:color w:val="auto"/>
                <w:szCs w:val="22"/>
                <w:highlight w:val="none"/>
                <w:lang w:bidi="ar"/>
              </w:rPr>
              <w:t>.煤炭</w:t>
            </w:r>
          </w:p>
        </w:tc>
        <w:tc>
          <w:tcPr>
            <w:tcW w:w="558" w:type="pct"/>
            <w:vAlign w:val="center"/>
          </w:tcPr>
          <w:p>
            <w:pPr>
              <w:pStyle w:val="202"/>
              <w:adjustRightInd w:val="0"/>
              <w:snapToGrid w:val="0"/>
              <w:rPr>
                <w:color w:val="auto"/>
                <w:szCs w:val="22"/>
                <w:highlight w:val="none"/>
                <w:lang w:bidi="ar"/>
              </w:rPr>
            </w:pPr>
            <w:r>
              <w:rPr>
                <w:rFonts w:hint="eastAsia"/>
                <w:color w:val="auto"/>
                <w:szCs w:val="22"/>
                <w:highlight w:val="none"/>
                <w:lang w:bidi="ar"/>
              </w:rPr>
              <w:t>30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30</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40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40</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9" w:type="pct"/>
            <w:vAlign w:val="center"/>
          </w:tcPr>
          <w:p>
            <w:pPr>
              <w:pStyle w:val="202"/>
              <w:adjustRightInd w:val="0"/>
              <w:snapToGrid w:val="0"/>
              <w:rPr>
                <w:color w:val="auto"/>
                <w:szCs w:val="22"/>
                <w:highlight w:val="none"/>
                <w:lang w:bidi="ar"/>
              </w:rPr>
            </w:pPr>
            <w:r>
              <w:rPr>
                <w:rFonts w:hint="eastAsia"/>
                <w:color w:val="auto"/>
                <w:szCs w:val="22"/>
                <w:highlight w:val="none"/>
                <w:lang w:bidi="ar"/>
              </w:rPr>
              <w:t>5</w:t>
            </w:r>
            <w:r>
              <w:rPr>
                <w:color w:val="auto"/>
                <w:szCs w:val="22"/>
                <w:highlight w:val="none"/>
                <w:lang w:bidi="ar"/>
              </w:rPr>
              <w:t>.水泥</w:t>
            </w:r>
          </w:p>
        </w:tc>
        <w:tc>
          <w:tcPr>
            <w:tcW w:w="558" w:type="pct"/>
            <w:vAlign w:val="center"/>
          </w:tcPr>
          <w:p>
            <w:pPr>
              <w:pStyle w:val="202"/>
              <w:adjustRightInd w:val="0"/>
              <w:snapToGrid w:val="0"/>
              <w:rPr>
                <w:color w:val="auto"/>
                <w:szCs w:val="22"/>
                <w:highlight w:val="none"/>
                <w:lang w:bidi="ar"/>
              </w:rPr>
            </w:pPr>
            <w:r>
              <w:rPr>
                <w:rFonts w:hint="eastAsia"/>
                <w:color w:val="auto"/>
                <w:szCs w:val="22"/>
                <w:highlight w:val="none"/>
                <w:lang w:bidi="ar"/>
              </w:rPr>
              <w:t>55</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55</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70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70</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9" w:type="pct"/>
            <w:vAlign w:val="center"/>
          </w:tcPr>
          <w:p>
            <w:pPr>
              <w:pStyle w:val="202"/>
              <w:adjustRightInd w:val="0"/>
              <w:snapToGrid w:val="0"/>
              <w:rPr>
                <w:color w:val="auto"/>
                <w:szCs w:val="22"/>
                <w:highlight w:val="none"/>
                <w:lang w:bidi="ar"/>
              </w:rPr>
            </w:pPr>
            <w:r>
              <w:rPr>
                <w:rFonts w:hint="eastAsia"/>
                <w:color w:val="auto"/>
                <w:szCs w:val="22"/>
                <w:highlight w:val="none"/>
                <w:lang w:bidi="ar"/>
              </w:rPr>
              <w:t>6</w:t>
            </w:r>
            <w:r>
              <w:rPr>
                <w:color w:val="auto"/>
                <w:szCs w:val="22"/>
                <w:highlight w:val="none"/>
                <w:lang w:bidi="ar"/>
              </w:rPr>
              <w:t>.建材制品</w:t>
            </w:r>
          </w:p>
        </w:tc>
        <w:tc>
          <w:tcPr>
            <w:tcW w:w="558" w:type="pct"/>
            <w:vAlign w:val="center"/>
          </w:tcPr>
          <w:p>
            <w:pPr>
              <w:pStyle w:val="202"/>
              <w:adjustRightInd w:val="0"/>
              <w:snapToGrid w:val="0"/>
              <w:rPr>
                <w:color w:val="auto"/>
                <w:szCs w:val="22"/>
                <w:highlight w:val="none"/>
                <w:lang w:bidi="ar"/>
              </w:rPr>
            </w:pPr>
            <w:r>
              <w:rPr>
                <w:rFonts w:hint="eastAsia"/>
                <w:color w:val="auto"/>
                <w:szCs w:val="22"/>
                <w:highlight w:val="none"/>
                <w:lang w:bidi="ar"/>
              </w:rPr>
              <w:t>10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0</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10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15</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0</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9" w:type="pct"/>
            <w:vAlign w:val="center"/>
          </w:tcPr>
          <w:p>
            <w:pPr>
              <w:pStyle w:val="202"/>
              <w:adjustRightInd w:val="0"/>
              <w:snapToGrid w:val="0"/>
              <w:rPr>
                <w:color w:val="auto"/>
                <w:szCs w:val="22"/>
                <w:highlight w:val="none"/>
                <w:lang w:bidi="ar"/>
              </w:rPr>
            </w:pPr>
            <w:r>
              <w:rPr>
                <w:rFonts w:hint="eastAsia"/>
                <w:color w:val="auto"/>
                <w:szCs w:val="22"/>
                <w:highlight w:val="none"/>
                <w:lang w:bidi="ar"/>
              </w:rPr>
              <w:t>7</w:t>
            </w:r>
            <w:r>
              <w:rPr>
                <w:color w:val="auto"/>
                <w:szCs w:val="22"/>
                <w:highlight w:val="none"/>
                <w:lang w:bidi="ar"/>
              </w:rPr>
              <w:t>.非金属矿石</w:t>
            </w:r>
          </w:p>
        </w:tc>
        <w:tc>
          <w:tcPr>
            <w:tcW w:w="558" w:type="pct"/>
            <w:vAlign w:val="center"/>
          </w:tcPr>
          <w:p>
            <w:pPr>
              <w:pStyle w:val="202"/>
              <w:adjustRightInd w:val="0"/>
              <w:snapToGrid w:val="0"/>
              <w:rPr>
                <w:color w:val="auto"/>
                <w:szCs w:val="22"/>
                <w:highlight w:val="none"/>
                <w:lang w:bidi="ar"/>
              </w:rPr>
            </w:pPr>
            <w:r>
              <w:rPr>
                <w:rFonts w:hint="eastAsia"/>
                <w:color w:val="auto"/>
                <w:szCs w:val="22"/>
                <w:highlight w:val="none"/>
                <w:lang w:bidi="ar"/>
              </w:rPr>
              <w:t>45</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5</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40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75</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10</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9" w:type="pct"/>
            <w:vAlign w:val="center"/>
          </w:tcPr>
          <w:p>
            <w:pPr>
              <w:pStyle w:val="202"/>
              <w:adjustRightInd w:val="0"/>
              <w:snapToGrid w:val="0"/>
              <w:rPr>
                <w:color w:val="auto"/>
                <w:szCs w:val="22"/>
                <w:highlight w:val="none"/>
              </w:rPr>
            </w:pPr>
            <w:r>
              <w:rPr>
                <w:rFonts w:hint="eastAsia"/>
                <w:color w:val="auto"/>
                <w:szCs w:val="22"/>
                <w:highlight w:val="none"/>
                <w:lang w:bidi="ar"/>
              </w:rPr>
              <w:t>8</w:t>
            </w:r>
            <w:r>
              <w:rPr>
                <w:color w:val="auto"/>
                <w:szCs w:val="22"/>
                <w:highlight w:val="none"/>
                <w:lang w:bidi="ar"/>
              </w:rPr>
              <w:t>.粮食</w:t>
            </w:r>
          </w:p>
        </w:tc>
        <w:tc>
          <w:tcPr>
            <w:tcW w:w="558" w:type="pct"/>
            <w:vAlign w:val="center"/>
          </w:tcPr>
          <w:p>
            <w:pPr>
              <w:pStyle w:val="202"/>
              <w:adjustRightInd w:val="0"/>
              <w:snapToGrid w:val="0"/>
              <w:rPr>
                <w:color w:val="auto"/>
                <w:szCs w:val="22"/>
                <w:highlight w:val="none"/>
                <w:lang w:bidi="ar"/>
              </w:rPr>
            </w:pPr>
            <w:r>
              <w:rPr>
                <w:rFonts w:hint="eastAsia"/>
                <w:color w:val="auto"/>
                <w:szCs w:val="22"/>
                <w:highlight w:val="none"/>
                <w:lang w:bidi="ar"/>
              </w:rPr>
              <w:t>135</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125</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10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195</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190</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9" w:type="pct"/>
            <w:vAlign w:val="center"/>
          </w:tcPr>
          <w:p>
            <w:pPr>
              <w:pStyle w:val="202"/>
              <w:adjustRightInd w:val="0"/>
              <w:snapToGrid w:val="0"/>
              <w:rPr>
                <w:color w:val="auto"/>
                <w:szCs w:val="22"/>
                <w:highlight w:val="none"/>
              </w:rPr>
            </w:pPr>
            <w:r>
              <w:rPr>
                <w:rFonts w:hint="eastAsia"/>
                <w:color w:val="auto"/>
                <w:szCs w:val="22"/>
                <w:highlight w:val="none"/>
                <w:lang w:bidi="ar"/>
              </w:rPr>
              <w:t>9</w:t>
            </w:r>
            <w:r>
              <w:rPr>
                <w:color w:val="auto"/>
                <w:szCs w:val="22"/>
                <w:highlight w:val="none"/>
                <w:lang w:bidi="ar"/>
              </w:rPr>
              <w:t>.机械设备</w:t>
            </w:r>
          </w:p>
        </w:tc>
        <w:tc>
          <w:tcPr>
            <w:tcW w:w="558" w:type="pct"/>
            <w:vAlign w:val="center"/>
          </w:tcPr>
          <w:p>
            <w:pPr>
              <w:pStyle w:val="202"/>
              <w:adjustRightInd w:val="0"/>
              <w:snapToGrid w:val="0"/>
              <w:rPr>
                <w:color w:val="auto"/>
                <w:szCs w:val="22"/>
                <w:highlight w:val="none"/>
                <w:lang w:bidi="ar"/>
              </w:rPr>
            </w:pPr>
            <w:r>
              <w:rPr>
                <w:rFonts w:hint="eastAsia"/>
                <w:color w:val="auto"/>
                <w:szCs w:val="22"/>
                <w:highlight w:val="none"/>
                <w:lang w:bidi="ar"/>
              </w:rPr>
              <w:t>155</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25</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130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235</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35</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9" w:type="pct"/>
            <w:vAlign w:val="center"/>
          </w:tcPr>
          <w:p>
            <w:pPr>
              <w:pStyle w:val="202"/>
              <w:adjustRightInd w:val="0"/>
              <w:snapToGrid w:val="0"/>
              <w:rPr>
                <w:color w:val="auto"/>
                <w:szCs w:val="22"/>
                <w:highlight w:val="none"/>
              </w:rPr>
            </w:pPr>
            <w:r>
              <w:rPr>
                <w:rFonts w:hint="eastAsia"/>
                <w:color w:val="auto"/>
                <w:szCs w:val="22"/>
                <w:highlight w:val="none"/>
                <w:lang w:bidi="ar"/>
              </w:rPr>
              <w:t>10</w:t>
            </w:r>
            <w:r>
              <w:rPr>
                <w:color w:val="auto"/>
                <w:szCs w:val="22"/>
                <w:highlight w:val="none"/>
                <w:lang w:bidi="ar"/>
              </w:rPr>
              <w:t>.化工原料及制品</w:t>
            </w:r>
          </w:p>
        </w:tc>
        <w:tc>
          <w:tcPr>
            <w:tcW w:w="558" w:type="pct"/>
            <w:vAlign w:val="center"/>
          </w:tcPr>
          <w:p>
            <w:pPr>
              <w:pStyle w:val="202"/>
              <w:adjustRightInd w:val="0"/>
              <w:snapToGrid w:val="0"/>
              <w:rPr>
                <w:color w:val="auto"/>
                <w:szCs w:val="22"/>
                <w:highlight w:val="none"/>
                <w:lang w:bidi="ar"/>
              </w:rPr>
            </w:pPr>
            <w:r>
              <w:rPr>
                <w:rFonts w:hint="eastAsia"/>
                <w:color w:val="auto"/>
                <w:szCs w:val="22"/>
                <w:highlight w:val="none"/>
                <w:lang w:bidi="ar"/>
              </w:rPr>
              <w:t>105</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0</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105</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160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0</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9" w:type="pct"/>
            <w:vAlign w:val="center"/>
          </w:tcPr>
          <w:p>
            <w:pPr>
              <w:pStyle w:val="202"/>
              <w:adjustRightInd w:val="0"/>
              <w:snapToGrid w:val="0"/>
              <w:rPr>
                <w:color w:val="auto"/>
                <w:szCs w:val="22"/>
                <w:highlight w:val="none"/>
              </w:rPr>
            </w:pPr>
            <w:r>
              <w:rPr>
                <w:color w:val="auto"/>
                <w:szCs w:val="22"/>
                <w:highlight w:val="none"/>
                <w:lang w:bidi="ar"/>
              </w:rPr>
              <w:t>1</w:t>
            </w:r>
            <w:r>
              <w:rPr>
                <w:rFonts w:hint="eastAsia"/>
                <w:color w:val="auto"/>
                <w:szCs w:val="22"/>
                <w:highlight w:val="none"/>
                <w:lang w:bidi="ar"/>
              </w:rPr>
              <w:t>1</w:t>
            </w:r>
            <w:r>
              <w:rPr>
                <w:color w:val="auto"/>
                <w:szCs w:val="22"/>
                <w:highlight w:val="none"/>
                <w:lang w:bidi="ar"/>
              </w:rPr>
              <w:t>.其他</w:t>
            </w:r>
          </w:p>
        </w:tc>
        <w:tc>
          <w:tcPr>
            <w:tcW w:w="558" w:type="pct"/>
            <w:vAlign w:val="center"/>
          </w:tcPr>
          <w:p>
            <w:pPr>
              <w:pStyle w:val="202"/>
              <w:adjustRightInd w:val="0"/>
              <w:snapToGrid w:val="0"/>
              <w:rPr>
                <w:color w:val="auto"/>
                <w:szCs w:val="22"/>
                <w:highlight w:val="none"/>
                <w:lang w:bidi="ar"/>
              </w:rPr>
            </w:pPr>
            <w:r>
              <w:rPr>
                <w:rFonts w:hint="eastAsia"/>
                <w:color w:val="auto"/>
                <w:szCs w:val="22"/>
                <w:highlight w:val="none"/>
                <w:lang w:bidi="ar"/>
              </w:rPr>
              <w:t>182</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57</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125</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235</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75</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9" w:type="pct"/>
            <w:vAlign w:val="center"/>
          </w:tcPr>
          <w:p>
            <w:pPr>
              <w:pStyle w:val="202"/>
              <w:adjustRightInd w:val="0"/>
              <w:snapToGrid w:val="0"/>
              <w:rPr>
                <w:color w:val="auto"/>
                <w:szCs w:val="22"/>
                <w:highlight w:val="none"/>
              </w:rPr>
            </w:pPr>
            <w:r>
              <w:rPr>
                <w:rFonts w:hint="eastAsia"/>
                <w:color w:val="auto"/>
                <w:szCs w:val="22"/>
                <w:highlight w:val="none"/>
              </w:rPr>
              <w:t>12.集装箱</w:t>
            </w:r>
          </w:p>
        </w:tc>
        <w:tc>
          <w:tcPr>
            <w:tcW w:w="558" w:type="pct"/>
            <w:vAlign w:val="center"/>
          </w:tcPr>
          <w:p>
            <w:pPr>
              <w:pStyle w:val="202"/>
              <w:adjustRightInd w:val="0"/>
              <w:snapToGrid w:val="0"/>
              <w:rPr>
                <w:color w:val="auto"/>
                <w:szCs w:val="22"/>
                <w:highlight w:val="none"/>
                <w:lang w:bidi="ar"/>
              </w:rPr>
            </w:pPr>
            <w:r>
              <w:rPr>
                <w:rFonts w:hint="eastAsia"/>
                <w:color w:val="auto"/>
                <w:szCs w:val="22"/>
                <w:highlight w:val="none"/>
                <w:lang w:bidi="ar"/>
              </w:rPr>
              <w:t>8</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4</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4</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80</w:t>
            </w:r>
          </w:p>
        </w:tc>
        <w:tc>
          <w:tcPr>
            <w:tcW w:w="559" w:type="pct"/>
            <w:vAlign w:val="center"/>
          </w:tcPr>
          <w:p>
            <w:pPr>
              <w:pStyle w:val="202"/>
              <w:adjustRightInd w:val="0"/>
              <w:snapToGrid w:val="0"/>
              <w:rPr>
                <w:color w:val="auto"/>
                <w:szCs w:val="22"/>
                <w:highlight w:val="none"/>
                <w:lang w:bidi="ar"/>
              </w:rPr>
            </w:pPr>
            <w:r>
              <w:rPr>
                <w:rFonts w:hint="eastAsia"/>
                <w:color w:val="auto"/>
                <w:szCs w:val="22"/>
                <w:highlight w:val="none"/>
                <w:lang w:bidi="ar"/>
              </w:rPr>
              <w:t>40</w:t>
            </w:r>
          </w:p>
        </w:tc>
        <w:tc>
          <w:tcPr>
            <w:tcW w:w="566" w:type="pct"/>
            <w:vAlign w:val="center"/>
          </w:tcPr>
          <w:p>
            <w:pPr>
              <w:pStyle w:val="202"/>
              <w:adjustRightInd w:val="0"/>
              <w:snapToGrid w:val="0"/>
              <w:rPr>
                <w:color w:val="auto"/>
                <w:szCs w:val="22"/>
                <w:highlight w:val="none"/>
                <w:lang w:bidi="ar"/>
              </w:rPr>
            </w:pPr>
            <w:r>
              <w:rPr>
                <w:rFonts w:hint="eastAsia"/>
                <w:color w:val="auto"/>
                <w:szCs w:val="22"/>
                <w:highlight w:val="none"/>
                <w:lang w:bidi="ar"/>
              </w:rPr>
              <w:t>40</w:t>
            </w:r>
          </w:p>
        </w:tc>
      </w:tr>
    </w:tbl>
    <w:p>
      <w:pPr>
        <w:pStyle w:val="220"/>
        <w:snapToGrid w:val="0"/>
        <w:spacing w:after="0" w:line="240" w:lineRule="auto"/>
        <w:ind w:firstLine="0" w:firstLineChars="0"/>
        <w:rPr>
          <w:rFonts w:ascii="Times New Roman" w:hAnsi="Times New Roman" w:eastAsia="宋体" w:cs="Times New Roman"/>
          <w:color w:val="auto"/>
          <w:sz w:val="26"/>
          <w:szCs w:val="26"/>
          <w:highlight w:val="none"/>
        </w:rPr>
      </w:pPr>
    </w:p>
    <w:p>
      <w:pPr>
        <w:ind w:firstLine="520"/>
        <w:rPr>
          <w:color w:val="auto"/>
          <w:highlight w:val="none"/>
        </w:rPr>
      </w:pPr>
      <w:r>
        <w:rPr>
          <w:rFonts w:hint="eastAsia"/>
          <w:color w:val="auto"/>
          <w:szCs w:val="26"/>
          <w:highlight w:val="none"/>
          <w:shd w:val="clear" w:color="auto" w:fill="FFFFFF"/>
        </w:rPr>
        <w:t>根据</w:t>
      </w:r>
      <w:r>
        <w:rPr>
          <w:rFonts w:hint="eastAsia"/>
          <w:color w:val="auto"/>
          <w:szCs w:val="26"/>
          <w:highlight w:val="none"/>
          <w:shd w:val="clear" w:color="auto" w:fill="FFFFFF"/>
          <w:lang w:eastAsia="zh-CN"/>
        </w:rPr>
        <w:t>渭沱枢纽</w:t>
      </w:r>
      <w:r>
        <w:rPr>
          <w:rFonts w:hint="eastAsia"/>
          <w:color w:val="auto"/>
          <w:szCs w:val="26"/>
          <w:highlight w:val="none"/>
          <w:shd w:val="clear" w:color="auto" w:fill="FFFFFF"/>
        </w:rPr>
        <w:t>已建船闸为Ⅵ级船闸标准，为闸首口门宽10m、闸室宽12m的广式船闸，船闸净空高度达不到Ⅲ级船闸标准，</w:t>
      </w:r>
      <w:r>
        <w:rPr>
          <w:rFonts w:hint="eastAsia"/>
          <w:color w:val="auto"/>
          <w:highlight w:val="none"/>
        </w:rPr>
        <w:t>设计年通过能力80万吨，</w:t>
      </w:r>
      <w:r>
        <w:rPr>
          <w:rFonts w:hint="eastAsia"/>
          <w:color w:val="auto"/>
          <w:szCs w:val="26"/>
          <w:highlight w:val="none"/>
          <w:shd w:val="clear" w:color="auto" w:fill="FFFFFF"/>
        </w:rPr>
        <w:t>通过能力远小于近、远期货运量需求。鉴于上述原因，渭沱枢纽原船闸无法满足航运发展的需求，需进行扩能升级改建工作。</w:t>
      </w:r>
    </w:p>
    <w:p>
      <w:pPr>
        <w:pStyle w:val="5"/>
        <w:ind w:firstLine="522"/>
        <w:rPr>
          <w:color w:val="auto"/>
          <w:highlight w:val="none"/>
        </w:rPr>
      </w:pPr>
      <w:r>
        <w:rPr>
          <w:rFonts w:hint="eastAsia"/>
          <w:color w:val="auto"/>
          <w:highlight w:val="none"/>
        </w:rPr>
        <w:t>环保手续执行情况</w:t>
      </w:r>
    </w:p>
    <w:p>
      <w:pPr>
        <w:ind w:firstLine="520"/>
        <w:rPr>
          <w:rFonts w:hint="default" w:eastAsia="宋体"/>
          <w:color w:val="auto"/>
          <w:highlight w:val="none"/>
          <w:lang w:val="en-US" w:eastAsia="zh-CN"/>
        </w:rPr>
      </w:pPr>
      <w:r>
        <w:rPr>
          <w:rFonts w:hint="eastAsia"/>
          <w:color w:val="auto"/>
          <w:highlight w:val="none"/>
        </w:rPr>
        <w:t>由于渭沱电站建成投产时间（1993年）较早，未开展环境影响评价工作</w:t>
      </w:r>
      <w:r>
        <w:rPr>
          <w:rFonts w:hint="eastAsia"/>
          <w:color w:val="auto"/>
          <w:highlight w:val="none"/>
          <w:lang w:eastAsia="zh-CN"/>
        </w:rPr>
        <w:t>，</w:t>
      </w:r>
      <w:r>
        <w:rPr>
          <w:rFonts w:hint="eastAsia"/>
          <w:color w:val="auto"/>
          <w:highlight w:val="none"/>
          <w:lang w:val="en-US" w:eastAsia="zh-CN"/>
        </w:rPr>
        <w:t>2012年技改主要是对发电机组进行更换，降低</w:t>
      </w:r>
      <w:r>
        <w:rPr>
          <w:rFonts w:hint="eastAsia"/>
          <w:color w:val="auto"/>
          <w:highlight w:val="none"/>
          <w:lang w:eastAsia="zh-CN"/>
        </w:rPr>
        <w:t>装机规模，也无需开展环境影响评价</w:t>
      </w:r>
      <w:r>
        <w:rPr>
          <w:rFonts w:hint="eastAsia"/>
          <w:color w:val="auto"/>
          <w:highlight w:val="none"/>
        </w:rPr>
        <w:t>。</w:t>
      </w:r>
      <w:r>
        <w:rPr>
          <w:rFonts w:hint="eastAsia"/>
          <w:color w:val="auto"/>
          <w:highlight w:val="none"/>
          <w:lang w:val="en-US" w:eastAsia="zh-CN"/>
        </w:rPr>
        <w:t>2020年长江经济带小水电清理整改期间，渭沱枢纽无环境影响评价行政审批手续被确认为符合“合理缺项”条件。根据《固定污染源排污许可分类管理名录（2019年版）》，项目未纳入排污许可管理。</w:t>
      </w:r>
    </w:p>
    <w:p>
      <w:pPr>
        <w:pStyle w:val="5"/>
        <w:ind w:firstLine="522"/>
        <w:rPr>
          <w:color w:val="auto"/>
          <w:highlight w:val="none"/>
        </w:rPr>
      </w:pPr>
      <w:r>
        <w:rPr>
          <w:rFonts w:hint="eastAsia"/>
          <w:color w:val="auto"/>
          <w:highlight w:val="none"/>
          <w:lang w:eastAsia="zh-CN"/>
        </w:rPr>
        <w:t>现状污染物及</w:t>
      </w:r>
      <w:r>
        <w:rPr>
          <w:rFonts w:hint="eastAsia"/>
          <w:color w:val="auto"/>
          <w:highlight w:val="none"/>
        </w:rPr>
        <w:t>环保措施落实情况</w:t>
      </w:r>
    </w:p>
    <w:p>
      <w:pPr>
        <w:ind w:firstLine="520"/>
        <w:rPr>
          <w:color w:val="auto"/>
          <w:highlight w:val="none"/>
        </w:rPr>
      </w:pPr>
      <w:r>
        <w:rPr>
          <w:rFonts w:hint="eastAsia"/>
          <w:color w:val="auto"/>
          <w:highlight w:val="none"/>
        </w:rPr>
        <w:t>（1）地表水污染防治措施</w:t>
      </w:r>
    </w:p>
    <w:p>
      <w:pPr>
        <w:ind w:firstLine="520"/>
        <w:rPr>
          <w:rFonts w:hint="eastAsia" w:eastAsia="宋体"/>
          <w:color w:val="auto"/>
          <w:highlight w:val="none"/>
          <w:lang w:eastAsia="zh-CN"/>
        </w:rPr>
      </w:pPr>
      <w:r>
        <w:rPr>
          <w:rFonts w:hint="eastAsia"/>
          <w:color w:val="auto"/>
          <w:highlight w:val="none"/>
          <w:lang w:eastAsia="zh-CN"/>
        </w:rPr>
        <w:t>渭沱枢纽现状产生的污水主要为生活污水，现有员工数量59人，废水量约</w:t>
      </w:r>
      <w:r>
        <w:rPr>
          <w:rFonts w:hint="eastAsia"/>
          <w:color w:val="auto"/>
          <w:highlight w:val="none"/>
          <w:lang w:val="en-US" w:eastAsia="zh-CN"/>
        </w:rPr>
        <w:t>6m³/d（2190m³/a），主要污染因子为COD、BOD</w:t>
      </w:r>
      <w:r>
        <w:rPr>
          <w:rFonts w:hint="eastAsia"/>
          <w:color w:val="auto"/>
          <w:highlight w:val="none"/>
          <w:vertAlign w:val="subscript"/>
          <w:lang w:val="en-US" w:eastAsia="zh-CN"/>
        </w:rPr>
        <w:t>5</w:t>
      </w:r>
      <w:r>
        <w:rPr>
          <w:rFonts w:hint="eastAsia"/>
          <w:color w:val="auto"/>
          <w:highlight w:val="none"/>
          <w:lang w:val="en-US" w:eastAsia="zh-CN"/>
        </w:rPr>
        <w:t>、SS、NH</w:t>
      </w:r>
      <w:r>
        <w:rPr>
          <w:rFonts w:hint="eastAsia"/>
          <w:color w:val="auto"/>
          <w:highlight w:val="none"/>
          <w:vertAlign w:val="subscript"/>
          <w:lang w:val="en-US" w:eastAsia="zh-CN"/>
        </w:rPr>
        <w:t>3</w:t>
      </w:r>
      <w:r>
        <w:rPr>
          <w:rFonts w:hint="eastAsia"/>
          <w:color w:val="auto"/>
          <w:highlight w:val="none"/>
          <w:lang w:val="en-US" w:eastAsia="zh-CN"/>
        </w:rPr>
        <w:t>-N等，</w:t>
      </w:r>
      <w:r>
        <w:rPr>
          <w:rFonts w:hint="eastAsia"/>
          <w:color w:val="auto"/>
          <w:highlight w:val="none"/>
          <w:lang w:eastAsia="zh-CN"/>
        </w:rPr>
        <w:t>在管理区设置有</w:t>
      </w:r>
      <w:r>
        <w:rPr>
          <w:rFonts w:hint="eastAsia"/>
          <w:color w:val="auto"/>
          <w:highlight w:val="none"/>
          <w:lang w:val="en-US" w:eastAsia="zh-CN"/>
        </w:rPr>
        <w:t>1套</w:t>
      </w:r>
      <w:r>
        <w:rPr>
          <w:rFonts w:hint="eastAsia"/>
          <w:color w:val="auto"/>
          <w:highlight w:val="none"/>
        </w:rPr>
        <w:t>一体化污水处理设施</w:t>
      </w:r>
      <w:r>
        <w:rPr>
          <w:rFonts w:hint="eastAsia"/>
          <w:color w:val="auto"/>
          <w:highlight w:val="none"/>
          <w:lang w:eastAsia="zh-CN"/>
        </w:rPr>
        <w:t>，食堂废水经隔油池预处理后，与员工日常生活污水进入污水处理设施</w:t>
      </w:r>
      <w:r>
        <w:rPr>
          <w:rFonts w:hint="eastAsia"/>
          <w:color w:val="auto"/>
          <w:highlight w:val="none"/>
        </w:rPr>
        <w:t>处理</w:t>
      </w:r>
      <w:r>
        <w:rPr>
          <w:rFonts w:hint="eastAsia"/>
          <w:color w:val="auto"/>
          <w:highlight w:val="none"/>
          <w:shd w:val="clear" w:fill="FFFFFF"/>
          <w:lang w:eastAsia="zh-CN"/>
        </w:rPr>
        <w:t>达</w:t>
      </w:r>
      <w:r>
        <w:rPr>
          <w:rFonts w:hint="eastAsia"/>
          <w:color w:val="auto"/>
          <w:highlight w:val="none"/>
        </w:rPr>
        <w:t>《污水综合排放标准》（GB 8978</w:t>
      </w:r>
      <w:r>
        <w:rPr>
          <w:rFonts w:hint="eastAsia"/>
          <w:color w:val="auto"/>
          <w:highlight w:val="none"/>
          <w:lang w:val="en-US" w:eastAsia="zh-CN"/>
        </w:rPr>
        <w:t>-</w:t>
      </w:r>
      <w:r>
        <w:rPr>
          <w:rFonts w:hint="eastAsia"/>
          <w:color w:val="auto"/>
          <w:highlight w:val="none"/>
        </w:rPr>
        <w:t>1996）一级标准后排入涪江。</w:t>
      </w:r>
      <w:r>
        <w:rPr>
          <w:rFonts w:hint="eastAsia"/>
          <w:color w:val="auto"/>
          <w:highlight w:val="none"/>
          <w:lang w:eastAsia="zh-CN"/>
        </w:rPr>
        <w:t>废水污染物产生及排放情况见下表：</w:t>
      </w:r>
    </w:p>
    <w:p>
      <w:pPr>
        <w:spacing w:line="240" w:lineRule="auto"/>
        <w:ind w:firstLine="482"/>
        <w:jc w:val="center"/>
        <w:rPr>
          <w:b/>
          <w:bCs/>
          <w:color w:val="auto"/>
          <w:sz w:val="26"/>
          <w:szCs w:val="26"/>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6"/>
          <w:szCs w:val="26"/>
          <w:highlight w:val="none"/>
        </w:rPr>
      </w:pPr>
      <w:r>
        <w:rPr>
          <w:b w:val="0"/>
          <w:bCs w:val="0"/>
          <w:color w:val="auto"/>
          <w:sz w:val="26"/>
          <w:szCs w:val="26"/>
          <w:highlight w:val="none"/>
        </w:rPr>
        <w:t>表</w:t>
      </w:r>
      <w:r>
        <w:rPr>
          <w:rFonts w:hint="eastAsia"/>
          <w:b w:val="0"/>
          <w:bCs w:val="0"/>
          <w:color w:val="auto"/>
          <w:sz w:val="26"/>
          <w:szCs w:val="26"/>
          <w:highlight w:val="none"/>
          <w:lang w:val="en-US" w:eastAsia="zh-CN"/>
        </w:rPr>
        <w:t>2.4.4-1</w:t>
      </w:r>
      <w:r>
        <w:rPr>
          <w:b w:val="0"/>
          <w:bCs w:val="0"/>
          <w:color w:val="auto"/>
          <w:sz w:val="26"/>
          <w:szCs w:val="26"/>
          <w:highlight w:val="none"/>
        </w:rPr>
        <w:t xml:space="preserve">  废水污染源、污染防治措施一览表</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1"/>
        <w:gridCol w:w="920"/>
        <w:gridCol w:w="1132"/>
        <w:gridCol w:w="1553"/>
        <w:gridCol w:w="1245"/>
        <w:gridCol w:w="1140"/>
        <w:gridCol w:w="1569"/>
        <w:gridCol w:w="6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2" w:type="pct"/>
            <w:vMerge w:val="restart"/>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b/>
                <w:bCs/>
                <w:color w:val="auto"/>
                <w:sz w:val="22"/>
                <w:szCs w:val="22"/>
                <w:highlight w:val="none"/>
              </w:rPr>
            </w:pPr>
            <w:r>
              <w:rPr>
                <w:b/>
                <w:bCs/>
                <w:color w:val="auto"/>
                <w:sz w:val="22"/>
                <w:szCs w:val="22"/>
                <w:highlight w:val="none"/>
              </w:rPr>
              <w:t>污染源</w:t>
            </w:r>
          </w:p>
        </w:tc>
        <w:tc>
          <w:tcPr>
            <w:tcW w:w="530" w:type="pct"/>
            <w:vMerge w:val="restart"/>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b/>
                <w:bCs/>
                <w:color w:val="auto"/>
                <w:sz w:val="22"/>
                <w:szCs w:val="22"/>
                <w:highlight w:val="none"/>
              </w:rPr>
            </w:pPr>
            <w:r>
              <w:rPr>
                <w:b/>
                <w:bCs/>
                <w:color w:val="auto"/>
                <w:sz w:val="22"/>
                <w:szCs w:val="22"/>
                <w:highlight w:val="none"/>
              </w:rPr>
              <w:t>污染物</w:t>
            </w:r>
          </w:p>
        </w:tc>
        <w:tc>
          <w:tcPr>
            <w:tcW w:w="4227" w:type="pct"/>
            <w:gridSpan w:val="6"/>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b/>
                <w:bCs/>
                <w:color w:val="auto"/>
                <w:sz w:val="22"/>
                <w:szCs w:val="22"/>
                <w:highlight w:val="none"/>
              </w:rPr>
            </w:pPr>
            <w:r>
              <w:rPr>
                <w:b/>
                <w:bCs/>
                <w:color w:val="auto"/>
                <w:sz w:val="22"/>
                <w:szCs w:val="22"/>
                <w:highlight w:val="none"/>
              </w:rPr>
              <w:t>现有工程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2" w:type="pct"/>
            <w:vMerge w:val="continue"/>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b/>
                <w:bCs/>
                <w:color w:val="auto"/>
                <w:sz w:val="22"/>
                <w:szCs w:val="22"/>
                <w:highlight w:val="none"/>
              </w:rPr>
            </w:pPr>
          </w:p>
        </w:tc>
        <w:tc>
          <w:tcPr>
            <w:tcW w:w="530" w:type="pct"/>
            <w:vMerge w:val="continue"/>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b/>
                <w:bCs/>
                <w:color w:val="auto"/>
                <w:sz w:val="22"/>
                <w:szCs w:val="22"/>
                <w:highlight w:val="none"/>
              </w:rPr>
            </w:pPr>
          </w:p>
        </w:tc>
        <w:tc>
          <w:tcPr>
            <w:tcW w:w="1547" w:type="pct"/>
            <w:gridSpan w:val="2"/>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b/>
                <w:bCs/>
                <w:color w:val="auto"/>
                <w:sz w:val="22"/>
                <w:szCs w:val="22"/>
                <w:highlight w:val="none"/>
                <w:lang w:val="en-US" w:eastAsia="zh-CN"/>
              </w:rPr>
            </w:pPr>
            <w:r>
              <w:rPr>
                <w:rFonts w:hint="eastAsia"/>
                <w:b/>
                <w:bCs/>
                <w:color w:val="auto"/>
                <w:sz w:val="22"/>
                <w:szCs w:val="22"/>
                <w:highlight w:val="none"/>
                <w:lang w:val="en-US" w:eastAsia="zh-CN"/>
              </w:rPr>
              <w:t>产生情况</w:t>
            </w:r>
          </w:p>
        </w:tc>
        <w:tc>
          <w:tcPr>
            <w:tcW w:w="717" w:type="pct"/>
            <w:vMerge w:val="restart"/>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b/>
                <w:bCs/>
                <w:color w:val="auto"/>
                <w:sz w:val="22"/>
                <w:szCs w:val="22"/>
                <w:highlight w:val="none"/>
              </w:rPr>
            </w:pPr>
            <w:r>
              <w:rPr>
                <w:b/>
                <w:bCs/>
                <w:color w:val="auto"/>
                <w:sz w:val="22"/>
                <w:szCs w:val="22"/>
                <w:highlight w:val="none"/>
              </w:rPr>
              <w:t>处理措施</w:t>
            </w:r>
          </w:p>
        </w:tc>
        <w:tc>
          <w:tcPr>
            <w:tcW w:w="1560" w:type="pct"/>
            <w:gridSpan w:val="2"/>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b/>
                <w:bCs/>
                <w:color w:val="auto"/>
                <w:sz w:val="22"/>
                <w:szCs w:val="22"/>
                <w:highlight w:val="none"/>
              </w:rPr>
            </w:pPr>
            <w:r>
              <w:rPr>
                <w:rFonts w:hint="eastAsia"/>
                <w:b/>
                <w:bCs/>
                <w:color w:val="auto"/>
                <w:sz w:val="22"/>
                <w:szCs w:val="22"/>
                <w:highlight w:val="none"/>
                <w:lang w:eastAsia="zh-CN"/>
              </w:rPr>
              <w:t>排放情况</w:t>
            </w:r>
          </w:p>
        </w:tc>
        <w:tc>
          <w:tcPr>
            <w:tcW w:w="402" w:type="pct"/>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b/>
                <w:bCs/>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2" w:type="pct"/>
            <w:vMerge w:val="continue"/>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b/>
                <w:bCs/>
                <w:color w:val="auto"/>
                <w:sz w:val="22"/>
                <w:szCs w:val="22"/>
                <w:highlight w:val="none"/>
              </w:rPr>
            </w:pPr>
          </w:p>
        </w:tc>
        <w:tc>
          <w:tcPr>
            <w:tcW w:w="530" w:type="pct"/>
            <w:vMerge w:val="continue"/>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b/>
                <w:bCs/>
                <w:color w:val="auto"/>
                <w:sz w:val="22"/>
                <w:szCs w:val="22"/>
                <w:highlight w:val="none"/>
              </w:rPr>
            </w:pPr>
          </w:p>
        </w:tc>
        <w:tc>
          <w:tcPr>
            <w:tcW w:w="652" w:type="pct"/>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b/>
                <w:bCs/>
                <w:color w:val="auto"/>
                <w:sz w:val="22"/>
                <w:szCs w:val="22"/>
                <w:highlight w:val="none"/>
                <w:lang w:val="en-US" w:eastAsia="zh-CN"/>
              </w:rPr>
            </w:pPr>
            <w:r>
              <w:rPr>
                <w:rFonts w:hint="eastAsia"/>
                <w:b/>
                <w:bCs/>
                <w:color w:val="auto"/>
                <w:sz w:val="22"/>
                <w:szCs w:val="22"/>
                <w:highlight w:val="none"/>
                <w:lang w:val="en-US" w:eastAsia="zh-CN"/>
              </w:rPr>
              <w:t>浓度（mg/L）</w:t>
            </w:r>
          </w:p>
        </w:tc>
        <w:tc>
          <w:tcPr>
            <w:tcW w:w="894" w:type="pct"/>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b/>
                <w:bCs/>
                <w:color w:val="auto"/>
                <w:sz w:val="22"/>
                <w:szCs w:val="22"/>
                <w:highlight w:val="none"/>
              </w:rPr>
            </w:pPr>
            <w:r>
              <w:rPr>
                <w:b/>
                <w:bCs/>
                <w:color w:val="auto"/>
                <w:sz w:val="22"/>
                <w:szCs w:val="22"/>
                <w:highlight w:val="none"/>
              </w:rPr>
              <w:t>污染物产生量（t/a）</w:t>
            </w:r>
          </w:p>
        </w:tc>
        <w:tc>
          <w:tcPr>
            <w:tcW w:w="717" w:type="pct"/>
            <w:vMerge w:val="continue"/>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b/>
                <w:bCs/>
                <w:color w:val="auto"/>
                <w:sz w:val="22"/>
                <w:szCs w:val="22"/>
                <w:highlight w:val="none"/>
              </w:rPr>
            </w:pPr>
          </w:p>
        </w:tc>
        <w:tc>
          <w:tcPr>
            <w:tcW w:w="656" w:type="pct"/>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b/>
                <w:bCs/>
                <w:color w:val="auto"/>
                <w:sz w:val="22"/>
                <w:szCs w:val="22"/>
                <w:highlight w:val="none"/>
              </w:rPr>
            </w:pPr>
            <w:r>
              <w:rPr>
                <w:rFonts w:hint="eastAsia"/>
                <w:b/>
                <w:bCs/>
                <w:color w:val="auto"/>
                <w:sz w:val="22"/>
                <w:szCs w:val="22"/>
                <w:highlight w:val="none"/>
                <w:lang w:val="en-US" w:eastAsia="zh-CN"/>
              </w:rPr>
              <w:t>浓度（mg/L）</w:t>
            </w:r>
          </w:p>
        </w:tc>
        <w:tc>
          <w:tcPr>
            <w:tcW w:w="904" w:type="pct"/>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b/>
                <w:bCs/>
                <w:color w:val="auto"/>
                <w:sz w:val="22"/>
                <w:szCs w:val="22"/>
                <w:highlight w:val="none"/>
              </w:rPr>
            </w:pPr>
            <w:r>
              <w:rPr>
                <w:b/>
                <w:bCs/>
                <w:color w:val="auto"/>
                <w:sz w:val="22"/>
                <w:szCs w:val="22"/>
                <w:highlight w:val="none"/>
              </w:rPr>
              <w:t>污染物排放量（t/a）</w:t>
            </w:r>
          </w:p>
        </w:tc>
        <w:tc>
          <w:tcPr>
            <w:tcW w:w="402" w:type="pct"/>
            <w:shd w:val="clear" w:color="auto" w:fill="auto"/>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eastAsia="宋体"/>
                <w:b/>
                <w:bCs/>
                <w:color w:val="auto"/>
                <w:sz w:val="22"/>
                <w:szCs w:val="22"/>
                <w:highlight w:val="none"/>
                <w:lang w:eastAsia="zh-CN"/>
              </w:rPr>
            </w:pPr>
            <w:r>
              <w:rPr>
                <w:b/>
                <w:bCs/>
                <w:color w:val="auto"/>
                <w:sz w:val="22"/>
                <w:szCs w:val="22"/>
                <w:highlight w:val="none"/>
              </w:rPr>
              <w:t>排放</w:t>
            </w:r>
            <w:r>
              <w:rPr>
                <w:rFonts w:hint="eastAsia"/>
                <w:b/>
                <w:bCs/>
                <w:color w:val="auto"/>
                <w:sz w:val="22"/>
                <w:szCs w:val="22"/>
                <w:highlight w:val="none"/>
                <w:lang w:eastAsia="zh-CN"/>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2" w:type="pct"/>
            <w:vMerge w:val="restar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r>
              <w:rPr>
                <w:color w:val="auto"/>
                <w:sz w:val="22"/>
                <w:szCs w:val="22"/>
                <w:highlight w:val="none"/>
              </w:rPr>
              <w:t>生活污水</w:t>
            </w:r>
          </w:p>
        </w:tc>
        <w:tc>
          <w:tcPr>
            <w:tcW w:w="530"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eastAsia="宋体"/>
                <w:color w:val="auto"/>
                <w:sz w:val="22"/>
                <w:szCs w:val="22"/>
                <w:highlight w:val="none"/>
                <w:lang w:eastAsia="zh-CN"/>
              </w:rPr>
            </w:pPr>
            <w:r>
              <w:rPr>
                <w:rFonts w:hint="eastAsia"/>
                <w:color w:val="auto"/>
                <w:sz w:val="22"/>
                <w:szCs w:val="22"/>
                <w:highlight w:val="none"/>
                <w:lang w:eastAsia="zh-CN"/>
              </w:rPr>
              <w:t>水量</w:t>
            </w:r>
          </w:p>
        </w:tc>
        <w:tc>
          <w:tcPr>
            <w:tcW w:w="1547" w:type="pct"/>
            <w:gridSpan w:val="2"/>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2190m³</w:t>
            </w:r>
            <w:r>
              <w:rPr>
                <w:rFonts w:hint="eastAsia" w:ascii="Times New Roman" w:hAnsi="Times New Roman" w:eastAsia="宋体" w:cs="Times New Roman"/>
                <w:color w:val="auto"/>
                <w:sz w:val="22"/>
                <w:szCs w:val="22"/>
                <w:highlight w:val="none"/>
                <w:lang w:eastAsia="zh-CN"/>
              </w:rPr>
              <w:t>/a</w:t>
            </w:r>
          </w:p>
        </w:tc>
        <w:tc>
          <w:tcPr>
            <w:tcW w:w="717" w:type="pct"/>
            <w:vMerge w:val="restar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eastAsia" w:ascii="Times New Roman" w:hAnsi="Times New Roman" w:eastAsia="宋体" w:cs="Times New Roman"/>
                <w:color w:val="auto"/>
                <w:sz w:val="22"/>
                <w:szCs w:val="22"/>
                <w:highlight w:val="none"/>
                <w:lang w:eastAsia="zh-CN"/>
              </w:rPr>
              <w:t>一体化处理设备处理达标后排入涪江。</w:t>
            </w:r>
          </w:p>
        </w:tc>
        <w:tc>
          <w:tcPr>
            <w:tcW w:w="1560" w:type="pct"/>
            <w:gridSpan w:val="2"/>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eastAsia" w:ascii="Times New Roman" w:hAnsi="Times New Roman" w:eastAsia="宋体" w:cs="Times New Roman"/>
                <w:color w:val="auto"/>
                <w:sz w:val="22"/>
                <w:szCs w:val="22"/>
                <w:highlight w:val="none"/>
                <w:lang w:val="en-US" w:eastAsia="zh-CN"/>
              </w:rPr>
              <w:t>2190m³</w:t>
            </w:r>
            <w:r>
              <w:rPr>
                <w:rFonts w:hint="eastAsia" w:ascii="Times New Roman" w:hAnsi="Times New Roman" w:eastAsia="宋体" w:cs="Times New Roman"/>
                <w:color w:val="auto"/>
                <w:sz w:val="22"/>
                <w:szCs w:val="22"/>
                <w:highlight w:val="none"/>
                <w:lang w:eastAsia="zh-CN"/>
              </w:rPr>
              <w:t>/a</w:t>
            </w:r>
          </w:p>
        </w:tc>
        <w:tc>
          <w:tcPr>
            <w:tcW w:w="402" w:type="pct"/>
            <w:vMerge w:val="restar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eastAsia="宋体"/>
                <w:color w:val="auto"/>
                <w:kern w:val="0"/>
                <w:sz w:val="22"/>
                <w:szCs w:val="22"/>
                <w:highlight w:val="none"/>
                <w:lang w:eastAsia="zh-CN"/>
              </w:rPr>
            </w:pPr>
            <w:r>
              <w:rPr>
                <w:rFonts w:hint="eastAsia"/>
                <w:color w:val="auto"/>
                <w:kern w:val="0"/>
                <w:sz w:val="22"/>
                <w:szCs w:val="22"/>
                <w:highlight w:val="none"/>
                <w:lang w:eastAsia="zh-CN"/>
              </w:rPr>
              <w:t>涪江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2"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530"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r>
              <w:rPr>
                <w:color w:val="auto"/>
                <w:sz w:val="22"/>
                <w:szCs w:val="22"/>
                <w:highlight w:val="none"/>
              </w:rPr>
              <w:t>COD</w:t>
            </w:r>
          </w:p>
        </w:tc>
        <w:tc>
          <w:tcPr>
            <w:tcW w:w="652"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350</w:t>
            </w:r>
          </w:p>
        </w:tc>
        <w:tc>
          <w:tcPr>
            <w:tcW w:w="894"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0.77</w:t>
            </w:r>
          </w:p>
        </w:tc>
        <w:tc>
          <w:tcPr>
            <w:tcW w:w="717"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p>
        </w:tc>
        <w:tc>
          <w:tcPr>
            <w:tcW w:w="656"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100</w:t>
            </w:r>
          </w:p>
        </w:tc>
        <w:tc>
          <w:tcPr>
            <w:tcW w:w="904"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0.22</w:t>
            </w:r>
          </w:p>
        </w:tc>
        <w:tc>
          <w:tcPr>
            <w:tcW w:w="402"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2"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530"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r>
              <w:rPr>
                <w:color w:val="auto"/>
                <w:sz w:val="22"/>
                <w:szCs w:val="22"/>
                <w:highlight w:val="none"/>
              </w:rPr>
              <w:t>BOD</w:t>
            </w:r>
            <w:r>
              <w:rPr>
                <w:color w:val="auto"/>
                <w:sz w:val="22"/>
                <w:szCs w:val="22"/>
                <w:highlight w:val="none"/>
                <w:vertAlign w:val="subscript"/>
              </w:rPr>
              <w:t>5</w:t>
            </w:r>
          </w:p>
        </w:tc>
        <w:tc>
          <w:tcPr>
            <w:tcW w:w="652"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150</w:t>
            </w:r>
          </w:p>
        </w:tc>
        <w:tc>
          <w:tcPr>
            <w:tcW w:w="894"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0.33</w:t>
            </w:r>
          </w:p>
        </w:tc>
        <w:tc>
          <w:tcPr>
            <w:tcW w:w="717"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p>
        </w:tc>
        <w:tc>
          <w:tcPr>
            <w:tcW w:w="656"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30</w:t>
            </w:r>
          </w:p>
        </w:tc>
        <w:tc>
          <w:tcPr>
            <w:tcW w:w="904"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0.07</w:t>
            </w:r>
          </w:p>
        </w:tc>
        <w:tc>
          <w:tcPr>
            <w:tcW w:w="402"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2"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530"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r>
              <w:rPr>
                <w:color w:val="auto"/>
                <w:sz w:val="22"/>
                <w:szCs w:val="22"/>
                <w:highlight w:val="none"/>
              </w:rPr>
              <w:t>SS</w:t>
            </w:r>
          </w:p>
        </w:tc>
        <w:tc>
          <w:tcPr>
            <w:tcW w:w="652"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250</w:t>
            </w:r>
          </w:p>
        </w:tc>
        <w:tc>
          <w:tcPr>
            <w:tcW w:w="894"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0.55</w:t>
            </w:r>
          </w:p>
        </w:tc>
        <w:tc>
          <w:tcPr>
            <w:tcW w:w="717"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p>
        </w:tc>
        <w:tc>
          <w:tcPr>
            <w:tcW w:w="656"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70</w:t>
            </w:r>
          </w:p>
        </w:tc>
        <w:tc>
          <w:tcPr>
            <w:tcW w:w="904"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0.15</w:t>
            </w:r>
          </w:p>
        </w:tc>
        <w:tc>
          <w:tcPr>
            <w:tcW w:w="402"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2"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530"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r>
              <w:rPr>
                <w:color w:val="auto"/>
                <w:sz w:val="22"/>
                <w:szCs w:val="22"/>
                <w:highlight w:val="none"/>
              </w:rPr>
              <w:t>NH</w:t>
            </w:r>
            <w:r>
              <w:rPr>
                <w:color w:val="auto"/>
                <w:sz w:val="22"/>
                <w:szCs w:val="22"/>
                <w:highlight w:val="none"/>
                <w:vertAlign w:val="subscript"/>
              </w:rPr>
              <w:t>3</w:t>
            </w:r>
            <w:r>
              <w:rPr>
                <w:color w:val="auto"/>
                <w:sz w:val="22"/>
                <w:szCs w:val="22"/>
                <w:highlight w:val="none"/>
              </w:rPr>
              <w:t>-N</w:t>
            </w:r>
          </w:p>
        </w:tc>
        <w:tc>
          <w:tcPr>
            <w:tcW w:w="652"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50</w:t>
            </w:r>
          </w:p>
        </w:tc>
        <w:tc>
          <w:tcPr>
            <w:tcW w:w="894"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0.11</w:t>
            </w:r>
          </w:p>
        </w:tc>
        <w:tc>
          <w:tcPr>
            <w:tcW w:w="717"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p>
        </w:tc>
        <w:tc>
          <w:tcPr>
            <w:tcW w:w="656"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15</w:t>
            </w:r>
          </w:p>
        </w:tc>
        <w:tc>
          <w:tcPr>
            <w:tcW w:w="904"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default" w:ascii="Times New Roman" w:hAnsi="Times New Roman" w:eastAsia="宋体" w:cs="Times New Roman"/>
                <w:color w:val="auto"/>
                <w:sz w:val="22"/>
                <w:szCs w:val="22"/>
                <w:highlight w:val="none"/>
                <w:lang w:val="en-US" w:eastAsia="zh-CN"/>
              </w:rPr>
              <w:t>0.03</w:t>
            </w:r>
          </w:p>
        </w:tc>
        <w:tc>
          <w:tcPr>
            <w:tcW w:w="402"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r>
    </w:tbl>
    <w:p>
      <w:pPr>
        <w:bidi w:val="0"/>
        <w:rPr>
          <w:rFonts w:hint="eastAsia"/>
          <w:color w:val="auto"/>
          <w:highlight w:val="none"/>
          <w:lang w:eastAsia="zh-CN"/>
        </w:rPr>
      </w:pPr>
      <w:r>
        <w:rPr>
          <w:rFonts w:hint="eastAsia"/>
          <w:color w:val="auto"/>
          <w:highlight w:val="none"/>
          <w:lang w:eastAsia="zh-CN"/>
        </w:rPr>
        <w:t>渭沱枢纽管理区污水处理设施采用“厌氧</w:t>
      </w:r>
      <w:r>
        <w:rPr>
          <w:rFonts w:hint="eastAsia"/>
          <w:color w:val="auto"/>
          <w:highlight w:val="none"/>
          <w:lang w:val="en-US" w:eastAsia="zh-CN"/>
        </w:rPr>
        <w:t>+</w:t>
      </w:r>
      <w:r>
        <w:rPr>
          <w:rFonts w:hint="eastAsia"/>
          <w:color w:val="auto"/>
          <w:highlight w:val="none"/>
          <w:lang w:eastAsia="zh-CN"/>
        </w:rPr>
        <w:t>生物接触氧化”处理工艺，工艺流程如下：</w:t>
      </w:r>
    </w:p>
    <w:p>
      <w:pPr>
        <w:spacing w:line="240" w:lineRule="auto"/>
        <w:rPr>
          <w:rFonts w:hint="eastAsia"/>
          <w:color w:val="auto"/>
          <w:highlight w:val="none"/>
          <w:lang w:eastAsia="zh-CN"/>
        </w:rPr>
      </w:pPr>
      <w:r>
        <w:rPr>
          <w:rStyle w:val="236"/>
          <w:rFonts w:hint="eastAsia" w:ascii="仿宋" w:hAnsi="仿宋" w:eastAsia="仿宋" w:cs="仿宋"/>
          <w:color w:val="auto"/>
          <w:highlight w:val="none"/>
        </w:rPr>
        <w:object>
          <v:shape id="_x0000_i1025" o:spt="75" type="#_x0000_t75" style="height:302.85pt;width:371.8pt;" o:ole="t" filled="f" o:preferrelative="t" stroked="f" coordsize="21600,21600">
            <v:path/>
            <v:fill on="f" focussize="0,0"/>
            <v:stroke on="f"/>
            <v:imagedata r:id="rId26" croptop="1335f" cropbottom="3005f" o:title=""/>
            <o:lock v:ext="edit" aspectratio="t"/>
            <w10:wrap type="none"/>
            <w10:anchorlock/>
          </v:shape>
          <o:OLEObject Type="Embed" ProgID="Visio.Drawing.15" ShapeID="_x0000_i1025" DrawAspect="Content" ObjectID="_1468075725" r:id="rId25">
            <o:LockedField>false</o:LockedField>
          </o:OLEObject>
        </w:object>
      </w:r>
    </w:p>
    <w:p>
      <w:pPr>
        <w:spacing w:line="240" w:lineRule="auto"/>
        <w:ind w:left="0" w:leftChars="0" w:firstLine="0" w:firstLineChars="0"/>
        <w:jc w:val="center"/>
        <w:rPr>
          <w:rFonts w:hint="default"/>
          <w:color w:val="auto"/>
          <w:highlight w:val="none"/>
          <w:lang w:val="en-US" w:eastAsia="zh-CN"/>
        </w:rPr>
      </w:pPr>
      <w:r>
        <w:rPr>
          <w:rFonts w:hint="eastAsia"/>
          <w:color w:val="auto"/>
          <w:highlight w:val="none"/>
          <w:lang w:eastAsia="zh-CN"/>
        </w:rPr>
        <w:t>图</w:t>
      </w:r>
      <w:r>
        <w:rPr>
          <w:rFonts w:hint="eastAsia"/>
          <w:color w:val="auto"/>
          <w:highlight w:val="none"/>
          <w:lang w:val="en-US" w:eastAsia="zh-CN"/>
        </w:rPr>
        <w:t>2.4.4-1  生活污水处理设备工艺流程图</w:t>
      </w:r>
    </w:p>
    <w:p>
      <w:pPr>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color w:val="auto"/>
          <w:highlight w:val="none"/>
          <w:lang w:eastAsia="zh-CN"/>
        </w:rPr>
      </w:pPr>
    </w:p>
    <w:p>
      <w:pPr>
        <w:rPr>
          <w:rFonts w:hint="eastAsia" w:eastAsia="宋体"/>
          <w:color w:val="auto"/>
          <w:highlight w:val="none"/>
          <w:lang w:eastAsia="zh-CN"/>
        </w:rPr>
      </w:pPr>
      <w:r>
        <w:rPr>
          <w:rFonts w:hint="eastAsia"/>
          <w:color w:val="auto"/>
          <w:highlight w:val="none"/>
          <w:lang w:eastAsia="zh-CN"/>
        </w:rPr>
        <w:t>根据建设单位</w:t>
      </w:r>
      <w:r>
        <w:rPr>
          <w:rFonts w:hint="eastAsia"/>
          <w:color w:val="auto"/>
          <w:highlight w:val="none"/>
          <w:lang w:val="en-US" w:eastAsia="zh-CN"/>
        </w:rPr>
        <w:t>2023-2024年</w:t>
      </w:r>
      <w:r>
        <w:rPr>
          <w:rFonts w:hint="eastAsia"/>
          <w:color w:val="auto"/>
          <w:highlight w:val="none"/>
          <w:lang w:eastAsia="zh-CN"/>
        </w:rPr>
        <w:t>对排污口进行自行监测结果显示，一体化污水处理设备出水可稳定达到</w:t>
      </w:r>
      <w:r>
        <w:rPr>
          <w:rFonts w:hint="eastAsia"/>
          <w:color w:val="auto"/>
          <w:highlight w:val="none"/>
        </w:rPr>
        <w:t>《污水综合排放标准》（GB 8978</w:t>
      </w:r>
      <w:r>
        <w:rPr>
          <w:rFonts w:hint="eastAsia"/>
          <w:color w:val="auto"/>
          <w:highlight w:val="none"/>
          <w:lang w:val="en-US" w:eastAsia="zh-CN"/>
        </w:rPr>
        <w:t>-</w:t>
      </w:r>
      <w:r>
        <w:rPr>
          <w:rFonts w:hint="eastAsia"/>
          <w:color w:val="auto"/>
          <w:highlight w:val="none"/>
        </w:rPr>
        <w:t>1996）一级标准</w:t>
      </w:r>
      <w:r>
        <w:rPr>
          <w:rFonts w:hint="eastAsia"/>
          <w:color w:val="auto"/>
          <w:highlight w:val="none"/>
          <w:lang w:eastAsia="zh-CN"/>
        </w:rPr>
        <w:t>，监测结果详见下表：</w:t>
      </w:r>
    </w:p>
    <w:p>
      <w:pPr>
        <w:keepNext w:val="0"/>
        <w:keepLines w:val="0"/>
        <w:pageBreakBefore w:val="0"/>
        <w:widowControl w:val="0"/>
        <w:kinsoku/>
        <w:wordWrap/>
        <w:overflowPunct/>
        <w:topLinePunct w:val="0"/>
        <w:bidi w:val="0"/>
        <w:snapToGrid w:val="0"/>
        <w:spacing w:line="240" w:lineRule="auto"/>
        <w:ind w:left="0" w:leftChars="0" w:firstLine="0" w:firstLineChars="0"/>
        <w:jc w:val="center"/>
        <w:textAlignment w:val="auto"/>
        <w:rPr>
          <w:rFonts w:hint="eastAsia"/>
          <w:color w:val="auto"/>
          <w:highlight w:val="none"/>
          <w:lang w:eastAsia="zh-CN"/>
        </w:rPr>
      </w:pPr>
    </w:p>
    <w:p>
      <w:pPr>
        <w:keepNext w:val="0"/>
        <w:keepLines w:val="0"/>
        <w:pageBreakBefore w:val="0"/>
        <w:widowControl w:val="0"/>
        <w:kinsoku/>
        <w:wordWrap/>
        <w:overflowPunct/>
        <w:topLinePunct w:val="0"/>
        <w:bidi w:val="0"/>
        <w:snapToGrid w:val="0"/>
        <w:spacing w:line="240" w:lineRule="auto"/>
        <w:ind w:left="0" w:leftChars="0" w:firstLine="0" w:firstLineChars="0"/>
        <w:jc w:val="center"/>
        <w:textAlignment w:val="auto"/>
        <w:rPr>
          <w:rFonts w:hint="default"/>
          <w:color w:val="auto"/>
          <w:highlight w:val="none"/>
          <w:lang w:val="en-US" w:eastAsia="zh-CN"/>
        </w:rPr>
      </w:pPr>
      <w:r>
        <w:rPr>
          <w:rFonts w:hint="eastAsia"/>
          <w:color w:val="auto"/>
          <w:highlight w:val="none"/>
          <w:lang w:eastAsia="zh-CN"/>
        </w:rPr>
        <w:t>表</w:t>
      </w:r>
      <w:r>
        <w:rPr>
          <w:rFonts w:hint="eastAsia"/>
          <w:color w:val="auto"/>
          <w:highlight w:val="none"/>
          <w:lang w:val="en-US" w:eastAsia="zh-CN"/>
        </w:rPr>
        <w:t>2.4.4-2  污水处理设施排口自行监测结果统计表</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275"/>
        <w:gridCol w:w="1446"/>
        <w:gridCol w:w="1875"/>
        <w:gridCol w:w="2068"/>
        <w:gridCol w:w="12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3"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eastAsia="宋体"/>
                <w:color w:val="auto"/>
                <w:sz w:val="22"/>
                <w:szCs w:val="22"/>
                <w:highlight w:val="none"/>
                <w:lang w:eastAsia="zh-CN"/>
              </w:rPr>
            </w:pPr>
            <w:r>
              <w:rPr>
                <w:rFonts w:hint="eastAsia" w:eastAsia="宋体"/>
                <w:color w:val="auto"/>
                <w:sz w:val="22"/>
                <w:szCs w:val="22"/>
                <w:highlight w:val="none"/>
                <w:lang w:eastAsia="zh-CN"/>
              </w:rPr>
              <w:t>序号</w:t>
            </w:r>
          </w:p>
        </w:tc>
        <w:tc>
          <w:tcPr>
            <w:tcW w:w="734"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color w:val="auto"/>
                <w:sz w:val="22"/>
                <w:szCs w:val="22"/>
                <w:highlight w:val="none"/>
                <w:lang w:eastAsia="zh-CN"/>
              </w:rPr>
            </w:pPr>
            <w:r>
              <w:rPr>
                <w:rFonts w:hint="eastAsia"/>
                <w:color w:val="auto"/>
                <w:sz w:val="22"/>
                <w:szCs w:val="22"/>
                <w:highlight w:val="none"/>
                <w:lang w:eastAsia="zh-CN"/>
              </w:rPr>
              <w:t>监测时间</w:t>
            </w:r>
          </w:p>
        </w:tc>
        <w:tc>
          <w:tcPr>
            <w:tcW w:w="833"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监测因子</w:t>
            </w:r>
          </w:p>
        </w:tc>
        <w:tc>
          <w:tcPr>
            <w:tcW w:w="1080"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监测结果（mg/L）</w:t>
            </w:r>
          </w:p>
        </w:tc>
        <w:tc>
          <w:tcPr>
            <w:tcW w:w="1191"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排放标准（mg/L）</w:t>
            </w:r>
          </w:p>
        </w:tc>
        <w:tc>
          <w:tcPr>
            <w:tcW w:w="747"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3" w:type="pct"/>
            <w:vMerge w:val="restar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eastAsia="宋体"/>
                <w:color w:val="auto"/>
                <w:sz w:val="22"/>
                <w:szCs w:val="22"/>
                <w:highlight w:val="none"/>
                <w:lang w:val="en-US" w:eastAsia="zh-CN"/>
              </w:rPr>
            </w:pPr>
            <w:r>
              <w:rPr>
                <w:rFonts w:hint="eastAsia"/>
                <w:color w:val="auto"/>
                <w:sz w:val="22"/>
                <w:szCs w:val="22"/>
                <w:highlight w:val="none"/>
                <w:lang w:val="en-US" w:eastAsia="zh-CN"/>
              </w:rPr>
              <w:t>1</w:t>
            </w:r>
          </w:p>
        </w:tc>
        <w:tc>
          <w:tcPr>
            <w:tcW w:w="734" w:type="pct"/>
            <w:vMerge w:val="restar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auto"/>
                <w:sz w:val="22"/>
                <w:szCs w:val="22"/>
                <w:highlight w:val="none"/>
                <w:lang w:val="en-US" w:eastAsia="zh-CN"/>
              </w:rPr>
            </w:pPr>
            <w:r>
              <w:rPr>
                <w:rFonts w:hint="eastAsia"/>
                <w:color w:val="auto"/>
                <w:sz w:val="22"/>
                <w:szCs w:val="22"/>
                <w:highlight w:val="none"/>
              </w:rPr>
              <w:t>2023</w:t>
            </w:r>
            <w:r>
              <w:rPr>
                <w:rFonts w:hint="eastAsia" w:eastAsia="宋体"/>
                <w:color w:val="auto"/>
                <w:sz w:val="22"/>
                <w:szCs w:val="22"/>
                <w:highlight w:val="none"/>
                <w:lang w:val="en-US" w:eastAsia="zh-CN"/>
              </w:rPr>
              <w:t>.12.22</w:t>
            </w:r>
          </w:p>
        </w:tc>
        <w:tc>
          <w:tcPr>
            <w:tcW w:w="833"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auto"/>
                <w:sz w:val="22"/>
                <w:szCs w:val="22"/>
                <w:highlight w:val="none"/>
                <w:lang w:val="en-US" w:eastAsia="zh-CN"/>
              </w:rPr>
            </w:pPr>
            <w:r>
              <w:rPr>
                <w:rFonts w:hint="eastAsia" w:eastAsia="宋体"/>
                <w:color w:val="auto"/>
                <w:sz w:val="22"/>
                <w:szCs w:val="22"/>
                <w:highlight w:val="none"/>
                <w:lang w:val="en-US" w:eastAsia="zh-CN"/>
              </w:rPr>
              <w:t>pH（无量纲）</w:t>
            </w:r>
          </w:p>
        </w:tc>
        <w:tc>
          <w:tcPr>
            <w:tcW w:w="1080"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auto"/>
                <w:sz w:val="22"/>
                <w:szCs w:val="22"/>
                <w:highlight w:val="none"/>
                <w:lang w:val="en-US" w:eastAsia="zh-CN"/>
              </w:rPr>
            </w:pPr>
            <w:r>
              <w:rPr>
                <w:rFonts w:hint="eastAsia" w:eastAsia="宋体"/>
                <w:color w:val="auto"/>
                <w:sz w:val="22"/>
                <w:szCs w:val="22"/>
                <w:highlight w:val="none"/>
                <w:lang w:val="en-US" w:eastAsia="zh-CN"/>
              </w:rPr>
              <w:t>7.8</w:t>
            </w:r>
          </w:p>
        </w:tc>
        <w:tc>
          <w:tcPr>
            <w:tcW w:w="1191"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6~9</w:t>
            </w:r>
          </w:p>
        </w:tc>
        <w:tc>
          <w:tcPr>
            <w:tcW w:w="747"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3"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734" w:type="pct"/>
            <w:vMerge w:val="continue"/>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833"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auto"/>
                <w:kern w:val="0"/>
                <w:sz w:val="22"/>
                <w:szCs w:val="22"/>
                <w:highlight w:val="none"/>
                <w:lang w:val="en-US" w:eastAsia="zh-CN" w:bidi="ar-SA"/>
              </w:rPr>
            </w:pPr>
            <w:r>
              <w:rPr>
                <w:color w:val="auto"/>
                <w:sz w:val="22"/>
                <w:szCs w:val="22"/>
                <w:highlight w:val="none"/>
              </w:rPr>
              <w:t>COD</w:t>
            </w:r>
          </w:p>
        </w:tc>
        <w:tc>
          <w:tcPr>
            <w:tcW w:w="1080"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auto"/>
                <w:sz w:val="22"/>
                <w:szCs w:val="22"/>
                <w:highlight w:val="none"/>
                <w:lang w:val="en-US" w:eastAsia="zh-CN"/>
              </w:rPr>
            </w:pPr>
            <w:r>
              <w:rPr>
                <w:rFonts w:hint="eastAsia" w:eastAsia="宋体"/>
                <w:color w:val="auto"/>
                <w:sz w:val="22"/>
                <w:szCs w:val="22"/>
                <w:highlight w:val="none"/>
                <w:lang w:val="en-US" w:eastAsia="zh-CN"/>
              </w:rPr>
              <w:t>32</w:t>
            </w:r>
          </w:p>
        </w:tc>
        <w:tc>
          <w:tcPr>
            <w:tcW w:w="1191"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100</w:t>
            </w:r>
          </w:p>
        </w:tc>
        <w:tc>
          <w:tcPr>
            <w:tcW w:w="74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3"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734" w:type="pct"/>
            <w:vMerge w:val="continue"/>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833"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auto"/>
                <w:kern w:val="0"/>
                <w:sz w:val="22"/>
                <w:szCs w:val="22"/>
                <w:highlight w:val="none"/>
                <w:lang w:val="en-US" w:eastAsia="zh-CN" w:bidi="ar-SA"/>
              </w:rPr>
            </w:pPr>
            <w:r>
              <w:rPr>
                <w:color w:val="auto"/>
                <w:sz w:val="22"/>
                <w:szCs w:val="22"/>
                <w:highlight w:val="none"/>
              </w:rPr>
              <w:t>BOD</w:t>
            </w:r>
            <w:r>
              <w:rPr>
                <w:color w:val="auto"/>
                <w:sz w:val="22"/>
                <w:szCs w:val="22"/>
                <w:highlight w:val="none"/>
                <w:vertAlign w:val="subscript"/>
              </w:rPr>
              <w:t>5</w:t>
            </w:r>
          </w:p>
        </w:tc>
        <w:tc>
          <w:tcPr>
            <w:tcW w:w="1080"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auto"/>
                <w:sz w:val="22"/>
                <w:szCs w:val="22"/>
                <w:highlight w:val="none"/>
                <w:lang w:val="en-US" w:eastAsia="zh-CN"/>
              </w:rPr>
            </w:pPr>
            <w:r>
              <w:rPr>
                <w:rFonts w:hint="eastAsia" w:eastAsia="宋体"/>
                <w:color w:val="auto"/>
                <w:sz w:val="22"/>
                <w:szCs w:val="22"/>
                <w:highlight w:val="none"/>
                <w:lang w:val="en-US" w:eastAsia="zh-CN"/>
              </w:rPr>
              <w:t>18.2</w:t>
            </w:r>
          </w:p>
        </w:tc>
        <w:tc>
          <w:tcPr>
            <w:tcW w:w="1191"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30</w:t>
            </w:r>
          </w:p>
        </w:tc>
        <w:tc>
          <w:tcPr>
            <w:tcW w:w="74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3"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734" w:type="pct"/>
            <w:vMerge w:val="continue"/>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833"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auto"/>
                <w:kern w:val="0"/>
                <w:sz w:val="22"/>
                <w:szCs w:val="22"/>
                <w:highlight w:val="none"/>
                <w:lang w:val="en-US" w:eastAsia="zh-CN" w:bidi="ar-SA"/>
              </w:rPr>
            </w:pPr>
            <w:r>
              <w:rPr>
                <w:color w:val="auto"/>
                <w:sz w:val="22"/>
                <w:szCs w:val="22"/>
                <w:highlight w:val="none"/>
              </w:rPr>
              <w:t>SS</w:t>
            </w:r>
          </w:p>
        </w:tc>
        <w:tc>
          <w:tcPr>
            <w:tcW w:w="1080"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auto"/>
                <w:sz w:val="22"/>
                <w:szCs w:val="22"/>
                <w:highlight w:val="none"/>
                <w:lang w:val="en-US" w:eastAsia="zh-CN"/>
              </w:rPr>
            </w:pPr>
            <w:r>
              <w:rPr>
                <w:rFonts w:hint="eastAsia" w:eastAsia="宋体"/>
                <w:color w:val="auto"/>
                <w:sz w:val="22"/>
                <w:szCs w:val="22"/>
                <w:highlight w:val="none"/>
                <w:lang w:val="en-US" w:eastAsia="zh-CN"/>
              </w:rPr>
              <w:t>23</w:t>
            </w:r>
          </w:p>
        </w:tc>
        <w:tc>
          <w:tcPr>
            <w:tcW w:w="1191"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70</w:t>
            </w:r>
          </w:p>
        </w:tc>
        <w:tc>
          <w:tcPr>
            <w:tcW w:w="74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3"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734" w:type="pct"/>
            <w:vMerge w:val="continue"/>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833"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Times New Roman" w:cs="Times New Roman"/>
                <w:color w:val="auto"/>
                <w:kern w:val="0"/>
                <w:sz w:val="22"/>
                <w:szCs w:val="22"/>
                <w:highlight w:val="none"/>
                <w:lang w:val="en-US" w:eastAsia="zh-CN" w:bidi="ar-SA"/>
              </w:rPr>
            </w:pPr>
            <w:r>
              <w:rPr>
                <w:color w:val="auto"/>
                <w:sz w:val="22"/>
                <w:szCs w:val="22"/>
                <w:highlight w:val="none"/>
              </w:rPr>
              <w:t>NH</w:t>
            </w:r>
            <w:r>
              <w:rPr>
                <w:color w:val="auto"/>
                <w:sz w:val="22"/>
                <w:szCs w:val="22"/>
                <w:highlight w:val="none"/>
                <w:vertAlign w:val="subscript"/>
              </w:rPr>
              <w:t>3</w:t>
            </w:r>
            <w:r>
              <w:rPr>
                <w:color w:val="auto"/>
                <w:sz w:val="22"/>
                <w:szCs w:val="22"/>
                <w:highlight w:val="none"/>
              </w:rPr>
              <w:t>-N</w:t>
            </w:r>
          </w:p>
        </w:tc>
        <w:tc>
          <w:tcPr>
            <w:tcW w:w="1080"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auto"/>
                <w:sz w:val="22"/>
                <w:szCs w:val="22"/>
                <w:highlight w:val="none"/>
                <w:lang w:val="en-US" w:eastAsia="zh-CN"/>
              </w:rPr>
            </w:pPr>
            <w:r>
              <w:rPr>
                <w:rFonts w:hint="eastAsia" w:eastAsia="宋体"/>
                <w:color w:val="auto"/>
                <w:sz w:val="22"/>
                <w:szCs w:val="22"/>
                <w:highlight w:val="none"/>
                <w:lang w:val="en-US" w:eastAsia="zh-CN"/>
              </w:rPr>
              <w:t>4.72</w:t>
            </w:r>
          </w:p>
        </w:tc>
        <w:tc>
          <w:tcPr>
            <w:tcW w:w="1191"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15</w:t>
            </w:r>
          </w:p>
        </w:tc>
        <w:tc>
          <w:tcPr>
            <w:tcW w:w="74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3"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734" w:type="pct"/>
            <w:vMerge w:val="continue"/>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833"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Times New Roman" w:cs="Times New Roman"/>
                <w:color w:val="auto"/>
                <w:kern w:val="0"/>
                <w:sz w:val="22"/>
                <w:szCs w:val="22"/>
                <w:highlight w:val="none"/>
                <w:lang w:val="en-US" w:eastAsia="zh-CN" w:bidi="ar-SA"/>
              </w:rPr>
            </w:pPr>
            <w:r>
              <w:rPr>
                <w:rFonts w:hint="eastAsia" w:cs="Times New Roman"/>
                <w:color w:val="auto"/>
                <w:kern w:val="0"/>
                <w:sz w:val="22"/>
                <w:szCs w:val="22"/>
                <w:highlight w:val="none"/>
                <w:lang w:val="en-US" w:eastAsia="zh-CN" w:bidi="ar-SA"/>
              </w:rPr>
              <w:t>石油类</w:t>
            </w:r>
          </w:p>
        </w:tc>
        <w:tc>
          <w:tcPr>
            <w:tcW w:w="1080"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cs="Times New Roman"/>
                <w:color w:val="auto"/>
                <w:kern w:val="0"/>
                <w:sz w:val="22"/>
                <w:szCs w:val="22"/>
                <w:highlight w:val="none"/>
                <w:lang w:val="en-US" w:eastAsia="zh-CN" w:bidi="ar-SA"/>
              </w:rPr>
            </w:pPr>
            <w:r>
              <w:rPr>
                <w:rFonts w:hint="eastAsia" w:cs="Times New Roman"/>
                <w:color w:val="auto"/>
                <w:kern w:val="0"/>
                <w:sz w:val="22"/>
                <w:szCs w:val="22"/>
                <w:highlight w:val="none"/>
                <w:lang w:val="en-US" w:eastAsia="zh-CN" w:bidi="ar-SA"/>
              </w:rPr>
              <w:t>0.52</w:t>
            </w:r>
          </w:p>
        </w:tc>
        <w:tc>
          <w:tcPr>
            <w:tcW w:w="1191"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10</w:t>
            </w:r>
          </w:p>
        </w:tc>
        <w:tc>
          <w:tcPr>
            <w:tcW w:w="74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eastAsia" w:ascii="Times New Roman" w:hAnsi="Times New Roman" w:eastAsia="宋体" w:cs="Times New Roman"/>
                <w:color w:val="auto"/>
                <w:sz w:val="22"/>
                <w:szCs w:val="22"/>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3" w:type="pct"/>
            <w:vMerge w:val="restar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eastAsia="宋体"/>
                <w:color w:val="auto"/>
                <w:sz w:val="22"/>
                <w:szCs w:val="22"/>
                <w:highlight w:val="none"/>
                <w:lang w:val="en-US" w:eastAsia="zh-CN"/>
              </w:rPr>
            </w:pPr>
            <w:r>
              <w:rPr>
                <w:rFonts w:hint="eastAsia"/>
                <w:color w:val="auto"/>
                <w:sz w:val="22"/>
                <w:szCs w:val="22"/>
                <w:highlight w:val="none"/>
                <w:lang w:val="en-US" w:eastAsia="zh-CN"/>
              </w:rPr>
              <w:t>2</w:t>
            </w:r>
          </w:p>
        </w:tc>
        <w:tc>
          <w:tcPr>
            <w:tcW w:w="734" w:type="pct"/>
            <w:vMerge w:val="restar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eastAsia="宋体"/>
                <w:color w:val="auto"/>
                <w:sz w:val="22"/>
                <w:szCs w:val="22"/>
                <w:highlight w:val="none"/>
                <w:lang w:val="en-US" w:eastAsia="zh-CN"/>
              </w:rPr>
            </w:pPr>
            <w:r>
              <w:rPr>
                <w:rFonts w:hint="eastAsia" w:eastAsia="宋体"/>
                <w:color w:val="auto"/>
                <w:sz w:val="22"/>
                <w:szCs w:val="22"/>
                <w:highlight w:val="none"/>
                <w:lang w:val="en-US" w:eastAsia="zh-CN"/>
              </w:rPr>
              <w:t>2024.12.31</w:t>
            </w:r>
          </w:p>
        </w:tc>
        <w:tc>
          <w:tcPr>
            <w:tcW w:w="833"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2"/>
                <w:highlight w:val="none"/>
                <w:lang w:val="en-US" w:eastAsia="zh-CN" w:bidi="ar-SA"/>
              </w:rPr>
            </w:pPr>
            <w:r>
              <w:rPr>
                <w:rFonts w:hint="eastAsia" w:eastAsia="宋体"/>
                <w:color w:val="auto"/>
                <w:sz w:val="22"/>
                <w:szCs w:val="22"/>
                <w:highlight w:val="none"/>
                <w:lang w:val="en-US" w:eastAsia="zh-CN"/>
              </w:rPr>
              <w:t>pH（无量纲）</w:t>
            </w:r>
          </w:p>
        </w:tc>
        <w:tc>
          <w:tcPr>
            <w:tcW w:w="1080"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2"/>
                <w:highlight w:val="none"/>
                <w:lang w:val="en-US" w:eastAsia="zh-CN" w:bidi="ar-SA"/>
              </w:rPr>
            </w:pPr>
            <w:r>
              <w:rPr>
                <w:rFonts w:hint="eastAsia" w:eastAsia="宋体" w:cs="Times New Roman"/>
                <w:color w:val="auto"/>
                <w:kern w:val="0"/>
                <w:sz w:val="22"/>
                <w:szCs w:val="22"/>
                <w:highlight w:val="none"/>
                <w:lang w:val="en-US" w:eastAsia="zh-CN" w:bidi="ar-SA"/>
              </w:rPr>
              <w:t>7.5</w:t>
            </w:r>
          </w:p>
        </w:tc>
        <w:tc>
          <w:tcPr>
            <w:tcW w:w="1191"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default" w:ascii="Times New Roman" w:hAnsi="Times New Roman" w:eastAsia="宋体" w:cs="Times New Roman"/>
                <w:color w:val="auto"/>
                <w:sz w:val="22"/>
                <w:szCs w:val="22"/>
                <w:highlight w:val="none"/>
                <w:lang w:val="en-US" w:eastAsia="zh-CN"/>
              </w:rPr>
              <w:t>6~9</w:t>
            </w:r>
          </w:p>
        </w:tc>
        <w:tc>
          <w:tcPr>
            <w:tcW w:w="74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eastAsia" w:ascii="Times New Roman" w:hAnsi="Times New Roman" w:eastAsia="宋体" w:cs="Times New Roman"/>
                <w:color w:val="auto"/>
                <w:sz w:val="22"/>
                <w:szCs w:val="22"/>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3"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734" w:type="pct"/>
            <w:vMerge w:val="continue"/>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833"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Times New Roman" w:cs="Times New Roman"/>
                <w:color w:val="auto"/>
                <w:kern w:val="0"/>
                <w:sz w:val="22"/>
                <w:szCs w:val="22"/>
                <w:highlight w:val="none"/>
                <w:lang w:val="en-US" w:eastAsia="zh-CN" w:bidi="ar-SA"/>
              </w:rPr>
            </w:pPr>
            <w:r>
              <w:rPr>
                <w:color w:val="auto"/>
                <w:sz w:val="22"/>
                <w:szCs w:val="22"/>
                <w:highlight w:val="none"/>
              </w:rPr>
              <w:t>COD</w:t>
            </w:r>
          </w:p>
        </w:tc>
        <w:tc>
          <w:tcPr>
            <w:tcW w:w="1080"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2"/>
                <w:highlight w:val="none"/>
                <w:lang w:val="en-US" w:eastAsia="zh-CN" w:bidi="ar-SA"/>
              </w:rPr>
            </w:pPr>
            <w:r>
              <w:rPr>
                <w:rFonts w:hint="eastAsia" w:eastAsia="宋体" w:cs="Times New Roman"/>
                <w:color w:val="auto"/>
                <w:kern w:val="0"/>
                <w:sz w:val="22"/>
                <w:szCs w:val="22"/>
                <w:highlight w:val="none"/>
                <w:lang w:val="en-US" w:eastAsia="zh-CN" w:bidi="ar-SA"/>
              </w:rPr>
              <w:t>34</w:t>
            </w:r>
          </w:p>
        </w:tc>
        <w:tc>
          <w:tcPr>
            <w:tcW w:w="1191"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sz w:val="22"/>
                <w:szCs w:val="22"/>
                <w:highlight w:val="none"/>
                <w:lang w:val="en-US" w:eastAsia="zh-CN"/>
              </w:rPr>
              <w:t>100</w:t>
            </w:r>
          </w:p>
        </w:tc>
        <w:tc>
          <w:tcPr>
            <w:tcW w:w="74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eastAsia" w:ascii="Times New Roman" w:hAnsi="Times New Roman" w:eastAsia="宋体" w:cs="Times New Roman"/>
                <w:color w:val="auto"/>
                <w:sz w:val="22"/>
                <w:szCs w:val="22"/>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3"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734" w:type="pct"/>
            <w:vMerge w:val="continue"/>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833"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Times New Roman" w:cs="Times New Roman"/>
                <w:color w:val="auto"/>
                <w:kern w:val="0"/>
                <w:sz w:val="22"/>
                <w:szCs w:val="22"/>
                <w:highlight w:val="none"/>
                <w:lang w:val="en-US" w:eastAsia="zh-CN" w:bidi="ar-SA"/>
              </w:rPr>
            </w:pPr>
            <w:r>
              <w:rPr>
                <w:color w:val="auto"/>
                <w:sz w:val="22"/>
                <w:szCs w:val="22"/>
                <w:highlight w:val="none"/>
              </w:rPr>
              <w:t>BOD</w:t>
            </w:r>
            <w:r>
              <w:rPr>
                <w:color w:val="auto"/>
                <w:sz w:val="22"/>
                <w:szCs w:val="22"/>
                <w:highlight w:val="none"/>
                <w:vertAlign w:val="subscript"/>
              </w:rPr>
              <w:t>5</w:t>
            </w:r>
          </w:p>
        </w:tc>
        <w:tc>
          <w:tcPr>
            <w:tcW w:w="1080"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2"/>
                <w:highlight w:val="none"/>
                <w:lang w:val="en-US" w:eastAsia="zh-CN" w:bidi="ar-SA"/>
              </w:rPr>
            </w:pPr>
            <w:r>
              <w:rPr>
                <w:rFonts w:hint="eastAsia" w:eastAsia="宋体" w:cs="Times New Roman"/>
                <w:color w:val="auto"/>
                <w:kern w:val="0"/>
                <w:sz w:val="22"/>
                <w:szCs w:val="22"/>
                <w:highlight w:val="none"/>
                <w:lang w:val="en-US" w:eastAsia="zh-CN" w:bidi="ar-SA"/>
              </w:rPr>
              <w:t>12.0</w:t>
            </w:r>
          </w:p>
        </w:tc>
        <w:tc>
          <w:tcPr>
            <w:tcW w:w="1191"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sz w:val="22"/>
                <w:szCs w:val="22"/>
                <w:highlight w:val="none"/>
                <w:lang w:val="en-US" w:eastAsia="zh-CN"/>
              </w:rPr>
              <w:t>30</w:t>
            </w:r>
          </w:p>
        </w:tc>
        <w:tc>
          <w:tcPr>
            <w:tcW w:w="74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eastAsia" w:ascii="Times New Roman" w:hAnsi="Times New Roman" w:eastAsia="宋体" w:cs="Times New Roman"/>
                <w:color w:val="auto"/>
                <w:sz w:val="22"/>
                <w:szCs w:val="22"/>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3"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734" w:type="pct"/>
            <w:vMerge w:val="continue"/>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833"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Times New Roman" w:cs="Times New Roman"/>
                <w:color w:val="auto"/>
                <w:kern w:val="0"/>
                <w:sz w:val="22"/>
                <w:szCs w:val="22"/>
                <w:highlight w:val="none"/>
                <w:lang w:val="en-US" w:eastAsia="zh-CN" w:bidi="ar-SA"/>
              </w:rPr>
            </w:pPr>
            <w:r>
              <w:rPr>
                <w:color w:val="auto"/>
                <w:sz w:val="22"/>
                <w:szCs w:val="22"/>
                <w:highlight w:val="none"/>
              </w:rPr>
              <w:t>SS</w:t>
            </w:r>
          </w:p>
        </w:tc>
        <w:tc>
          <w:tcPr>
            <w:tcW w:w="1080"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2"/>
                <w:highlight w:val="none"/>
                <w:lang w:val="en-US" w:eastAsia="zh-CN" w:bidi="ar-SA"/>
              </w:rPr>
            </w:pPr>
            <w:r>
              <w:rPr>
                <w:rFonts w:hint="eastAsia" w:eastAsia="宋体" w:cs="Times New Roman"/>
                <w:color w:val="auto"/>
                <w:kern w:val="0"/>
                <w:sz w:val="22"/>
                <w:szCs w:val="22"/>
                <w:highlight w:val="none"/>
                <w:lang w:val="en-US" w:eastAsia="zh-CN" w:bidi="ar-SA"/>
              </w:rPr>
              <w:t>4L</w:t>
            </w:r>
          </w:p>
        </w:tc>
        <w:tc>
          <w:tcPr>
            <w:tcW w:w="1191"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sz w:val="22"/>
                <w:szCs w:val="22"/>
                <w:highlight w:val="none"/>
                <w:lang w:val="en-US" w:eastAsia="zh-CN"/>
              </w:rPr>
              <w:t>70</w:t>
            </w:r>
          </w:p>
        </w:tc>
        <w:tc>
          <w:tcPr>
            <w:tcW w:w="74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eastAsia" w:ascii="Times New Roman" w:hAnsi="Times New Roman" w:eastAsia="宋体" w:cs="Times New Roman"/>
                <w:color w:val="auto"/>
                <w:sz w:val="22"/>
                <w:szCs w:val="22"/>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3"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734" w:type="pct"/>
            <w:vMerge w:val="continue"/>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833"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Times New Roman" w:cs="Times New Roman"/>
                <w:color w:val="auto"/>
                <w:kern w:val="0"/>
                <w:sz w:val="22"/>
                <w:szCs w:val="22"/>
                <w:highlight w:val="none"/>
                <w:lang w:val="en-US" w:eastAsia="zh-CN" w:bidi="ar-SA"/>
              </w:rPr>
            </w:pPr>
            <w:r>
              <w:rPr>
                <w:color w:val="auto"/>
                <w:sz w:val="22"/>
                <w:szCs w:val="22"/>
                <w:highlight w:val="none"/>
              </w:rPr>
              <w:t>NH</w:t>
            </w:r>
            <w:r>
              <w:rPr>
                <w:color w:val="auto"/>
                <w:sz w:val="22"/>
                <w:szCs w:val="22"/>
                <w:highlight w:val="none"/>
                <w:vertAlign w:val="subscript"/>
              </w:rPr>
              <w:t>3</w:t>
            </w:r>
            <w:r>
              <w:rPr>
                <w:color w:val="auto"/>
                <w:sz w:val="22"/>
                <w:szCs w:val="22"/>
                <w:highlight w:val="none"/>
              </w:rPr>
              <w:t>-N</w:t>
            </w:r>
          </w:p>
        </w:tc>
        <w:tc>
          <w:tcPr>
            <w:tcW w:w="1080"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2"/>
                <w:highlight w:val="none"/>
                <w:lang w:val="en-US" w:eastAsia="zh-CN" w:bidi="ar-SA"/>
              </w:rPr>
            </w:pPr>
            <w:r>
              <w:rPr>
                <w:rFonts w:hint="eastAsia" w:eastAsia="宋体" w:cs="Times New Roman"/>
                <w:color w:val="auto"/>
                <w:kern w:val="0"/>
                <w:sz w:val="22"/>
                <w:szCs w:val="22"/>
                <w:highlight w:val="none"/>
                <w:lang w:val="en-US" w:eastAsia="zh-CN" w:bidi="ar-SA"/>
              </w:rPr>
              <w:t>11.6</w:t>
            </w:r>
          </w:p>
        </w:tc>
        <w:tc>
          <w:tcPr>
            <w:tcW w:w="1191"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sz w:val="22"/>
                <w:szCs w:val="22"/>
                <w:highlight w:val="none"/>
                <w:lang w:val="en-US" w:eastAsia="zh-CN"/>
              </w:rPr>
              <w:t>15</w:t>
            </w:r>
          </w:p>
        </w:tc>
        <w:tc>
          <w:tcPr>
            <w:tcW w:w="74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eastAsia" w:ascii="Times New Roman" w:hAnsi="Times New Roman" w:eastAsia="宋体" w:cs="Times New Roman"/>
                <w:color w:val="auto"/>
                <w:sz w:val="22"/>
                <w:szCs w:val="22"/>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3" w:type="pct"/>
            <w:vMerge w:val="continue"/>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734" w:type="pct"/>
            <w:vMerge w:val="continue"/>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2"/>
                <w:szCs w:val="22"/>
                <w:highlight w:val="none"/>
              </w:rPr>
            </w:pPr>
          </w:p>
        </w:tc>
        <w:tc>
          <w:tcPr>
            <w:tcW w:w="833"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Times New Roman" w:cs="Times New Roman"/>
                <w:color w:val="auto"/>
                <w:kern w:val="0"/>
                <w:sz w:val="22"/>
                <w:szCs w:val="22"/>
                <w:highlight w:val="none"/>
                <w:lang w:val="en-US" w:eastAsia="zh-CN" w:bidi="ar-SA"/>
              </w:rPr>
            </w:pPr>
            <w:r>
              <w:rPr>
                <w:rFonts w:hint="eastAsia" w:cs="Times New Roman"/>
                <w:color w:val="auto"/>
                <w:kern w:val="0"/>
                <w:sz w:val="22"/>
                <w:szCs w:val="22"/>
                <w:highlight w:val="none"/>
                <w:lang w:val="en-US" w:eastAsia="zh-CN" w:bidi="ar-SA"/>
              </w:rPr>
              <w:t>石油类</w:t>
            </w:r>
          </w:p>
        </w:tc>
        <w:tc>
          <w:tcPr>
            <w:tcW w:w="1080" w:type="pct"/>
            <w:vAlign w:val="center"/>
          </w:tcPr>
          <w:p>
            <w:pPr>
              <w:pStyle w:val="167"/>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auto"/>
                <w:kern w:val="0"/>
                <w:sz w:val="22"/>
                <w:szCs w:val="22"/>
                <w:highlight w:val="none"/>
                <w:lang w:val="en-US" w:eastAsia="zh-CN" w:bidi="ar-SA"/>
              </w:rPr>
            </w:pPr>
            <w:r>
              <w:rPr>
                <w:rFonts w:hint="eastAsia" w:cs="Times New Roman"/>
                <w:color w:val="auto"/>
                <w:kern w:val="0"/>
                <w:sz w:val="22"/>
                <w:szCs w:val="22"/>
                <w:highlight w:val="none"/>
                <w:lang w:val="en-US" w:eastAsia="zh-CN" w:bidi="ar-SA"/>
              </w:rPr>
              <w:t>0.67</w:t>
            </w:r>
          </w:p>
        </w:tc>
        <w:tc>
          <w:tcPr>
            <w:tcW w:w="1191" w:type="pct"/>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sz w:val="22"/>
                <w:szCs w:val="22"/>
                <w:highlight w:val="none"/>
                <w:lang w:val="en-US" w:eastAsia="zh-CN"/>
              </w:rPr>
              <w:t>10</w:t>
            </w:r>
          </w:p>
        </w:tc>
        <w:tc>
          <w:tcPr>
            <w:tcW w:w="74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eastAsia" w:ascii="Times New Roman" w:hAnsi="Times New Roman" w:eastAsia="宋体" w:cs="Times New Roman"/>
                <w:color w:val="auto"/>
                <w:sz w:val="22"/>
                <w:szCs w:val="22"/>
                <w:highlight w:val="none"/>
                <w:lang w:val="en-US" w:eastAsia="zh-CN"/>
              </w:rPr>
              <w:t>达标</w:t>
            </w:r>
          </w:p>
        </w:tc>
      </w:tr>
    </w:tbl>
    <w:p>
      <w:pPr>
        <w:bidi w:val="0"/>
        <w:spacing w:line="240" w:lineRule="auto"/>
        <w:rPr>
          <w:rFonts w:hint="eastAsia"/>
          <w:color w:val="auto"/>
          <w:highlight w:val="none"/>
          <w:lang w:eastAsia="zh-CN"/>
        </w:rPr>
      </w:pP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）大气污染防治措施</w:t>
      </w:r>
    </w:p>
    <w:p>
      <w:pPr>
        <w:bidi w:val="0"/>
        <w:rPr>
          <w:rFonts w:hint="eastAsia"/>
          <w:color w:val="auto"/>
          <w:highlight w:val="none"/>
          <w:lang w:eastAsia="zh-CN"/>
        </w:rPr>
      </w:pPr>
      <w:r>
        <w:rPr>
          <w:rFonts w:hint="eastAsia"/>
          <w:color w:val="auto"/>
          <w:highlight w:val="none"/>
          <w:lang w:eastAsia="zh-CN"/>
        </w:rPr>
        <w:t>枢纽运营期主要废气为食堂油烟，无生产废气污染源，食堂规模较小，油烟通过油烟净化器处理后排放。</w:t>
      </w:r>
    </w:p>
    <w:p>
      <w:pPr>
        <w:bidi w:val="0"/>
        <w:rPr>
          <w:color w:val="auto"/>
          <w:highlight w:val="none"/>
        </w:rPr>
      </w:pPr>
      <w:r>
        <w:rPr>
          <w:rFonts w:hint="eastAsia"/>
          <w:color w:val="auto"/>
          <w:highlight w:val="none"/>
        </w:rPr>
        <w:t>（3）噪声污染防治措施</w:t>
      </w:r>
    </w:p>
    <w:p>
      <w:pPr>
        <w:bidi w:val="0"/>
        <w:ind w:left="0" w:leftChars="0" w:firstLine="520" w:firstLineChars="200"/>
        <w:rPr>
          <w:rFonts w:hint="eastAsia"/>
          <w:color w:val="auto"/>
          <w:highlight w:val="none"/>
          <w:lang w:val="en-US" w:eastAsia="zh-CN"/>
        </w:rPr>
      </w:pPr>
      <w:r>
        <w:rPr>
          <w:rFonts w:hint="eastAsia"/>
          <w:color w:val="auto"/>
          <w:highlight w:val="none"/>
          <w:lang w:val="en-US" w:eastAsia="zh-CN"/>
        </w:rPr>
        <w:t>渭沱枢纽正常运行期间主要噪声源主要为发电机组噪声，发电机组置于地下厂房内，设置了基础建筑、隔声等措施。</w:t>
      </w:r>
    </w:p>
    <w:p>
      <w:pPr>
        <w:bidi w:val="0"/>
        <w:rPr>
          <w:rFonts w:hint="eastAsia"/>
          <w:color w:val="auto"/>
          <w:highlight w:val="none"/>
        </w:rPr>
      </w:pPr>
      <w:r>
        <w:rPr>
          <w:rFonts w:hint="eastAsia"/>
          <w:color w:val="auto"/>
          <w:highlight w:val="none"/>
        </w:rPr>
        <w:t>（4）固体废物处置措施</w:t>
      </w:r>
    </w:p>
    <w:p>
      <w:pPr>
        <w:bidi w:val="0"/>
        <w:rPr>
          <w:rFonts w:hint="eastAsia"/>
          <w:color w:val="auto"/>
          <w:highlight w:val="none"/>
          <w:lang w:val="en-US" w:eastAsia="zh-CN"/>
        </w:rPr>
      </w:pPr>
      <w:r>
        <w:rPr>
          <w:rFonts w:hint="eastAsia"/>
          <w:color w:val="auto"/>
          <w:highlight w:val="none"/>
          <w:lang w:val="en-US" w:eastAsia="zh-CN"/>
        </w:rPr>
        <w:t>渭沱枢纽运行期间固体废物主要为生活垃圾及维修期间产生危险废物。</w:t>
      </w:r>
    </w:p>
    <w:p>
      <w:pPr>
        <w:bidi w:val="0"/>
        <w:rPr>
          <w:rFonts w:hint="eastAsia"/>
          <w:color w:val="auto"/>
          <w:highlight w:val="none"/>
          <w:lang w:val="en-US" w:eastAsia="zh-CN"/>
        </w:rPr>
      </w:pPr>
      <w:r>
        <w:rPr>
          <w:rFonts w:hint="eastAsia"/>
          <w:color w:val="auto"/>
          <w:highlight w:val="none"/>
          <w:lang w:val="en-US" w:eastAsia="zh-CN"/>
        </w:rPr>
        <w:t>现有管理人员59人，生活垃圾产生量约10.78t/a，经过统一收集后由铜溪镇环卫部门定期进行清运处置。食堂厨余垃圾收集后委托有餐厨垃圾收运资质的单位拉运处理。</w:t>
      </w:r>
    </w:p>
    <w:p>
      <w:pPr>
        <w:bidi w:val="0"/>
        <w:rPr>
          <w:rFonts w:hint="default"/>
          <w:color w:val="auto"/>
          <w:highlight w:val="none"/>
          <w:lang w:val="en-US" w:eastAsia="zh-CN"/>
        </w:rPr>
      </w:pPr>
      <w:r>
        <w:rPr>
          <w:rFonts w:hint="eastAsia"/>
          <w:color w:val="auto"/>
          <w:highlight w:val="none"/>
          <w:lang w:val="en-US" w:eastAsia="zh-CN"/>
        </w:rPr>
        <w:t>危险废物主要为机械设备维修期间产生的废矿物油，废油桶、含油棉纱手套等，产生量约2.0t/a，枢纽管理区设置有1处危废暂存间，按照要求进行了防渗、防腐处理，并设置了围堰，枢纽运行过程中产生的各类危险废物在危废暂存间内规范暂存后，委托有危废处理资质的单位进行定期拉运处置。</w:t>
      </w:r>
    </w:p>
    <w:p>
      <w:pPr>
        <w:ind w:firstLine="520"/>
        <w:rPr>
          <w:rFonts w:hint="eastAsia"/>
          <w:color w:val="auto"/>
          <w:highlight w:val="none"/>
          <w:lang w:eastAsia="zh-CN"/>
        </w:rPr>
      </w:pPr>
      <w:r>
        <w:rPr>
          <w:rFonts w:hint="eastAsia"/>
          <w:color w:val="auto"/>
          <w:highlight w:val="none"/>
          <w:lang w:eastAsia="zh-CN"/>
        </w:rPr>
        <w:t>根据调查，渭沱枢纽产生的固体废物均得到了合理有效</w:t>
      </w:r>
      <w:r>
        <w:rPr>
          <w:rFonts w:hint="eastAsia"/>
          <w:color w:val="auto"/>
          <w:highlight w:val="none"/>
          <w:shd w:val="clear" w:fill="FFFFFF"/>
          <w:lang w:eastAsia="zh-CN"/>
        </w:rPr>
        <w:t>地</w:t>
      </w:r>
      <w:r>
        <w:rPr>
          <w:rFonts w:hint="eastAsia"/>
          <w:color w:val="auto"/>
          <w:highlight w:val="none"/>
          <w:lang w:eastAsia="zh-CN"/>
        </w:rPr>
        <w:t>处置，未出现随意丢弃导致环境污染事故。</w:t>
      </w:r>
    </w:p>
    <w:p>
      <w:pPr>
        <w:pStyle w:val="2"/>
        <w:spacing w:line="240" w:lineRule="auto"/>
        <w:rPr>
          <w:rFonts w:hint="eastAsia"/>
          <w:color w:val="auto"/>
          <w:highlight w:val="none"/>
          <w:lang w:eastAsia="zh-CN"/>
        </w:rPr>
      </w:pP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73"/>
        <w:gridCol w:w="4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3" w:type="dxa"/>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highlight w:val="none"/>
                <w:vertAlign w:val="baseline"/>
                <w:lang w:eastAsia="zh-CN"/>
              </w:rPr>
            </w:pPr>
            <w:r>
              <w:rPr>
                <w:color w:val="auto"/>
                <w:highlight w:val="none"/>
              </w:rPr>
              <w:drawing>
                <wp:inline distT="0" distB="0" distL="114300" distR="114300">
                  <wp:extent cx="2700020" cy="2014220"/>
                  <wp:effectExtent l="0" t="0" r="5080" b="5080"/>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27"/>
                          <a:stretch>
                            <a:fillRect/>
                          </a:stretch>
                        </pic:blipFill>
                        <pic:spPr>
                          <a:xfrm>
                            <a:off x="0" y="0"/>
                            <a:ext cx="2700020" cy="2014220"/>
                          </a:xfrm>
                          <a:prstGeom prst="rect">
                            <a:avLst/>
                          </a:prstGeom>
                          <a:noFill/>
                          <a:ln>
                            <a:noFill/>
                          </a:ln>
                        </pic:spPr>
                      </pic:pic>
                    </a:graphicData>
                  </a:graphic>
                </wp:inline>
              </w:drawing>
            </w:r>
          </w:p>
        </w:tc>
        <w:tc>
          <w:tcPr>
            <w:tcW w:w="4473" w:type="dxa"/>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highlight w:val="none"/>
                <w:vertAlign w:val="baseline"/>
                <w:lang w:eastAsia="zh-CN"/>
              </w:rPr>
            </w:pPr>
            <w:r>
              <w:rPr>
                <w:rFonts w:hint="eastAsia" w:eastAsia="宋体"/>
                <w:color w:val="auto"/>
                <w:highlight w:val="none"/>
                <w:vertAlign w:val="baseline"/>
                <w:lang w:eastAsia="zh-CN"/>
              </w:rPr>
              <w:drawing>
                <wp:inline distT="0" distB="0" distL="114300" distR="114300">
                  <wp:extent cx="2700020" cy="2025015"/>
                  <wp:effectExtent l="0" t="0" r="5080" b="13335"/>
                  <wp:docPr id="40" name="图片 40" descr="IMG_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7415"/>
                          <pic:cNvPicPr>
                            <a:picLocks noChangeAspect="1"/>
                          </pic:cNvPicPr>
                        </pic:nvPicPr>
                        <pic:blipFill>
                          <a:blip r:embed="rId28"/>
                          <a:stretch>
                            <a:fillRect/>
                          </a:stretch>
                        </pic:blipFill>
                        <pic:spPr>
                          <a:xfrm>
                            <a:off x="0" y="0"/>
                            <a:ext cx="2700020" cy="20250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3" w:type="dxa"/>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highlight w:val="none"/>
                <w:vertAlign w:val="baseline"/>
                <w:lang w:eastAsia="zh-CN"/>
              </w:rPr>
            </w:pPr>
            <w:r>
              <w:rPr>
                <w:rFonts w:hint="eastAsia"/>
                <w:color w:val="auto"/>
                <w:highlight w:val="none"/>
                <w:vertAlign w:val="baseline"/>
                <w:lang w:eastAsia="zh-CN"/>
              </w:rPr>
              <w:t>生活垃圾收集点</w:t>
            </w:r>
          </w:p>
        </w:tc>
        <w:tc>
          <w:tcPr>
            <w:tcW w:w="4473" w:type="dxa"/>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highlight w:val="none"/>
                <w:vertAlign w:val="baseline"/>
                <w:lang w:eastAsia="zh-CN"/>
              </w:rPr>
            </w:pPr>
            <w:r>
              <w:rPr>
                <w:rFonts w:hint="eastAsia"/>
                <w:color w:val="auto"/>
                <w:highlight w:val="none"/>
                <w:vertAlign w:val="baseline"/>
                <w:lang w:eastAsia="zh-CN"/>
              </w:rPr>
              <w:t>危险废物暂存间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3" w:type="dxa"/>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highlight w:val="none"/>
                <w:vertAlign w:val="baseline"/>
                <w:lang w:eastAsia="zh-CN"/>
              </w:rPr>
            </w:pPr>
            <w:r>
              <w:rPr>
                <w:color w:val="auto"/>
                <w:highlight w:val="none"/>
              </w:rPr>
              <w:drawing>
                <wp:inline distT="0" distB="0" distL="114300" distR="114300">
                  <wp:extent cx="2700020" cy="2064385"/>
                  <wp:effectExtent l="0" t="0" r="5080" b="1206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29"/>
                          <a:stretch>
                            <a:fillRect/>
                          </a:stretch>
                        </pic:blipFill>
                        <pic:spPr>
                          <a:xfrm>
                            <a:off x="0" y="0"/>
                            <a:ext cx="2700020" cy="2064385"/>
                          </a:xfrm>
                          <a:prstGeom prst="rect">
                            <a:avLst/>
                          </a:prstGeom>
                          <a:noFill/>
                          <a:ln>
                            <a:noFill/>
                          </a:ln>
                        </pic:spPr>
                      </pic:pic>
                    </a:graphicData>
                  </a:graphic>
                </wp:inline>
              </w:drawing>
            </w:r>
          </w:p>
        </w:tc>
        <w:tc>
          <w:tcPr>
            <w:tcW w:w="4473" w:type="dxa"/>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highlight w:val="none"/>
                <w:vertAlign w:val="baseline"/>
                <w:lang w:eastAsia="zh-CN"/>
              </w:rPr>
            </w:pPr>
            <w:r>
              <w:rPr>
                <w:color w:val="auto"/>
                <w:highlight w:val="none"/>
              </w:rPr>
              <w:drawing>
                <wp:inline distT="0" distB="0" distL="114300" distR="114300">
                  <wp:extent cx="2700020" cy="2038350"/>
                  <wp:effectExtent l="0" t="0" r="5080" b="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30"/>
                          <a:stretch>
                            <a:fillRect/>
                          </a:stretch>
                        </pic:blipFill>
                        <pic:spPr>
                          <a:xfrm>
                            <a:off x="0" y="0"/>
                            <a:ext cx="2700020" cy="20383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6" w:type="dxa"/>
            <w:gridSpan w:val="2"/>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highlight w:val="none"/>
                <w:vertAlign w:val="baseline"/>
                <w:lang w:eastAsia="zh-CN"/>
              </w:rPr>
            </w:pPr>
            <w:r>
              <w:rPr>
                <w:rFonts w:hint="eastAsia"/>
                <w:color w:val="auto"/>
                <w:highlight w:val="none"/>
                <w:lang w:eastAsia="zh-CN"/>
              </w:rPr>
              <w:t>危废转运联单</w:t>
            </w:r>
          </w:p>
        </w:tc>
      </w:tr>
    </w:tbl>
    <w:p>
      <w:pPr>
        <w:spacing w:line="240" w:lineRule="auto"/>
        <w:ind w:left="0" w:leftChars="0" w:firstLine="0" w:firstLineChars="0"/>
        <w:jc w:val="center"/>
        <w:rPr>
          <w:rFonts w:hint="eastAsia"/>
          <w:color w:val="auto"/>
          <w:highlight w:val="none"/>
        </w:rPr>
      </w:pPr>
    </w:p>
    <w:p>
      <w:pPr>
        <w:bidi w:val="0"/>
        <w:rPr>
          <w:color w:val="auto"/>
          <w:highlight w:val="none"/>
        </w:rPr>
      </w:pPr>
      <w:r>
        <w:rPr>
          <w:rFonts w:hint="eastAsia"/>
          <w:color w:val="auto"/>
          <w:highlight w:val="none"/>
        </w:rPr>
        <w:t>（</w:t>
      </w:r>
      <w:r>
        <w:rPr>
          <w:rFonts w:hint="eastAsia"/>
          <w:color w:val="auto"/>
          <w:highlight w:val="none"/>
          <w:lang w:val="en-US" w:eastAsia="zh-CN"/>
        </w:rPr>
        <w:t>5</w:t>
      </w:r>
      <w:r>
        <w:rPr>
          <w:rFonts w:hint="eastAsia"/>
          <w:color w:val="auto"/>
          <w:highlight w:val="none"/>
        </w:rPr>
        <w:t>）生态保护措施</w:t>
      </w:r>
    </w:p>
    <w:p>
      <w:pPr>
        <w:bidi w:val="0"/>
        <w:rPr>
          <w:rFonts w:hint="default"/>
          <w:color w:val="auto"/>
          <w:highlight w:val="none"/>
          <w:lang w:val="zh-CN"/>
        </w:rPr>
      </w:pPr>
      <w:r>
        <w:rPr>
          <w:rFonts w:hint="default"/>
          <w:color w:val="auto"/>
          <w:highlight w:val="none"/>
          <w:lang w:val="zh-CN"/>
        </w:rPr>
        <w:fldChar w:fldCharType="begin"/>
      </w:r>
      <w:r>
        <w:rPr>
          <w:rFonts w:hint="default"/>
          <w:color w:val="auto"/>
          <w:highlight w:val="none"/>
          <w:lang w:val="zh-CN"/>
        </w:rPr>
        <w:instrText xml:space="preserve"> = 1 \* GB3 \* MERGEFORMAT </w:instrText>
      </w:r>
      <w:r>
        <w:rPr>
          <w:rFonts w:hint="default"/>
          <w:color w:val="auto"/>
          <w:highlight w:val="none"/>
          <w:lang w:val="zh-CN"/>
        </w:rPr>
        <w:fldChar w:fldCharType="separate"/>
      </w:r>
      <w:r>
        <w:rPr>
          <w:color w:val="auto"/>
          <w:highlight w:val="none"/>
        </w:rPr>
        <w:t>①</w:t>
      </w:r>
      <w:r>
        <w:rPr>
          <w:rFonts w:hint="default"/>
          <w:color w:val="auto"/>
          <w:highlight w:val="none"/>
          <w:lang w:val="zh-CN"/>
        </w:rPr>
        <w:fldChar w:fldCharType="end"/>
      </w:r>
      <w:r>
        <w:rPr>
          <w:rFonts w:hint="eastAsia"/>
          <w:color w:val="auto"/>
          <w:highlight w:val="none"/>
          <w:lang w:val="zh-CN"/>
        </w:rPr>
        <w:t>陆生生态恢复</w:t>
      </w:r>
    </w:p>
    <w:p>
      <w:pPr>
        <w:bidi w:val="0"/>
        <w:rPr>
          <w:rFonts w:hint="default" w:ascii="Times New Roman" w:hAnsi="Times New Roman" w:cs="Times New Roman"/>
          <w:b w:val="0"/>
          <w:bCs w:val="0"/>
          <w:color w:val="auto"/>
          <w:kern w:val="0"/>
          <w:szCs w:val="26"/>
          <w:highlight w:val="none"/>
          <w:lang w:val="zh-CN"/>
        </w:rPr>
      </w:pPr>
      <w:r>
        <w:rPr>
          <w:rFonts w:hint="default"/>
          <w:color w:val="auto"/>
          <w:highlight w:val="none"/>
          <w:lang w:val="zh-CN"/>
        </w:rPr>
        <w:t>渭沱航电枢纽已建成多年，运营良好，生产生活区、枢纽工程区、厂房区均进行了植被恢复，区域植被恢复效果良好，覆盖率较高。厂房区主要采取了乔-灌-草相结合的形式进行了绿化。枢纽工程区两侧植被</w:t>
      </w:r>
      <w:r>
        <w:rPr>
          <w:rFonts w:hint="default"/>
          <w:color w:val="auto"/>
          <w:highlight w:val="none"/>
          <w:shd w:val="clear" w:fill="FFFFFF"/>
          <w:lang w:val="zh-CN"/>
        </w:rPr>
        <w:t>自然恢复为</w:t>
      </w:r>
      <w:r>
        <w:rPr>
          <w:rFonts w:hint="eastAsia"/>
          <w:color w:val="auto"/>
          <w:highlight w:val="none"/>
          <w:shd w:val="clear" w:fill="FFFFFF"/>
          <w:lang w:val="zh-CN"/>
        </w:rPr>
        <w:t>斑</w:t>
      </w:r>
      <w:r>
        <w:rPr>
          <w:rFonts w:hint="eastAsia"/>
          <w:color w:val="auto"/>
          <w:highlight w:val="none"/>
          <w:lang w:val="zh-CN"/>
        </w:rPr>
        <w:t>茅</w:t>
      </w:r>
      <w:r>
        <w:rPr>
          <w:rFonts w:hint="default"/>
          <w:color w:val="auto"/>
          <w:highlight w:val="none"/>
          <w:lang w:val="zh-CN"/>
        </w:rPr>
        <w:t>草丛。生产生活区进</w:t>
      </w:r>
      <w:r>
        <w:rPr>
          <w:rFonts w:hint="default" w:ascii="Times New Roman" w:hAnsi="Times New Roman" w:cs="Times New Roman"/>
          <w:b w:val="0"/>
          <w:bCs w:val="0"/>
          <w:color w:val="auto"/>
          <w:kern w:val="0"/>
          <w:szCs w:val="26"/>
          <w:highlight w:val="none"/>
          <w:lang w:val="zh-CN"/>
        </w:rPr>
        <w:t>行了复耕及植被恢复，区域常见的农作物有水稻、玉米等，常见的群系有</w:t>
      </w:r>
      <w:r>
        <w:rPr>
          <w:rFonts w:hint="eastAsia" w:cs="Times New Roman"/>
          <w:b w:val="0"/>
          <w:bCs w:val="0"/>
          <w:color w:val="auto"/>
          <w:kern w:val="0"/>
          <w:szCs w:val="26"/>
          <w:highlight w:val="none"/>
          <w:lang w:val="zh-CN"/>
        </w:rPr>
        <w:t>斑茅</w:t>
      </w:r>
      <w:r>
        <w:rPr>
          <w:rFonts w:hint="default" w:ascii="Times New Roman" w:hAnsi="Times New Roman" w:cs="Times New Roman"/>
          <w:b w:val="0"/>
          <w:bCs w:val="0"/>
          <w:color w:val="auto"/>
          <w:kern w:val="0"/>
          <w:szCs w:val="26"/>
          <w:highlight w:val="none"/>
          <w:lang w:val="zh-CN"/>
        </w:rPr>
        <w:t>草丛、白茅草丛等</w:t>
      </w:r>
      <w:r>
        <w:rPr>
          <w:rFonts w:hint="eastAsia" w:ascii="Times New Roman" w:hAnsi="Times New Roman" w:cs="Times New Roman"/>
          <w:b w:val="0"/>
          <w:bCs w:val="0"/>
          <w:color w:val="auto"/>
          <w:kern w:val="0"/>
          <w:szCs w:val="26"/>
          <w:highlight w:val="none"/>
          <w:lang w:val="zh-CN"/>
        </w:rPr>
        <w:t>。</w:t>
      </w:r>
    </w:p>
    <w:p>
      <w:pPr>
        <w:ind w:firstLine="52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fldChar w:fldCharType="begin"/>
      </w:r>
      <w:r>
        <w:rPr>
          <w:rFonts w:hint="eastAsia" w:ascii="Times New Roman" w:hAnsi="Times New Roman" w:eastAsia="宋体" w:cs="Times New Roman"/>
          <w:color w:val="auto"/>
          <w:highlight w:val="none"/>
          <w:lang w:eastAsia="zh-CN"/>
        </w:rPr>
        <w:instrText xml:space="preserve"> = 2 \* GB3 \* MERGEFORMAT </w:instrText>
      </w:r>
      <w:r>
        <w:rPr>
          <w:rFonts w:hint="eastAsia" w:ascii="Times New Roman" w:hAnsi="Times New Roman" w:eastAsia="宋体" w:cs="Times New Roman"/>
          <w:color w:val="auto"/>
          <w:highlight w:val="none"/>
          <w:lang w:eastAsia="zh-CN"/>
        </w:rPr>
        <w:fldChar w:fldCharType="separate"/>
      </w:r>
      <w:r>
        <w:rPr>
          <w:color w:val="auto"/>
          <w:highlight w:val="none"/>
        </w:rPr>
        <w:t>②</w:t>
      </w:r>
      <w:r>
        <w:rPr>
          <w:rFonts w:hint="eastAsia" w:ascii="Times New Roman" w:hAnsi="Times New Roman" w:eastAsia="宋体" w:cs="Times New Roman"/>
          <w:color w:val="auto"/>
          <w:highlight w:val="none"/>
          <w:lang w:eastAsia="zh-CN"/>
        </w:rPr>
        <w:fldChar w:fldCharType="end"/>
      </w:r>
      <w:r>
        <w:rPr>
          <w:rFonts w:hint="eastAsia" w:ascii="Times New Roman" w:hAnsi="Times New Roman" w:eastAsia="宋体" w:cs="Times New Roman"/>
          <w:color w:val="auto"/>
          <w:highlight w:val="none"/>
          <w:lang w:eastAsia="zh-CN"/>
        </w:rPr>
        <w:t>生态流量泄放</w:t>
      </w:r>
    </w:p>
    <w:p>
      <w:pPr>
        <w:bidi w:val="0"/>
        <w:rPr>
          <w:rFonts w:hint="default"/>
          <w:color w:val="auto"/>
          <w:highlight w:val="none"/>
          <w:lang w:val="en-US" w:eastAsia="zh-CN"/>
        </w:rPr>
      </w:pPr>
      <w:r>
        <w:rPr>
          <w:rFonts w:hint="eastAsia" w:ascii="Times New Roman" w:hAnsi="Times New Roman" w:eastAsia="宋体" w:cs="Times New Roman"/>
          <w:color w:val="auto"/>
          <w:highlight w:val="none"/>
          <w:lang w:eastAsia="zh-CN"/>
        </w:rPr>
        <w:t>根据重庆市合川区水利局、合川区生态环境局生态流量核定结果，渭沱电站</w:t>
      </w:r>
      <w:r>
        <w:rPr>
          <w:rFonts w:hint="eastAsia" w:ascii="Times New Roman" w:hAnsi="Times New Roman" w:eastAsia="宋体" w:cs="Times New Roman"/>
          <w:color w:val="auto"/>
          <w:highlight w:val="none"/>
        </w:rPr>
        <w:t>生态流量下泄核定值为53.5m³/s（按照坝址所在涪江干流多年年平均径流量10%计）</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渭沱水电站是坝后式电站，</w:t>
      </w:r>
      <w:r>
        <w:rPr>
          <w:rFonts w:hint="eastAsia" w:ascii="Times New Roman" w:hAnsi="Times New Roman" w:eastAsia="宋体" w:cs="Times New Roman"/>
          <w:color w:val="auto"/>
          <w:highlight w:val="none"/>
          <w:lang w:eastAsia="zh-CN"/>
        </w:rPr>
        <w:t>共设置</w:t>
      </w:r>
      <w:r>
        <w:rPr>
          <w:rFonts w:hint="eastAsia" w:ascii="Times New Roman" w:hAnsi="Times New Roman" w:eastAsia="宋体" w:cs="Times New Roman"/>
          <w:color w:val="auto"/>
          <w:highlight w:val="none"/>
          <w:lang w:val="en-US" w:eastAsia="zh-CN"/>
        </w:rPr>
        <w:t>2</w:t>
      </w:r>
      <w:r>
        <w:rPr>
          <w:rFonts w:hint="eastAsia" w:cs="Times New Roman"/>
          <w:color w:val="auto"/>
          <w:highlight w:val="none"/>
          <w:shd w:val="clear" w:fill="FFFFFF"/>
          <w:lang w:val="en-US" w:eastAsia="zh-CN"/>
        </w:rPr>
        <w:t>台</w:t>
      </w:r>
      <w:r>
        <w:rPr>
          <w:rFonts w:hint="eastAsia" w:ascii="Times New Roman" w:hAnsi="Times New Roman" w:eastAsia="宋体" w:cs="Times New Roman"/>
          <w:color w:val="auto"/>
          <w:highlight w:val="none"/>
          <w:lang w:val="en-US" w:eastAsia="zh-CN"/>
        </w:rPr>
        <w:t>发电机组，单台机组引水流量为200m³/s，</w:t>
      </w:r>
      <w:r>
        <w:rPr>
          <w:rFonts w:hint="eastAsia" w:ascii="Times New Roman" w:hAnsi="Times New Roman" w:eastAsia="宋体" w:cs="Times New Roman"/>
          <w:color w:val="auto"/>
          <w:highlight w:val="none"/>
        </w:rPr>
        <w:t>机组正常运行期间尾水流量远大于生态流量，且草街航电枢纽正常蓄水位203m时，</w:t>
      </w:r>
      <w:r>
        <w:rPr>
          <w:rFonts w:hint="eastAsia" w:cs="Times New Roman"/>
          <w:color w:val="auto"/>
          <w:highlight w:val="none"/>
          <w:lang w:eastAsia="zh-CN"/>
        </w:rPr>
        <w:t>草街电站水库</w:t>
      </w:r>
      <w:r>
        <w:rPr>
          <w:rFonts w:hint="eastAsia" w:ascii="Times New Roman" w:hAnsi="Times New Roman" w:eastAsia="宋体" w:cs="Times New Roman"/>
          <w:color w:val="auto"/>
          <w:highlight w:val="none"/>
        </w:rPr>
        <w:t>回水至渭沱电站，</w:t>
      </w:r>
      <w:r>
        <w:rPr>
          <w:rFonts w:hint="eastAsia" w:cs="Times New Roman"/>
          <w:color w:val="auto"/>
          <w:highlight w:val="none"/>
          <w:lang w:eastAsia="zh-CN"/>
        </w:rPr>
        <w:t>与</w:t>
      </w:r>
      <w:r>
        <w:rPr>
          <w:rFonts w:hint="eastAsia" w:ascii="Times New Roman" w:hAnsi="Times New Roman" w:eastAsia="宋体" w:cs="Times New Roman"/>
          <w:color w:val="auto"/>
          <w:highlight w:val="none"/>
        </w:rPr>
        <w:t>渭沱电站发电尾水位</w:t>
      </w:r>
      <w:r>
        <w:rPr>
          <w:rFonts w:hint="eastAsia" w:cs="Times New Roman"/>
          <w:color w:val="auto"/>
          <w:highlight w:val="none"/>
          <w:lang w:eastAsia="zh-CN"/>
        </w:rPr>
        <w:t>衔接</w:t>
      </w:r>
      <w:r>
        <w:rPr>
          <w:rFonts w:hint="eastAsia" w:ascii="Times New Roman" w:hAnsi="Times New Roman" w:eastAsia="宋体" w:cs="Times New Roman"/>
          <w:color w:val="auto"/>
          <w:highlight w:val="none"/>
        </w:rPr>
        <w:t>，两个电站间无减水河段，不需</w:t>
      </w:r>
      <w:r>
        <w:rPr>
          <w:rFonts w:hint="eastAsia" w:cs="Times New Roman"/>
          <w:color w:val="auto"/>
          <w:highlight w:val="none"/>
          <w:lang w:eastAsia="zh-CN"/>
        </w:rPr>
        <w:t>额外</w:t>
      </w:r>
      <w:r>
        <w:rPr>
          <w:rFonts w:hint="eastAsia" w:ascii="Times New Roman" w:hAnsi="Times New Roman" w:eastAsia="宋体" w:cs="Times New Roman"/>
          <w:color w:val="auto"/>
          <w:highlight w:val="none"/>
        </w:rPr>
        <w:t>泄放生态流量。渭沱电站在草街电站空库运行，且两台发电机组都不运行的情况下才需进行生态流量泄放</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根据现场调查，渭沱电站采用闸门进行生态流量下泄，</w:t>
      </w:r>
      <w:r>
        <w:rPr>
          <w:rFonts w:hint="eastAsia" w:ascii="Times New Roman" w:hAnsi="Times New Roman" w:eastAsia="宋体" w:cs="Times New Roman"/>
          <w:color w:val="auto"/>
          <w:highlight w:val="none"/>
          <w:lang w:eastAsia="zh-CN"/>
        </w:rPr>
        <w:t>生态流量泄放值可满足要求，同时设置了生态</w:t>
      </w:r>
      <w:r>
        <w:rPr>
          <w:rFonts w:hint="eastAsia"/>
          <w:color w:val="auto"/>
          <w:highlight w:val="none"/>
          <w:lang w:eastAsia="zh-CN"/>
        </w:rPr>
        <w:t>流量泄放监控及监测设施</w:t>
      </w:r>
      <w:r>
        <w:rPr>
          <w:rFonts w:hint="eastAsia"/>
          <w:color w:val="auto"/>
          <w:highlight w:val="none"/>
        </w:rPr>
        <w:t>。</w:t>
      </w:r>
      <w:r>
        <w:rPr>
          <w:rFonts w:hint="eastAsia"/>
          <w:color w:val="auto"/>
          <w:highlight w:val="none"/>
          <w:lang w:val="en-US" w:eastAsia="zh-CN"/>
        </w:rPr>
        <w:t xml:space="preserve">   </w:t>
      </w:r>
    </w:p>
    <w:p>
      <w:pPr>
        <w:pStyle w:val="5"/>
        <w:ind w:firstLine="522"/>
        <w:rPr>
          <w:color w:val="auto"/>
          <w:highlight w:val="none"/>
        </w:rPr>
      </w:pPr>
      <w:r>
        <w:rPr>
          <w:rFonts w:hint="eastAsia"/>
          <w:color w:val="auto"/>
          <w:highlight w:val="none"/>
          <w:lang w:eastAsia="zh-CN"/>
        </w:rPr>
        <w:t>环境影响回顾性评价</w:t>
      </w:r>
    </w:p>
    <w:p>
      <w:pPr>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）地表水环境影响回顾性评价</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1 \* GB3 \* MERGEFORMAT </w:instrText>
      </w:r>
      <w:r>
        <w:rPr>
          <w:rFonts w:hint="eastAsia"/>
          <w:color w:val="auto"/>
          <w:highlight w:val="none"/>
          <w:lang w:eastAsia="zh-CN"/>
        </w:rPr>
        <w:fldChar w:fldCharType="separate"/>
      </w:r>
      <w:r>
        <w:rPr>
          <w:color w:val="auto"/>
          <w:highlight w:val="none"/>
        </w:rPr>
        <w:t>①</w:t>
      </w:r>
      <w:r>
        <w:rPr>
          <w:rFonts w:hint="eastAsia"/>
          <w:color w:val="auto"/>
          <w:highlight w:val="none"/>
          <w:lang w:eastAsia="zh-CN"/>
        </w:rPr>
        <w:fldChar w:fldCharType="end"/>
      </w:r>
      <w:r>
        <w:rPr>
          <w:rFonts w:hint="eastAsia"/>
          <w:color w:val="auto"/>
          <w:highlight w:val="none"/>
          <w:lang w:eastAsia="zh-CN"/>
        </w:rPr>
        <w:t>地表水环境质量影响回顾性评价</w:t>
      </w:r>
    </w:p>
    <w:p>
      <w:pPr>
        <w:bidi w:val="0"/>
        <w:rPr>
          <w:color w:val="auto"/>
          <w:highlight w:val="none"/>
        </w:rPr>
      </w:pPr>
      <w:r>
        <w:rPr>
          <w:color w:val="auto"/>
          <w:highlight w:val="none"/>
        </w:rPr>
        <w:t>由于</w:t>
      </w:r>
      <w:r>
        <w:rPr>
          <w:rFonts w:hint="eastAsia"/>
          <w:color w:val="auto"/>
          <w:highlight w:val="none"/>
          <w:lang w:eastAsia="zh-CN"/>
        </w:rPr>
        <w:t>渭沱枢纽建设时间较早</w:t>
      </w:r>
      <w:r>
        <w:rPr>
          <w:color w:val="auto"/>
          <w:highlight w:val="none"/>
        </w:rPr>
        <w:t>，</w:t>
      </w:r>
      <w:r>
        <w:rPr>
          <w:rFonts w:hint="eastAsia"/>
          <w:color w:val="auto"/>
          <w:highlight w:val="none"/>
          <w:lang w:eastAsia="zh-CN"/>
        </w:rPr>
        <w:t>所在</w:t>
      </w:r>
      <w:r>
        <w:rPr>
          <w:color w:val="auto"/>
          <w:highlight w:val="none"/>
        </w:rPr>
        <w:t>河段缺乏天然河道原有的水质监测数据。因此</w:t>
      </w:r>
      <w:r>
        <w:rPr>
          <w:rFonts w:hint="eastAsia"/>
          <w:color w:val="auto"/>
          <w:highlight w:val="none"/>
          <w:lang w:eastAsia="zh-CN"/>
        </w:rPr>
        <w:t>本次评价主要引用涪江干流地表水近</w:t>
      </w:r>
      <w:r>
        <w:rPr>
          <w:rFonts w:hint="eastAsia"/>
          <w:color w:val="auto"/>
          <w:highlight w:val="none"/>
          <w:lang w:val="en-US" w:eastAsia="zh-CN"/>
        </w:rPr>
        <w:t>5年例行监测数据进行环境影响回顾性评价，断面情况如下：</w:t>
      </w:r>
    </w:p>
    <w:p>
      <w:pPr>
        <w:spacing w:line="240" w:lineRule="auto"/>
        <w:ind w:firstLine="522"/>
        <w:jc w:val="center"/>
        <w:rPr>
          <w:rFonts w:ascii="Times New Roman" w:hAnsi="Times New Roman"/>
          <w:color w:val="auto"/>
          <w:sz w:val="26"/>
          <w:szCs w:val="26"/>
          <w:highlight w:val="none"/>
        </w:rPr>
      </w:pPr>
    </w:p>
    <w:p>
      <w:pPr>
        <w:spacing w:line="240" w:lineRule="auto"/>
        <w:ind w:left="0" w:leftChars="0" w:firstLine="0" w:firstLineChars="0"/>
        <w:jc w:val="center"/>
        <w:rPr>
          <w:rFonts w:ascii="Times New Roman" w:hAnsi="Times New Roman"/>
          <w:color w:val="auto"/>
          <w:sz w:val="26"/>
          <w:szCs w:val="26"/>
          <w:highlight w:val="none"/>
        </w:rPr>
      </w:pPr>
      <w:r>
        <w:rPr>
          <w:rFonts w:ascii="Times New Roman" w:hAnsi="Times New Roman"/>
          <w:color w:val="auto"/>
          <w:sz w:val="26"/>
          <w:szCs w:val="26"/>
          <w:highlight w:val="none"/>
        </w:rPr>
        <w:t>表</w:t>
      </w:r>
      <w:r>
        <w:rPr>
          <w:rFonts w:hint="eastAsia" w:ascii="Times New Roman" w:hAnsi="Times New Roman"/>
          <w:color w:val="auto"/>
          <w:sz w:val="26"/>
          <w:szCs w:val="26"/>
          <w:highlight w:val="none"/>
          <w:lang w:val="en-US" w:eastAsia="zh-CN"/>
        </w:rPr>
        <w:t>2.</w:t>
      </w:r>
      <w:r>
        <w:rPr>
          <w:rFonts w:hint="eastAsia"/>
          <w:color w:val="auto"/>
          <w:sz w:val="26"/>
          <w:szCs w:val="26"/>
          <w:highlight w:val="none"/>
          <w:lang w:val="en-US" w:eastAsia="zh-CN"/>
        </w:rPr>
        <w:t>4</w:t>
      </w:r>
      <w:r>
        <w:rPr>
          <w:rFonts w:hint="eastAsia" w:ascii="Times New Roman" w:hAnsi="Times New Roman"/>
          <w:color w:val="auto"/>
          <w:sz w:val="26"/>
          <w:szCs w:val="26"/>
          <w:highlight w:val="none"/>
          <w:lang w:val="en-US" w:eastAsia="zh-CN"/>
        </w:rPr>
        <w:t xml:space="preserve">.5-1 </w:t>
      </w:r>
      <w:r>
        <w:rPr>
          <w:rFonts w:ascii="Times New Roman" w:hAnsi="Times New Roman"/>
          <w:color w:val="auto"/>
          <w:sz w:val="26"/>
          <w:szCs w:val="26"/>
          <w:highlight w:val="none"/>
        </w:rPr>
        <w:t xml:space="preserve"> 水质监测断面基本情况表</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835"/>
        <w:gridCol w:w="1537"/>
        <w:gridCol w:w="1332"/>
        <w:gridCol w:w="3037"/>
        <w:gridCol w:w="12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ascii="Times New Roman" w:hAnsi="Times New Roman"/>
                <w:color w:val="auto"/>
                <w:kern w:val="0"/>
                <w:sz w:val="22"/>
                <w:highlight w:val="none"/>
              </w:rPr>
              <w:t>序号</w:t>
            </w:r>
          </w:p>
        </w:tc>
        <w:tc>
          <w:tcPr>
            <w:tcW w:w="83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ascii="Times New Roman" w:hAnsi="Times New Roman"/>
                <w:color w:val="auto"/>
                <w:kern w:val="0"/>
                <w:sz w:val="22"/>
                <w:highlight w:val="none"/>
              </w:rPr>
              <w:t>河流</w:t>
            </w:r>
          </w:p>
        </w:tc>
        <w:tc>
          <w:tcPr>
            <w:tcW w:w="1537"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ascii="Times New Roman" w:hAnsi="Times New Roman"/>
                <w:color w:val="auto"/>
                <w:kern w:val="0"/>
                <w:sz w:val="22"/>
                <w:highlight w:val="none"/>
              </w:rPr>
              <w:t>监测断面</w:t>
            </w:r>
          </w:p>
        </w:tc>
        <w:tc>
          <w:tcPr>
            <w:tcW w:w="1332"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ascii="Times New Roman" w:hAnsi="Times New Roman"/>
                <w:color w:val="auto"/>
                <w:kern w:val="0"/>
                <w:sz w:val="22"/>
                <w:highlight w:val="none"/>
              </w:rPr>
              <w:t>所在行政区</w:t>
            </w:r>
          </w:p>
        </w:tc>
        <w:tc>
          <w:tcPr>
            <w:tcW w:w="3037"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ascii="Times New Roman" w:hAnsi="Times New Roman"/>
                <w:color w:val="auto"/>
                <w:kern w:val="0"/>
                <w:sz w:val="22"/>
                <w:highlight w:val="none"/>
              </w:rPr>
              <w:t>断面代表性</w:t>
            </w:r>
          </w:p>
        </w:tc>
        <w:tc>
          <w:tcPr>
            <w:tcW w:w="123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ascii="Times New Roman" w:hAnsi="Times New Roman"/>
                <w:color w:val="auto"/>
                <w:kern w:val="0"/>
                <w:sz w:val="22"/>
                <w:highlight w:val="none"/>
              </w:rPr>
              <w:t>水域功能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ascii="Times New Roman" w:hAnsi="Times New Roman"/>
                <w:color w:val="auto"/>
                <w:kern w:val="0"/>
                <w:sz w:val="22"/>
                <w:highlight w:val="none"/>
              </w:rPr>
              <w:t>1</w:t>
            </w:r>
          </w:p>
        </w:tc>
        <w:tc>
          <w:tcPr>
            <w:tcW w:w="835"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ascii="Times New Roman" w:hAnsi="Times New Roman"/>
                <w:color w:val="auto"/>
                <w:kern w:val="0"/>
                <w:sz w:val="22"/>
                <w:highlight w:val="none"/>
              </w:rPr>
              <w:t>涪江干流</w:t>
            </w:r>
          </w:p>
        </w:tc>
        <w:tc>
          <w:tcPr>
            <w:tcW w:w="1537"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渭沱</w:t>
            </w:r>
            <w:r>
              <w:rPr>
                <w:rFonts w:hint="eastAsia" w:ascii="Times New Roman" w:hAnsi="Times New Roman"/>
                <w:color w:val="auto"/>
                <w:kern w:val="0"/>
                <w:sz w:val="22"/>
                <w:highlight w:val="none"/>
                <w:lang w:eastAsia="zh-CN"/>
              </w:rPr>
              <w:t>电站库区</w:t>
            </w:r>
          </w:p>
        </w:tc>
        <w:tc>
          <w:tcPr>
            <w:tcW w:w="1332"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合川区</w:t>
            </w:r>
          </w:p>
        </w:tc>
        <w:tc>
          <w:tcPr>
            <w:tcW w:w="3037"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渭沱电站库区河段</w:t>
            </w:r>
          </w:p>
        </w:tc>
        <w:tc>
          <w:tcPr>
            <w:tcW w:w="123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hint="eastAsia" w:ascii="宋体" w:hAnsi="宋体" w:cs="宋体"/>
                <w:color w:val="auto"/>
                <w:kern w:val="0"/>
                <w:sz w:val="22"/>
                <w:highlight w:val="none"/>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ascii="Times New Roman" w:hAnsi="Times New Roman"/>
                <w:color w:val="auto"/>
                <w:kern w:val="0"/>
                <w:sz w:val="22"/>
                <w:highlight w:val="none"/>
              </w:rPr>
              <w:t>2</w:t>
            </w:r>
          </w:p>
        </w:tc>
        <w:tc>
          <w:tcPr>
            <w:tcW w:w="835"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p>
        </w:tc>
        <w:tc>
          <w:tcPr>
            <w:tcW w:w="1537"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大桥断面</w:t>
            </w:r>
          </w:p>
        </w:tc>
        <w:tc>
          <w:tcPr>
            <w:tcW w:w="1332"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合川区</w:t>
            </w:r>
          </w:p>
        </w:tc>
        <w:tc>
          <w:tcPr>
            <w:tcW w:w="3037"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涪江河口、</w:t>
            </w:r>
            <w:r>
              <w:rPr>
                <w:rFonts w:hint="eastAsia" w:ascii="Times New Roman" w:hAnsi="Times New Roman"/>
                <w:color w:val="auto"/>
                <w:kern w:val="0"/>
                <w:sz w:val="22"/>
                <w:highlight w:val="none"/>
                <w:lang w:eastAsia="zh-CN"/>
              </w:rPr>
              <w:t>渭沱电站下游河段</w:t>
            </w:r>
          </w:p>
        </w:tc>
        <w:tc>
          <w:tcPr>
            <w:tcW w:w="123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hint="eastAsia" w:ascii="宋体" w:hAnsi="宋体" w:cs="宋体"/>
                <w:color w:val="auto"/>
                <w:kern w:val="0"/>
                <w:sz w:val="22"/>
                <w:highlight w:val="none"/>
              </w:rPr>
              <w:t>Ⅲ</w:t>
            </w:r>
          </w:p>
        </w:tc>
      </w:tr>
    </w:tbl>
    <w:p>
      <w:pPr>
        <w:spacing w:line="240" w:lineRule="auto"/>
        <w:ind w:firstLine="520"/>
        <w:rPr>
          <w:rFonts w:ascii="Times New Roman" w:hAnsi="Times New Roman"/>
          <w:color w:val="auto"/>
          <w:sz w:val="26"/>
          <w:szCs w:val="26"/>
          <w:highlight w:val="none"/>
        </w:rPr>
      </w:pPr>
    </w:p>
    <w:p>
      <w:pPr>
        <w:spacing w:line="480" w:lineRule="exact"/>
        <w:ind w:firstLine="520"/>
        <w:rPr>
          <w:rFonts w:ascii="Times New Roman" w:hAnsi="Times New Roman"/>
          <w:color w:val="auto"/>
          <w:sz w:val="26"/>
          <w:szCs w:val="26"/>
          <w:highlight w:val="none"/>
        </w:rPr>
      </w:pPr>
      <w:r>
        <w:rPr>
          <w:rFonts w:hint="eastAsia" w:ascii="Times New Roman" w:hAnsi="Times New Roman"/>
          <w:color w:val="auto"/>
          <w:sz w:val="26"/>
          <w:szCs w:val="26"/>
          <w:highlight w:val="none"/>
          <w:lang w:val="en-US" w:eastAsia="zh-CN"/>
        </w:rPr>
        <w:t>渭沱枢纽上、下游近</w:t>
      </w:r>
      <w:r>
        <w:rPr>
          <w:rFonts w:ascii="Times New Roman" w:hAnsi="Times New Roman"/>
          <w:color w:val="auto"/>
          <w:sz w:val="26"/>
          <w:szCs w:val="26"/>
          <w:highlight w:val="none"/>
        </w:rPr>
        <w:t>主要控制断面20</w:t>
      </w:r>
      <w:r>
        <w:rPr>
          <w:rFonts w:hint="eastAsia"/>
          <w:color w:val="auto"/>
          <w:sz w:val="26"/>
          <w:szCs w:val="26"/>
          <w:highlight w:val="none"/>
          <w:lang w:val="en-US" w:eastAsia="zh-CN"/>
        </w:rPr>
        <w:t>19</w:t>
      </w:r>
      <w:r>
        <w:rPr>
          <w:rFonts w:ascii="Times New Roman" w:hAnsi="Times New Roman"/>
          <w:color w:val="auto"/>
          <w:sz w:val="26"/>
          <w:szCs w:val="26"/>
          <w:highlight w:val="none"/>
        </w:rPr>
        <w:t>~</w:t>
      </w:r>
      <w:r>
        <w:rPr>
          <w:rFonts w:hint="eastAsia"/>
          <w:color w:val="auto"/>
          <w:sz w:val="26"/>
          <w:szCs w:val="26"/>
          <w:highlight w:val="none"/>
          <w:lang w:val="en-US" w:eastAsia="zh-CN"/>
        </w:rPr>
        <w:t>2023</w:t>
      </w:r>
      <w:r>
        <w:rPr>
          <w:rFonts w:ascii="Times New Roman" w:hAnsi="Times New Roman"/>
          <w:color w:val="auto"/>
          <w:sz w:val="26"/>
          <w:szCs w:val="26"/>
          <w:highlight w:val="none"/>
        </w:rPr>
        <w:t>年均水质变化详见</w:t>
      </w:r>
      <w:r>
        <w:rPr>
          <w:rFonts w:hint="eastAsia"/>
          <w:color w:val="auto"/>
          <w:sz w:val="26"/>
          <w:szCs w:val="26"/>
          <w:highlight w:val="none"/>
          <w:lang w:eastAsia="zh-CN"/>
        </w:rPr>
        <w:t>下表</w:t>
      </w:r>
      <w:r>
        <w:rPr>
          <w:rFonts w:ascii="Times New Roman" w:hAnsi="Times New Roman"/>
          <w:color w:val="auto"/>
          <w:sz w:val="26"/>
          <w:szCs w:val="26"/>
          <w:highlight w:val="none"/>
        </w:rPr>
        <w:t>；</w:t>
      </w:r>
    </w:p>
    <w:p>
      <w:pPr>
        <w:spacing w:line="240" w:lineRule="auto"/>
        <w:ind w:left="0" w:leftChars="0" w:firstLine="0" w:firstLineChars="0"/>
        <w:jc w:val="center"/>
        <w:rPr>
          <w:rFonts w:hint="eastAsia" w:ascii="Times New Roman" w:hAnsi="Times New Roman"/>
          <w:color w:val="auto"/>
          <w:sz w:val="26"/>
          <w:szCs w:val="26"/>
          <w:highlight w:val="none"/>
          <w:lang w:eastAsia="zh-CN"/>
        </w:rPr>
      </w:pPr>
    </w:p>
    <w:p>
      <w:pPr>
        <w:spacing w:line="240" w:lineRule="auto"/>
        <w:ind w:left="0" w:leftChars="0" w:firstLine="0" w:firstLineChars="0"/>
        <w:jc w:val="center"/>
        <w:rPr>
          <w:rFonts w:ascii="Times New Roman" w:hAnsi="Times New Roman"/>
          <w:color w:val="auto"/>
          <w:sz w:val="26"/>
          <w:szCs w:val="26"/>
          <w:highlight w:val="none"/>
        </w:rPr>
      </w:pPr>
      <w:r>
        <w:rPr>
          <w:rFonts w:ascii="Times New Roman" w:hAnsi="Times New Roman"/>
          <w:color w:val="auto"/>
          <w:sz w:val="26"/>
          <w:szCs w:val="26"/>
          <w:highlight w:val="none"/>
        </w:rPr>
        <w:t>表</w:t>
      </w:r>
      <w:r>
        <w:rPr>
          <w:rFonts w:hint="eastAsia" w:ascii="Times New Roman" w:hAnsi="Times New Roman"/>
          <w:color w:val="auto"/>
          <w:sz w:val="26"/>
          <w:szCs w:val="26"/>
          <w:highlight w:val="none"/>
          <w:lang w:val="en-US" w:eastAsia="zh-CN"/>
        </w:rPr>
        <w:t>2.</w:t>
      </w:r>
      <w:r>
        <w:rPr>
          <w:rFonts w:hint="eastAsia"/>
          <w:color w:val="auto"/>
          <w:sz w:val="26"/>
          <w:szCs w:val="26"/>
          <w:highlight w:val="none"/>
          <w:lang w:val="en-US" w:eastAsia="zh-CN"/>
        </w:rPr>
        <w:t>4</w:t>
      </w:r>
      <w:r>
        <w:rPr>
          <w:rFonts w:hint="eastAsia" w:ascii="Times New Roman" w:hAnsi="Times New Roman"/>
          <w:color w:val="auto"/>
          <w:sz w:val="26"/>
          <w:szCs w:val="26"/>
          <w:highlight w:val="none"/>
          <w:lang w:val="en-US" w:eastAsia="zh-CN"/>
        </w:rPr>
        <w:t>.5-</w:t>
      </w:r>
      <w:r>
        <w:rPr>
          <w:rFonts w:hint="eastAsia"/>
          <w:color w:val="auto"/>
          <w:sz w:val="26"/>
          <w:szCs w:val="26"/>
          <w:highlight w:val="none"/>
          <w:lang w:val="en-US" w:eastAsia="zh-CN"/>
        </w:rPr>
        <w:t>2</w:t>
      </w:r>
      <w:r>
        <w:rPr>
          <w:rFonts w:ascii="Times New Roman" w:hAnsi="Times New Roman"/>
          <w:color w:val="auto"/>
          <w:sz w:val="26"/>
          <w:szCs w:val="26"/>
          <w:highlight w:val="none"/>
        </w:rPr>
        <w:t xml:space="preserve"> 涪江干流主要控制断面201</w:t>
      </w:r>
      <w:r>
        <w:rPr>
          <w:rFonts w:hint="eastAsia" w:ascii="Times New Roman" w:hAnsi="Times New Roman"/>
          <w:color w:val="auto"/>
          <w:sz w:val="26"/>
          <w:szCs w:val="26"/>
          <w:highlight w:val="none"/>
          <w:lang w:val="en-US" w:eastAsia="zh-CN"/>
        </w:rPr>
        <w:t>9</w:t>
      </w:r>
      <w:r>
        <w:rPr>
          <w:rFonts w:ascii="Times New Roman" w:hAnsi="Times New Roman"/>
          <w:color w:val="auto"/>
          <w:sz w:val="26"/>
          <w:szCs w:val="26"/>
          <w:highlight w:val="none"/>
        </w:rPr>
        <w:t>~20</w:t>
      </w:r>
      <w:r>
        <w:rPr>
          <w:rFonts w:hint="eastAsia" w:ascii="Times New Roman" w:hAnsi="Times New Roman"/>
          <w:color w:val="auto"/>
          <w:sz w:val="26"/>
          <w:szCs w:val="26"/>
          <w:highlight w:val="none"/>
          <w:lang w:val="en-US" w:eastAsia="zh-CN"/>
        </w:rPr>
        <w:t>23</w:t>
      </w:r>
      <w:r>
        <w:rPr>
          <w:rFonts w:ascii="Times New Roman" w:hAnsi="Times New Roman"/>
          <w:color w:val="auto"/>
          <w:sz w:val="26"/>
          <w:szCs w:val="26"/>
          <w:highlight w:val="none"/>
        </w:rPr>
        <w:t>主要因子年均水质变化表</w:t>
      </w:r>
    </w:p>
    <w:tbl>
      <w:tblPr>
        <w:tblStyle w:val="28"/>
        <w:tblW w:w="484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7"/>
        <w:gridCol w:w="1181"/>
        <w:gridCol w:w="1166"/>
        <w:gridCol w:w="944"/>
        <w:gridCol w:w="944"/>
        <w:gridCol w:w="944"/>
        <w:gridCol w:w="944"/>
        <w:gridCol w:w="944"/>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ascii="Times New Roman" w:hAnsi="Times New Roman"/>
                <w:color w:val="auto"/>
                <w:kern w:val="0"/>
                <w:sz w:val="22"/>
                <w:highlight w:val="none"/>
              </w:rPr>
              <w:t>河流</w:t>
            </w:r>
          </w:p>
        </w:tc>
        <w:tc>
          <w:tcPr>
            <w:tcW w:w="1181"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ascii="Times New Roman" w:hAnsi="Times New Roman"/>
                <w:color w:val="auto"/>
                <w:kern w:val="0"/>
                <w:sz w:val="22"/>
                <w:highlight w:val="none"/>
              </w:rPr>
              <w:t>监测断面</w:t>
            </w:r>
          </w:p>
        </w:tc>
        <w:tc>
          <w:tcPr>
            <w:tcW w:w="1166"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ascii="Times New Roman" w:hAnsi="Times New Roman"/>
                <w:color w:val="auto"/>
                <w:kern w:val="0"/>
                <w:sz w:val="22"/>
                <w:highlight w:val="none"/>
              </w:rPr>
              <w:t>监测因子</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2019</w:t>
            </w:r>
            <w:r>
              <w:rPr>
                <w:rFonts w:hint="eastAsia" w:ascii="Times New Roman" w:hAnsi="Times New Roman"/>
                <w:color w:val="auto"/>
                <w:kern w:val="0"/>
                <w:sz w:val="22"/>
                <w:highlight w:val="none"/>
                <w:lang w:eastAsia="zh-CN"/>
              </w:rPr>
              <w:t>年</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2020</w:t>
            </w:r>
            <w:r>
              <w:rPr>
                <w:rFonts w:hint="eastAsia" w:ascii="Times New Roman" w:hAnsi="Times New Roman"/>
                <w:color w:val="auto"/>
                <w:kern w:val="0"/>
                <w:sz w:val="22"/>
                <w:highlight w:val="none"/>
                <w:lang w:eastAsia="zh-CN"/>
              </w:rPr>
              <w:t>年</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olor w:val="auto"/>
                <w:kern w:val="0"/>
                <w:sz w:val="22"/>
                <w:highlight w:val="none"/>
                <w:lang w:val="en-US" w:eastAsia="zh-CN"/>
              </w:rPr>
            </w:pPr>
            <w:r>
              <w:rPr>
                <w:rFonts w:hint="eastAsia" w:ascii="Times New Roman" w:hAnsi="Times New Roman"/>
                <w:color w:val="auto"/>
                <w:kern w:val="0"/>
                <w:sz w:val="22"/>
                <w:highlight w:val="none"/>
                <w:lang w:val="en-US" w:eastAsia="zh-CN"/>
              </w:rPr>
              <w:t>2021年</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olor w:val="auto"/>
                <w:kern w:val="0"/>
                <w:sz w:val="22"/>
                <w:highlight w:val="none"/>
                <w:lang w:val="en-US" w:eastAsia="zh-CN"/>
              </w:rPr>
            </w:pPr>
            <w:r>
              <w:rPr>
                <w:rFonts w:hint="eastAsia" w:ascii="Times New Roman" w:hAnsi="Times New Roman"/>
                <w:color w:val="auto"/>
                <w:kern w:val="0"/>
                <w:sz w:val="22"/>
                <w:highlight w:val="none"/>
                <w:lang w:val="en-US" w:eastAsia="zh-CN"/>
              </w:rPr>
              <w:t>2022年</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olor w:val="auto"/>
                <w:kern w:val="0"/>
                <w:sz w:val="22"/>
                <w:highlight w:val="none"/>
                <w:lang w:val="en-US" w:eastAsia="zh-CN"/>
              </w:rPr>
            </w:pPr>
            <w:r>
              <w:rPr>
                <w:rFonts w:hint="eastAsia" w:ascii="Times New Roman" w:hAnsi="Times New Roman"/>
                <w:color w:val="auto"/>
                <w:kern w:val="0"/>
                <w:sz w:val="22"/>
                <w:highlight w:val="none"/>
                <w:lang w:val="en-US" w:eastAsia="zh-CN"/>
              </w:rPr>
              <w:t>2023年</w:t>
            </w:r>
          </w:p>
        </w:tc>
        <w:tc>
          <w:tcPr>
            <w:tcW w:w="94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auto"/>
                <w:kern w:val="0"/>
                <w:sz w:val="22"/>
                <w:highlight w:val="none"/>
                <w:lang w:eastAsia="zh-CN"/>
              </w:rPr>
            </w:pPr>
            <w:r>
              <w:rPr>
                <w:rFonts w:hint="eastAsia" w:ascii="宋体" w:hAnsi="宋体" w:eastAsia="宋体" w:cs="宋体"/>
                <w:color w:val="auto"/>
                <w:sz w:val="22"/>
                <w:szCs w:val="22"/>
                <w:highlight w:val="none"/>
              </w:rPr>
              <w:t>Ⅲ</w:t>
            </w:r>
            <w:r>
              <w:rPr>
                <w:rFonts w:hint="eastAsia" w:ascii="宋体" w:hAnsi="宋体" w:eastAsia="宋体" w:cs="宋体"/>
                <w:color w:val="auto"/>
                <w:sz w:val="22"/>
                <w:szCs w:val="22"/>
                <w:highlight w:val="none"/>
                <w:lang w:eastAsia="zh-CN"/>
              </w:rPr>
              <w:t>类</w:t>
            </w:r>
            <w:r>
              <w:rPr>
                <w:rFonts w:hint="eastAsia" w:ascii="Times New Roman" w:hAnsi="Times New Roman"/>
                <w:color w:val="auto"/>
                <w:kern w:val="0"/>
                <w:sz w:val="22"/>
                <w:highlight w:val="none"/>
                <w:lang w:eastAsia="zh-CN"/>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ascii="Times New Roman" w:hAnsi="Times New Roman"/>
                <w:color w:val="auto"/>
                <w:kern w:val="0"/>
                <w:sz w:val="22"/>
                <w:highlight w:val="none"/>
              </w:rPr>
              <w:t>涪江干流</w:t>
            </w:r>
          </w:p>
        </w:tc>
        <w:tc>
          <w:tcPr>
            <w:tcW w:w="1181"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hint="eastAsia" w:ascii="Times New Roman" w:hAnsi="Times New Roman"/>
                <w:color w:val="auto"/>
                <w:kern w:val="0"/>
                <w:sz w:val="22"/>
                <w:highlight w:val="none"/>
              </w:rPr>
              <w:t>渭沱电站库区</w:t>
            </w:r>
          </w:p>
        </w:tc>
        <w:tc>
          <w:tcPr>
            <w:tcW w:w="1166"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COD</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11</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12</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w:t>
            </w:r>
          </w:p>
        </w:tc>
        <w:tc>
          <w:tcPr>
            <w:tcW w:w="94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sz w:val="22"/>
                <w:szCs w:val="22"/>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p>
        </w:tc>
        <w:tc>
          <w:tcPr>
            <w:tcW w:w="118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p>
        </w:tc>
        <w:tc>
          <w:tcPr>
            <w:tcW w:w="1166"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NH</w:t>
            </w:r>
            <w:r>
              <w:rPr>
                <w:rFonts w:hint="eastAsia" w:cs="Times New Roman"/>
                <w:color w:val="auto"/>
                <w:kern w:val="0"/>
                <w:sz w:val="22"/>
                <w:szCs w:val="24"/>
                <w:highlight w:val="none"/>
                <w:vertAlign w:val="subscript"/>
                <w:lang w:val="en-US" w:eastAsia="zh-CN" w:bidi="ar-SA"/>
              </w:rPr>
              <w:t>3</w:t>
            </w:r>
            <w:r>
              <w:rPr>
                <w:rFonts w:hint="eastAsia" w:cs="Times New Roman"/>
                <w:color w:val="auto"/>
                <w:kern w:val="0"/>
                <w:sz w:val="22"/>
                <w:szCs w:val="24"/>
                <w:highlight w:val="none"/>
                <w:lang w:val="en-US" w:eastAsia="zh-CN" w:bidi="ar-SA"/>
              </w:rPr>
              <w:t>-N</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0.43</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0.16</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0.24</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0.23</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0.16</w:t>
            </w:r>
          </w:p>
        </w:tc>
        <w:tc>
          <w:tcPr>
            <w:tcW w:w="94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sz w:val="22"/>
                <w:szCs w:val="22"/>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p>
        </w:tc>
        <w:tc>
          <w:tcPr>
            <w:tcW w:w="118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p>
        </w:tc>
        <w:tc>
          <w:tcPr>
            <w:tcW w:w="1166"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TP</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0.08</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0.08</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0.05</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0.045</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s="Times New Roman"/>
                <w:color w:val="auto"/>
                <w:kern w:val="0"/>
                <w:sz w:val="22"/>
                <w:szCs w:val="24"/>
                <w:highlight w:val="none"/>
                <w:lang w:val="en-US" w:eastAsia="zh-CN" w:bidi="ar-SA"/>
              </w:rPr>
              <w:t>0.06</w:t>
            </w:r>
          </w:p>
        </w:tc>
        <w:tc>
          <w:tcPr>
            <w:tcW w:w="94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color w:val="auto"/>
                <w:sz w:val="22"/>
                <w:szCs w:val="22"/>
                <w:highlight w:val="none"/>
              </w:rPr>
              <w:t>≤</w:t>
            </w:r>
            <w:r>
              <w:rPr>
                <w:rFonts w:hint="eastAsia"/>
                <w:color w:val="auto"/>
                <w:sz w:val="22"/>
                <w:szCs w:val="22"/>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p>
        </w:tc>
        <w:tc>
          <w:tcPr>
            <w:tcW w:w="1181"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ascii="Times New Roman" w:hAnsi="Times New Roman"/>
                <w:color w:val="auto"/>
                <w:kern w:val="0"/>
                <w:sz w:val="22"/>
                <w:highlight w:val="none"/>
              </w:rPr>
              <w:t>大桥断面</w:t>
            </w:r>
          </w:p>
        </w:tc>
        <w:tc>
          <w:tcPr>
            <w:tcW w:w="1166"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ascii="Times New Roman" w:hAnsi="Times New Roman"/>
                <w:color w:val="auto"/>
                <w:kern w:val="0"/>
                <w:sz w:val="22"/>
                <w:highlight w:val="none"/>
              </w:rPr>
              <w:t>COD</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14.25</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14.3</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olor w:val="auto"/>
                <w:kern w:val="0"/>
                <w:sz w:val="22"/>
                <w:highlight w:val="none"/>
                <w:lang w:val="en-US" w:eastAsia="zh-CN"/>
              </w:rPr>
            </w:pPr>
            <w:r>
              <w:rPr>
                <w:rFonts w:hint="eastAsia"/>
                <w:color w:val="auto"/>
                <w:kern w:val="0"/>
                <w:sz w:val="22"/>
                <w:highlight w:val="none"/>
                <w:lang w:val="en-US" w:eastAsia="zh-CN"/>
              </w:rPr>
              <w:t>13.5</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11.5</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9.6</w:t>
            </w:r>
          </w:p>
        </w:tc>
        <w:tc>
          <w:tcPr>
            <w:tcW w:w="94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sz w:val="22"/>
                <w:szCs w:val="22"/>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p>
        </w:tc>
        <w:tc>
          <w:tcPr>
            <w:tcW w:w="118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p>
        </w:tc>
        <w:tc>
          <w:tcPr>
            <w:tcW w:w="1166"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hint="eastAsia" w:cs="Times New Roman"/>
                <w:color w:val="auto"/>
                <w:kern w:val="0"/>
                <w:sz w:val="22"/>
                <w:szCs w:val="24"/>
                <w:highlight w:val="none"/>
                <w:lang w:val="en-US" w:eastAsia="zh-CN" w:bidi="ar-SA"/>
              </w:rPr>
              <w:t>NH</w:t>
            </w:r>
            <w:r>
              <w:rPr>
                <w:rFonts w:hint="eastAsia" w:cs="Times New Roman"/>
                <w:color w:val="auto"/>
                <w:kern w:val="0"/>
                <w:sz w:val="22"/>
                <w:szCs w:val="24"/>
                <w:highlight w:val="none"/>
                <w:vertAlign w:val="subscript"/>
                <w:lang w:val="en-US" w:eastAsia="zh-CN" w:bidi="ar-SA"/>
              </w:rPr>
              <w:t>3</w:t>
            </w:r>
            <w:r>
              <w:rPr>
                <w:rFonts w:hint="eastAsia" w:cs="Times New Roman"/>
                <w:color w:val="auto"/>
                <w:kern w:val="0"/>
                <w:sz w:val="22"/>
                <w:szCs w:val="24"/>
                <w:highlight w:val="none"/>
                <w:lang w:val="en-US" w:eastAsia="zh-CN" w:bidi="ar-SA"/>
              </w:rPr>
              <w:t>-N</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0.23</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0.2</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olor w:val="auto"/>
                <w:kern w:val="0"/>
                <w:sz w:val="22"/>
                <w:highlight w:val="none"/>
                <w:lang w:val="en-US" w:eastAsia="zh-CN"/>
              </w:rPr>
            </w:pPr>
            <w:r>
              <w:rPr>
                <w:rFonts w:hint="eastAsia"/>
                <w:color w:val="auto"/>
                <w:kern w:val="0"/>
                <w:sz w:val="22"/>
                <w:highlight w:val="none"/>
                <w:lang w:val="en-US" w:eastAsia="zh-CN"/>
              </w:rPr>
              <w:t>0.25</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0.19</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0.18</w:t>
            </w:r>
          </w:p>
        </w:tc>
        <w:tc>
          <w:tcPr>
            <w:tcW w:w="94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sz w:val="22"/>
                <w:szCs w:val="22"/>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p>
        </w:tc>
        <w:tc>
          <w:tcPr>
            <w:tcW w:w="118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p>
        </w:tc>
        <w:tc>
          <w:tcPr>
            <w:tcW w:w="1166"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rFonts w:ascii="Times New Roman" w:hAnsi="Times New Roman"/>
                <w:color w:val="auto"/>
                <w:kern w:val="0"/>
                <w:sz w:val="22"/>
                <w:highlight w:val="none"/>
              </w:rPr>
              <w:t>TP</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0.115</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rFonts w:ascii="Times New Roman" w:hAnsi="Times New Roman"/>
                <w:color w:val="auto"/>
                <w:kern w:val="0"/>
                <w:sz w:val="22"/>
                <w:highlight w:val="none"/>
              </w:rPr>
              <w:t>0.057</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olor w:val="auto"/>
                <w:kern w:val="0"/>
                <w:sz w:val="22"/>
                <w:highlight w:val="none"/>
                <w:lang w:val="en-US" w:eastAsia="zh-CN"/>
              </w:rPr>
            </w:pPr>
            <w:r>
              <w:rPr>
                <w:rFonts w:hint="eastAsia"/>
                <w:color w:val="auto"/>
                <w:kern w:val="0"/>
                <w:sz w:val="22"/>
                <w:highlight w:val="none"/>
                <w:lang w:val="en-US" w:eastAsia="zh-CN"/>
              </w:rPr>
              <w:t>0.074</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0.075</w:t>
            </w:r>
          </w:p>
        </w:tc>
        <w:tc>
          <w:tcPr>
            <w:tcW w:w="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lang w:val="en-US" w:eastAsia="zh-CN"/>
              </w:rPr>
              <w:t>0.068</w:t>
            </w:r>
          </w:p>
        </w:tc>
        <w:tc>
          <w:tcPr>
            <w:tcW w:w="94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0"/>
                <w:sz w:val="22"/>
                <w:szCs w:val="24"/>
                <w:highlight w:val="none"/>
                <w:lang w:val="en-US" w:eastAsia="zh-CN" w:bidi="ar-SA"/>
              </w:rPr>
            </w:pPr>
            <w:r>
              <w:rPr>
                <w:color w:val="auto"/>
                <w:sz w:val="22"/>
                <w:szCs w:val="22"/>
                <w:highlight w:val="none"/>
              </w:rPr>
              <w:t>≤0.2</w:t>
            </w:r>
          </w:p>
        </w:tc>
      </w:tr>
    </w:tbl>
    <w:p>
      <w:pPr>
        <w:bidi w:val="0"/>
        <w:spacing w:line="240" w:lineRule="auto"/>
        <w:rPr>
          <w:rFonts w:hint="eastAsia"/>
          <w:color w:val="auto"/>
          <w:highlight w:val="none"/>
          <w:lang w:eastAsia="zh-CN"/>
        </w:rPr>
      </w:pPr>
    </w:p>
    <w:tbl>
      <w:tblPr>
        <w:tblStyle w:val="28"/>
        <w:tblW w:w="4845"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66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669"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color w:val="auto"/>
                <w:highlight w:val="none"/>
              </w:rPr>
              <w:drawing>
                <wp:inline distT="0" distB="0" distL="114300" distR="114300">
                  <wp:extent cx="4500245" cy="2700020"/>
                  <wp:effectExtent l="4445" t="4445" r="10160" b="19685"/>
                  <wp:docPr id="3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669"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color w:val="auto"/>
                <w:highlight w:val="none"/>
              </w:rPr>
              <w:drawing>
                <wp:inline distT="0" distB="0" distL="114300" distR="114300">
                  <wp:extent cx="4500245" cy="2700020"/>
                  <wp:effectExtent l="4445" t="4445" r="10160" b="19685"/>
                  <wp:docPr id="32"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669"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2"/>
                <w:highlight w:val="none"/>
              </w:rPr>
            </w:pPr>
            <w:r>
              <w:rPr>
                <w:color w:val="auto"/>
                <w:highlight w:val="none"/>
              </w:rPr>
              <w:drawing>
                <wp:inline distT="0" distB="0" distL="114300" distR="114300">
                  <wp:extent cx="4500245" cy="2663825"/>
                  <wp:effectExtent l="4445" t="4445" r="10160" b="17780"/>
                  <wp:docPr id="34"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bl>
    <w:p>
      <w:pPr>
        <w:bidi w:val="0"/>
        <w:spacing w:line="240" w:lineRule="auto"/>
        <w:ind w:left="0" w:leftChars="0" w:firstLine="0" w:firstLineChars="0"/>
        <w:jc w:val="center"/>
        <w:rPr>
          <w:rFonts w:hint="default"/>
          <w:color w:val="auto"/>
          <w:highlight w:val="none"/>
          <w:lang w:val="en-US" w:eastAsia="zh-CN"/>
        </w:rPr>
      </w:pPr>
      <w:r>
        <w:rPr>
          <w:rFonts w:hint="eastAsia"/>
          <w:color w:val="auto"/>
          <w:highlight w:val="none"/>
          <w:lang w:eastAsia="zh-CN"/>
        </w:rPr>
        <w:t>图</w:t>
      </w:r>
      <w:r>
        <w:rPr>
          <w:rFonts w:hint="eastAsia"/>
          <w:color w:val="auto"/>
          <w:highlight w:val="none"/>
          <w:lang w:val="en-US" w:eastAsia="zh-CN"/>
        </w:rPr>
        <w:t>2.4.5-1  渭沱电站上、下游例行监测断面主要污染因子变化趋势图</w:t>
      </w:r>
    </w:p>
    <w:p>
      <w:pPr>
        <w:bidi w:val="0"/>
        <w:spacing w:line="240" w:lineRule="auto"/>
        <w:rPr>
          <w:rFonts w:hint="eastAsia"/>
          <w:color w:val="auto"/>
          <w:sz w:val="26"/>
          <w:szCs w:val="26"/>
          <w:highlight w:val="none"/>
          <w:lang w:eastAsia="zh-CN"/>
        </w:rPr>
      </w:pPr>
    </w:p>
    <w:p>
      <w:pPr>
        <w:bidi w:val="0"/>
        <w:rPr>
          <w:rFonts w:hint="eastAsia" w:eastAsia="宋体"/>
          <w:color w:val="auto"/>
          <w:highlight w:val="none"/>
          <w:lang w:eastAsia="zh-CN"/>
        </w:rPr>
      </w:pPr>
      <w:r>
        <w:rPr>
          <w:rFonts w:hint="eastAsia"/>
          <w:color w:val="auto"/>
          <w:sz w:val="26"/>
          <w:szCs w:val="26"/>
          <w:highlight w:val="none"/>
          <w:lang w:eastAsia="zh-CN"/>
        </w:rPr>
        <w:t>根据例行监测结果显示，渭沱枢纽上游库区断面、下游大桥断面近5年可稳定达到</w:t>
      </w:r>
      <w:r>
        <w:rPr>
          <w:rFonts w:hint="eastAsia"/>
          <w:color w:val="auto"/>
          <w:sz w:val="26"/>
          <w:szCs w:val="26"/>
          <w:highlight w:val="none"/>
          <w:shd w:val="clear" w:fill="FFFFFF"/>
          <w:lang w:eastAsia="zh-CN"/>
        </w:rPr>
        <w:t>III类</w:t>
      </w:r>
      <w:r>
        <w:rPr>
          <w:rFonts w:hint="eastAsia"/>
          <w:color w:val="auto"/>
          <w:sz w:val="26"/>
          <w:szCs w:val="26"/>
          <w:highlight w:val="none"/>
          <w:lang w:eastAsia="zh-CN"/>
        </w:rPr>
        <w:t>水域环境功能标准，且</w:t>
      </w:r>
      <w:r>
        <w:rPr>
          <w:rFonts w:hint="eastAsia"/>
          <w:color w:val="auto"/>
          <w:sz w:val="26"/>
          <w:szCs w:val="26"/>
          <w:highlight w:val="none"/>
          <w:lang w:val="en-US" w:eastAsia="zh-CN"/>
        </w:rPr>
        <w:t>2020</w:t>
      </w:r>
      <w:r>
        <w:rPr>
          <w:rFonts w:hint="eastAsia"/>
          <w:color w:val="auto"/>
          <w:sz w:val="26"/>
          <w:szCs w:val="26"/>
          <w:highlight w:val="none"/>
          <w:lang w:eastAsia="zh-CN"/>
        </w:rPr>
        <w:t>年至今，大多数时段水质可达到Ⅱ类水域标准要求，</w:t>
      </w:r>
      <w:r>
        <w:rPr>
          <w:rFonts w:ascii="Times New Roman" w:hAnsi="Times New Roman"/>
          <w:color w:val="auto"/>
          <w:sz w:val="26"/>
          <w:szCs w:val="26"/>
          <w:highlight w:val="none"/>
        </w:rPr>
        <w:t>COD、</w:t>
      </w:r>
      <w:r>
        <w:rPr>
          <w:rFonts w:hint="eastAsia" w:cs="Times New Roman"/>
          <w:color w:val="auto"/>
          <w:kern w:val="0"/>
          <w:sz w:val="26"/>
          <w:szCs w:val="26"/>
          <w:highlight w:val="none"/>
          <w:lang w:val="en-US" w:eastAsia="zh-CN" w:bidi="ar-SA"/>
        </w:rPr>
        <w:t>NH</w:t>
      </w:r>
      <w:r>
        <w:rPr>
          <w:rFonts w:hint="eastAsia" w:cs="Times New Roman"/>
          <w:color w:val="auto"/>
          <w:kern w:val="0"/>
          <w:sz w:val="26"/>
          <w:szCs w:val="26"/>
          <w:highlight w:val="none"/>
          <w:vertAlign w:val="subscript"/>
          <w:lang w:val="en-US" w:eastAsia="zh-CN" w:bidi="ar-SA"/>
        </w:rPr>
        <w:t>3</w:t>
      </w:r>
      <w:r>
        <w:rPr>
          <w:rFonts w:hint="eastAsia" w:cs="Times New Roman"/>
          <w:color w:val="auto"/>
          <w:kern w:val="0"/>
          <w:sz w:val="26"/>
          <w:szCs w:val="26"/>
          <w:highlight w:val="none"/>
          <w:lang w:val="en-US" w:eastAsia="zh-CN" w:bidi="ar-SA"/>
        </w:rPr>
        <w:t>-N</w:t>
      </w:r>
      <w:r>
        <w:rPr>
          <w:rFonts w:ascii="Times New Roman" w:hAnsi="Times New Roman"/>
          <w:color w:val="auto"/>
          <w:sz w:val="26"/>
          <w:szCs w:val="26"/>
          <w:highlight w:val="none"/>
        </w:rPr>
        <w:t>、</w:t>
      </w:r>
      <w:r>
        <w:rPr>
          <w:rFonts w:hint="eastAsia" w:ascii="Times New Roman" w:hAnsi="Times New Roman"/>
          <w:color w:val="auto"/>
          <w:sz w:val="26"/>
          <w:szCs w:val="26"/>
          <w:highlight w:val="none"/>
          <w:lang w:val="en-US" w:eastAsia="zh-CN"/>
        </w:rPr>
        <w:t>TP</w:t>
      </w:r>
      <w:r>
        <w:rPr>
          <w:rFonts w:ascii="Times New Roman" w:hAnsi="Times New Roman"/>
          <w:color w:val="auto"/>
          <w:sz w:val="26"/>
          <w:szCs w:val="26"/>
          <w:highlight w:val="none"/>
        </w:rPr>
        <w:t>年均浓度</w:t>
      </w:r>
      <w:r>
        <w:rPr>
          <w:rFonts w:hint="eastAsia" w:ascii="Times New Roman" w:hAnsi="Times New Roman"/>
          <w:color w:val="auto"/>
          <w:sz w:val="26"/>
          <w:szCs w:val="26"/>
          <w:highlight w:val="none"/>
          <w:lang w:eastAsia="zh-CN"/>
        </w:rPr>
        <w:t>总体呈下降趋势</w:t>
      </w:r>
      <w:r>
        <w:rPr>
          <w:rFonts w:hint="eastAsia"/>
          <w:color w:val="auto"/>
          <w:sz w:val="26"/>
          <w:szCs w:val="26"/>
          <w:highlight w:val="none"/>
          <w:lang w:eastAsia="zh-CN"/>
        </w:rPr>
        <w:t>。总体来说，渭沱枢纽运行多年以来，废水产生量较少，经一体化污水处理设备处理达标后排放，未对涪江水环境质量造成影响。</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2 \* GB3 \* MERGEFORMAT </w:instrText>
      </w:r>
      <w:r>
        <w:rPr>
          <w:rFonts w:hint="eastAsia"/>
          <w:color w:val="auto"/>
          <w:highlight w:val="none"/>
          <w:lang w:eastAsia="zh-CN"/>
        </w:rPr>
        <w:fldChar w:fldCharType="separate"/>
      </w:r>
      <w:r>
        <w:rPr>
          <w:color w:val="auto"/>
          <w:highlight w:val="none"/>
        </w:rPr>
        <w:t>②</w:t>
      </w:r>
      <w:r>
        <w:rPr>
          <w:rFonts w:hint="eastAsia"/>
          <w:color w:val="auto"/>
          <w:highlight w:val="none"/>
          <w:lang w:eastAsia="zh-CN"/>
        </w:rPr>
        <w:fldChar w:fldCharType="end"/>
      </w:r>
      <w:r>
        <w:rPr>
          <w:rFonts w:hint="eastAsia"/>
          <w:color w:val="auto"/>
          <w:highlight w:val="none"/>
          <w:lang w:eastAsia="zh-CN"/>
        </w:rPr>
        <w:t>水文情势影响回顾性评价</w:t>
      </w:r>
    </w:p>
    <w:p>
      <w:pPr>
        <w:bidi w:val="0"/>
        <w:rPr>
          <w:rFonts w:hint="eastAsia"/>
          <w:color w:val="auto"/>
          <w:highlight w:val="none"/>
          <w:lang w:eastAsia="zh-CN"/>
        </w:rPr>
      </w:pPr>
      <w:r>
        <w:rPr>
          <w:rFonts w:hint="eastAsia"/>
          <w:color w:val="auto"/>
          <w:highlight w:val="none"/>
          <w:lang w:eastAsia="zh-CN"/>
        </w:rPr>
        <w:t>渭沱枢纽上游尾水衔接安居电站坝下，下游衔接草街电站尾水。</w:t>
      </w:r>
      <w:r>
        <w:rPr>
          <w:rFonts w:hint="eastAsia"/>
          <w:color w:val="auto"/>
          <w:highlight w:val="none"/>
        </w:rPr>
        <w:t>安居电站1992年建成投产，渭沱电站1993年建成投产，</w:t>
      </w:r>
      <w:r>
        <w:rPr>
          <w:color w:val="auto"/>
          <w:highlight w:val="none"/>
        </w:rPr>
        <w:t>草街航电枢纽于2012年4月中旬开始水库蓄水</w:t>
      </w:r>
      <w:r>
        <w:rPr>
          <w:rFonts w:hint="eastAsia"/>
          <w:color w:val="auto"/>
          <w:highlight w:val="none"/>
          <w:lang w:eastAsia="zh-CN"/>
        </w:rPr>
        <w:t>。故主要分析安居电站建成后的水文情势影响。</w:t>
      </w:r>
    </w:p>
    <w:p>
      <w:pPr>
        <w:bidi w:val="0"/>
        <w:rPr>
          <w:rFonts w:hint="default"/>
          <w:color w:val="auto"/>
          <w:highlight w:val="none"/>
          <w:lang w:val="en-US" w:eastAsia="zh-CN"/>
        </w:rPr>
      </w:pPr>
      <w:r>
        <w:rPr>
          <w:rFonts w:hint="eastAsia"/>
          <w:color w:val="auto"/>
          <w:highlight w:val="none"/>
          <w:lang w:val="en-US" w:eastAsia="zh-CN"/>
        </w:rPr>
        <w:t>A</w:t>
      </w:r>
      <w:r>
        <w:rPr>
          <w:rFonts w:hint="eastAsia"/>
          <w:color w:val="auto"/>
          <w:highlight w:val="none"/>
          <w:shd w:val="clear" w:fill="FFFFFF"/>
          <w:lang w:val="en-US" w:eastAsia="zh-CN"/>
        </w:rPr>
        <w:t>、</w:t>
      </w:r>
      <w:r>
        <w:rPr>
          <w:rFonts w:hint="eastAsia"/>
          <w:color w:val="auto"/>
          <w:highlight w:val="none"/>
          <w:lang w:val="en-US" w:eastAsia="zh-CN"/>
        </w:rPr>
        <w:t>水域形态影响回顾性评价</w:t>
      </w:r>
    </w:p>
    <w:p>
      <w:pPr>
        <w:bidi w:val="0"/>
        <w:rPr>
          <w:color w:val="auto"/>
          <w:highlight w:val="none"/>
        </w:rPr>
      </w:pPr>
      <w:r>
        <w:rPr>
          <w:rFonts w:hint="eastAsia"/>
          <w:color w:val="auto"/>
          <w:highlight w:val="none"/>
          <w:lang w:eastAsia="zh-CN"/>
        </w:rPr>
        <w:t>渭沱枢纽建成蓄水后</w:t>
      </w:r>
      <w:r>
        <w:rPr>
          <w:color w:val="auto"/>
          <w:highlight w:val="none"/>
        </w:rPr>
        <w:t>，实现了库区河段航道的渠化，并导致水库回水区范围内的江段水位升高，从库尾至坝前水深沿程逐渐增大，一般到坝前水深达到最大。</w:t>
      </w:r>
      <w:r>
        <w:rPr>
          <w:rFonts w:hint="eastAsia"/>
          <w:color w:val="auto"/>
          <w:highlight w:val="none"/>
          <w:lang w:eastAsia="zh-CN"/>
        </w:rPr>
        <w:t>渭沱枢纽建成后造成的水域形态变化情况</w:t>
      </w:r>
      <w:r>
        <w:rPr>
          <w:color w:val="auto"/>
          <w:highlight w:val="none"/>
        </w:rPr>
        <w:t>统计</w:t>
      </w:r>
      <w:r>
        <w:rPr>
          <w:rFonts w:hint="eastAsia"/>
          <w:color w:val="auto"/>
          <w:highlight w:val="none"/>
          <w:lang w:eastAsia="zh-CN"/>
        </w:rPr>
        <w:t>详见下表：</w:t>
      </w:r>
    </w:p>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cs="Times New Roman"/>
          <w:b/>
          <w:color w:val="auto"/>
          <w:highlight w:val="none"/>
        </w:rPr>
      </w:pPr>
    </w:p>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cs="Times New Roman"/>
          <w:b w:val="0"/>
          <w:bCs/>
          <w:color w:val="auto"/>
          <w:highlight w:val="none"/>
        </w:rPr>
      </w:pPr>
      <w:r>
        <w:rPr>
          <w:rFonts w:ascii="Times New Roman" w:hAnsi="Times New Roman" w:cs="Times New Roman"/>
          <w:b w:val="0"/>
          <w:bCs/>
          <w:color w:val="auto"/>
          <w:highlight w:val="none"/>
        </w:rPr>
        <w:t>表</w:t>
      </w:r>
      <w:r>
        <w:rPr>
          <w:rFonts w:hint="eastAsia" w:ascii="Times New Roman" w:hAnsi="Times New Roman" w:cs="Times New Roman"/>
          <w:b w:val="0"/>
          <w:bCs/>
          <w:color w:val="auto"/>
          <w:highlight w:val="none"/>
          <w:lang w:val="en-US" w:eastAsia="zh-CN"/>
        </w:rPr>
        <w:t>2.</w:t>
      </w:r>
      <w:r>
        <w:rPr>
          <w:rFonts w:hint="eastAsia" w:cs="Times New Roman"/>
          <w:b w:val="0"/>
          <w:bCs/>
          <w:color w:val="auto"/>
          <w:highlight w:val="none"/>
          <w:lang w:val="en-US" w:eastAsia="zh-CN"/>
        </w:rPr>
        <w:t>4</w:t>
      </w:r>
      <w:r>
        <w:rPr>
          <w:rFonts w:hint="eastAsia" w:ascii="Times New Roman" w:hAnsi="Times New Roman" w:cs="Times New Roman"/>
          <w:b w:val="0"/>
          <w:bCs/>
          <w:color w:val="auto"/>
          <w:highlight w:val="none"/>
          <w:lang w:val="en-US" w:eastAsia="zh-CN"/>
        </w:rPr>
        <w:t xml:space="preserve">.5-4  </w:t>
      </w:r>
      <w:r>
        <w:rPr>
          <w:rFonts w:hint="eastAsia" w:ascii="Times New Roman" w:hAnsi="Times New Roman" w:cs="Times New Roman"/>
          <w:b w:val="0"/>
          <w:bCs/>
          <w:color w:val="auto"/>
          <w:highlight w:val="none"/>
          <w:lang w:eastAsia="zh-CN"/>
        </w:rPr>
        <w:t>渭沱枢纽</w:t>
      </w:r>
      <w:r>
        <w:rPr>
          <w:rFonts w:ascii="Times New Roman" w:hAnsi="Times New Roman" w:cs="Times New Roman"/>
          <w:b w:val="0"/>
          <w:bCs/>
          <w:color w:val="auto"/>
          <w:highlight w:val="none"/>
        </w:rPr>
        <w:t>开发造成的水域形态变化</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800"/>
        <w:gridCol w:w="1150"/>
        <w:gridCol w:w="1113"/>
        <w:gridCol w:w="1337"/>
        <w:gridCol w:w="1050"/>
        <w:gridCol w:w="1325"/>
        <w:gridCol w:w="11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4"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s="Times New Roman"/>
                <w:color w:val="auto"/>
                <w:sz w:val="22"/>
                <w:szCs w:val="22"/>
                <w:highlight w:val="none"/>
              </w:rPr>
            </w:pPr>
            <w:r>
              <w:rPr>
                <w:rFonts w:ascii="Times New Roman" w:hAnsi="Times New Roman" w:cs="Times New Roman"/>
                <w:color w:val="auto"/>
                <w:sz w:val="22"/>
                <w:szCs w:val="22"/>
                <w:highlight w:val="none"/>
              </w:rPr>
              <w:t>河流</w:t>
            </w:r>
          </w:p>
        </w:tc>
        <w:tc>
          <w:tcPr>
            <w:tcW w:w="80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s="Times New Roman"/>
                <w:color w:val="auto"/>
                <w:sz w:val="22"/>
                <w:szCs w:val="22"/>
                <w:highlight w:val="none"/>
              </w:rPr>
            </w:pPr>
            <w:r>
              <w:rPr>
                <w:rFonts w:ascii="Times New Roman" w:hAnsi="Times New Roman" w:cs="Times New Roman"/>
                <w:color w:val="auto"/>
                <w:sz w:val="22"/>
                <w:szCs w:val="22"/>
                <w:highlight w:val="none"/>
              </w:rPr>
              <w:t>梯级</w:t>
            </w:r>
          </w:p>
        </w:tc>
        <w:tc>
          <w:tcPr>
            <w:tcW w:w="11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s="Times New Roman"/>
                <w:color w:val="auto"/>
                <w:sz w:val="22"/>
                <w:szCs w:val="22"/>
                <w:highlight w:val="none"/>
              </w:rPr>
            </w:pPr>
            <w:r>
              <w:rPr>
                <w:rFonts w:ascii="Times New Roman" w:hAnsi="Times New Roman" w:cs="Times New Roman"/>
                <w:color w:val="auto"/>
                <w:sz w:val="22"/>
                <w:szCs w:val="22"/>
                <w:highlight w:val="none"/>
              </w:rPr>
              <w:t>正常蓄水位（m）</w:t>
            </w:r>
          </w:p>
        </w:tc>
        <w:tc>
          <w:tcPr>
            <w:tcW w:w="1113"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s="Times New Roman"/>
                <w:color w:val="auto"/>
                <w:sz w:val="22"/>
                <w:szCs w:val="22"/>
                <w:highlight w:val="none"/>
              </w:rPr>
            </w:pPr>
            <w:r>
              <w:rPr>
                <w:rFonts w:ascii="Times New Roman" w:hAnsi="Times New Roman" w:cs="Times New Roman"/>
                <w:color w:val="auto"/>
                <w:sz w:val="22"/>
                <w:szCs w:val="22"/>
                <w:highlight w:val="none"/>
              </w:rPr>
              <w:t>渠化里程（km）</w:t>
            </w:r>
          </w:p>
        </w:tc>
        <w:tc>
          <w:tcPr>
            <w:tcW w:w="1337"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s="Times New Roman"/>
                <w:color w:val="auto"/>
                <w:sz w:val="22"/>
                <w:szCs w:val="22"/>
                <w:highlight w:val="none"/>
              </w:rPr>
            </w:pPr>
            <w:r>
              <w:rPr>
                <w:rFonts w:ascii="Times New Roman" w:hAnsi="Times New Roman" w:cs="Times New Roman"/>
                <w:color w:val="auto"/>
                <w:sz w:val="22"/>
                <w:szCs w:val="22"/>
                <w:highlight w:val="none"/>
              </w:rPr>
              <w:t>坝下减水河段（km）</w:t>
            </w:r>
          </w:p>
        </w:tc>
        <w:tc>
          <w:tcPr>
            <w:tcW w:w="10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s="Times New Roman"/>
                <w:color w:val="auto"/>
                <w:sz w:val="22"/>
                <w:szCs w:val="22"/>
                <w:highlight w:val="none"/>
              </w:rPr>
            </w:pPr>
            <w:r>
              <w:rPr>
                <w:rFonts w:ascii="Times New Roman" w:hAnsi="Times New Roman" w:cs="Times New Roman"/>
                <w:color w:val="auto"/>
                <w:sz w:val="22"/>
                <w:szCs w:val="22"/>
                <w:highlight w:val="none"/>
              </w:rPr>
              <w:t>坝前水深（m）</w:t>
            </w:r>
          </w:p>
        </w:tc>
        <w:tc>
          <w:tcPr>
            <w:tcW w:w="132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s="Times New Roman"/>
                <w:color w:val="auto"/>
                <w:sz w:val="22"/>
                <w:szCs w:val="22"/>
                <w:highlight w:val="none"/>
              </w:rPr>
            </w:pPr>
            <w:r>
              <w:rPr>
                <w:rFonts w:ascii="Times New Roman" w:hAnsi="Times New Roman" w:cs="Times New Roman"/>
                <w:color w:val="auto"/>
                <w:sz w:val="22"/>
                <w:szCs w:val="22"/>
                <w:highlight w:val="none"/>
              </w:rPr>
              <w:t>最大抬升水位（m）</w:t>
            </w:r>
          </w:p>
        </w:tc>
        <w:tc>
          <w:tcPr>
            <w:tcW w:w="11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s="Times New Roman"/>
                <w:color w:val="auto"/>
                <w:sz w:val="22"/>
                <w:szCs w:val="22"/>
                <w:highlight w:val="none"/>
              </w:rPr>
            </w:pPr>
            <w:r>
              <w:rPr>
                <w:rFonts w:ascii="Times New Roman" w:hAnsi="Times New Roman" w:cs="Times New Roman"/>
                <w:color w:val="auto"/>
                <w:sz w:val="22"/>
                <w:szCs w:val="22"/>
                <w:highlight w:val="none"/>
              </w:rPr>
              <w:t>回水末梢位置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4"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s="Times New Roman"/>
                <w:color w:val="auto"/>
                <w:sz w:val="22"/>
                <w:szCs w:val="22"/>
                <w:highlight w:val="none"/>
              </w:rPr>
            </w:pPr>
            <w:r>
              <w:rPr>
                <w:rFonts w:ascii="Times New Roman" w:hAnsi="Times New Roman" w:cs="Times New Roman"/>
                <w:color w:val="auto"/>
                <w:sz w:val="22"/>
                <w:szCs w:val="22"/>
                <w:highlight w:val="none"/>
              </w:rPr>
              <w:t>涪江</w:t>
            </w:r>
          </w:p>
        </w:tc>
        <w:tc>
          <w:tcPr>
            <w:tcW w:w="80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color w:val="auto"/>
                <w:kern w:val="2"/>
                <w:sz w:val="22"/>
                <w:szCs w:val="22"/>
                <w:highlight w:val="none"/>
                <w:lang w:val="en-US" w:eastAsia="zh-CN" w:bidi="ar-SA"/>
              </w:rPr>
            </w:pPr>
            <w:r>
              <w:rPr>
                <w:rFonts w:ascii="Times New Roman" w:hAnsi="Times New Roman" w:cs="Times New Roman"/>
                <w:color w:val="auto"/>
                <w:sz w:val="22"/>
                <w:szCs w:val="22"/>
                <w:highlight w:val="none"/>
              </w:rPr>
              <w:t>渭沱</w:t>
            </w:r>
          </w:p>
        </w:tc>
        <w:tc>
          <w:tcPr>
            <w:tcW w:w="11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color w:val="auto"/>
                <w:kern w:val="2"/>
                <w:sz w:val="22"/>
                <w:szCs w:val="22"/>
                <w:highlight w:val="none"/>
                <w:lang w:val="en-US" w:eastAsia="zh-CN" w:bidi="ar-SA"/>
              </w:rPr>
            </w:pPr>
            <w:r>
              <w:rPr>
                <w:rFonts w:ascii="Times New Roman" w:hAnsi="Times New Roman" w:cs="Times New Roman"/>
                <w:color w:val="auto"/>
                <w:sz w:val="22"/>
                <w:szCs w:val="22"/>
                <w:highlight w:val="none"/>
              </w:rPr>
              <w:t>206</w:t>
            </w:r>
          </w:p>
        </w:tc>
        <w:tc>
          <w:tcPr>
            <w:tcW w:w="1113"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color w:val="auto"/>
                <w:kern w:val="2"/>
                <w:sz w:val="22"/>
                <w:szCs w:val="22"/>
                <w:highlight w:val="none"/>
                <w:lang w:val="en-US" w:eastAsia="zh-CN" w:bidi="ar-SA"/>
              </w:rPr>
            </w:pPr>
            <w:r>
              <w:rPr>
                <w:rFonts w:ascii="Times New Roman" w:hAnsi="Times New Roman" w:cs="Times New Roman"/>
                <w:color w:val="auto"/>
                <w:sz w:val="22"/>
                <w:szCs w:val="22"/>
                <w:highlight w:val="none"/>
              </w:rPr>
              <w:t>16.6</w:t>
            </w:r>
          </w:p>
        </w:tc>
        <w:tc>
          <w:tcPr>
            <w:tcW w:w="1337"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0</w:t>
            </w:r>
          </w:p>
        </w:tc>
        <w:tc>
          <w:tcPr>
            <w:tcW w:w="10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color w:val="auto"/>
                <w:kern w:val="2"/>
                <w:sz w:val="22"/>
                <w:szCs w:val="22"/>
                <w:highlight w:val="none"/>
                <w:lang w:val="en-US" w:eastAsia="zh-CN" w:bidi="ar-SA"/>
              </w:rPr>
            </w:pPr>
            <w:r>
              <w:rPr>
                <w:rFonts w:ascii="Times New Roman" w:hAnsi="Times New Roman" w:cs="Times New Roman"/>
                <w:color w:val="auto"/>
                <w:sz w:val="22"/>
                <w:szCs w:val="22"/>
                <w:highlight w:val="none"/>
              </w:rPr>
              <w:t>8</w:t>
            </w:r>
          </w:p>
        </w:tc>
        <w:tc>
          <w:tcPr>
            <w:tcW w:w="132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color w:val="auto"/>
                <w:kern w:val="2"/>
                <w:sz w:val="22"/>
                <w:szCs w:val="22"/>
                <w:highlight w:val="none"/>
                <w:lang w:val="en-US" w:eastAsia="zh-CN" w:bidi="ar-SA"/>
              </w:rPr>
            </w:pPr>
            <w:r>
              <w:rPr>
                <w:rFonts w:ascii="Times New Roman" w:hAnsi="Times New Roman" w:cs="Times New Roman"/>
                <w:color w:val="auto"/>
                <w:sz w:val="22"/>
                <w:szCs w:val="22"/>
                <w:highlight w:val="none"/>
              </w:rPr>
              <w:t>6</w:t>
            </w:r>
          </w:p>
        </w:tc>
        <w:tc>
          <w:tcPr>
            <w:tcW w:w="11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color w:val="auto"/>
                <w:kern w:val="2"/>
                <w:sz w:val="22"/>
                <w:szCs w:val="22"/>
                <w:highlight w:val="none"/>
                <w:lang w:val="en-US" w:eastAsia="zh-CN" w:bidi="ar-SA"/>
              </w:rPr>
            </w:pPr>
            <w:r>
              <w:rPr>
                <w:rFonts w:ascii="Times New Roman" w:hAnsi="Times New Roman" w:cs="Times New Roman"/>
                <w:color w:val="auto"/>
                <w:sz w:val="22"/>
                <w:szCs w:val="22"/>
                <w:highlight w:val="none"/>
              </w:rPr>
              <w:t>安居坝址</w:t>
            </w:r>
          </w:p>
        </w:tc>
      </w:tr>
    </w:tbl>
    <w:p>
      <w:pPr>
        <w:widowControl w:val="0"/>
        <w:autoSpaceDE w:val="0"/>
        <w:autoSpaceDN w:val="0"/>
        <w:snapToGrid w:val="0"/>
        <w:spacing w:line="240" w:lineRule="auto"/>
        <w:ind w:firstLine="480"/>
        <w:rPr>
          <w:rFonts w:ascii="Times New Roman" w:hAnsi="Times New Roman" w:cs="Times New Roman"/>
          <w:color w:val="auto"/>
          <w:highlight w:val="none"/>
        </w:rPr>
      </w:pPr>
    </w:p>
    <w:p>
      <w:pPr>
        <w:bidi w:val="0"/>
        <w:rPr>
          <w:rFonts w:hint="default" w:eastAsia="宋体"/>
          <w:color w:val="auto"/>
          <w:highlight w:val="none"/>
          <w:lang w:val="en-US" w:eastAsia="zh-CN"/>
        </w:rPr>
      </w:pPr>
      <w:r>
        <w:rPr>
          <w:rFonts w:hint="eastAsia" w:ascii="Times New Roman" w:hAnsi="Times New Roman" w:cs="Times New Roman"/>
          <w:color w:val="auto"/>
          <w:highlight w:val="none"/>
          <w:lang w:eastAsia="zh-CN"/>
        </w:rPr>
        <w:t>根据统计，项目建成后形成库区河段长度约</w:t>
      </w:r>
      <w:r>
        <w:rPr>
          <w:rFonts w:hint="eastAsia" w:ascii="Times New Roman" w:hAnsi="Times New Roman" w:cs="Times New Roman"/>
          <w:color w:val="auto"/>
          <w:highlight w:val="none"/>
          <w:lang w:val="en-US" w:eastAsia="zh-CN"/>
        </w:rPr>
        <w:t>16.6km</w:t>
      </w:r>
      <w:r>
        <w:rPr>
          <w:rFonts w:hint="eastAsia" w:ascii="Times New Roman" w:hAnsi="Times New Roman" w:cs="Times New Roman"/>
          <w:color w:val="auto"/>
          <w:highlight w:val="none"/>
          <w:lang w:eastAsia="zh-CN"/>
        </w:rPr>
        <w:t>，最大抬升水位</w:t>
      </w:r>
      <w:r>
        <w:rPr>
          <w:rFonts w:hint="eastAsia" w:ascii="Times New Roman" w:hAnsi="Times New Roman" w:cs="Times New Roman"/>
          <w:color w:val="auto"/>
          <w:highlight w:val="none"/>
          <w:lang w:val="en-US" w:eastAsia="zh-CN"/>
        </w:rPr>
        <w:t>6m，</w:t>
      </w:r>
      <w:r>
        <w:rPr>
          <w:color w:val="auto"/>
          <w:highlight w:val="none"/>
        </w:rPr>
        <w:t>占涪江</w:t>
      </w:r>
      <w:r>
        <w:rPr>
          <w:rFonts w:hint="eastAsia"/>
          <w:color w:val="auto"/>
          <w:highlight w:val="none"/>
          <w:lang w:eastAsia="zh-CN"/>
        </w:rPr>
        <w:t>重庆段</w:t>
      </w:r>
      <w:r>
        <w:rPr>
          <w:color w:val="auto"/>
          <w:highlight w:val="none"/>
        </w:rPr>
        <w:t>总</w:t>
      </w:r>
      <w:r>
        <w:rPr>
          <w:rFonts w:hint="eastAsia"/>
          <w:color w:val="auto"/>
          <w:highlight w:val="none"/>
        </w:rPr>
        <w:t>河</w:t>
      </w:r>
      <w:r>
        <w:rPr>
          <w:color w:val="auto"/>
          <w:highlight w:val="none"/>
        </w:rPr>
        <w:t>长</w:t>
      </w:r>
      <w:r>
        <w:rPr>
          <w:rFonts w:hint="eastAsia"/>
          <w:color w:val="auto"/>
          <w:highlight w:val="none"/>
        </w:rPr>
        <w:t>的</w:t>
      </w:r>
      <w:r>
        <w:rPr>
          <w:rFonts w:hint="eastAsia"/>
          <w:color w:val="auto"/>
          <w:highlight w:val="none"/>
          <w:lang w:val="en-US" w:eastAsia="zh-CN"/>
        </w:rPr>
        <w:t>12.2</w:t>
      </w:r>
      <w:r>
        <w:rPr>
          <w:color w:val="auto"/>
          <w:highlight w:val="none"/>
        </w:rPr>
        <w:t>%</w:t>
      </w:r>
      <w:r>
        <w:rPr>
          <w:rFonts w:hint="eastAsia"/>
          <w:color w:val="auto"/>
          <w:highlight w:val="none"/>
          <w:lang w:eastAsia="zh-CN"/>
        </w:rPr>
        <w:t>。对于下游河段，由于渭沱枢纽为径流式</w:t>
      </w:r>
      <w:r>
        <w:rPr>
          <w:rFonts w:ascii="Times New Roman" w:hAnsi="Times New Roman" w:cs="Times New Roman"/>
          <w:color w:val="auto"/>
          <w:highlight w:val="none"/>
        </w:rPr>
        <w:t>电站</w:t>
      </w:r>
      <w:r>
        <w:rPr>
          <w:rFonts w:hint="eastAsia" w:ascii="Times New Roman" w:hAnsi="Times New Roman" w:cs="Times New Roman"/>
          <w:color w:val="auto"/>
          <w:highlight w:val="none"/>
          <w:lang w:eastAsia="zh-CN"/>
        </w:rPr>
        <w:t>，</w:t>
      </w:r>
      <w:r>
        <w:rPr>
          <w:rFonts w:hint="eastAsia" w:cs="Times New Roman"/>
          <w:color w:val="auto"/>
          <w:highlight w:val="none"/>
          <w:lang w:eastAsia="zh-CN"/>
        </w:rPr>
        <w:t>仅具备日调节功能，运行后不会产生减水河段，且随着</w:t>
      </w:r>
      <w:r>
        <w:rPr>
          <w:rFonts w:hint="eastAsia" w:cs="Times New Roman"/>
          <w:color w:val="auto"/>
          <w:highlight w:val="none"/>
          <w:lang w:val="en-US" w:eastAsia="zh-CN"/>
        </w:rPr>
        <w:t>2012年嘉陵江草街航电枢纽建成投运后，库区回水至渭沱枢纽坝下，与渭沱枢纽电站尾水相衔接，故未对下游河段造成减水现象。</w:t>
      </w:r>
    </w:p>
    <w:p>
      <w:pPr>
        <w:bidi w:val="0"/>
        <w:rPr>
          <w:rFonts w:hint="eastAsia" w:ascii="Times New Roman" w:hAnsi="Times New Roman" w:eastAsia="宋体"/>
          <w:color w:val="auto"/>
          <w:sz w:val="26"/>
          <w:szCs w:val="26"/>
          <w:highlight w:val="none"/>
          <w:lang w:val="en-US" w:eastAsia="zh-CN"/>
        </w:rPr>
      </w:pPr>
      <w:r>
        <w:rPr>
          <w:rFonts w:hint="eastAsia"/>
          <w:color w:val="auto"/>
          <w:sz w:val="26"/>
          <w:szCs w:val="26"/>
          <w:highlight w:val="none"/>
          <w:lang w:val="en-US" w:eastAsia="zh-CN"/>
        </w:rPr>
        <w:t>B</w:t>
      </w:r>
      <w:r>
        <w:rPr>
          <w:rFonts w:hint="eastAsia"/>
          <w:color w:val="auto"/>
          <w:sz w:val="26"/>
          <w:szCs w:val="26"/>
          <w:highlight w:val="none"/>
          <w:shd w:val="clear" w:fill="FFFFFF"/>
          <w:lang w:val="en-US" w:eastAsia="zh-CN"/>
        </w:rPr>
        <w:t>、</w:t>
      </w:r>
      <w:r>
        <w:rPr>
          <w:rFonts w:hint="eastAsia"/>
          <w:color w:val="auto"/>
          <w:highlight w:val="none"/>
          <w:lang w:val="en-US" w:eastAsia="zh-CN"/>
        </w:rPr>
        <w:t>径流过程影响分析</w:t>
      </w:r>
    </w:p>
    <w:p>
      <w:pPr>
        <w:bidi w:val="0"/>
        <w:rPr>
          <w:rFonts w:hint="eastAsia" w:eastAsia="宋体"/>
          <w:color w:val="auto"/>
          <w:highlight w:val="none"/>
          <w:lang w:eastAsia="zh-CN"/>
        </w:rPr>
      </w:pPr>
      <w:r>
        <w:rPr>
          <w:rFonts w:hint="eastAsia"/>
          <w:color w:val="auto"/>
          <w:highlight w:val="none"/>
          <w:lang w:eastAsia="zh-CN"/>
        </w:rPr>
        <w:t>渭沱航电枢纽系以发电为主，兼有航运的综合性水利水电工程，不具有供水等综合利用功能。根据渭沱枢纽调度运行方案：</w:t>
      </w:r>
      <w:r>
        <w:rPr>
          <w:rFonts w:hint="eastAsia"/>
          <w:color w:val="auto"/>
          <w:highlight w:val="none"/>
        </w:rPr>
        <w:t>航电枢纽坝址来水流量小于多年平均流量</w:t>
      </w:r>
      <w:r>
        <w:rPr>
          <w:color w:val="auto"/>
          <w:highlight w:val="none"/>
        </w:rPr>
        <w:t>532m³/s</w:t>
      </w:r>
      <w:r>
        <w:rPr>
          <w:rFonts w:hint="eastAsia"/>
          <w:color w:val="auto"/>
          <w:highlight w:val="none"/>
        </w:rPr>
        <w:t>、坝前水位在正常蓄水位</w:t>
      </w:r>
      <w:r>
        <w:rPr>
          <w:color w:val="auto"/>
          <w:highlight w:val="none"/>
        </w:rPr>
        <w:t>206.00m</w:t>
      </w:r>
      <w:r>
        <w:rPr>
          <w:rFonts w:hint="eastAsia"/>
          <w:color w:val="auto"/>
          <w:highlight w:val="none"/>
        </w:rPr>
        <w:t>及以下时，按电网调度正常发电，此时可不开启冲砂泄洪闸闸门。坝址来水流量</w:t>
      </w:r>
      <w:r>
        <w:rPr>
          <w:rFonts w:hint="eastAsia"/>
          <w:color w:val="auto"/>
          <w:highlight w:val="none"/>
          <w:lang w:eastAsia="zh-CN"/>
        </w:rPr>
        <w:t>超过</w:t>
      </w:r>
      <w:r>
        <w:rPr>
          <w:color w:val="auto"/>
          <w:highlight w:val="none"/>
        </w:rPr>
        <w:t>532m³/s</w:t>
      </w:r>
      <w:r>
        <w:rPr>
          <w:rFonts w:hint="eastAsia"/>
          <w:color w:val="auto"/>
          <w:highlight w:val="none"/>
          <w:lang w:eastAsia="zh-CN"/>
        </w:rPr>
        <w:t>，</w:t>
      </w:r>
      <w:r>
        <w:rPr>
          <w:rFonts w:hint="eastAsia"/>
          <w:color w:val="auto"/>
          <w:highlight w:val="none"/>
        </w:rPr>
        <w:t>坝前水位达到</w:t>
      </w:r>
      <w:r>
        <w:rPr>
          <w:color w:val="auto"/>
          <w:highlight w:val="none"/>
        </w:rPr>
        <w:t>206.00m</w:t>
      </w:r>
      <w:r>
        <w:rPr>
          <w:rFonts w:hint="eastAsia"/>
          <w:color w:val="auto"/>
          <w:highlight w:val="none"/>
        </w:rPr>
        <w:t>并有持续上升趋势时，逐步打开</w:t>
      </w:r>
      <w:r>
        <w:rPr>
          <w:color w:val="auto"/>
          <w:highlight w:val="none"/>
        </w:rPr>
        <w:t>1~14#</w:t>
      </w:r>
      <w:r>
        <w:rPr>
          <w:rFonts w:hint="eastAsia"/>
          <w:color w:val="auto"/>
          <w:highlight w:val="none"/>
        </w:rPr>
        <w:t>冲砂泄洪闸闸门</w:t>
      </w:r>
      <w:r>
        <w:rPr>
          <w:rFonts w:hint="eastAsia"/>
          <w:color w:val="auto"/>
          <w:highlight w:val="none"/>
          <w:lang w:eastAsia="zh-CN"/>
        </w:rPr>
        <w:t>。</w:t>
      </w:r>
    </w:p>
    <w:p>
      <w:pPr>
        <w:bidi w:val="0"/>
        <w:rPr>
          <w:rFonts w:hint="eastAsia"/>
          <w:color w:val="auto"/>
          <w:sz w:val="26"/>
          <w:szCs w:val="26"/>
          <w:highlight w:val="none"/>
          <w:lang w:val="en-US" w:eastAsia="zh-CN"/>
        </w:rPr>
      </w:pPr>
      <w:r>
        <w:rPr>
          <w:rFonts w:ascii="Times New Roman" w:hAnsi="Times New Roman"/>
          <w:color w:val="auto"/>
          <w:sz w:val="26"/>
          <w:szCs w:val="26"/>
          <w:highlight w:val="none"/>
        </w:rPr>
        <w:t>根据</w:t>
      </w:r>
      <w:r>
        <w:rPr>
          <w:rFonts w:hint="eastAsia" w:ascii="Times New Roman" w:hAnsi="Times New Roman"/>
          <w:color w:val="auto"/>
          <w:sz w:val="26"/>
          <w:szCs w:val="26"/>
          <w:highlight w:val="none"/>
          <w:lang w:eastAsia="zh-CN"/>
        </w:rPr>
        <w:t>渭沱</w:t>
      </w:r>
      <w:r>
        <w:rPr>
          <w:rFonts w:ascii="Times New Roman" w:hAnsi="Times New Roman"/>
          <w:color w:val="auto"/>
          <w:sz w:val="26"/>
          <w:szCs w:val="26"/>
          <w:highlight w:val="none"/>
        </w:rPr>
        <w:t>枢纽</w:t>
      </w:r>
      <w:r>
        <w:rPr>
          <w:rFonts w:hint="eastAsia" w:ascii="Times New Roman" w:hAnsi="Times New Roman"/>
          <w:color w:val="auto"/>
          <w:sz w:val="26"/>
          <w:szCs w:val="26"/>
          <w:highlight w:val="none"/>
          <w:lang w:val="en-US" w:eastAsia="zh-CN"/>
        </w:rPr>
        <w:t>2024</w:t>
      </w:r>
      <w:r>
        <w:rPr>
          <w:rFonts w:ascii="Times New Roman" w:hAnsi="Times New Roman"/>
          <w:color w:val="auto"/>
          <w:sz w:val="26"/>
          <w:szCs w:val="26"/>
          <w:highlight w:val="none"/>
        </w:rPr>
        <w:t>年实际运行调度数据，全年日均入库流量、下泄流量过程趋势基本保持一致，</w:t>
      </w:r>
      <w:r>
        <w:rPr>
          <w:rFonts w:hint="eastAsia"/>
          <w:color w:val="auto"/>
          <w:sz w:val="26"/>
          <w:szCs w:val="26"/>
          <w:highlight w:val="none"/>
          <w:lang w:eastAsia="zh-CN"/>
        </w:rPr>
        <w:t>坝址上游</w:t>
      </w:r>
      <w:r>
        <w:rPr>
          <w:rFonts w:ascii="Times New Roman" w:hAnsi="Times New Roman"/>
          <w:color w:val="auto"/>
          <w:sz w:val="26"/>
          <w:szCs w:val="26"/>
          <w:highlight w:val="none"/>
        </w:rPr>
        <w:t>日均水位</w:t>
      </w:r>
      <w:r>
        <w:rPr>
          <w:rFonts w:hint="eastAsia"/>
          <w:color w:val="auto"/>
          <w:sz w:val="26"/>
          <w:szCs w:val="26"/>
          <w:highlight w:val="none"/>
          <w:lang w:eastAsia="zh-CN"/>
        </w:rPr>
        <w:t>正常情况下在</w:t>
      </w:r>
      <w:r>
        <w:rPr>
          <w:rFonts w:hint="eastAsia"/>
          <w:color w:val="auto"/>
          <w:sz w:val="26"/>
          <w:szCs w:val="26"/>
          <w:highlight w:val="none"/>
          <w:lang w:val="en-US" w:eastAsia="zh-CN"/>
        </w:rPr>
        <w:t>205m（死水位）—206m（正常蓄水位）</w:t>
      </w:r>
      <w:r>
        <w:rPr>
          <w:rFonts w:ascii="Times New Roman" w:hAnsi="Times New Roman"/>
          <w:color w:val="auto"/>
          <w:sz w:val="26"/>
          <w:szCs w:val="26"/>
          <w:highlight w:val="none"/>
        </w:rPr>
        <w:t>之间波动</w:t>
      </w:r>
      <w:r>
        <w:rPr>
          <w:rFonts w:hint="eastAsia"/>
          <w:color w:val="auto"/>
          <w:sz w:val="26"/>
          <w:szCs w:val="26"/>
          <w:highlight w:val="none"/>
          <w:lang w:eastAsia="zh-CN"/>
        </w:rPr>
        <w:t>，上游来水量较大时，水位略高于正常蓄水位</w:t>
      </w:r>
      <w:r>
        <w:rPr>
          <w:rFonts w:ascii="Times New Roman" w:hAnsi="Times New Roman"/>
          <w:color w:val="auto"/>
          <w:sz w:val="26"/>
          <w:szCs w:val="26"/>
          <w:highlight w:val="none"/>
        </w:rPr>
        <w:t>。</w:t>
      </w:r>
      <w:r>
        <w:rPr>
          <w:rFonts w:hint="eastAsia"/>
          <w:color w:val="auto"/>
          <w:sz w:val="26"/>
          <w:szCs w:val="26"/>
          <w:highlight w:val="none"/>
          <w:lang w:eastAsia="zh-CN"/>
        </w:rPr>
        <w:t>下游为草街枢纽回水区，受草街枢纽调蓄影响，水位多在</w:t>
      </w:r>
      <w:r>
        <w:rPr>
          <w:rFonts w:hint="eastAsia"/>
          <w:color w:val="auto"/>
          <w:sz w:val="26"/>
          <w:szCs w:val="26"/>
          <w:highlight w:val="none"/>
          <w:lang w:val="en-US" w:eastAsia="zh-CN"/>
        </w:rPr>
        <w:t>202m（草街枢纽死水位）—203m（草街枢纽正常蓄水位）之间波动，汛期由于防洪需要，下游水位在200m左右。</w:t>
      </w: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default"/>
          <w:color w:val="auto"/>
          <w:highlight w:val="none"/>
          <w:lang w:val="en-US" w:eastAsia="zh-CN"/>
        </w:rPr>
      </w:pPr>
      <w:r>
        <w:rPr>
          <w:rFonts w:hint="eastAsia"/>
          <w:color w:val="auto"/>
          <w:sz w:val="26"/>
          <w:szCs w:val="26"/>
          <w:highlight w:val="none"/>
          <w:lang w:val="en-US" w:eastAsia="zh-CN"/>
        </w:rPr>
        <w:t>总体来说，</w:t>
      </w:r>
      <w:r>
        <w:rPr>
          <w:rFonts w:hint="eastAsia" w:ascii="Times New Roman" w:hAnsi="Times New Roman"/>
          <w:color w:val="auto"/>
          <w:sz w:val="26"/>
          <w:szCs w:val="26"/>
          <w:highlight w:val="none"/>
        </w:rPr>
        <w:t>渭沱枢纽</w:t>
      </w:r>
      <w:r>
        <w:rPr>
          <w:rFonts w:hint="eastAsia"/>
          <w:color w:val="auto"/>
          <w:sz w:val="26"/>
          <w:szCs w:val="26"/>
          <w:highlight w:val="none"/>
          <w:lang w:eastAsia="zh-CN"/>
        </w:rPr>
        <w:t>为</w:t>
      </w:r>
      <w:r>
        <w:rPr>
          <w:rFonts w:hint="eastAsia" w:ascii="Times New Roman" w:hAnsi="Times New Roman"/>
          <w:color w:val="auto"/>
          <w:sz w:val="26"/>
          <w:szCs w:val="26"/>
          <w:highlight w:val="none"/>
        </w:rPr>
        <w:t>径流式电站，对上游来水流量基本无调节能力，而且渭沱枢纽的拦河坝建有溢流坝</w:t>
      </w:r>
      <w:r>
        <w:rPr>
          <w:rFonts w:hint="eastAsia"/>
          <w:color w:val="auto"/>
          <w:sz w:val="26"/>
          <w:szCs w:val="26"/>
          <w:highlight w:val="none"/>
          <w:lang w:eastAsia="zh-CN"/>
        </w:rPr>
        <w:t>（坝顶高程为正常蓄水位</w:t>
      </w:r>
      <w:r>
        <w:rPr>
          <w:rFonts w:hint="eastAsia"/>
          <w:color w:val="auto"/>
          <w:sz w:val="26"/>
          <w:szCs w:val="26"/>
          <w:highlight w:val="none"/>
          <w:lang w:val="en-US" w:eastAsia="zh-CN"/>
        </w:rPr>
        <w:t>206m</w:t>
      </w:r>
      <w:r>
        <w:rPr>
          <w:rFonts w:hint="eastAsia"/>
          <w:color w:val="auto"/>
          <w:sz w:val="26"/>
          <w:szCs w:val="26"/>
          <w:highlight w:val="none"/>
          <w:lang w:eastAsia="zh-CN"/>
        </w:rPr>
        <w:t>）</w:t>
      </w:r>
      <w:r>
        <w:rPr>
          <w:rFonts w:hint="eastAsia" w:ascii="Times New Roman" w:hAnsi="Times New Roman"/>
          <w:color w:val="auto"/>
          <w:sz w:val="26"/>
          <w:szCs w:val="26"/>
          <w:highlight w:val="none"/>
        </w:rPr>
        <w:t>，</w:t>
      </w:r>
      <w:r>
        <w:rPr>
          <w:rFonts w:hint="eastAsia"/>
          <w:color w:val="auto"/>
          <w:sz w:val="26"/>
          <w:szCs w:val="26"/>
          <w:highlight w:val="none"/>
          <w:lang w:eastAsia="zh-CN"/>
        </w:rPr>
        <w:t>正常情况下</w:t>
      </w:r>
      <w:r>
        <w:rPr>
          <w:rFonts w:hint="eastAsia" w:ascii="Times New Roman" w:hAnsi="Times New Roman"/>
          <w:color w:val="auto"/>
          <w:sz w:val="26"/>
          <w:szCs w:val="26"/>
          <w:highlight w:val="none"/>
        </w:rPr>
        <w:t>上游来流和洪水都是敞流下泄，不会改变上游来水的年内径流过程</w:t>
      </w:r>
      <w:r>
        <w:rPr>
          <w:rFonts w:hint="eastAsia"/>
          <w:color w:val="auto"/>
          <w:sz w:val="26"/>
          <w:szCs w:val="26"/>
          <w:highlight w:val="none"/>
          <w:lang w:eastAsia="zh-CN"/>
        </w:rPr>
        <w:t>，渭沱枢纽对涪江径流过程影响小</w:t>
      </w:r>
      <w:r>
        <w:rPr>
          <w:rFonts w:hint="eastAsia" w:ascii="Times New Roman" w:hAnsi="Times New Roman"/>
          <w:color w:val="auto"/>
          <w:sz w:val="26"/>
          <w:szCs w:val="26"/>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color w:val="auto"/>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color w:val="auto"/>
          <w:sz w:val="26"/>
          <w:szCs w:val="26"/>
          <w:highlight w:val="none"/>
          <w:lang w:val="en-US" w:eastAsia="zh-CN"/>
        </w:rPr>
      </w:pPr>
      <w:r>
        <w:rPr>
          <w:color w:val="auto"/>
          <w:highlight w:val="none"/>
        </w:rPr>
        <w:drawing>
          <wp:inline distT="0" distB="0" distL="114300" distR="114300">
            <wp:extent cx="5400040" cy="2742565"/>
            <wp:effectExtent l="4445" t="4445" r="5715" b="15240"/>
            <wp:docPr id="1025"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pPr>
        <w:bidi w:val="0"/>
        <w:spacing w:line="240" w:lineRule="auto"/>
        <w:ind w:left="0" w:leftChars="0" w:firstLine="0" w:firstLineChars="0"/>
        <w:jc w:val="center"/>
        <w:rPr>
          <w:rFonts w:hint="eastAsia"/>
          <w:b/>
          <w:bCs/>
          <w:color w:val="auto"/>
          <w:sz w:val="26"/>
          <w:szCs w:val="26"/>
          <w:highlight w:val="none"/>
          <w:lang w:val="en-US" w:eastAsia="zh-CN"/>
        </w:rPr>
      </w:pPr>
      <w:r>
        <w:rPr>
          <w:rFonts w:hint="eastAsia"/>
          <w:b/>
          <w:bCs/>
          <w:color w:val="auto"/>
          <w:sz w:val="26"/>
          <w:szCs w:val="26"/>
          <w:highlight w:val="none"/>
          <w:lang w:val="en-US" w:eastAsia="zh-CN"/>
        </w:rPr>
        <w:t>图2.4.5-1  渭沱枢纽2024年逐日出、入库流量及库区运行水位过程</w:t>
      </w:r>
    </w:p>
    <w:p>
      <w:pPr>
        <w:bidi w:val="0"/>
        <w:spacing w:line="240" w:lineRule="auto"/>
        <w:rPr>
          <w:rFonts w:hint="eastAsia"/>
          <w:color w:val="auto"/>
          <w:sz w:val="26"/>
          <w:szCs w:val="26"/>
          <w:highlight w:val="none"/>
          <w:lang w:val="en-US" w:eastAsia="zh-CN"/>
        </w:rPr>
      </w:pPr>
    </w:p>
    <w:p>
      <w:pPr>
        <w:bidi w:val="0"/>
        <w:rPr>
          <w:rFonts w:hint="eastAsia"/>
          <w:color w:val="auto"/>
          <w:sz w:val="26"/>
          <w:szCs w:val="26"/>
          <w:highlight w:val="none"/>
          <w:lang w:val="en-US" w:eastAsia="zh-CN"/>
        </w:rPr>
      </w:pPr>
      <w:r>
        <w:rPr>
          <w:rFonts w:hint="eastAsia"/>
          <w:color w:val="auto"/>
          <w:sz w:val="26"/>
          <w:szCs w:val="26"/>
          <w:highlight w:val="none"/>
          <w:lang w:val="en-US" w:eastAsia="zh-CN"/>
        </w:rPr>
        <w:t>C</w:t>
      </w:r>
      <w:r>
        <w:rPr>
          <w:rFonts w:hint="eastAsia"/>
          <w:color w:val="auto"/>
          <w:sz w:val="26"/>
          <w:szCs w:val="26"/>
          <w:highlight w:val="none"/>
          <w:shd w:val="clear" w:fill="FFFFFF"/>
          <w:lang w:val="en-US" w:eastAsia="zh-CN"/>
        </w:rPr>
        <w:t>、</w:t>
      </w:r>
      <w:r>
        <w:rPr>
          <w:rFonts w:hint="eastAsia"/>
          <w:color w:val="auto"/>
          <w:sz w:val="26"/>
          <w:szCs w:val="26"/>
          <w:highlight w:val="none"/>
          <w:lang w:val="en-US" w:eastAsia="zh-CN"/>
        </w:rPr>
        <w:t>水位抬升、流速减缓影响</w:t>
      </w:r>
    </w:p>
    <w:p>
      <w:pPr>
        <w:bidi w:val="0"/>
        <w:rPr>
          <w:rFonts w:hint="eastAsia"/>
          <w:color w:val="auto"/>
          <w:sz w:val="26"/>
          <w:szCs w:val="26"/>
          <w:highlight w:val="none"/>
          <w:lang w:val="en-US" w:eastAsia="zh-CN"/>
        </w:rPr>
      </w:pPr>
      <w:r>
        <w:rPr>
          <w:rFonts w:hint="eastAsia"/>
          <w:color w:val="auto"/>
          <w:sz w:val="26"/>
          <w:szCs w:val="26"/>
          <w:highlight w:val="none"/>
          <w:lang w:val="en-US" w:eastAsia="zh-CN"/>
        </w:rPr>
        <w:t>渭沱枢纽属于低水头、径流式开发，仅具备日调节性能，对河道径流的调节能力较弱。枢纽建成运行后，由于大坝阻隔、水库蓄水，库区水面变宽，增加了水面面积，水流变缓，河道流动形态发生变化。</w:t>
      </w:r>
    </w:p>
    <w:p>
      <w:pPr>
        <w:bidi w:val="0"/>
        <w:rPr>
          <w:rFonts w:hint="eastAsia"/>
          <w:color w:val="auto"/>
          <w:sz w:val="26"/>
          <w:szCs w:val="26"/>
          <w:highlight w:val="none"/>
          <w:lang w:val="en-US" w:eastAsia="zh-CN"/>
        </w:rPr>
      </w:pPr>
      <w:r>
        <w:rPr>
          <w:rFonts w:hint="eastAsia"/>
          <w:color w:val="auto"/>
          <w:sz w:val="26"/>
          <w:szCs w:val="26"/>
          <w:highlight w:val="none"/>
          <w:lang w:val="en-US" w:eastAsia="zh-CN"/>
        </w:rPr>
        <w:t>从水位变化来看，较建库前自然河流相比较，渭沱枢纽库区水位均有所抬高，最大提升水位为6m。从流速变化来看，流速从库尾至坝前沿程逐渐减小，一般到坝前流速最小。水库蓄水后，库区内水体流速将减缓，由于渭沱枢纽属于低水位河道型水库，</w:t>
      </w:r>
      <w:r>
        <w:rPr>
          <w:rFonts w:hint="eastAsia"/>
          <w:color w:val="auto"/>
          <w:sz w:val="26"/>
          <w:szCs w:val="26"/>
          <w:highlight w:val="none"/>
          <w:shd w:val="clear" w:fill="FFFFFF"/>
          <w:lang w:val="en-US" w:eastAsia="zh-CN"/>
        </w:rPr>
        <w:t>水位壅高</w:t>
      </w:r>
      <w:r>
        <w:rPr>
          <w:rFonts w:hint="eastAsia"/>
          <w:color w:val="auto"/>
          <w:sz w:val="26"/>
          <w:szCs w:val="26"/>
          <w:highlight w:val="none"/>
          <w:lang w:val="en-US" w:eastAsia="zh-CN"/>
        </w:rPr>
        <w:t>较小，且受上游安居枢纽控制，渭沱枢纽库区流速变化也相对较小。</w:t>
      </w:r>
    </w:p>
    <w:p>
      <w:pPr>
        <w:bidi w:val="0"/>
        <w:rPr>
          <w:rFonts w:hint="eastAsia"/>
          <w:color w:val="auto"/>
          <w:highlight w:val="none"/>
          <w:lang w:eastAsia="zh-CN"/>
        </w:rPr>
      </w:pPr>
      <w:r>
        <w:rPr>
          <w:rFonts w:hint="eastAsia"/>
          <w:color w:val="auto"/>
          <w:sz w:val="26"/>
          <w:szCs w:val="26"/>
          <w:highlight w:val="none"/>
          <w:lang w:val="en-US" w:eastAsia="zh-CN"/>
        </w:rPr>
        <w:t>D</w:t>
      </w:r>
      <w:r>
        <w:rPr>
          <w:rFonts w:hint="eastAsia"/>
          <w:color w:val="auto"/>
          <w:sz w:val="26"/>
          <w:szCs w:val="26"/>
          <w:highlight w:val="none"/>
          <w:shd w:val="clear" w:fill="FFFFFF"/>
          <w:lang w:val="en-US" w:eastAsia="zh-CN"/>
        </w:rPr>
        <w:t>、</w:t>
      </w:r>
      <w:r>
        <w:rPr>
          <w:rFonts w:hint="eastAsia" w:ascii="Times New Roman" w:hAnsi="Times New Roman"/>
          <w:color w:val="auto"/>
          <w:sz w:val="26"/>
          <w:szCs w:val="26"/>
          <w:highlight w:val="none"/>
          <w:lang w:eastAsia="zh-CN"/>
        </w:rPr>
        <w:t>水温</w:t>
      </w:r>
      <w:r>
        <w:rPr>
          <w:rFonts w:hint="eastAsia"/>
          <w:color w:val="auto"/>
          <w:highlight w:val="none"/>
          <w:lang w:eastAsia="zh-CN"/>
        </w:rPr>
        <w:t>影响回顾性评价</w:t>
      </w:r>
    </w:p>
    <w:p>
      <w:pPr>
        <w:bidi w:val="0"/>
        <w:rPr>
          <w:rFonts w:hint="eastAsia"/>
          <w:color w:val="auto"/>
          <w:highlight w:val="none"/>
          <w:lang w:eastAsia="zh-CN"/>
        </w:rPr>
      </w:pPr>
      <w:r>
        <w:rPr>
          <w:rFonts w:hint="eastAsia"/>
          <w:color w:val="auto"/>
          <w:highlight w:val="none"/>
          <w:lang w:eastAsia="zh-CN"/>
        </w:rPr>
        <w:t>渭沱枢纽水库水温结构主要为混合型，且均为日调节，因库水交换频繁，水体停留时间短，因此运行期对水温影响甚微。</w:t>
      </w:r>
    </w:p>
    <w:p>
      <w:pPr>
        <w:bidi w:val="0"/>
        <w:rPr>
          <w:rFonts w:hint="eastAsia"/>
          <w:color w:val="auto"/>
          <w:highlight w:val="none"/>
          <w:lang w:val="en-US" w:eastAsia="zh-CN"/>
        </w:rPr>
      </w:pPr>
      <w:r>
        <w:rPr>
          <w:rFonts w:hint="eastAsia"/>
          <w:color w:val="auto"/>
          <w:highlight w:val="none"/>
          <w:lang w:val="en-US" w:eastAsia="zh-CN"/>
        </w:rPr>
        <w:t>E</w:t>
      </w:r>
      <w:r>
        <w:rPr>
          <w:rFonts w:hint="eastAsia"/>
          <w:color w:val="auto"/>
          <w:highlight w:val="none"/>
          <w:shd w:val="clear" w:fill="FFFFFF"/>
          <w:lang w:val="en-US" w:eastAsia="zh-CN"/>
        </w:rPr>
        <w:t>、</w:t>
      </w:r>
      <w:r>
        <w:rPr>
          <w:rFonts w:hint="eastAsia"/>
          <w:color w:val="auto"/>
          <w:highlight w:val="none"/>
          <w:lang w:val="en-US" w:eastAsia="zh-CN"/>
        </w:rPr>
        <w:t>冲淤变化</w:t>
      </w:r>
    </w:p>
    <w:p>
      <w:pPr>
        <w:bidi w:val="0"/>
        <w:rPr>
          <w:rFonts w:hint="eastAsia"/>
          <w:color w:val="auto"/>
          <w:highlight w:val="none"/>
          <w:lang w:eastAsia="zh-CN"/>
        </w:rPr>
      </w:pPr>
      <w:r>
        <w:rPr>
          <w:rFonts w:hint="eastAsia"/>
          <w:color w:val="auto"/>
          <w:highlight w:val="none"/>
          <w:lang w:eastAsia="zh-CN"/>
        </w:rPr>
        <w:t>涪江产砂量年内分配不均匀，入库沙量大部分集中在汛期，汛期通过水库的运行调度，排沙比较大，库容损失不十分明显，随着运行水位的抬高，排沙比逐渐减小，库区泥沙淤积有所增加。根据调查，由于渭沱枢纽的兴建，主流水位抬高，水面顺直，河床更趋于稳定，通过自动调整达到平衡状态，基本未对水流泥沙分布及河道行洪产生大的影响。</w:t>
      </w:r>
    </w:p>
    <w:p>
      <w:pPr>
        <w:bidi w:val="0"/>
        <w:rPr>
          <w:rFonts w:hint="eastAsia"/>
          <w:color w:val="auto"/>
          <w:highlight w:val="none"/>
          <w:lang w:val="en-US" w:eastAsia="zh-CN"/>
        </w:rPr>
      </w:pPr>
      <w:r>
        <w:rPr>
          <w:rFonts w:hint="eastAsia"/>
          <w:color w:val="auto"/>
          <w:highlight w:val="none"/>
          <w:lang w:val="en-US" w:eastAsia="zh-CN"/>
        </w:rPr>
        <w:t>F</w:t>
      </w:r>
      <w:r>
        <w:rPr>
          <w:rFonts w:hint="eastAsia"/>
          <w:color w:val="auto"/>
          <w:highlight w:val="none"/>
          <w:shd w:val="clear" w:fill="FFFFFF"/>
          <w:lang w:val="en-US" w:eastAsia="zh-CN"/>
        </w:rPr>
        <w:t>、</w:t>
      </w:r>
      <w:r>
        <w:rPr>
          <w:rFonts w:hint="eastAsia"/>
          <w:color w:val="auto"/>
          <w:highlight w:val="none"/>
          <w:lang w:val="en-US" w:eastAsia="zh-CN"/>
        </w:rPr>
        <w:t>生态流量满足程度</w:t>
      </w:r>
    </w:p>
    <w:p>
      <w:pPr>
        <w:bidi w:val="0"/>
        <w:rPr>
          <w:rFonts w:hint="eastAsia"/>
          <w:color w:val="auto"/>
          <w:highlight w:val="none"/>
          <w:lang w:val="en-US" w:eastAsia="zh-CN"/>
        </w:rPr>
      </w:pPr>
      <w:r>
        <w:rPr>
          <w:rFonts w:hint="eastAsia"/>
          <w:color w:val="auto"/>
          <w:highlight w:val="none"/>
          <w:lang w:val="en-US" w:eastAsia="zh-CN"/>
        </w:rPr>
        <w:t>渭沱枢纽利用调度原则已经考虑了下泄生态流量，</w:t>
      </w:r>
      <w:r>
        <w:rPr>
          <w:rFonts w:hint="eastAsia" w:ascii="Times New Roman" w:hAnsi="Times New Roman" w:eastAsia="宋体" w:cs="Times New Roman"/>
          <w:color w:val="auto"/>
          <w:highlight w:val="none"/>
        </w:rPr>
        <w:t>机组正常运行期间尾水流量远大于生态流量</w:t>
      </w:r>
      <w:r>
        <w:rPr>
          <w:rFonts w:hint="eastAsia" w:cs="Times New Roman"/>
          <w:color w:val="auto"/>
          <w:highlight w:val="none"/>
          <w:lang w:eastAsia="zh-CN"/>
        </w:rPr>
        <w:t>，</w:t>
      </w:r>
      <w:r>
        <w:rPr>
          <w:rFonts w:hint="eastAsia" w:ascii="Times New Roman" w:hAnsi="Times New Roman" w:eastAsia="宋体" w:cs="Times New Roman"/>
          <w:color w:val="auto"/>
          <w:highlight w:val="none"/>
        </w:rPr>
        <w:t>在草街电站空库运行，且两台发电机组都不运行的情况下</w:t>
      </w:r>
      <w:r>
        <w:rPr>
          <w:rFonts w:hint="eastAsia" w:cs="Times New Roman"/>
          <w:color w:val="auto"/>
          <w:highlight w:val="none"/>
          <w:lang w:eastAsia="zh-CN"/>
        </w:rPr>
        <w:t>，</w:t>
      </w:r>
      <w:r>
        <w:rPr>
          <w:rFonts w:hint="eastAsia" w:ascii="Times New Roman" w:hAnsi="Times New Roman" w:eastAsia="宋体" w:cs="Times New Roman"/>
          <w:color w:val="auto"/>
          <w:highlight w:val="none"/>
        </w:rPr>
        <w:t>采用闸门进行生态流量下泄</w:t>
      </w:r>
      <w:r>
        <w:rPr>
          <w:rFonts w:hint="eastAsia"/>
          <w:color w:val="auto"/>
          <w:highlight w:val="none"/>
          <w:lang w:val="en-US" w:eastAsia="zh-CN"/>
        </w:rPr>
        <w:t>，生态流量满足程度为100%。</w:t>
      </w:r>
    </w:p>
    <w:p>
      <w:pPr>
        <w:bidi w:val="0"/>
        <w:rPr>
          <w:rFonts w:hint="eastAsia"/>
          <w:color w:val="auto"/>
          <w:highlight w:val="none"/>
          <w:lang w:val="en-US" w:eastAsia="zh-CN"/>
        </w:rPr>
      </w:pPr>
      <w:r>
        <w:rPr>
          <w:rFonts w:hint="eastAsia"/>
          <w:color w:val="auto"/>
          <w:highlight w:val="none"/>
          <w:lang w:val="en-US" w:eastAsia="zh-CN"/>
        </w:rPr>
        <w:t>G</w:t>
      </w:r>
      <w:r>
        <w:rPr>
          <w:rFonts w:hint="eastAsia"/>
          <w:color w:val="auto"/>
          <w:highlight w:val="none"/>
          <w:shd w:val="clear" w:fill="FFFFFF"/>
          <w:lang w:val="en-US" w:eastAsia="zh-CN"/>
        </w:rPr>
        <w:t>、</w:t>
      </w:r>
      <w:r>
        <w:rPr>
          <w:rFonts w:hint="eastAsia"/>
          <w:color w:val="auto"/>
          <w:highlight w:val="none"/>
          <w:lang w:val="en-US" w:eastAsia="zh-CN"/>
        </w:rPr>
        <w:t>小结</w:t>
      </w:r>
    </w:p>
    <w:p>
      <w:pPr>
        <w:bidi w:val="0"/>
        <w:rPr>
          <w:rFonts w:hint="eastAsia"/>
          <w:color w:val="auto"/>
          <w:highlight w:val="none"/>
          <w:lang w:eastAsia="zh-CN"/>
        </w:rPr>
      </w:pPr>
      <w:r>
        <w:rPr>
          <w:rFonts w:hint="eastAsia"/>
          <w:color w:val="auto"/>
          <w:highlight w:val="none"/>
          <w:lang w:eastAsia="zh-CN"/>
        </w:rPr>
        <w:t>渭沱枢纽建成运行后，实现了库区河段航道的渠化，并导致水库回水区范围内的江段水位升高，从库尾至坝前水深沿程逐渐增大，由于渭沱枢纽</w:t>
      </w:r>
      <w:r>
        <w:rPr>
          <w:rFonts w:hint="eastAsia"/>
          <w:color w:val="auto"/>
          <w:highlight w:val="none"/>
          <w:shd w:val="clear" w:fill="FFFFFF"/>
          <w:lang w:eastAsia="zh-CN"/>
        </w:rPr>
        <w:t>属于</w:t>
      </w:r>
      <w:r>
        <w:rPr>
          <w:rFonts w:hint="eastAsia"/>
          <w:color w:val="auto"/>
          <w:highlight w:val="none"/>
          <w:lang w:eastAsia="zh-CN"/>
        </w:rPr>
        <w:t>低水位河道型水库，</w:t>
      </w:r>
      <w:r>
        <w:rPr>
          <w:rFonts w:hint="eastAsia"/>
          <w:color w:val="auto"/>
          <w:highlight w:val="none"/>
          <w:shd w:val="clear" w:fill="FFFFFF"/>
          <w:lang w:eastAsia="zh-CN"/>
        </w:rPr>
        <w:t>水位壅高</w:t>
      </w:r>
      <w:r>
        <w:rPr>
          <w:rFonts w:hint="eastAsia"/>
          <w:color w:val="auto"/>
          <w:highlight w:val="none"/>
          <w:lang w:eastAsia="zh-CN"/>
        </w:rPr>
        <w:t>较小，库区流速变化也相对较小；渭沱电站属于径流式电站，</w:t>
      </w:r>
      <w:r>
        <w:rPr>
          <w:rFonts w:hint="eastAsia" w:ascii="Times New Roman" w:hAnsi="Times New Roman"/>
          <w:color w:val="auto"/>
          <w:sz w:val="26"/>
          <w:szCs w:val="26"/>
          <w:highlight w:val="none"/>
        </w:rPr>
        <w:t>对上游来水流量基本无调节能力，</w:t>
      </w:r>
      <w:r>
        <w:rPr>
          <w:rFonts w:ascii="Times New Roman" w:hAnsi="Times New Roman"/>
          <w:color w:val="auto"/>
          <w:sz w:val="26"/>
          <w:szCs w:val="26"/>
          <w:highlight w:val="none"/>
        </w:rPr>
        <w:t>基本</w:t>
      </w:r>
      <w:r>
        <w:rPr>
          <w:rFonts w:hint="eastAsia"/>
          <w:color w:val="auto"/>
          <w:sz w:val="26"/>
          <w:szCs w:val="26"/>
          <w:highlight w:val="none"/>
          <w:lang w:eastAsia="zh-CN"/>
        </w:rPr>
        <w:t>不</w:t>
      </w:r>
      <w:r>
        <w:rPr>
          <w:rFonts w:ascii="Times New Roman" w:hAnsi="Times New Roman"/>
          <w:color w:val="auto"/>
          <w:sz w:val="26"/>
          <w:szCs w:val="26"/>
          <w:highlight w:val="none"/>
        </w:rPr>
        <w:t>改变</w:t>
      </w:r>
      <w:r>
        <w:rPr>
          <w:rFonts w:hint="eastAsia"/>
          <w:color w:val="auto"/>
          <w:sz w:val="26"/>
          <w:szCs w:val="26"/>
          <w:highlight w:val="none"/>
          <w:lang w:eastAsia="zh-CN"/>
        </w:rPr>
        <w:t>径流</w:t>
      </w:r>
      <w:r>
        <w:rPr>
          <w:rFonts w:ascii="Times New Roman" w:hAnsi="Times New Roman"/>
          <w:color w:val="auto"/>
          <w:sz w:val="26"/>
          <w:szCs w:val="26"/>
          <w:highlight w:val="none"/>
        </w:rPr>
        <w:t>过程</w:t>
      </w:r>
      <w:r>
        <w:rPr>
          <w:rFonts w:hint="eastAsia"/>
          <w:color w:val="auto"/>
          <w:sz w:val="26"/>
          <w:szCs w:val="26"/>
          <w:highlight w:val="none"/>
          <w:lang w:eastAsia="zh-CN"/>
        </w:rPr>
        <w:t>，不存在低温水影响</w:t>
      </w:r>
      <w:r>
        <w:rPr>
          <w:rFonts w:hint="eastAsia"/>
          <w:color w:val="auto"/>
          <w:highlight w:val="none"/>
          <w:lang w:eastAsia="zh-CN"/>
        </w:rPr>
        <w:t>。总体来说，渭沱枢纽建成运行以来，对水文情势影响较小。</w:t>
      </w:r>
    </w:p>
    <w:p>
      <w:pPr>
        <w:numPr>
          <w:ilvl w:val="0"/>
          <w:numId w:val="13"/>
        </w:numPr>
        <w:bidi w:val="0"/>
        <w:rPr>
          <w:rFonts w:hint="eastAsia"/>
          <w:color w:val="auto"/>
          <w:highlight w:val="none"/>
          <w:lang w:eastAsia="zh-CN"/>
        </w:rPr>
      </w:pPr>
      <w:r>
        <w:rPr>
          <w:rFonts w:hint="eastAsia"/>
          <w:color w:val="auto"/>
          <w:highlight w:val="none"/>
          <w:lang w:eastAsia="zh-CN"/>
        </w:rPr>
        <w:t>生态环境影响回顾性评价</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1 \* GB3 \* MERGEFORMAT </w:instrText>
      </w:r>
      <w:r>
        <w:rPr>
          <w:rFonts w:hint="eastAsia"/>
          <w:color w:val="auto"/>
          <w:highlight w:val="none"/>
          <w:lang w:eastAsia="zh-CN"/>
        </w:rPr>
        <w:fldChar w:fldCharType="separate"/>
      </w:r>
      <w:r>
        <w:rPr>
          <w:color w:val="auto"/>
          <w:highlight w:val="none"/>
        </w:rPr>
        <w:t>①</w:t>
      </w:r>
      <w:r>
        <w:rPr>
          <w:rFonts w:hint="eastAsia"/>
          <w:color w:val="auto"/>
          <w:highlight w:val="none"/>
          <w:lang w:eastAsia="zh-CN"/>
        </w:rPr>
        <w:fldChar w:fldCharType="end"/>
      </w:r>
      <w:r>
        <w:rPr>
          <w:rFonts w:hint="eastAsia"/>
          <w:color w:val="auto"/>
          <w:highlight w:val="none"/>
          <w:lang w:eastAsia="zh-CN"/>
        </w:rPr>
        <w:t>陆生生态环境影响回顾</w:t>
      </w:r>
    </w:p>
    <w:p>
      <w:pPr>
        <w:autoSpaceDE w:val="0"/>
        <w:autoSpaceDN w:val="0"/>
        <w:adjustRightInd w:val="0"/>
        <w:spacing w:line="480" w:lineRule="exact"/>
        <w:ind w:firstLine="520" w:firstLineChars="200"/>
        <w:rPr>
          <w:rFonts w:ascii="Times New Roman" w:hAnsi="Times New Roman"/>
          <w:b w:val="0"/>
          <w:bCs w:val="0"/>
          <w:color w:val="auto"/>
          <w:kern w:val="0"/>
          <w:sz w:val="26"/>
          <w:szCs w:val="26"/>
          <w:highlight w:val="none"/>
          <w:lang w:val="zh-CN"/>
        </w:rPr>
      </w:pPr>
      <w:r>
        <w:rPr>
          <w:rFonts w:hint="eastAsia" w:ascii="Times New Roman" w:hAnsi="Times New Roman"/>
          <w:b w:val="0"/>
          <w:bCs w:val="0"/>
          <w:color w:val="auto"/>
          <w:kern w:val="0"/>
          <w:sz w:val="26"/>
          <w:szCs w:val="26"/>
          <w:highlight w:val="none"/>
          <w:lang w:val="en-US" w:eastAsia="zh-CN"/>
        </w:rPr>
        <w:t>A</w:t>
      </w:r>
      <w:r>
        <w:rPr>
          <w:rFonts w:hint="eastAsia" w:ascii="Times New Roman" w:hAnsi="Times New Roman"/>
          <w:b w:val="0"/>
          <w:bCs w:val="0"/>
          <w:color w:val="auto"/>
          <w:kern w:val="0"/>
          <w:sz w:val="26"/>
          <w:szCs w:val="26"/>
          <w:highlight w:val="none"/>
          <w:shd w:val="clear" w:fill="FFFFFF"/>
          <w:lang w:val="en-US" w:eastAsia="zh-CN"/>
        </w:rPr>
        <w:t>、</w:t>
      </w:r>
      <w:r>
        <w:rPr>
          <w:rFonts w:ascii="Times New Roman" w:hAnsi="Times New Roman"/>
          <w:b w:val="0"/>
          <w:bCs w:val="0"/>
          <w:color w:val="auto"/>
          <w:kern w:val="0"/>
          <w:sz w:val="26"/>
          <w:szCs w:val="26"/>
          <w:highlight w:val="none"/>
          <w:lang w:val="zh-CN"/>
        </w:rPr>
        <w:t>土地利用变化</w:t>
      </w:r>
    </w:p>
    <w:p>
      <w:pPr>
        <w:autoSpaceDE w:val="0"/>
        <w:autoSpaceDN w:val="0"/>
        <w:adjustRightInd w:val="0"/>
        <w:spacing w:line="480" w:lineRule="exact"/>
        <w:ind w:firstLine="520" w:firstLineChars="200"/>
        <w:rPr>
          <w:rFonts w:hint="eastAsia" w:ascii="Times New Roman" w:hAnsi="Times New Roman" w:eastAsia="宋体"/>
          <w:b w:val="0"/>
          <w:bCs w:val="0"/>
          <w:color w:val="auto"/>
          <w:kern w:val="0"/>
          <w:sz w:val="26"/>
          <w:szCs w:val="26"/>
          <w:highlight w:val="none"/>
          <w:lang w:eastAsia="zh-CN"/>
        </w:rPr>
      </w:pPr>
      <w:r>
        <w:rPr>
          <w:rFonts w:hint="eastAsia" w:ascii="Times New Roman" w:hAnsi="Times New Roman"/>
          <w:b w:val="0"/>
          <w:bCs w:val="0"/>
          <w:color w:val="auto"/>
          <w:kern w:val="0"/>
          <w:sz w:val="26"/>
          <w:szCs w:val="26"/>
          <w:highlight w:val="none"/>
          <w:lang w:val="en-US" w:eastAsia="zh-CN"/>
        </w:rPr>
        <w:t>渭沱枢纽无调节能力，淹没区范围较小，根据项目影响特点，本次采用遥感解译及现场调查的方法，</w:t>
      </w:r>
      <w:r>
        <w:rPr>
          <w:rFonts w:ascii="Times New Roman" w:hAnsi="Times New Roman"/>
          <w:b w:val="0"/>
          <w:bCs w:val="0"/>
          <w:color w:val="auto"/>
          <w:kern w:val="0"/>
          <w:sz w:val="26"/>
          <w:szCs w:val="26"/>
          <w:highlight w:val="none"/>
        </w:rPr>
        <w:t>通过选用</w:t>
      </w:r>
      <w:r>
        <w:rPr>
          <w:rFonts w:hint="eastAsia" w:ascii="Times New Roman" w:hAnsi="Times New Roman"/>
          <w:b w:val="0"/>
          <w:bCs w:val="0"/>
          <w:color w:val="auto"/>
          <w:kern w:val="0"/>
          <w:sz w:val="26"/>
          <w:szCs w:val="26"/>
          <w:highlight w:val="none"/>
          <w:lang w:eastAsia="zh-CN"/>
        </w:rPr>
        <w:t>渭沱电站建设之前</w:t>
      </w:r>
      <w:r>
        <w:rPr>
          <w:rFonts w:ascii="Times New Roman" w:hAnsi="Times New Roman"/>
          <w:b w:val="0"/>
          <w:bCs w:val="0"/>
          <w:color w:val="auto"/>
          <w:kern w:val="0"/>
          <w:sz w:val="26"/>
          <w:szCs w:val="26"/>
          <w:highlight w:val="none"/>
        </w:rPr>
        <w:t>（1986年）、</w:t>
      </w:r>
      <w:r>
        <w:rPr>
          <w:rFonts w:hint="eastAsia" w:ascii="Times New Roman" w:hAnsi="Times New Roman"/>
          <w:b w:val="0"/>
          <w:bCs w:val="0"/>
          <w:color w:val="auto"/>
          <w:kern w:val="0"/>
          <w:sz w:val="26"/>
          <w:szCs w:val="26"/>
          <w:highlight w:val="none"/>
          <w:lang w:eastAsia="zh-CN"/>
        </w:rPr>
        <w:t>建设之后</w:t>
      </w:r>
      <w:r>
        <w:rPr>
          <w:rFonts w:ascii="Times New Roman" w:hAnsi="Times New Roman"/>
          <w:b w:val="0"/>
          <w:bCs w:val="0"/>
          <w:color w:val="auto"/>
          <w:kern w:val="0"/>
          <w:sz w:val="26"/>
          <w:szCs w:val="26"/>
          <w:highlight w:val="none"/>
        </w:rPr>
        <w:t>（202</w:t>
      </w:r>
      <w:r>
        <w:rPr>
          <w:rFonts w:hint="eastAsia"/>
          <w:b w:val="0"/>
          <w:bCs w:val="0"/>
          <w:color w:val="auto"/>
          <w:kern w:val="0"/>
          <w:sz w:val="26"/>
          <w:szCs w:val="26"/>
          <w:highlight w:val="none"/>
          <w:lang w:val="en-US" w:eastAsia="zh-CN"/>
        </w:rPr>
        <w:t>4</w:t>
      </w:r>
      <w:r>
        <w:rPr>
          <w:rFonts w:ascii="Times New Roman" w:hAnsi="Times New Roman"/>
          <w:b w:val="0"/>
          <w:bCs w:val="0"/>
          <w:color w:val="auto"/>
          <w:kern w:val="0"/>
          <w:sz w:val="26"/>
          <w:szCs w:val="26"/>
          <w:highlight w:val="none"/>
        </w:rPr>
        <w:t>年）的遥感影像</w:t>
      </w:r>
      <w:r>
        <w:rPr>
          <w:rFonts w:hint="eastAsia"/>
          <w:b w:val="0"/>
          <w:bCs w:val="0"/>
          <w:color w:val="auto"/>
          <w:kern w:val="0"/>
          <w:sz w:val="26"/>
          <w:szCs w:val="26"/>
          <w:highlight w:val="none"/>
          <w:lang w:eastAsia="zh-CN"/>
        </w:rPr>
        <w:t>，</w:t>
      </w:r>
      <w:r>
        <w:rPr>
          <w:rFonts w:hint="eastAsia" w:ascii="Times New Roman" w:hAnsi="Times New Roman"/>
          <w:b w:val="0"/>
          <w:bCs w:val="0"/>
          <w:color w:val="auto"/>
          <w:kern w:val="0"/>
          <w:sz w:val="26"/>
          <w:szCs w:val="26"/>
          <w:highlight w:val="none"/>
          <w:lang w:val="en-US" w:eastAsia="zh-CN"/>
        </w:rPr>
        <w:t>对渭沱枢纽下游5km至安居枢纽坝下河道两边300m范围内的生态环境变化情况进行统计，以此分析渭沱枢纽建设以来对陆生生态的影响。</w:t>
      </w:r>
      <w:r>
        <w:rPr>
          <w:rFonts w:hint="eastAsia" w:ascii="Times New Roman" w:hAnsi="Times New Roman"/>
          <w:b w:val="0"/>
          <w:bCs w:val="0"/>
          <w:color w:val="auto"/>
          <w:kern w:val="0"/>
          <w:sz w:val="26"/>
          <w:szCs w:val="26"/>
          <w:highlight w:val="none"/>
          <w:lang w:eastAsia="zh-CN"/>
        </w:rPr>
        <w:t>根据遥感解译结果，渭沱枢纽周边</w:t>
      </w:r>
      <w:r>
        <w:rPr>
          <w:rFonts w:ascii="Times New Roman" w:hAnsi="Times New Roman"/>
          <w:b w:val="0"/>
          <w:bCs w:val="0"/>
          <w:color w:val="auto"/>
          <w:kern w:val="0"/>
          <w:sz w:val="26"/>
          <w:szCs w:val="26"/>
          <w:highlight w:val="none"/>
        </w:rPr>
        <w:t>土地利用类型面积</w:t>
      </w:r>
      <w:r>
        <w:rPr>
          <w:rFonts w:hint="eastAsia" w:ascii="Times New Roman" w:hAnsi="Times New Roman"/>
          <w:b w:val="0"/>
          <w:bCs w:val="0"/>
          <w:color w:val="auto"/>
          <w:kern w:val="0"/>
          <w:sz w:val="26"/>
          <w:szCs w:val="26"/>
          <w:highlight w:val="none"/>
          <w:lang w:eastAsia="zh-CN"/>
        </w:rPr>
        <w:t>变化情况见下表：</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520" w:firstLineChars="200"/>
        <w:jc w:val="center"/>
        <w:textAlignment w:val="auto"/>
        <w:rPr>
          <w:rFonts w:hint="eastAsia" w:ascii="Times New Roman" w:hAnsi="Times New Roman"/>
          <w:color w:val="auto"/>
          <w:kern w:val="0"/>
          <w:sz w:val="26"/>
          <w:szCs w:val="26"/>
          <w:highlight w:val="none"/>
          <w:lang w:eastAsia="zh-CN"/>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520" w:firstLineChars="200"/>
        <w:jc w:val="center"/>
        <w:textAlignment w:val="auto"/>
        <w:rPr>
          <w:rFonts w:ascii="Times New Roman" w:hAnsi="Times New Roman"/>
          <w:color w:val="auto"/>
          <w:kern w:val="0"/>
          <w:sz w:val="26"/>
          <w:szCs w:val="26"/>
          <w:highlight w:val="none"/>
        </w:rPr>
      </w:pPr>
      <w:r>
        <w:rPr>
          <w:rFonts w:hint="eastAsia" w:ascii="Times New Roman" w:hAnsi="Times New Roman"/>
          <w:color w:val="auto"/>
          <w:kern w:val="0"/>
          <w:sz w:val="26"/>
          <w:szCs w:val="26"/>
          <w:highlight w:val="none"/>
          <w:lang w:eastAsia="zh-CN"/>
        </w:rPr>
        <w:t>表</w:t>
      </w:r>
      <w:r>
        <w:rPr>
          <w:rFonts w:hint="eastAsia" w:ascii="Times New Roman" w:hAnsi="Times New Roman"/>
          <w:color w:val="auto"/>
          <w:kern w:val="0"/>
          <w:sz w:val="26"/>
          <w:szCs w:val="26"/>
          <w:highlight w:val="none"/>
          <w:lang w:val="en-US" w:eastAsia="zh-CN"/>
        </w:rPr>
        <w:t>2.</w:t>
      </w:r>
      <w:r>
        <w:rPr>
          <w:rFonts w:hint="eastAsia"/>
          <w:color w:val="auto"/>
          <w:kern w:val="0"/>
          <w:sz w:val="26"/>
          <w:szCs w:val="26"/>
          <w:highlight w:val="none"/>
          <w:lang w:val="en-US" w:eastAsia="zh-CN"/>
        </w:rPr>
        <w:t>4</w:t>
      </w:r>
      <w:r>
        <w:rPr>
          <w:rFonts w:hint="eastAsia" w:ascii="Times New Roman" w:hAnsi="Times New Roman"/>
          <w:color w:val="auto"/>
          <w:kern w:val="0"/>
          <w:sz w:val="26"/>
          <w:szCs w:val="26"/>
          <w:highlight w:val="none"/>
          <w:lang w:val="en-US" w:eastAsia="zh-CN"/>
        </w:rPr>
        <w:t>.5-5</w:t>
      </w:r>
      <w:r>
        <w:rPr>
          <w:rFonts w:ascii="Times New Roman" w:hAnsi="Times New Roman"/>
          <w:color w:val="auto"/>
          <w:kern w:val="0"/>
          <w:sz w:val="26"/>
          <w:szCs w:val="26"/>
          <w:highlight w:val="none"/>
        </w:rPr>
        <w:t xml:space="preserve">  </w:t>
      </w:r>
      <w:r>
        <w:rPr>
          <w:rFonts w:hint="eastAsia" w:ascii="Times New Roman" w:hAnsi="Times New Roman"/>
          <w:color w:val="auto"/>
          <w:kern w:val="0"/>
          <w:sz w:val="26"/>
          <w:szCs w:val="26"/>
          <w:highlight w:val="none"/>
          <w:lang w:eastAsia="zh-CN"/>
        </w:rPr>
        <w:t>渭沱枢纽影响范围内</w:t>
      </w:r>
      <w:r>
        <w:rPr>
          <w:rFonts w:ascii="Times New Roman" w:hAnsi="Times New Roman"/>
          <w:color w:val="auto"/>
          <w:kern w:val="0"/>
          <w:sz w:val="26"/>
          <w:szCs w:val="26"/>
          <w:highlight w:val="none"/>
        </w:rPr>
        <w:t>土地利用变化对比</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425"/>
        <w:gridCol w:w="1263"/>
        <w:gridCol w:w="1148"/>
        <w:gridCol w:w="1148"/>
        <w:gridCol w:w="1"/>
        <w:gridCol w:w="1147"/>
        <w:gridCol w:w="1148"/>
        <w:gridCol w:w="2"/>
        <w:gridCol w:w="1146"/>
        <w:gridCol w:w="11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247"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序号</w:t>
            </w:r>
          </w:p>
        </w:tc>
        <w:tc>
          <w:tcPr>
            <w:tcW w:w="736"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土地类型</w:t>
            </w:r>
          </w:p>
        </w:tc>
        <w:tc>
          <w:tcPr>
            <w:tcW w:w="1338"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1986年</w:t>
            </w:r>
          </w:p>
        </w:tc>
        <w:tc>
          <w:tcPr>
            <w:tcW w:w="1338"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Cs/>
                <w:color w:val="auto"/>
                <w:sz w:val="22"/>
                <w:highlight w:val="none"/>
                <w:lang w:val="en-US" w:eastAsia="zh-CN"/>
              </w:rPr>
            </w:pPr>
            <w:r>
              <w:rPr>
                <w:rFonts w:hint="eastAsia" w:ascii="Times New Roman" w:hAnsi="Times New Roman"/>
                <w:bCs/>
                <w:color w:val="auto"/>
                <w:sz w:val="22"/>
                <w:highlight w:val="none"/>
                <w:lang w:val="en-US" w:eastAsia="zh-CN"/>
              </w:rPr>
              <w:t>202</w:t>
            </w:r>
            <w:r>
              <w:rPr>
                <w:rFonts w:hint="eastAsia"/>
                <w:bCs/>
                <w:color w:val="auto"/>
                <w:sz w:val="22"/>
                <w:highlight w:val="none"/>
                <w:lang w:val="en-US" w:eastAsia="zh-CN"/>
              </w:rPr>
              <w:t>4</w:t>
            </w:r>
            <w:r>
              <w:rPr>
                <w:rFonts w:hint="eastAsia" w:ascii="Times New Roman" w:hAnsi="Times New Roman"/>
                <w:bCs/>
                <w:color w:val="auto"/>
                <w:sz w:val="22"/>
                <w:highlight w:val="none"/>
                <w:lang w:val="en-US" w:eastAsia="zh-CN"/>
              </w:rPr>
              <w:t>年</w:t>
            </w:r>
          </w:p>
        </w:tc>
        <w:tc>
          <w:tcPr>
            <w:tcW w:w="1338"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1986-2</w:t>
            </w:r>
            <w:r>
              <w:rPr>
                <w:rFonts w:hint="eastAsia" w:ascii="Times New Roman" w:hAnsi="Times New Roman"/>
                <w:bCs/>
                <w:color w:val="auto"/>
                <w:sz w:val="22"/>
                <w:highlight w:val="none"/>
                <w:lang w:val="en-US" w:eastAsia="zh-CN"/>
              </w:rPr>
              <w:t>02</w:t>
            </w:r>
            <w:r>
              <w:rPr>
                <w:rFonts w:hint="eastAsia"/>
                <w:bCs/>
                <w:color w:val="auto"/>
                <w:sz w:val="22"/>
                <w:highlight w:val="none"/>
                <w:lang w:val="en-US" w:eastAsia="zh-CN"/>
              </w:rPr>
              <w:t>4</w:t>
            </w:r>
            <w:r>
              <w:rPr>
                <w:rFonts w:ascii="Times New Roman" w:hAnsi="Times New Roman"/>
                <w:bCs/>
                <w:color w:val="auto"/>
                <w:sz w:val="22"/>
                <w:highlight w:val="none"/>
              </w:rPr>
              <w:t>年变化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p>
        </w:tc>
        <w:tc>
          <w:tcPr>
            <w:tcW w:w="73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p>
        </w:tc>
        <w:tc>
          <w:tcPr>
            <w:tcW w:w="66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面积</w:t>
            </w:r>
            <w:r>
              <w:rPr>
                <w:rFonts w:hint="eastAsia" w:ascii="Times New Roman" w:hAnsi="Times New Roman"/>
                <w:bCs/>
                <w:color w:val="auto"/>
                <w:sz w:val="22"/>
                <w:highlight w:val="none"/>
                <w:lang w:val="en-US" w:eastAsia="zh-CN"/>
              </w:rPr>
              <w:t>h</w:t>
            </w:r>
            <w:r>
              <w:rPr>
                <w:rFonts w:ascii="Times New Roman" w:hAnsi="Times New Roman"/>
                <w:bCs/>
                <w:color w:val="auto"/>
                <w:sz w:val="22"/>
                <w:highlight w:val="none"/>
              </w:rPr>
              <w:t>m</w:t>
            </w:r>
            <w:r>
              <w:rPr>
                <w:rFonts w:ascii="Times New Roman" w:hAnsi="Times New Roman"/>
                <w:bCs/>
                <w:color w:val="auto"/>
                <w:sz w:val="22"/>
                <w:highlight w:val="none"/>
                <w:vertAlign w:val="superscript"/>
              </w:rPr>
              <w:t>2</w:t>
            </w:r>
          </w:p>
        </w:tc>
        <w:tc>
          <w:tcPr>
            <w:tcW w:w="66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比例%</w:t>
            </w:r>
          </w:p>
        </w:tc>
        <w:tc>
          <w:tcPr>
            <w:tcW w:w="66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面积</w:t>
            </w:r>
            <w:r>
              <w:rPr>
                <w:rFonts w:hint="eastAsia" w:ascii="Times New Roman" w:hAnsi="Times New Roman"/>
                <w:bCs/>
                <w:color w:val="auto"/>
                <w:sz w:val="22"/>
                <w:highlight w:val="none"/>
                <w:lang w:val="en-US" w:eastAsia="zh-CN"/>
              </w:rPr>
              <w:t>h</w:t>
            </w:r>
            <w:r>
              <w:rPr>
                <w:rFonts w:ascii="Times New Roman" w:hAnsi="Times New Roman"/>
                <w:bCs/>
                <w:color w:val="auto"/>
                <w:sz w:val="22"/>
                <w:highlight w:val="none"/>
              </w:rPr>
              <w:t>m</w:t>
            </w:r>
            <w:r>
              <w:rPr>
                <w:rFonts w:ascii="Times New Roman" w:hAnsi="Times New Roman"/>
                <w:bCs/>
                <w:color w:val="auto"/>
                <w:sz w:val="22"/>
                <w:highlight w:val="none"/>
                <w:vertAlign w:val="superscript"/>
              </w:rPr>
              <w:t>2</w:t>
            </w:r>
          </w:p>
        </w:tc>
        <w:tc>
          <w:tcPr>
            <w:tcW w:w="66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比例%</w:t>
            </w:r>
          </w:p>
        </w:tc>
        <w:tc>
          <w:tcPr>
            <w:tcW w:w="66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增减面积</w:t>
            </w:r>
            <w:r>
              <w:rPr>
                <w:rFonts w:hint="eastAsia" w:ascii="Times New Roman" w:hAnsi="Times New Roman"/>
                <w:bCs/>
                <w:color w:val="auto"/>
                <w:sz w:val="22"/>
                <w:highlight w:val="none"/>
                <w:lang w:val="en-US" w:eastAsia="zh-CN"/>
              </w:rPr>
              <w:t>h</w:t>
            </w:r>
            <w:r>
              <w:rPr>
                <w:rFonts w:ascii="Times New Roman" w:hAnsi="Times New Roman"/>
                <w:bCs/>
                <w:color w:val="auto"/>
                <w:sz w:val="22"/>
                <w:highlight w:val="none"/>
              </w:rPr>
              <w:t>m</w:t>
            </w:r>
            <w:r>
              <w:rPr>
                <w:rFonts w:ascii="Times New Roman" w:hAnsi="Times New Roman"/>
                <w:bCs/>
                <w:color w:val="auto"/>
                <w:sz w:val="22"/>
                <w:highlight w:val="none"/>
                <w:vertAlign w:val="superscript"/>
              </w:rPr>
              <w:t>2</w:t>
            </w:r>
          </w:p>
        </w:tc>
        <w:tc>
          <w:tcPr>
            <w:tcW w:w="67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增减比例</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1</w:t>
            </w:r>
          </w:p>
        </w:tc>
        <w:tc>
          <w:tcPr>
            <w:tcW w:w="7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林地</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385.24 </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18.28 </w:t>
            </w:r>
          </w:p>
        </w:tc>
        <w:tc>
          <w:tcPr>
            <w:tcW w:w="114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305.58 </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14.50 </w:t>
            </w:r>
          </w:p>
        </w:tc>
        <w:tc>
          <w:tcPr>
            <w:tcW w:w="114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-79.67 </w:t>
            </w:r>
          </w:p>
        </w:tc>
        <w:tc>
          <w:tcPr>
            <w:tcW w:w="11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-20.68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Cs/>
                <w:color w:val="auto"/>
                <w:kern w:val="2"/>
                <w:sz w:val="22"/>
                <w:szCs w:val="24"/>
                <w:highlight w:val="none"/>
                <w:lang w:val="en-US" w:eastAsia="zh-CN" w:bidi="ar-SA"/>
              </w:rPr>
            </w:pPr>
            <w:r>
              <w:rPr>
                <w:rFonts w:ascii="Times New Roman" w:hAnsi="Times New Roman"/>
                <w:bCs/>
                <w:color w:val="auto"/>
                <w:sz w:val="22"/>
                <w:highlight w:val="none"/>
              </w:rPr>
              <w:t>2</w:t>
            </w:r>
          </w:p>
        </w:tc>
        <w:tc>
          <w:tcPr>
            <w:tcW w:w="7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Cs/>
                <w:color w:val="auto"/>
                <w:sz w:val="22"/>
                <w:highlight w:val="none"/>
                <w:lang w:eastAsia="zh-CN"/>
              </w:rPr>
            </w:pPr>
            <w:r>
              <w:rPr>
                <w:rFonts w:hint="eastAsia"/>
                <w:bCs/>
                <w:color w:val="auto"/>
                <w:sz w:val="22"/>
                <w:highlight w:val="none"/>
                <w:lang w:eastAsia="zh-CN"/>
              </w:rPr>
              <w:t>园地</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26.24 </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1.24 </w:t>
            </w:r>
          </w:p>
        </w:tc>
        <w:tc>
          <w:tcPr>
            <w:tcW w:w="114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26.81 </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1.27 </w:t>
            </w:r>
          </w:p>
        </w:tc>
        <w:tc>
          <w:tcPr>
            <w:tcW w:w="114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0.57 </w:t>
            </w:r>
          </w:p>
        </w:tc>
        <w:tc>
          <w:tcPr>
            <w:tcW w:w="11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2.19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Cs/>
                <w:color w:val="auto"/>
                <w:kern w:val="2"/>
                <w:sz w:val="22"/>
                <w:szCs w:val="24"/>
                <w:highlight w:val="none"/>
                <w:lang w:val="en-US" w:eastAsia="zh-CN" w:bidi="ar-SA"/>
              </w:rPr>
            </w:pPr>
            <w:r>
              <w:rPr>
                <w:rFonts w:ascii="Times New Roman" w:hAnsi="Times New Roman"/>
                <w:bCs/>
                <w:color w:val="auto"/>
                <w:sz w:val="22"/>
                <w:highlight w:val="none"/>
              </w:rPr>
              <w:t>3</w:t>
            </w:r>
          </w:p>
        </w:tc>
        <w:tc>
          <w:tcPr>
            <w:tcW w:w="7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草地</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4.89 </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0.23 </w:t>
            </w:r>
          </w:p>
        </w:tc>
        <w:tc>
          <w:tcPr>
            <w:tcW w:w="114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4.04 </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0.19 </w:t>
            </w:r>
          </w:p>
        </w:tc>
        <w:tc>
          <w:tcPr>
            <w:tcW w:w="114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-0.85 </w:t>
            </w:r>
          </w:p>
        </w:tc>
        <w:tc>
          <w:tcPr>
            <w:tcW w:w="11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-17.39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Cs/>
                <w:color w:val="auto"/>
                <w:kern w:val="2"/>
                <w:sz w:val="22"/>
                <w:szCs w:val="24"/>
                <w:highlight w:val="none"/>
                <w:lang w:val="en-US" w:eastAsia="zh-CN" w:bidi="ar-SA"/>
              </w:rPr>
            </w:pPr>
            <w:r>
              <w:rPr>
                <w:rFonts w:ascii="Times New Roman" w:hAnsi="Times New Roman"/>
                <w:bCs/>
                <w:color w:val="auto"/>
                <w:sz w:val="22"/>
                <w:highlight w:val="none"/>
              </w:rPr>
              <w:t>4</w:t>
            </w:r>
          </w:p>
        </w:tc>
        <w:tc>
          <w:tcPr>
            <w:tcW w:w="7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耕地</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692.35 </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32.85 </w:t>
            </w:r>
          </w:p>
        </w:tc>
        <w:tc>
          <w:tcPr>
            <w:tcW w:w="114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712.98 </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33.83 </w:t>
            </w:r>
          </w:p>
        </w:tc>
        <w:tc>
          <w:tcPr>
            <w:tcW w:w="114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20.63 </w:t>
            </w:r>
          </w:p>
        </w:tc>
        <w:tc>
          <w:tcPr>
            <w:tcW w:w="11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Cs/>
                <w:color w:val="auto"/>
                <w:sz w:val="22"/>
                <w:highlight w:val="none"/>
                <w:lang w:val="en-US" w:eastAsia="zh-CN"/>
              </w:rPr>
            </w:pPr>
            <w:r>
              <w:rPr>
                <w:rFonts w:hint="eastAsia"/>
                <w:bCs/>
                <w:color w:val="auto"/>
                <w:sz w:val="22"/>
                <w:highlight w:val="none"/>
                <w:lang w:val="en-US" w:eastAsia="zh-CN"/>
              </w:rPr>
              <w:t>5</w:t>
            </w:r>
          </w:p>
        </w:tc>
        <w:tc>
          <w:tcPr>
            <w:tcW w:w="7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水域</w:t>
            </w:r>
            <w:bookmarkStart w:id="71" w:name="_Hlk74842176"/>
            <w:r>
              <w:rPr>
                <w:rFonts w:ascii="Times New Roman" w:hAnsi="Times New Roman"/>
                <w:bCs/>
                <w:color w:val="auto"/>
                <w:sz w:val="22"/>
                <w:highlight w:val="none"/>
              </w:rPr>
              <w:t>及水利设施用地</w:t>
            </w:r>
            <w:bookmarkEnd w:id="71"/>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798.82 </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37.90 </w:t>
            </w:r>
          </w:p>
        </w:tc>
        <w:tc>
          <w:tcPr>
            <w:tcW w:w="114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844.75 </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40.08 </w:t>
            </w:r>
          </w:p>
        </w:tc>
        <w:tc>
          <w:tcPr>
            <w:tcW w:w="114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45.93 </w:t>
            </w:r>
          </w:p>
        </w:tc>
        <w:tc>
          <w:tcPr>
            <w:tcW w:w="11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Cs/>
                <w:color w:val="auto"/>
                <w:sz w:val="22"/>
                <w:highlight w:val="none"/>
                <w:lang w:val="en-US" w:eastAsia="zh-CN"/>
              </w:rPr>
            </w:pPr>
            <w:r>
              <w:rPr>
                <w:rFonts w:hint="eastAsia"/>
                <w:bCs/>
                <w:color w:val="auto"/>
                <w:sz w:val="22"/>
                <w:highlight w:val="none"/>
                <w:lang w:val="en-US" w:eastAsia="zh-CN"/>
              </w:rPr>
              <w:t>6</w:t>
            </w:r>
          </w:p>
        </w:tc>
        <w:tc>
          <w:tcPr>
            <w:tcW w:w="7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建设用地</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196.31 </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9.31 </w:t>
            </w:r>
          </w:p>
        </w:tc>
        <w:tc>
          <w:tcPr>
            <w:tcW w:w="114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210.27 </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9.98 </w:t>
            </w:r>
          </w:p>
        </w:tc>
        <w:tc>
          <w:tcPr>
            <w:tcW w:w="114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13.96 </w:t>
            </w:r>
          </w:p>
        </w:tc>
        <w:tc>
          <w:tcPr>
            <w:tcW w:w="11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7.11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Cs/>
                <w:color w:val="auto"/>
                <w:sz w:val="22"/>
                <w:highlight w:val="none"/>
                <w:lang w:val="en-US" w:eastAsia="zh-CN"/>
              </w:rPr>
            </w:pPr>
            <w:r>
              <w:rPr>
                <w:rFonts w:hint="eastAsia"/>
                <w:bCs/>
                <w:color w:val="auto"/>
                <w:sz w:val="22"/>
                <w:highlight w:val="none"/>
                <w:lang w:val="en-US" w:eastAsia="zh-CN"/>
              </w:rPr>
              <w:t>7</w:t>
            </w:r>
          </w:p>
        </w:tc>
        <w:tc>
          <w:tcPr>
            <w:tcW w:w="7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Cs/>
                <w:color w:val="auto"/>
                <w:sz w:val="22"/>
                <w:highlight w:val="none"/>
                <w:lang w:eastAsia="zh-CN"/>
              </w:rPr>
            </w:pPr>
            <w:r>
              <w:rPr>
                <w:rFonts w:hint="eastAsia"/>
                <w:bCs/>
                <w:color w:val="auto"/>
                <w:sz w:val="22"/>
                <w:highlight w:val="none"/>
                <w:lang w:eastAsia="zh-CN"/>
              </w:rPr>
              <w:t>其他用地</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3.76 </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0.18 </w:t>
            </w:r>
          </w:p>
        </w:tc>
        <w:tc>
          <w:tcPr>
            <w:tcW w:w="114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3.18 </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0.15 </w:t>
            </w:r>
          </w:p>
        </w:tc>
        <w:tc>
          <w:tcPr>
            <w:tcW w:w="114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-0.58 </w:t>
            </w:r>
          </w:p>
        </w:tc>
        <w:tc>
          <w:tcPr>
            <w:tcW w:w="11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-15.41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83" w:type="pct"/>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bCs/>
                <w:color w:val="auto"/>
                <w:sz w:val="22"/>
                <w:highlight w:val="none"/>
              </w:rPr>
            </w:pPr>
            <w:r>
              <w:rPr>
                <w:rFonts w:ascii="Times New Roman" w:hAnsi="Times New Roman"/>
                <w:bCs/>
                <w:color w:val="auto"/>
                <w:sz w:val="22"/>
                <w:highlight w:val="none"/>
              </w:rPr>
              <w:t>总计</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2107.62 </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100.00 </w:t>
            </w:r>
          </w:p>
        </w:tc>
        <w:tc>
          <w:tcPr>
            <w:tcW w:w="114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2107.62 </w:t>
            </w:r>
          </w:p>
        </w:tc>
        <w:tc>
          <w:tcPr>
            <w:tcW w:w="11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100.00 </w:t>
            </w:r>
          </w:p>
        </w:tc>
        <w:tc>
          <w:tcPr>
            <w:tcW w:w="114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 xml:space="preserve">0.00 </w:t>
            </w:r>
          </w:p>
        </w:tc>
        <w:tc>
          <w:tcPr>
            <w:tcW w:w="11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Cs/>
                <w:color w:val="auto"/>
                <w:sz w:val="22"/>
                <w:highlight w:val="none"/>
                <w:lang w:val="en-US" w:eastAsia="zh-CN"/>
              </w:rPr>
            </w:pPr>
            <w:r>
              <w:rPr>
                <w:rFonts w:hint="default" w:ascii="Times New Roman" w:hAnsi="Times New Roman"/>
                <w:bCs/>
                <w:color w:val="auto"/>
                <w:sz w:val="22"/>
                <w:highlight w:val="none"/>
                <w:lang w:val="en-US" w:eastAsia="zh-CN"/>
              </w:rPr>
              <w:t>0</w:t>
            </w:r>
          </w:p>
        </w:tc>
      </w:tr>
    </w:tbl>
    <w:p>
      <w:pPr>
        <w:keepNext w:val="0"/>
        <w:keepLines w:val="0"/>
        <w:pageBreakBefore w:val="0"/>
        <w:widowControl w:val="0"/>
        <w:kinsoku/>
        <w:wordWrap/>
        <w:overflowPunct/>
        <w:topLinePunct w:val="0"/>
        <w:bidi w:val="0"/>
        <w:snapToGrid w:val="0"/>
        <w:spacing w:line="240" w:lineRule="auto"/>
        <w:ind w:firstLine="440" w:firstLineChars="200"/>
        <w:jc w:val="both"/>
        <w:textAlignment w:val="auto"/>
        <w:rPr>
          <w:rFonts w:ascii="Times New Roman" w:hAnsi="Times New Roman"/>
          <w:color w:val="auto"/>
          <w:sz w:val="22"/>
          <w:highlight w:val="none"/>
        </w:rPr>
      </w:pPr>
      <w:r>
        <w:rPr>
          <w:rFonts w:hint="eastAsia" w:ascii="Times New Roman" w:hAnsi="Times New Roman"/>
          <w:color w:val="auto"/>
          <w:sz w:val="22"/>
          <w:highlight w:val="none"/>
        </w:rPr>
        <w:t>注：增减一栏中“－”表示减少，正值表示增加；增减比例为增减面积与原有面积的百分比值；</w:t>
      </w:r>
      <w:r>
        <w:rPr>
          <w:rFonts w:hint="eastAsia" w:ascii="Times New Roman" w:hAnsi="Times New Roman"/>
          <w:color w:val="auto"/>
          <w:sz w:val="22"/>
          <w:highlight w:val="none"/>
          <w:lang w:val="en-US" w:eastAsia="zh-CN"/>
        </w:rPr>
        <w:t>1986</w:t>
      </w:r>
      <w:r>
        <w:rPr>
          <w:rFonts w:hint="eastAsia" w:ascii="Times New Roman" w:hAnsi="Times New Roman"/>
          <w:color w:val="auto"/>
          <w:sz w:val="22"/>
          <w:highlight w:val="none"/>
        </w:rPr>
        <w:t>年指蓄水前，</w:t>
      </w:r>
      <w:r>
        <w:rPr>
          <w:rFonts w:hint="eastAsia" w:ascii="Times New Roman" w:hAnsi="Times New Roman"/>
          <w:color w:val="auto"/>
          <w:sz w:val="22"/>
          <w:highlight w:val="none"/>
          <w:lang w:val="en-US" w:eastAsia="zh-CN"/>
        </w:rPr>
        <w:t>202</w:t>
      </w:r>
      <w:r>
        <w:rPr>
          <w:rFonts w:hint="eastAsia"/>
          <w:color w:val="auto"/>
          <w:sz w:val="22"/>
          <w:highlight w:val="none"/>
          <w:lang w:val="en-US" w:eastAsia="zh-CN"/>
        </w:rPr>
        <w:t>4</w:t>
      </w:r>
      <w:r>
        <w:rPr>
          <w:rFonts w:hint="eastAsia" w:ascii="Times New Roman" w:hAnsi="Times New Roman"/>
          <w:color w:val="auto"/>
          <w:sz w:val="22"/>
          <w:highlight w:val="none"/>
        </w:rPr>
        <w:t>年指蓄水后</w:t>
      </w:r>
      <w:r>
        <w:rPr>
          <w:rFonts w:ascii="Times New Roman" w:hAnsi="Times New Roman"/>
          <w:color w:val="auto"/>
          <w:sz w:val="22"/>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sz w:val="22"/>
          <w:highlight w:val="none"/>
        </w:rPr>
      </w:pPr>
    </w:p>
    <w:p>
      <w:pPr>
        <w:autoSpaceDE w:val="0"/>
        <w:autoSpaceDN w:val="0"/>
        <w:adjustRightInd w:val="0"/>
        <w:spacing w:line="480" w:lineRule="exact"/>
        <w:ind w:firstLine="520" w:firstLineChars="200"/>
        <w:rPr>
          <w:rFonts w:ascii="Times New Roman" w:hAnsi="Times New Roman"/>
          <w:color w:val="auto"/>
          <w:kern w:val="0"/>
          <w:sz w:val="26"/>
          <w:szCs w:val="26"/>
          <w:highlight w:val="none"/>
        </w:rPr>
      </w:pPr>
      <w:r>
        <w:rPr>
          <w:rFonts w:hint="eastAsia" w:ascii="Times New Roman" w:hAnsi="Times New Roman"/>
          <w:color w:val="auto"/>
          <w:kern w:val="0"/>
          <w:sz w:val="26"/>
          <w:szCs w:val="26"/>
          <w:highlight w:val="none"/>
        </w:rPr>
        <w:t>由上表可知，</w:t>
      </w:r>
      <w:r>
        <w:rPr>
          <w:rFonts w:ascii="Times New Roman" w:hAnsi="Times New Roman"/>
          <w:color w:val="auto"/>
          <w:kern w:val="0"/>
          <w:sz w:val="26"/>
          <w:szCs w:val="26"/>
          <w:highlight w:val="none"/>
        </w:rPr>
        <w:t>通过对比</w:t>
      </w:r>
      <w:r>
        <w:rPr>
          <w:rFonts w:hint="eastAsia" w:ascii="Times New Roman" w:hAnsi="Times New Roman"/>
          <w:color w:val="auto"/>
          <w:kern w:val="0"/>
          <w:sz w:val="26"/>
          <w:szCs w:val="26"/>
          <w:highlight w:val="none"/>
          <w:lang w:eastAsia="zh-CN"/>
        </w:rPr>
        <w:t>渭沱枢纽</w:t>
      </w:r>
      <w:r>
        <w:rPr>
          <w:rFonts w:ascii="Times New Roman" w:hAnsi="Times New Roman"/>
          <w:color w:val="auto"/>
          <w:kern w:val="0"/>
          <w:sz w:val="26"/>
          <w:szCs w:val="26"/>
          <w:highlight w:val="none"/>
        </w:rPr>
        <w:t>建设前（</w:t>
      </w:r>
      <w:r>
        <w:rPr>
          <w:rFonts w:hint="eastAsia" w:ascii="Times New Roman" w:hAnsi="Times New Roman"/>
          <w:color w:val="auto"/>
          <w:kern w:val="0"/>
          <w:sz w:val="26"/>
          <w:szCs w:val="26"/>
          <w:highlight w:val="none"/>
          <w:lang w:val="en-US" w:eastAsia="zh-CN"/>
        </w:rPr>
        <w:t>1986</w:t>
      </w:r>
      <w:r>
        <w:rPr>
          <w:rFonts w:ascii="Times New Roman" w:hAnsi="Times New Roman"/>
          <w:color w:val="auto"/>
          <w:kern w:val="0"/>
          <w:sz w:val="26"/>
          <w:szCs w:val="26"/>
          <w:highlight w:val="none"/>
        </w:rPr>
        <w:t>年）和建设后（</w:t>
      </w:r>
      <w:r>
        <w:rPr>
          <w:rFonts w:hint="eastAsia"/>
          <w:color w:val="auto"/>
          <w:kern w:val="0"/>
          <w:sz w:val="26"/>
          <w:szCs w:val="26"/>
          <w:highlight w:val="none"/>
          <w:lang w:val="en-US" w:eastAsia="zh-CN"/>
        </w:rPr>
        <w:t>2024</w:t>
      </w:r>
      <w:r>
        <w:rPr>
          <w:rFonts w:ascii="Times New Roman" w:hAnsi="Times New Roman"/>
          <w:color w:val="auto"/>
          <w:kern w:val="0"/>
          <w:sz w:val="26"/>
          <w:szCs w:val="26"/>
          <w:highlight w:val="none"/>
        </w:rPr>
        <w:t>年）区域土地类型变化分析可知，</w:t>
      </w:r>
      <w:r>
        <w:rPr>
          <w:rFonts w:hint="eastAsia" w:ascii="Times New Roman" w:hAnsi="Times New Roman"/>
          <w:color w:val="auto"/>
          <w:kern w:val="0"/>
          <w:sz w:val="26"/>
          <w:szCs w:val="26"/>
          <w:highlight w:val="none"/>
          <w:lang w:eastAsia="zh-CN"/>
        </w:rPr>
        <w:t>渭沱枢纽</w:t>
      </w:r>
      <w:r>
        <w:rPr>
          <w:rFonts w:ascii="Times New Roman" w:hAnsi="Times New Roman"/>
          <w:color w:val="auto"/>
          <w:kern w:val="0"/>
          <w:sz w:val="26"/>
          <w:szCs w:val="26"/>
          <w:highlight w:val="none"/>
        </w:rPr>
        <w:t>建设前后区域各土地类型面积有所变化，主要为水域面积</w:t>
      </w:r>
      <w:r>
        <w:rPr>
          <w:rFonts w:hint="eastAsia"/>
          <w:color w:val="auto"/>
          <w:kern w:val="0"/>
          <w:sz w:val="26"/>
          <w:szCs w:val="26"/>
          <w:highlight w:val="none"/>
          <w:lang w:eastAsia="zh-CN"/>
        </w:rPr>
        <w:t>、耕地面积及建设用地面积</w:t>
      </w:r>
      <w:r>
        <w:rPr>
          <w:rFonts w:ascii="Times New Roman" w:hAnsi="Times New Roman"/>
          <w:color w:val="auto"/>
          <w:kern w:val="0"/>
          <w:sz w:val="26"/>
          <w:szCs w:val="26"/>
          <w:highlight w:val="none"/>
        </w:rPr>
        <w:t>增加，</w:t>
      </w:r>
      <w:r>
        <w:rPr>
          <w:rFonts w:hint="eastAsia"/>
          <w:color w:val="auto"/>
          <w:kern w:val="0"/>
          <w:sz w:val="26"/>
          <w:szCs w:val="26"/>
          <w:highlight w:val="none"/>
          <w:shd w:val="clear" w:fill="FFFFFF"/>
          <w:lang w:eastAsia="zh-CN"/>
        </w:rPr>
        <w:t>其他如</w:t>
      </w:r>
      <w:r>
        <w:rPr>
          <w:rFonts w:hint="eastAsia"/>
          <w:color w:val="auto"/>
          <w:kern w:val="0"/>
          <w:sz w:val="26"/>
          <w:szCs w:val="26"/>
          <w:highlight w:val="none"/>
          <w:lang w:eastAsia="zh-CN"/>
        </w:rPr>
        <w:t>林地、草地等</w:t>
      </w:r>
      <w:r>
        <w:rPr>
          <w:rFonts w:ascii="Times New Roman" w:hAnsi="Times New Roman"/>
          <w:color w:val="auto"/>
          <w:kern w:val="0"/>
          <w:sz w:val="26"/>
          <w:szCs w:val="26"/>
          <w:highlight w:val="none"/>
        </w:rPr>
        <w:t>类型土地面积减小</w:t>
      </w:r>
      <w:r>
        <w:rPr>
          <w:rFonts w:hint="eastAsia"/>
          <w:color w:val="auto"/>
          <w:kern w:val="0"/>
          <w:sz w:val="26"/>
          <w:szCs w:val="26"/>
          <w:highlight w:val="none"/>
          <w:lang w:eastAsia="zh-CN"/>
        </w:rPr>
        <w:t>。林地减少主要</w:t>
      </w:r>
      <w:r>
        <w:rPr>
          <w:rFonts w:hint="eastAsia"/>
          <w:color w:val="auto"/>
          <w:kern w:val="0"/>
          <w:sz w:val="26"/>
          <w:szCs w:val="26"/>
          <w:highlight w:val="none"/>
          <w:shd w:val="clear" w:fill="FFFFFF"/>
          <w:lang w:eastAsia="zh-CN"/>
        </w:rPr>
        <w:t>原因是</w:t>
      </w:r>
      <w:r>
        <w:rPr>
          <w:rFonts w:hint="eastAsia"/>
          <w:color w:val="auto"/>
          <w:kern w:val="0"/>
          <w:sz w:val="26"/>
          <w:szCs w:val="26"/>
          <w:highlight w:val="none"/>
          <w:lang w:eastAsia="zh-CN"/>
        </w:rPr>
        <w:t>渭沱枢纽建成后涪江两岸淹没区内林地面积大量减少，而且随着区域人口增加，导致建设用地和耕地面积增加也会导致林地面积相应</w:t>
      </w:r>
      <w:r>
        <w:rPr>
          <w:rFonts w:hint="eastAsia"/>
          <w:color w:val="auto"/>
          <w:kern w:val="0"/>
          <w:sz w:val="26"/>
          <w:szCs w:val="26"/>
          <w:highlight w:val="none"/>
          <w:shd w:val="clear" w:fill="FFFFFF"/>
          <w:lang w:eastAsia="zh-CN"/>
        </w:rPr>
        <w:t>减少</w:t>
      </w:r>
      <w:r>
        <w:rPr>
          <w:rFonts w:hint="eastAsia"/>
          <w:color w:val="auto"/>
          <w:kern w:val="0"/>
          <w:sz w:val="26"/>
          <w:szCs w:val="26"/>
          <w:highlight w:val="none"/>
          <w:lang w:eastAsia="zh-CN"/>
        </w:rPr>
        <w:t>。</w:t>
      </w:r>
      <w:r>
        <w:rPr>
          <w:rFonts w:ascii="Times New Roman" w:hAnsi="Times New Roman"/>
          <w:color w:val="auto"/>
          <w:kern w:val="0"/>
          <w:sz w:val="26"/>
          <w:szCs w:val="26"/>
          <w:highlight w:val="none"/>
        </w:rPr>
        <w:t>但区域</w:t>
      </w:r>
      <w:r>
        <w:rPr>
          <w:rFonts w:hint="eastAsia"/>
          <w:color w:val="auto"/>
          <w:kern w:val="0"/>
          <w:sz w:val="26"/>
          <w:szCs w:val="26"/>
          <w:highlight w:val="none"/>
          <w:shd w:val="clear" w:fill="FFFFFF"/>
          <w:lang w:eastAsia="zh-CN"/>
        </w:rPr>
        <w:t>土地类型</w:t>
      </w:r>
      <w:r>
        <w:rPr>
          <w:rFonts w:ascii="Times New Roman" w:hAnsi="Times New Roman"/>
          <w:color w:val="auto"/>
          <w:kern w:val="0"/>
          <w:sz w:val="26"/>
          <w:szCs w:val="26"/>
          <w:highlight w:val="none"/>
        </w:rPr>
        <w:t>仍以</w:t>
      </w:r>
      <w:r>
        <w:rPr>
          <w:rFonts w:hint="eastAsia"/>
          <w:color w:val="auto"/>
          <w:kern w:val="0"/>
          <w:sz w:val="26"/>
          <w:szCs w:val="26"/>
          <w:highlight w:val="none"/>
          <w:lang w:eastAsia="zh-CN"/>
        </w:rPr>
        <w:t>水域、</w:t>
      </w:r>
      <w:r>
        <w:rPr>
          <w:rFonts w:ascii="Times New Roman" w:hAnsi="Times New Roman"/>
          <w:color w:val="auto"/>
          <w:kern w:val="0"/>
          <w:sz w:val="26"/>
          <w:szCs w:val="26"/>
          <w:highlight w:val="none"/>
        </w:rPr>
        <w:t>耕地占优势，所占比例分别为</w:t>
      </w:r>
      <w:r>
        <w:rPr>
          <w:rFonts w:hint="eastAsia"/>
          <w:color w:val="auto"/>
          <w:kern w:val="0"/>
          <w:sz w:val="26"/>
          <w:szCs w:val="26"/>
          <w:highlight w:val="none"/>
          <w:lang w:val="en-US" w:eastAsia="zh-CN"/>
        </w:rPr>
        <w:t>40.08</w:t>
      </w:r>
      <w:r>
        <w:rPr>
          <w:rFonts w:ascii="Times New Roman" w:hAnsi="Times New Roman"/>
          <w:color w:val="auto"/>
          <w:kern w:val="0"/>
          <w:sz w:val="26"/>
          <w:szCs w:val="26"/>
          <w:highlight w:val="none"/>
        </w:rPr>
        <w:t>%、</w:t>
      </w:r>
      <w:r>
        <w:rPr>
          <w:rFonts w:hint="eastAsia"/>
          <w:color w:val="auto"/>
          <w:kern w:val="0"/>
          <w:sz w:val="26"/>
          <w:szCs w:val="26"/>
          <w:highlight w:val="none"/>
          <w:lang w:val="en-US" w:eastAsia="zh-CN"/>
        </w:rPr>
        <w:t>33.83</w:t>
      </w:r>
      <w:r>
        <w:rPr>
          <w:rFonts w:ascii="Times New Roman" w:hAnsi="Times New Roman"/>
          <w:color w:val="auto"/>
          <w:kern w:val="0"/>
          <w:sz w:val="26"/>
          <w:szCs w:val="26"/>
          <w:highlight w:val="none"/>
        </w:rPr>
        <w:t>%。总体而言，变化面积及比例较小。</w:t>
      </w:r>
    </w:p>
    <w:p>
      <w:pPr>
        <w:autoSpaceDE w:val="0"/>
        <w:autoSpaceDN w:val="0"/>
        <w:adjustRightInd w:val="0"/>
        <w:spacing w:line="480" w:lineRule="exact"/>
        <w:ind w:firstLine="522" w:firstLineChars="200"/>
        <w:rPr>
          <w:rFonts w:ascii="Times New Roman" w:hAnsi="Times New Roman"/>
          <w:b/>
          <w:bCs/>
          <w:color w:val="auto"/>
          <w:kern w:val="0"/>
          <w:sz w:val="26"/>
          <w:szCs w:val="26"/>
          <w:highlight w:val="none"/>
          <w:lang w:val="zh-CN"/>
        </w:rPr>
      </w:pPr>
      <w:r>
        <w:rPr>
          <w:rFonts w:hint="eastAsia" w:ascii="Times New Roman" w:hAnsi="Times New Roman"/>
          <w:b/>
          <w:bCs/>
          <w:color w:val="auto"/>
          <w:kern w:val="0"/>
          <w:sz w:val="26"/>
          <w:szCs w:val="26"/>
          <w:highlight w:val="none"/>
          <w:lang w:val="zh-CN"/>
        </w:rPr>
        <w:t>B</w:t>
      </w:r>
      <w:r>
        <w:rPr>
          <w:rFonts w:hint="eastAsia" w:ascii="Times New Roman" w:hAnsi="Times New Roman"/>
          <w:b/>
          <w:bCs/>
          <w:color w:val="auto"/>
          <w:kern w:val="0"/>
          <w:sz w:val="26"/>
          <w:szCs w:val="26"/>
          <w:highlight w:val="none"/>
          <w:shd w:val="clear" w:fill="FFFFFF"/>
          <w:lang w:val="zh-CN"/>
        </w:rPr>
        <w:t>、</w:t>
      </w:r>
      <w:r>
        <w:rPr>
          <w:rFonts w:hint="eastAsia" w:ascii="Times New Roman" w:hAnsi="Times New Roman"/>
          <w:b/>
          <w:bCs/>
          <w:color w:val="auto"/>
          <w:kern w:val="0"/>
          <w:sz w:val="26"/>
          <w:szCs w:val="26"/>
          <w:highlight w:val="none"/>
          <w:lang w:val="zh-CN"/>
        </w:rPr>
        <w:t>陆生植物及植被影响回顾</w:t>
      </w:r>
    </w:p>
    <w:p>
      <w:pPr>
        <w:autoSpaceDE w:val="0"/>
        <w:autoSpaceDN w:val="0"/>
        <w:adjustRightInd w:val="0"/>
        <w:spacing w:line="480" w:lineRule="exact"/>
        <w:ind w:firstLine="520" w:firstLineChars="200"/>
        <w:rPr>
          <w:rFonts w:ascii="Times New Roman" w:hAnsi="Times New Roman"/>
          <w:b w:val="0"/>
          <w:bCs w:val="0"/>
          <w:color w:val="auto"/>
          <w:kern w:val="0"/>
          <w:sz w:val="26"/>
          <w:szCs w:val="26"/>
          <w:highlight w:val="none"/>
        </w:rPr>
      </w:pPr>
      <w:r>
        <w:rPr>
          <w:rFonts w:hint="eastAsia" w:ascii="Times New Roman" w:hAnsi="Times New Roman"/>
          <w:b w:val="0"/>
          <w:bCs w:val="0"/>
          <w:color w:val="auto"/>
          <w:kern w:val="0"/>
          <w:sz w:val="26"/>
          <w:szCs w:val="26"/>
          <w:highlight w:val="none"/>
          <w:lang w:val="en-US" w:eastAsia="zh-CN"/>
        </w:rPr>
        <w:t>a-</w:t>
      </w:r>
      <w:r>
        <w:rPr>
          <w:rFonts w:ascii="Times New Roman" w:hAnsi="Times New Roman"/>
          <w:b w:val="0"/>
          <w:bCs w:val="0"/>
          <w:color w:val="auto"/>
          <w:kern w:val="0"/>
          <w:sz w:val="26"/>
          <w:szCs w:val="26"/>
          <w:highlight w:val="none"/>
          <w:lang w:val="zh-CN"/>
        </w:rPr>
        <w:t>植物区系的变化分析</w:t>
      </w:r>
    </w:p>
    <w:p>
      <w:pPr>
        <w:autoSpaceDE w:val="0"/>
        <w:autoSpaceDN w:val="0"/>
        <w:adjustRightInd w:val="0"/>
        <w:spacing w:line="480" w:lineRule="exact"/>
        <w:ind w:firstLine="520" w:firstLineChars="200"/>
        <w:rPr>
          <w:rFonts w:ascii="Times New Roman" w:hAnsi="Times New Roman"/>
          <w:color w:val="auto"/>
          <w:kern w:val="0"/>
          <w:sz w:val="26"/>
          <w:szCs w:val="26"/>
          <w:highlight w:val="none"/>
        </w:rPr>
      </w:pPr>
      <w:r>
        <w:rPr>
          <w:rFonts w:ascii="Times New Roman" w:hAnsi="Times New Roman"/>
          <w:color w:val="auto"/>
          <w:kern w:val="0"/>
          <w:sz w:val="26"/>
          <w:szCs w:val="26"/>
          <w:highlight w:val="none"/>
        </w:rPr>
        <w:t>根据《重庆市植物区系特征及植被类型》（易思荣等）、</w:t>
      </w:r>
      <w:r>
        <w:rPr>
          <w:rFonts w:hint="eastAsia"/>
          <w:color w:val="auto"/>
          <w:kern w:val="0"/>
          <w:sz w:val="26"/>
          <w:szCs w:val="26"/>
          <w:highlight w:val="none"/>
          <w:lang w:eastAsia="zh-CN"/>
        </w:rPr>
        <w:t>《涪江重庆段流域环境影响回顾性评价报告</w:t>
      </w:r>
      <w:r>
        <w:rPr>
          <w:rFonts w:hint="eastAsia"/>
          <w:color w:val="auto"/>
          <w:kern w:val="0"/>
          <w:sz w:val="26"/>
          <w:szCs w:val="26"/>
          <w:highlight w:val="none"/>
          <w:shd w:val="clear" w:fill="FFFFFF"/>
          <w:lang w:eastAsia="zh-CN"/>
        </w:rPr>
        <w:t>》、《</w:t>
      </w:r>
      <w:r>
        <w:rPr>
          <w:rFonts w:hint="eastAsia"/>
          <w:color w:val="auto"/>
          <w:kern w:val="0"/>
          <w:sz w:val="26"/>
          <w:szCs w:val="26"/>
          <w:highlight w:val="none"/>
          <w:lang w:eastAsia="zh-CN"/>
        </w:rPr>
        <w:t>涪江重庆段航道整治工程环境影响报告书》等</w:t>
      </w:r>
      <w:r>
        <w:rPr>
          <w:rFonts w:ascii="Times New Roman" w:hAnsi="Times New Roman"/>
          <w:color w:val="auto"/>
          <w:kern w:val="0"/>
          <w:sz w:val="26"/>
          <w:szCs w:val="26"/>
          <w:highlight w:val="none"/>
        </w:rPr>
        <w:t>确定，参考涪江流域内发表的相关文献资料可知，评价范围内区系具有组成成分丰富，地理联系广泛，具有较多古老和原始的成分，区系以温带性质为主，具有过渡性等特点。</w:t>
      </w:r>
    </w:p>
    <w:p>
      <w:pPr>
        <w:autoSpaceDE w:val="0"/>
        <w:autoSpaceDN w:val="0"/>
        <w:adjustRightInd w:val="0"/>
        <w:spacing w:line="480" w:lineRule="exact"/>
        <w:ind w:firstLine="520" w:firstLineChars="200"/>
        <w:rPr>
          <w:rFonts w:ascii="Times New Roman" w:hAnsi="Times New Roman"/>
          <w:color w:val="auto"/>
          <w:kern w:val="0"/>
          <w:sz w:val="26"/>
          <w:szCs w:val="26"/>
          <w:highlight w:val="none"/>
        </w:rPr>
      </w:pPr>
      <w:r>
        <w:rPr>
          <w:rFonts w:ascii="Times New Roman" w:hAnsi="Times New Roman"/>
          <w:color w:val="auto"/>
          <w:kern w:val="0"/>
          <w:sz w:val="26"/>
          <w:szCs w:val="26"/>
          <w:highlight w:val="none"/>
        </w:rPr>
        <w:t>参考</w:t>
      </w:r>
      <w:r>
        <w:rPr>
          <w:rFonts w:hint="eastAsia" w:ascii="Times New Roman" w:hAnsi="Times New Roman"/>
          <w:color w:val="auto"/>
          <w:kern w:val="0"/>
          <w:sz w:val="26"/>
          <w:szCs w:val="26"/>
          <w:highlight w:val="none"/>
          <w:lang w:eastAsia="zh-CN"/>
        </w:rPr>
        <w:t>涪江</w:t>
      </w:r>
      <w:r>
        <w:rPr>
          <w:rFonts w:ascii="Times New Roman" w:hAnsi="Times New Roman"/>
          <w:color w:val="auto"/>
          <w:kern w:val="0"/>
          <w:sz w:val="26"/>
          <w:szCs w:val="26"/>
          <w:highlight w:val="none"/>
        </w:rPr>
        <w:t>流域各水利水电环境影响评价报告及区域其它本底调查资料，根据访问调查及现场实地调查，区域为方山丘陵地形，地势较为平坦，河流沿岸村落城镇较多，区域内人为活动较为频繁，植物种类贫乏，多以适应性强、抗逆性强、分布范围广泛的种类为主，</w:t>
      </w:r>
      <w:r>
        <w:rPr>
          <w:rFonts w:hint="eastAsia" w:ascii="Times New Roman" w:hAnsi="Times New Roman"/>
          <w:color w:val="auto"/>
          <w:kern w:val="0"/>
          <w:sz w:val="26"/>
          <w:szCs w:val="26"/>
          <w:highlight w:val="none"/>
          <w:lang w:eastAsia="zh-CN"/>
        </w:rPr>
        <w:t>渭沱枢纽</w:t>
      </w:r>
      <w:r>
        <w:rPr>
          <w:rFonts w:ascii="Times New Roman" w:hAnsi="Times New Roman"/>
          <w:color w:val="auto"/>
          <w:kern w:val="0"/>
          <w:sz w:val="26"/>
          <w:szCs w:val="26"/>
          <w:highlight w:val="none"/>
        </w:rPr>
        <w:t>开发过程中未发现珍稀保护及特有植物分布。根据本次调查，受</w:t>
      </w:r>
      <w:r>
        <w:rPr>
          <w:rFonts w:hint="eastAsia" w:ascii="Times New Roman" w:hAnsi="Times New Roman"/>
          <w:color w:val="auto"/>
          <w:kern w:val="0"/>
          <w:sz w:val="26"/>
          <w:szCs w:val="26"/>
          <w:highlight w:val="none"/>
          <w:lang w:eastAsia="zh-CN"/>
        </w:rPr>
        <w:t>渭沱枢纽</w:t>
      </w:r>
      <w:r>
        <w:rPr>
          <w:rFonts w:ascii="Times New Roman" w:hAnsi="Times New Roman"/>
          <w:color w:val="auto"/>
          <w:kern w:val="0"/>
          <w:sz w:val="26"/>
          <w:szCs w:val="26"/>
          <w:highlight w:val="none"/>
        </w:rPr>
        <w:t>开发影响的植物在占地及淹没区周边、涪江沿岸及流域范围内均具有较广泛分布，</w:t>
      </w:r>
      <w:r>
        <w:rPr>
          <w:rFonts w:hint="eastAsia" w:ascii="Times New Roman" w:hAnsi="Times New Roman"/>
          <w:color w:val="auto"/>
          <w:kern w:val="0"/>
          <w:sz w:val="26"/>
          <w:szCs w:val="26"/>
          <w:highlight w:val="none"/>
          <w:lang w:eastAsia="zh-CN"/>
        </w:rPr>
        <w:t>渭沱枢纽建设</w:t>
      </w:r>
      <w:r>
        <w:rPr>
          <w:rFonts w:ascii="Times New Roman" w:hAnsi="Times New Roman"/>
          <w:color w:val="auto"/>
          <w:kern w:val="0"/>
          <w:sz w:val="26"/>
          <w:szCs w:val="26"/>
          <w:highlight w:val="none"/>
        </w:rPr>
        <w:t>并没有使某些植物种类消失，对区域植物区系无影响。</w:t>
      </w:r>
    </w:p>
    <w:p>
      <w:pPr>
        <w:autoSpaceDE w:val="0"/>
        <w:autoSpaceDN w:val="0"/>
        <w:adjustRightInd w:val="0"/>
        <w:spacing w:line="480" w:lineRule="exact"/>
        <w:ind w:firstLine="520" w:firstLineChars="200"/>
        <w:rPr>
          <w:rFonts w:ascii="Times New Roman" w:hAnsi="Times New Roman"/>
          <w:b w:val="0"/>
          <w:bCs w:val="0"/>
          <w:color w:val="auto"/>
          <w:kern w:val="0"/>
          <w:sz w:val="26"/>
          <w:szCs w:val="26"/>
          <w:highlight w:val="none"/>
          <w:lang w:val="zh-CN"/>
        </w:rPr>
      </w:pPr>
      <w:r>
        <w:rPr>
          <w:rFonts w:hint="eastAsia" w:ascii="Times New Roman" w:hAnsi="Times New Roman"/>
          <w:b w:val="0"/>
          <w:bCs w:val="0"/>
          <w:color w:val="auto"/>
          <w:kern w:val="0"/>
          <w:sz w:val="26"/>
          <w:szCs w:val="26"/>
          <w:highlight w:val="none"/>
          <w:lang w:val="en-US" w:eastAsia="zh-CN"/>
        </w:rPr>
        <w:t>b-</w:t>
      </w:r>
      <w:r>
        <w:rPr>
          <w:rFonts w:ascii="Times New Roman" w:hAnsi="Times New Roman"/>
          <w:b w:val="0"/>
          <w:bCs w:val="0"/>
          <w:color w:val="auto"/>
          <w:kern w:val="0"/>
          <w:sz w:val="26"/>
          <w:szCs w:val="26"/>
          <w:highlight w:val="none"/>
          <w:lang w:val="zh-CN"/>
        </w:rPr>
        <w:t>植被</w:t>
      </w:r>
      <w:r>
        <w:rPr>
          <w:rFonts w:hint="eastAsia" w:ascii="Times New Roman" w:hAnsi="Times New Roman"/>
          <w:b w:val="0"/>
          <w:bCs w:val="0"/>
          <w:color w:val="auto"/>
          <w:kern w:val="0"/>
          <w:sz w:val="26"/>
          <w:szCs w:val="26"/>
          <w:highlight w:val="none"/>
          <w:lang w:val="zh-CN"/>
        </w:rPr>
        <w:t>资源</w:t>
      </w:r>
      <w:r>
        <w:rPr>
          <w:rFonts w:ascii="Times New Roman" w:hAnsi="Times New Roman"/>
          <w:b w:val="0"/>
          <w:bCs w:val="0"/>
          <w:color w:val="auto"/>
          <w:kern w:val="0"/>
          <w:sz w:val="26"/>
          <w:szCs w:val="26"/>
          <w:highlight w:val="none"/>
          <w:lang w:val="zh-CN"/>
        </w:rPr>
        <w:t>的变化分析</w:t>
      </w:r>
    </w:p>
    <w:p>
      <w:pPr>
        <w:autoSpaceDE w:val="0"/>
        <w:autoSpaceDN w:val="0"/>
        <w:adjustRightInd w:val="0"/>
        <w:spacing w:line="480" w:lineRule="exact"/>
        <w:ind w:firstLine="520" w:firstLineChars="200"/>
        <w:rPr>
          <w:rFonts w:ascii="Times New Roman" w:hAnsi="Times New Roman"/>
          <w:b w:val="0"/>
          <w:bCs w:val="0"/>
          <w:color w:val="auto"/>
          <w:kern w:val="0"/>
          <w:sz w:val="26"/>
          <w:szCs w:val="26"/>
          <w:highlight w:val="none"/>
        </w:rPr>
      </w:pPr>
      <w:r>
        <w:rPr>
          <w:rFonts w:hint="eastAsia" w:ascii="宋体" w:hAnsi="宋体" w:cs="宋体"/>
          <w:b w:val="0"/>
          <w:bCs w:val="0"/>
          <w:color w:val="auto"/>
          <w:kern w:val="0"/>
          <w:sz w:val="26"/>
          <w:szCs w:val="26"/>
          <w:highlight w:val="none"/>
          <w:lang w:val="zh-CN"/>
        </w:rPr>
        <w:t>渭沱枢纽建设及</w:t>
      </w:r>
      <w:r>
        <w:rPr>
          <w:rFonts w:hint="eastAsia" w:ascii="宋体" w:hAnsi="宋体" w:cs="宋体"/>
          <w:b w:val="0"/>
          <w:bCs w:val="0"/>
          <w:color w:val="auto"/>
          <w:kern w:val="0"/>
          <w:sz w:val="26"/>
          <w:szCs w:val="26"/>
          <w:highlight w:val="none"/>
          <w:shd w:val="clear" w:fill="FFFFFF"/>
          <w:lang w:val="zh-CN"/>
        </w:rPr>
        <w:t>运营</w:t>
      </w:r>
      <w:r>
        <w:rPr>
          <w:rFonts w:hint="eastAsia" w:ascii="宋体" w:hAnsi="宋体" w:cs="宋体"/>
          <w:b w:val="0"/>
          <w:bCs w:val="0"/>
          <w:color w:val="auto"/>
          <w:kern w:val="0"/>
          <w:sz w:val="26"/>
          <w:szCs w:val="26"/>
          <w:highlight w:val="none"/>
          <w:lang w:val="zh-CN"/>
        </w:rPr>
        <w:t>对植被主要影响因素为施工占地及淹没的影响。工程</w:t>
      </w:r>
      <w:r>
        <w:rPr>
          <w:rFonts w:ascii="Times New Roman" w:hAnsi="Times New Roman"/>
          <w:b w:val="0"/>
          <w:bCs w:val="0"/>
          <w:color w:val="auto"/>
          <w:kern w:val="0"/>
          <w:sz w:val="26"/>
          <w:szCs w:val="26"/>
          <w:highlight w:val="none"/>
        </w:rPr>
        <w:t>建设施工占地及运行时淹没了部分植物及植被。由于</w:t>
      </w:r>
      <w:r>
        <w:rPr>
          <w:rFonts w:hint="eastAsia" w:ascii="宋体" w:hAnsi="宋体" w:cs="宋体"/>
          <w:b w:val="0"/>
          <w:bCs w:val="0"/>
          <w:color w:val="auto"/>
          <w:kern w:val="0"/>
          <w:sz w:val="26"/>
          <w:szCs w:val="26"/>
          <w:highlight w:val="none"/>
          <w:lang w:val="zh-CN"/>
        </w:rPr>
        <w:t>渭沱枢纽</w:t>
      </w:r>
      <w:r>
        <w:rPr>
          <w:rFonts w:ascii="Times New Roman" w:hAnsi="Times New Roman"/>
          <w:b w:val="0"/>
          <w:bCs w:val="0"/>
          <w:color w:val="auto"/>
          <w:kern w:val="0"/>
          <w:sz w:val="26"/>
          <w:szCs w:val="26"/>
          <w:highlight w:val="none"/>
        </w:rPr>
        <w:t>建设规模不大，</w:t>
      </w:r>
      <w:r>
        <w:rPr>
          <w:rFonts w:hint="eastAsia" w:ascii="Times New Roman" w:hAnsi="Times New Roman"/>
          <w:b w:val="0"/>
          <w:bCs w:val="0"/>
          <w:color w:val="auto"/>
          <w:kern w:val="0"/>
          <w:sz w:val="26"/>
          <w:szCs w:val="26"/>
          <w:highlight w:val="none"/>
          <w:lang w:eastAsia="zh-CN"/>
        </w:rPr>
        <w:t>管理区占地及淹没区范围较小，</w:t>
      </w:r>
      <w:r>
        <w:rPr>
          <w:rFonts w:ascii="Times New Roman" w:hAnsi="Times New Roman"/>
          <w:b w:val="0"/>
          <w:bCs w:val="0"/>
          <w:color w:val="auto"/>
          <w:kern w:val="0"/>
          <w:sz w:val="26"/>
          <w:szCs w:val="26"/>
          <w:highlight w:val="none"/>
        </w:rPr>
        <w:t>占地及淹没对区域植物及植被的影响有限。根据现场调查，</w:t>
      </w:r>
      <w:r>
        <w:rPr>
          <w:rFonts w:hint="eastAsia" w:ascii="Times New Roman" w:hAnsi="Times New Roman"/>
          <w:b w:val="0"/>
          <w:bCs w:val="0"/>
          <w:color w:val="auto"/>
          <w:kern w:val="0"/>
          <w:sz w:val="26"/>
          <w:szCs w:val="26"/>
          <w:highlight w:val="none"/>
          <w:lang w:eastAsia="zh-CN"/>
        </w:rPr>
        <w:t>除水域面积外，</w:t>
      </w:r>
      <w:r>
        <w:rPr>
          <w:rFonts w:ascii="Times New Roman" w:hAnsi="Times New Roman"/>
          <w:b w:val="0"/>
          <w:bCs w:val="0"/>
          <w:color w:val="auto"/>
          <w:kern w:val="0"/>
          <w:sz w:val="26"/>
          <w:szCs w:val="26"/>
          <w:highlight w:val="none"/>
        </w:rPr>
        <w:t>占地及淹没区土地类型以草地、耕地、裸地为主，区域植被以灌丛、草丛及农作物为主，常见的农作物有玉米、水稻等，常见的群系有</w:t>
      </w:r>
      <w:r>
        <w:rPr>
          <w:rFonts w:hint="eastAsia"/>
          <w:b w:val="0"/>
          <w:bCs w:val="0"/>
          <w:color w:val="auto"/>
          <w:kern w:val="0"/>
          <w:sz w:val="26"/>
          <w:szCs w:val="26"/>
          <w:highlight w:val="none"/>
          <w:lang w:eastAsia="zh-CN"/>
        </w:rPr>
        <w:t>慈</w:t>
      </w:r>
      <w:r>
        <w:rPr>
          <w:rFonts w:ascii="Times New Roman" w:hAnsi="Times New Roman"/>
          <w:b w:val="0"/>
          <w:bCs w:val="0"/>
          <w:color w:val="auto"/>
          <w:kern w:val="0"/>
          <w:sz w:val="26"/>
          <w:szCs w:val="26"/>
          <w:highlight w:val="none"/>
        </w:rPr>
        <w:t>竹林、</w:t>
      </w:r>
      <w:r>
        <w:rPr>
          <w:rFonts w:hint="eastAsia"/>
          <w:b w:val="0"/>
          <w:bCs w:val="0"/>
          <w:color w:val="auto"/>
          <w:kern w:val="0"/>
          <w:sz w:val="26"/>
          <w:szCs w:val="26"/>
          <w:highlight w:val="none"/>
          <w:lang w:eastAsia="zh-CN"/>
        </w:rPr>
        <w:t>枫杨林、小叶女贞灌丛</w:t>
      </w:r>
      <w:r>
        <w:rPr>
          <w:rFonts w:ascii="Times New Roman" w:hAnsi="Times New Roman"/>
          <w:b w:val="0"/>
          <w:bCs w:val="0"/>
          <w:color w:val="auto"/>
          <w:kern w:val="0"/>
          <w:sz w:val="26"/>
          <w:szCs w:val="26"/>
          <w:highlight w:val="none"/>
        </w:rPr>
        <w:t>、</w:t>
      </w:r>
      <w:r>
        <w:rPr>
          <w:rFonts w:hint="eastAsia"/>
          <w:b w:val="0"/>
          <w:bCs w:val="0"/>
          <w:color w:val="auto"/>
          <w:kern w:val="0"/>
          <w:sz w:val="26"/>
          <w:szCs w:val="26"/>
          <w:highlight w:val="none"/>
          <w:lang w:eastAsia="zh-CN"/>
        </w:rPr>
        <w:t>斑茅草丛</w:t>
      </w:r>
      <w:r>
        <w:rPr>
          <w:rFonts w:ascii="Times New Roman" w:hAnsi="Times New Roman"/>
          <w:b w:val="0"/>
          <w:bCs w:val="0"/>
          <w:color w:val="auto"/>
          <w:kern w:val="0"/>
          <w:sz w:val="26"/>
          <w:szCs w:val="26"/>
          <w:highlight w:val="none"/>
        </w:rPr>
        <w:t>等，受占地及淹没影响的植物均为常见种，植被均为常见类型，工程施工及库底清理过程中未发现珍稀保护及特有植物分布，占地及淹没对区域植物的影响较小。</w:t>
      </w:r>
    </w:p>
    <w:p>
      <w:pPr>
        <w:autoSpaceDE w:val="0"/>
        <w:autoSpaceDN w:val="0"/>
        <w:adjustRightInd w:val="0"/>
        <w:spacing w:line="480" w:lineRule="exact"/>
        <w:ind w:firstLine="520" w:firstLineChars="200"/>
        <w:rPr>
          <w:rFonts w:hint="eastAsia" w:ascii="Times New Roman" w:hAnsi="Times New Roman"/>
          <w:b w:val="0"/>
          <w:bCs w:val="0"/>
          <w:color w:val="auto"/>
          <w:kern w:val="0"/>
          <w:sz w:val="26"/>
          <w:szCs w:val="26"/>
          <w:highlight w:val="none"/>
          <w:lang w:eastAsia="zh-CN"/>
        </w:rPr>
      </w:pPr>
      <w:r>
        <w:rPr>
          <w:rFonts w:hint="eastAsia" w:ascii="Times New Roman" w:hAnsi="Times New Roman"/>
          <w:b w:val="0"/>
          <w:bCs w:val="0"/>
          <w:color w:val="auto"/>
          <w:kern w:val="0"/>
          <w:sz w:val="26"/>
          <w:szCs w:val="26"/>
          <w:highlight w:val="none"/>
        </w:rPr>
        <w:t>根据调查，由于渭沱电站已运行多年，坝下无明显减水河段，河谷两岸植被基本保持了原有状况，整体植物群落特征未发生改变。施工结束后</w:t>
      </w:r>
      <w:r>
        <w:rPr>
          <w:rFonts w:hint="eastAsia"/>
          <w:b w:val="0"/>
          <w:bCs w:val="0"/>
          <w:color w:val="auto"/>
          <w:kern w:val="0"/>
          <w:sz w:val="26"/>
          <w:szCs w:val="26"/>
          <w:highlight w:val="none"/>
          <w:shd w:val="clear" w:fill="FFFFFF"/>
          <w:lang w:eastAsia="zh-CN"/>
        </w:rPr>
        <w:t>对</w:t>
      </w:r>
      <w:r>
        <w:rPr>
          <w:rFonts w:hint="eastAsia" w:ascii="Times New Roman" w:hAnsi="Times New Roman"/>
          <w:b w:val="0"/>
          <w:bCs w:val="0"/>
          <w:color w:val="auto"/>
          <w:kern w:val="0"/>
          <w:sz w:val="26"/>
          <w:szCs w:val="26"/>
          <w:highlight w:val="none"/>
        </w:rPr>
        <w:t>生产生活区、枢纽工程区、厂房区均进行了植被恢复，经过30多年生长，区域植被恢复效果良好，覆盖率较高。厂房区主要采取了乔-灌-草相结合的形式进行了绿化，常见的乔木树种有黄葛树、</w:t>
      </w:r>
      <w:r>
        <w:rPr>
          <w:rFonts w:hint="eastAsia" w:ascii="Times New Roman" w:hAnsi="Times New Roman"/>
          <w:b w:val="0"/>
          <w:bCs w:val="0"/>
          <w:color w:val="auto"/>
          <w:kern w:val="0"/>
          <w:sz w:val="26"/>
          <w:szCs w:val="26"/>
          <w:highlight w:val="none"/>
          <w:lang w:eastAsia="zh-CN"/>
        </w:rPr>
        <w:t>小叶榕</w:t>
      </w:r>
      <w:r>
        <w:rPr>
          <w:rFonts w:hint="eastAsia"/>
          <w:b w:val="0"/>
          <w:bCs w:val="0"/>
          <w:color w:val="auto"/>
          <w:kern w:val="0"/>
          <w:sz w:val="26"/>
          <w:szCs w:val="26"/>
          <w:highlight w:val="none"/>
          <w:lang w:eastAsia="zh-CN"/>
        </w:rPr>
        <w:t>、枫杨</w:t>
      </w:r>
      <w:r>
        <w:rPr>
          <w:rFonts w:hint="eastAsia" w:ascii="Times New Roman" w:hAnsi="Times New Roman"/>
          <w:b w:val="0"/>
          <w:bCs w:val="0"/>
          <w:color w:val="auto"/>
          <w:kern w:val="0"/>
          <w:sz w:val="26"/>
          <w:szCs w:val="26"/>
          <w:highlight w:val="none"/>
        </w:rPr>
        <w:t>等，常见的灌木有红叶石楠、紫薇、红花檵木等，常见的草本植物有</w:t>
      </w:r>
      <w:r>
        <w:rPr>
          <w:rFonts w:hint="eastAsia"/>
          <w:b w:val="0"/>
          <w:bCs w:val="0"/>
          <w:color w:val="auto"/>
          <w:kern w:val="0"/>
          <w:sz w:val="26"/>
          <w:szCs w:val="26"/>
          <w:highlight w:val="none"/>
          <w:lang w:eastAsia="zh-CN"/>
        </w:rPr>
        <w:t>斑茅、白茅</w:t>
      </w:r>
      <w:r>
        <w:rPr>
          <w:rFonts w:hint="eastAsia" w:ascii="Times New Roman" w:hAnsi="Times New Roman"/>
          <w:b w:val="0"/>
          <w:bCs w:val="0"/>
          <w:color w:val="auto"/>
          <w:kern w:val="0"/>
          <w:sz w:val="26"/>
          <w:szCs w:val="26"/>
          <w:highlight w:val="none"/>
        </w:rPr>
        <w:t>等。枢纽工程区两侧植被</w:t>
      </w:r>
      <w:r>
        <w:rPr>
          <w:rFonts w:hint="eastAsia" w:ascii="Times New Roman" w:hAnsi="Times New Roman"/>
          <w:b w:val="0"/>
          <w:bCs w:val="0"/>
          <w:color w:val="auto"/>
          <w:kern w:val="0"/>
          <w:sz w:val="26"/>
          <w:szCs w:val="26"/>
          <w:highlight w:val="none"/>
          <w:shd w:val="clear" w:fill="FFFFFF"/>
        </w:rPr>
        <w:t>自然恢复为</w:t>
      </w:r>
      <w:r>
        <w:rPr>
          <w:rFonts w:hint="eastAsia"/>
          <w:b w:val="0"/>
          <w:bCs w:val="0"/>
          <w:color w:val="auto"/>
          <w:kern w:val="0"/>
          <w:sz w:val="26"/>
          <w:szCs w:val="26"/>
          <w:highlight w:val="none"/>
          <w:shd w:val="clear" w:fill="FFFFFF"/>
          <w:lang w:eastAsia="zh-CN"/>
        </w:rPr>
        <w:t>斑</w:t>
      </w:r>
      <w:r>
        <w:rPr>
          <w:rFonts w:hint="eastAsia"/>
          <w:b w:val="0"/>
          <w:bCs w:val="0"/>
          <w:color w:val="auto"/>
          <w:kern w:val="0"/>
          <w:sz w:val="26"/>
          <w:szCs w:val="26"/>
          <w:highlight w:val="none"/>
          <w:lang w:eastAsia="zh-CN"/>
        </w:rPr>
        <w:t>茅等灌草丛</w:t>
      </w:r>
      <w:r>
        <w:rPr>
          <w:rFonts w:hint="eastAsia" w:ascii="Times New Roman" w:hAnsi="Times New Roman"/>
          <w:b w:val="0"/>
          <w:bCs w:val="0"/>
          <w:color w:val="auto"/>
          <w:kern w:val="0"/>
          <w:sz w:val="26"/>
          <w:szCs w:val="26"/>
          <w:highlight w:val="none"/>
        </w:rPr>
        <w:t>。施生产生活区进行了复耕及植被恢复，区域常见的农作物有水稻、玉米等，常见的群系有</w:t>
      </w:r>
      <w:r>
        <w:rPr>
          <w:rFonts w:hint="eastAsia"/>
          <w:b w:val="0"/>
          <w:bCs w:val="0"/>
          <w:color w:val="auto"/>
          <w:kern w:val="0"/>
          <w:sz w:val="26"/>
          <w:szCs w:val="26"/>
          <w:highlight w:val="none"/>
          <w:lang w:eastAsia="zh-CN"/>
        </w:rPr>
        <w:t>斑茅</w:t>
      </w:r>
      <w:r>
        <w:rPr>
          <w:rFonts w:hint="eastAsia" w:ascii="Times New Roman" w:hAnsi="Times New Roman"/>
          <w:b w:val="0"/>
          <w:bCs w:val="0"/>
          <w:color w:val="auto"/>
          <w:kern w:val="0"/>
          <w:sz w:val="26"/>
          <w:szCs w:val="26"/>
          <w:highlight w:val="none"/>
        </w:rPr>
        <w:t>草丛等</w:t>
      </w:r>
      <w:r>
        <w:rPr>
          <w:rFonts w:hint="eastAsia" w:ascii="Times New Roman" w:hAnsi="Times New Roman"/>
          <w:b w:val="0"/>
          <w:bCs w:val="0"/>
          <w:color w:val="auto"/>
          <w:kern w:val="0"/>
          <w:sz w:val="26"/>
          <w:szCs w:val="26"/>
          <w:highlight w:val="none"/>
          <w:lang w:eastAsia="zh-CN"/>
        </w:rPr>
        <w:t>，较大程度上弥补了工程建设导致的植被资源损失。</w:t>
      </w:r>
    </w:p>
    <w:p>
      <w:pPr>
        <w:bidi w:val="0"/>
        <w:rPr>
          <w:rFonts w:hint="eastAsia"/>
          <w:color w:val="auto"/>
          <w:highlight w:val="none"/>
          <w:lang w:eastAsia="zh-CN"/>
        </w:rPr>
      </w:pPr>
      <w:r>
        <w:rPr>
          <w:rFonts w:hint="eastAsia"/>
          <w:color w:val="auto"/>
          <w:highlight w:val="none"/>
          <w:lang w:eastAsia="zh-CN"/>
        </w:rPr>
        <w:t>总体来说，渭沱枢纽占地及淹没区范围较小，占地范围内植物均为区域常见物种，项目建设运行过程中未对区域植被及植物资源造成较大破坏，未造成</w:t>
      </w:r>
      <w:r>
        <w:rPr>
          <w:rFonts w:ascii="Times New Roman" w:hAnsi="Times New Roman"/>
          <w:b w:val="0"/>
          <w:bCs w:val="0"/>
          <w:color w:val="auto"/>
          <w:kern w:val="0"/>
          <w:sz w:val="26"/>
          <w:szCs w:val="26"/>
          <w:highlight w:val="none"/>
          <w:lang w:val="zh-CN"/>
        </w:rPr>
        <w:t>植物区系的变化</w:t>
      </w:r>
      <w:r>
        <w:rPr>
          <w:rFonts w:hint="eastAsia" w:ascii="Times New Roman" w:hAnsi="Times New Roman"/>
          <w:b w:val="0"/>
          <w:bCs w:val="0"/>
          <w:color w:val="auto"/>
          <w:kern w:val="0"/>
          <w:sz w:val="26"/>
          <w:szCs w:val="26"/>
          <w:highlight w:val="none"/>
          <w:lang w:val="zh-CN"/>
        </w:rPr>
        <w:t>，施工期造成的植被资源损失较小，且随着多年来的自然恢复及人工绿化，项目对区域植被的影响进一步较小。</w:t>
      </w:r>
    </w:p>
    <w:p>
      <w:pPr>
        <w:autoSpaceDE w:val="0"/>
        <w:autoSpaceDN w:val="0"/>
        <w:adjustRightInd w:val="0"/>
        <w:spacing w:line="240" w:lineRule="auto"/>
        <w:ind w:firstLine="520" w:firstLineChars="200"/>
        <w:rPr>
          <w:rFonts w:ascii="Times New Roman" w:hAnsi="Times New Roman"/>
          <w:color w:val="auto"/>
          <w:kern w:val="0"/>
          <w:sz w:val="26"/>
          <w:szCs w:val="26"/>
          <w:highlight w:val="none"/>
        </w:rPr>
      </w:pPr>
    </w:p>
    <w:tbl>
      <w:tblPr>
        <w:tblStyle w:val="28"/>
        <w:tblW w:w="5000" w:type="pct"/>
        <w:jc w:val="center"/>
        <w:tblLayout w:type="autofit"/>
        <w:tblCellMar>
          <w:top w:w="0" w:type="dxa"/>
          <w:left w:w="108" w:type="dxa"/>
          <w:bottom w:w="0" w:type="dxa"/>
          <w:right w:w="108" w:type="dxa"/>
        </w:tblCellMar>
      </w:tblPr>
      <w:tblGrid>
        <w:gridCol w:w="4473"/>
        <w:gridCol w:w="4473"/>
      </w:tblGrid>
      <w:tr>
        <w:tblPrEx>
          <w:tblCellMar>
            <w:top w:w="0" w:type="dxa"/>
            <w:left w:w="108" w:type="dxa"/>
            <w:bottom w:w="0" w:type="dxa"/>
            <w:right w:w="108" w:type="dxa"/>
          </w:tblCellMar>
        </w:tblPrEx>
        <w:trPr>
          <w:trHeight w:val="340" w:hRule="atLeast"/>
          <w:jc w:val="center"/>
        </w:trPr>
        <w:tc>
          <w:tcPr>
            <w:tcW w:w="8946" w:type="dxa"/>
            <w:gridSpan w:val="2"/>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olor w:val="auto"/>
                <w:sz w:val="22"/>
                <w:highlight w:val="none"/>
                <w:lang w:eastAsia="zh-CN"/>
              </w:rPr>
            </w:pPr>
            <w:r>
              <w:rPr>
                <w:rFonts w:hint="eastAsia" w:ascii="Times New Roman" w:hAnsi="Times New Roman" w:eastAsia="宋体"/>
                <w:color w:val="auto"/>
                <w:sz w:val="22"/>
                <w:highlight w:val="none"/>
                <w:lang w:eastAsia="zh-CN"/>
              </w:rPr>
              <w:drawing>
                <wp:inline distT="0" distB="0" distL="114300" distR="114300">
                  <wp:extent cx="5523230" cy="3106420"/>
                  <wp:effectExtent l="0" t="0" r="1270" b="17780"/>
                  <wp:docPr id="36" name="图片 36" descr="DJI_20251010134837_0016_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JI_20251010134837_0016_V"/>
                          <pic:cNvPicPr>
                            <a:picLocks noChangeAspect="1"/>
                          </pic:cNvPicPr>
                        </pic:nvPicPr>
                        <pic:blipFill>
                          <a:blip r:embed="rId35"/>
                          <a:stretch>
                            <a:fillRect/>
                          </a:stretch>
                        </pic:blipFill>
                        <pic:spPr>
                          <a:xfrm>
                            <a:off x="0" y="0"/>
                            <a:ext cx="5523230" cy="3106420"/>
                          </a:xfrm>
                          <a:prstGeom prst="rect">
                            <a:avLst/>
                          </a:prstGeom>
                        </pic:spPr>
                      </pic:pic>
                    </a:graphicData>
                  </a:graphic>
                </wp:inline>
              </w:drawing>
            </w:r>
          </w:p>
        </w:tc>
      </w:tr>
      <w:tr>
        <w:tblPrEx>
          <w:tblCellMar>
            <w:top w:w="0" w:type="dxa"/>
            <w:left w:w="108" w:type="dxa"/>
            <w:bottom w:w="0" w:type="dxa"/>
            <w:right w:w="108" w:type="dxa"/>
          </w:tblCellMar>
        </w:tblPrEx>
        <w:trPr>
          <w:trHeight w:val="340" w:hRule="atLeast"/>
          <w:jc w:val="center"/>
        </w:trPr>
        <w:tc>
          <w:tcPr>
            <w:tcW w:w="4473" w:type="dxa"/>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olor w:val="auto"/>
                <w:sz w:val="22"/>
                <w:highlight w:val="none"/>
                <w:lang w:eastAsia="zh-CN"/>
              </w:rPr>
            </w:pPr>
            <w:r>
              <w:rPr>
                <w:rFonts w:hint="eastAsia" w:ascii="Times New Roman" w:hAnsi="Times New Roman" w:eastAsia="宋体"/>
                <w:color w:val="auto"/>
                <w:sz w:val="22"/>
                <w:highlight w:val="none"/>
                <w:lang w:eastAsia="zh-CN"/>
              </w:rPr>
              <w:drawing>
                <wp:inline distT="0" distB="0" distL="114300" distR="114300">
                  <wp:extent cx="2662555" cy="1997075"/>
                  <wp:effectExtent l="0" t="0" r="4445" b="3175"/>
                  <wp:docPr id="84" name="图片 84" descr="IMG_7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IMG_7821"/>
                          <pic:cNvPicPr>
                            <a:picLocks noChangeAspect="1"/>
                          </pic:cNvPicPr>
                        </pic:nvPicPr>
                        <pic:blipFill>
                          <a:blip r:embed="rId36"/>
                          <a:stretch>
                            <a:fillRect/>
                          </a:stretch>
                        </pic:blipFill>
                        <pic:spPr>
                          <a:xfrm>
                            <a:off x="0" y="0"/>
                            <a:ext cx="2662555" cy="1997075"/>
                          </a:xfrm>
                          <a:prstGeom prst="rect">
                            <a:avLst/>
                          </a:prstGeom>
                        </pic:spPr>
                      </pic:pic>
                    </a:graphicData>
                  </a:graphic>
                </wp:inline>
              </w:drawing>
            </w:r>
          </w:p>
        </w:tc>
        <w:tc>
          <w:tcPr>
            <w:tcW w:w="4473" w:type="dxa"/>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olor w:val="auto"/>
                <w:sz w:val="22"/>
                <w:highlight w:val="none"/>
                <w:lang w:eastAsia="zh-CN"/>
              </w:rPr>
            </w:pPr>
            <w:r>
              <w:rPr>
                <w:rFonts w:hint="eastAsia" w:ascii="Times New Roman" w:hAnsi="Times New Roman" w:eastAsia="宋体"/>
                <w:color w:val="auto"/>
                <w:sz w:val="22"/>
                <w:highlight w:val="none"/>
                <w:lang w:eastAsia="zh-CN"/>
              </w:rPr>
              <w:drawing>
                <wp:inline distT="0" distB="0" distL="114300" distR="114300">
                  <wp:extent cx="2662555" cy="1997075"/>
                  <wp:effectExtent l="0" t="0" r="4445" b="3175"/>
                  <wp:docPr id="83" name="图片 83" descr="IMG_7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IMG_7430"/>
                          <pic:cNvPicPr>
                            <a:picLocks noChangeAspect="1"/>
                          </pic:cNvPicPr>
                        </pic:nvPicPr>
                        <pic:blipFill>
                          <a:blip r:embed="rId37"/>
                          <a:stretch>
                            <a:fillRect/>
                          </a:stretch>
                        </pic:blipFill>
                        <pic:spPr>
                          <a:xfrm>
                            <a:off x="0" y="0"/>
                            <a:ext cx="2662555" cy="1997075"/>
                          </a:xfrm>
                          <a:prstGeom prst="rect">
                            <a:avLst/>
                          </a:prstGeom>
                        </pic:spPr>
                      </pic:pic>
                    </a:graphicData>
                  </a:graphic>
                </wp:inline>
              </w:drawing>
            </w:r>
          </w:p>
        </w:tc>
      </w:tr>
      <w:tr>
        <w:tblPrEx>
          <w:tblCellMar>
            <w:top w:w="0" w:type="dxa"/>
            <w:left w:w="108" w:type="dxa"/>
            <w:bottom w:w="0" w:type="dxa"/>
            <w:right w:w="108" w:type="dxa"/>
          </w:tblCellMar>
        </w:tblPrEx>
        <w:trPr>
          <w:trHeight w:val="340" w:hRule="atLeast"/>
          <w:jc w:val="center"/>
        </w:trPr>
        <w:tc>
          <w:tcPr>
            <w:tcW w:w="8946" w:type="dxa"/>
            <w:gridSpan w:val="2"/>
            <w:noWrap w:val="0"/>
            <w:vAlign w:val="top"/>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auto"/>
                <w:sz w:val="26"/>
                <w:szCs w:val="26"/>
                <w:highlight w:val="none"/>
              </w:rPr>
            </w:pPr>
            <w:r>
              <w:rPr>
                <w:rFonts w:ascii="Times New Roman" w:hAnsi="Times New Roman"/>
                <w:color w:val="auto"/>
                <w:sz w:val="26"/>
                <w:szCs w:val="26"/>
                <w:highlight w:val="none"/>
              </w:rPr>
              <w:t>图</w:t>
            </w:r>
            <w:r>
              <w:rPr>
                <w:rFonts w:hint="eastAsia"/>
                <w:color w:val="auto"/>
                <w:sz w:val="26"/>
                <w:szCs w:val="26"/>
                <w:highlight w:val="none"/>
                <w:lang w:val="en-US" w:eastAsia="zh-CN"/>
              </w:rPr>
              <w:t xml:space="preserve">2.4.5-1  </w:t>
            </w:r>
            <w:r>
              <w:rPr>
                <w:rFonts w:ascii="Times New Roman" w:hAnsi="Times New Roman"/>
                <w:color w:val="auto"/>
                <w:sz w:val="26"/>
                <w:szCs w:val="26"/>
                <w:highlight w:val="none"/>
              </w:rPr>
              <w:t>渭沱</w:t>
            </w:r>
            <w:r>
              <w:rPr>
                <w:rFonts w:hint="eastAsia"/>
                <w:color w:val="auto"/>
                <w:sz w:val="26"/>
                <w:szCs w:val="26"/>
                <w:highlight w:val="none"/>
                <w:lang w:eastAsia="zh-CN"/>
              </w:rPr>
              <w:t>枢纽周边及管理区</w:t>
            </w:r>
            <w:r>
              <w:rPr>
                <w:rFonts w:ascii="Times New Roman" w:hAnsi="Times New Roman"/>
                <w:color w:val="auto"/>
                <w:sz w:val="26"/>
                <w:szCs w:val="26"/>
                <w:highlight w:val="none"/>
              </w:rPr>
              <w:t>植被恢复现状</w:t>
            </w:r>
          </w:p>
        </w:tc>
      </w:tr>
    </w:tbl>
    <w:p>
      <w:pPr>
        <w:autoSpaceDE w:val="0"/>
        <w:autoSpaceDN w:val="0"/>
        <w:adjustRightInd w:val="0"/>
        <w:spacing w:line="240" w:lineRule="auto"/>
        <w:ind w:firstLine="522" w:firstLineChars="200"/>
        <w:rPr>
          <w:rFonts w:hint="eastAsia" w:ascii="宋体" w:hAnsi="宋体" w:cs="宋体"/>
          <w:b/>
          <w:bCs/>
          <w:color w:val="auto"/>
          <w:kern w:val="0"/>
          <w:sz w:val="26"/>
          <w:szCs w:val="26"/>
          <w:highlight w:val="none"/>
          <w:lang w:val="zh-CN"/>
        </w:rPr>
      </w:pPr>
    </w:p>
    <w:p>
      <w:pPr>
        <w:bidi w:val="0"/>
        <w:ind w:left="0" w:leftChars="0" w:firstLine="520" w:firstLineChars="200"/>
        <w:rPr>
          <w:rFonts w:hint="eastAsia"/>
          <w:color w:val="auto"/>
          <w:highlight w:val="none"/>
          <w:lang w:val="en-US" w:eastAsia="zh-CN"/>
        </w:rPr>
      </w:pPr>
      <w:r>
        <w:rPr>
          <w:rFonts w:hint="eastAsia"/>
          <w:color w:val="auto"/>
          <w:highlight w:val="none"/>
          <w:lang w:val="en-US" w:eastAsia="zh-CN"/>
        </w:rPr>
        <w:t>C</w:t>
      </w:r>
      <w:r>
        <w:rPr>
          <w:rFonts w:hint="eastAsia"/>
          <w:color w:val="auto"/>
          <w:highlight w:val="none"/>
          <w:shd w:val="clear" w:fill="FFFFFF"/>
          <w:lang w:val="en-US" w:eastAsia="zh-CN"/>
        </w:rPr>
        <w:t>、</w:t>
      </w:r>
      <w:r>
        <w:rPr>
          <w:rFonts w:hint="eastAsia"/>
          <w:color w:val="auto"/>
          <w:highlight w:val="none"/>
          <w:lang w:val="en-US" w:eastAsia="zh-CN"/>
        </w:rPr>
        <w:t>陆生动物影响回顾</w:t>
      </w:r>
    </w:p>
    <w:p>
      <w:pPr>
        <w:bidi w:val="0"/>
        <w:rPr>
          <w:rFonts w:hint="eastAsia"/>
          <w:color w:val="auto"/>
          <w:highlight w:val="none"/>
          <w:lang w:val="en-US" w:eastAsia="zh-CN"/>
        </w:rPr>
      </w:pPr>
      <w:r>
        <w:rPr>
          <w:rFonts w:hint="eastAsia"/>
          <w:color w:val="auto"/>
          <w:highlight w:val="none"/>
          <w:lang w:val="en-US" w:eastAsia="zh-CN"/>
        </w:rPr>
        <w:t>a-对两栖类和爬行类动物的影响</w:t>
      </w:r>
    </w:p>
    <w:p>
      <w:pPr>
        <w:bidi w:val="0"/>
        <w:ind w:left="0" w:leftChars="0" w:firstLine="520" w:firstLineChars="200"/>
        <w:rPr>
          <w:rFonts w:hint="eastAsia"/>
          <w:color w:val="auto"/>
          <w:highlight w:val="none"/>
          <w:lang w:val="en-US" w:eastAsia="zh-CN"/>
        </w:rPr>
      </w:pPr>
      <w:r>
        <w:rPr>
          <w:rFonts w:hint="eastAsia"/>
          <w:color w:val="auto"/>
          <w:highlight w:val="none"/>
          <w:lang w:val="en-US" w:eastAsia="zh-CN"/>
        </w:rPr>
        <w:t>渭沱枢纽工程占地和水库蓄水淹没将造成两栖类和爬行类动物的部分栖息地损失，导致其生境范围有所缩小，但由于水库淹没区及占地范围不大，且周边分布有大量的耕地、湿地等相似生境，其影响范围和程度有限。</w:t>
      </w:r>
    </w:p>
    <w:p>
      <w:pPr>
        <w:bidi w:val="0"/>
        <w:rPr>
          <w:rFonts w:hint="eastAsia"/>
          <w:color w:val="auto"/>
          <w:highlight w:val="none"/>
          <w:lang w:val="en-US" w:eastAsia="zh-CN"/>
        </w:rPr>
      </w:pPr>
      <w:r>
        <w:rPr>
          <w:rFonts w:hint="eastAsia"/>
          <w:color w:val="auto"/>
          <w:highlight w:val="none"/>
          <w:lang w:val="en-US" w:eastAsia="zh-CN"/>
        </w:rPr>
        <w:t>在水库蓄水初期，受水库蓄水淹没影响，其在库周的种群密度暂时有所上升，经过一段时间后，其种群密度达到新的平衡状态。由于两栖类、爬行类动物具有一定的迁移能力，工程施工占地和水库蓄水淹没主要影响两栖类和爬行类动物在工程涉及区及其周边区域的分布情况，未改变其区系组成。</w:t>
      </w:r>
    </w:p>
    <w:p>
      <w:pPr>
        <w:bidi w:val="0"/>
        <w:rPr>
          <w:rFonts w:hint="eastAsia"/>
          <w:color w:val="auto"/>
          <w:highlight w:val="none"/>
          <w:lang w:val="en-US" w:eastAsia="zh-CN"/>
        </w:rPr>
      </w:pPr>
      <w:r>
        <w:rPr>
          <w:rFonts w:hint="eastAsia"/>
          <w:color w:val="auto"/>
          <w:highlight w:val="none"/>
          <w:lang w:val="en-US" w:eastAsia="zh-CN"/>
        </w:rPr>
        <w:t>此外，随着施工区生态恢复及枢纽管理区植草绿化、水土保持等措施的实施，为两栖类和爬行类动物提供了新的栖息地。枢纽建成蓄水后，库区水域面积增大，为部分两栖类和爬行类动物提供了适宜的生境，如静水型两栖类动物蟾蜍、蛙类，林栖傍水型蛇类，在水库库区的分布数量增加。</w:t>
      </w:r>
    </w:p>
    <w:p>
      <w:pPr>
        <w:bidi w:val="0"/>
        <w:rPr>
          <w:rFonts w:hint="eastAsia"/>
          <w:color w:val="auto"/>
          <w:highlight w:val="none"/>
          <w:lang w:val="en-US" w:eastAsia="zh-CN"/>
        </w:rPr>
      </w:pPr>
      <w:r>
        <w:rPr>
          <w:rFonts w:hint="eastAsia"/>
          <w:color w:val="auto"/>
          <w:highlight w:val="none"/>
          <w:lang w:val="en-US" w:eastAsia="zh-CN"/>
        </w:rPr>
        <w:t>b-对鸟类的影响</w:t>
      </w:r>
    </w:p>
    <w:p>
      <w:pPr>
        <w:bidi w:val="0"/>
        <w:rPr>
          <w:rFonts w:hint="eastAsia"/>
          <w:color w:val="auto"/>
          <w:highlight w:val="none"/>
          <w:lang w:val="en-US" w:eastAsia="zh-CN"/>
        </w:rPr>
      </w:pPr>
      <w:r>
        <w:rPr>
          <w:rFonts w:hint="eastAsia"/>
          <w:color w:val="auto"/>
          <w:highlight w:val="none"/>
          <w:lang w:val="en-US" w:eastAsia="zh-CN"/>
        </w:rPr>
        <w:t>项目建成运行以来，渭沱枢纽库区水域面积扩大，一方面破坏部分喜在灌丛、乔木林生境中的鸣禽、攀禽、猛禽的栖息地，迫使它们寻找新的栖息生境和食物资源，但由于鸟类大多具有较强的飞行迁移能力，枢纽淹没区面积较小，且周边存在大量湿地、耕地等适宜鸟类生存、觅食的区域，为受影响的鸟类提供了大量的适宜生境，未造成鸟类栖息地大面积损失；另一方面，水库建成蓄水后，滩涂、浅水区、水域面积的扩大，为游禽、涉禽等鸟类提供了更为广阔的生活空间，其食物资源在一定程度上也会得到丰富，该类型鸟类的种类及数量增多。且渭沱枢纽运行期间，发电机组位于地下厂房内，噪声较小，未对鸟类生境造成影响。根据现场走访调查，渭沱枢纽区域鸟类较为丰富，枢纽建设对鸟类影响已逐渐消失。</w:t>
      </w:r>
    </w:p>
    <w:p>
      <w:pPr>
        <w:bidi w:val="0"/>
        <w:rPr>
          <w:rFonts w:hint="eastAsia"/>
          <w:color w:val="auto"/>
          <w:highlight w:val="none"/>
          <w:lang w:val="en-US" w:eastAsia="zh-CN"/>
        </w:rPr>
      </w:pPr>
      <w:r>
        <w:rPr>
          <w:rFonts w:hint="eastAsia"/>
          <w:color w:val="auto"/>
          <w:highlight w:val="none"/>
          <w:lang w:val="en-US" w:eastAsia="zh-CN"/>
        </w:rPr>
        <w:t>c-对兽类的影响</w:t>
      </w:r>
    </w:p>
    <w:p>
      <w:pPr>
        <w:bidi w:val="0"/>
        <w:rPr>
          <w:rFonts w:hint="eastAsia"/>
          <w:color w:val="auto"/>
          <w:highlight w:val="none"/>
          <w:lang w:val="en-US" w:eastAsia="zh-CN"/>
        </w:rPr>
      </w:pPr>
      <w:r>
        <w:rPr>
          <w:rFonts w:hint="eastAsia"/>
          <w:color w:val="auto"/>
          <w:highlight w:val="none"/>
          <w:lang w:val="en-US" w:eastAsia="zh-CN"/>
        </w:rPr>
        <w:t>项目对兽类</w:t>
      </w:r>
      <w:r>
        <w:rPr>
          <w:rFonts w:hint="eastAsia"/>
          <w:color w:val="auto"/>
          <w:highlight w:val="none"/>
          <w:shd w:val="clear" w:fill="FFFFFF"/>
          <w:lang w:val="en-US" w:eastAsia="zh-CN"/>
        </w:rPr>
        <w:t>影响</w:t>
      </w:r>
      <w:r>
        <w:rPr>
          <w:rFonts w:hint="eastAsia"/>
          <w:color w:val="auto"/>
          <w:highlight w:val="none"/>
          <w:lang w:val="en-US" w:eastAsia="zh-CN"/>
        </w:rPr>
        <w:t>主要是工程占地对其栖息地面积的破坏，以及施工机械和人员活动的干扰影响。根据现场调查，渭沱枢纽水库淹没区较小，主要以灌草丛、农田为主，分布有少量林地，适生的兽类较少，项目建设未对兽类造成较大影响，且随着管理区的植草绿化，逐渐形成了较大面积的乔木林地，为兽类提供了较为合适的活动场所。</w:t>
      </w:r>
    </w:p>
    <w:p>
      <w:pPr>
        <w:bidi w:val="0"/>
        <w:rPr>
          <w:rFonts w:hint="default"/>
          <w:color w:val="auto"/>
          <w:highlight w:val="none"/>
          <w:lang w:val="en-US" w:eastAsia="zh-CN"/>
        </w:rPr>
      </w:pPr>
      <w:r>
        <w:rPr>
          <w:rFonts w:hint="eastAsia"/>
          <w:color w:val="auto"/>
          <w:highlight w:val="none"/>
          <w:lang w:val="en-US" w:eastAsia="zh-CN"/>
        </w:rPr>
        <w:t>总体来说，工程建设对评价</w:t>
      </w:r>
      <w:r>
        <w:rPr>
          <w:rFonts w:hint="eastAsia"/>
          <w:color w:val="auto"/>
          <w:highlight w:val="none"/>
          <w:shd w:val="clear" w:fill="FFFFFF"/>
          <w:lang w:val="en-US" w:eastAsia="zh-CN"/>
        </w:rPr>
        <w:t>区域</w:t>
      </w:r>
      <w:r>
        <w:rPr>
          <w:rFonts w:hint="eastAsia"/>
          <w:color w:val="auto"/>
          <w:highlight w:val="none"/>
          <w:lang w:val="en-US" w:eastAsia="zh-CN"/>
        </w:rPr>
        <w:t>内陆生动物而言，未改变区域内动物种类组成和区系，对动物的影响不大。根据调查，</w:t>
      </w:r>
      <w:r>
        <w:rPr>
          <w:rFonts w:ascii="Times New Roman" w:hAnsi="Times New Roman"/>
          <w:color w:val="auto"/>
          <w:kern w:val="0"/>
          <w:sz w:val="26"/>
          <w:szCs w:val="26"/>
          <w:highlight w:val="none"/>
        </w:rPr>
        <w:t>渭沱枢纽坝址附近常见</w:t>
      </w:r>
      <w:r>
        <w:rPr>
          <w:rFonts w:hint="eastAsia"/>
          <w:color w:val="auto"/>
          <w:kern w:val="0"/>
          <w:sz w:val="26"/>
          <w:szCs w:val="26"/>
          <w:highlight w:val="none"/>
          <w:lang w:eastAsia="zh-CN"/>
        </w:rPr>
        <w:t>白鹡鸰、白颊噪鹛、珠颈斑鸠、</w:t>
      </w:r>
      <w:r>
        <w:rPr>
          <w:rFonts w:ascii="Times New Roman" w:hAnsi="Times New Roman"/>
          <w:color w:val="auto"/>
          <w:kern w:val="0"/>
          <w:sz w:val="26"/>
          <w:szCs w:val="26"/>
          <w:highlight w:val="none"/>
        </w:rPr>
        <w:t>白鹭等鸟类，亦有黄鼬等</w:t>
      </w:r>
      <w:r>
        <w:rPr>
          <w:rFonts w:hint="eastAsia"/>
          <w:color w:val="auto"/>
          <w:kern w:val="0"/>
          <w:sz w:val="26"/>
          <w:szCs w:val="26"/>
          <w:highlight w:val="none"/>
          <w:lang w:eastAsia="zh-CN"/>
        </w:rPr>
        <w:t>兽类</w:t>
      </w:r>
      <w:r>
        <w:rPr>
          <w:rFonts w:ascii="Times New Roman" w:hAnsi="Times New Roman"/>
          <w:color w:val="auto"/>
          <w:kern w:val="0"/>
          <w:sz w:val="26"/>
          <w:szCs w:val="26"/>
          <w:highlight w:val="none"/>
        </w:rPr>
        <w:t>，说明随着施工结束，部分动物回到既有生境活动，陆生动物逐渐适应该区域生境变化影响。</w:t>
      </w:r>
      <w:r>
        <w:rPr>
          <w:rFonts w:hint="eastAsia"/>
          <w:color w:val="auto"/>
          <w:highlight w:val="none"/>
          <w:lang w:val="en-US" w:eastAsia="zh-CN"/>
        </w:rPr>
        <w:t>同时，随着占地区域植被恢复，动物生境有一定恢复，动物多样性随生境恢复而趋于稳定。</w:t>
      </w:r>
    </w:p>
    <w:p>
      <w:pPr>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2 \* GB3 \* MERGEFORMAT </w:instrText>
      </w:r>
      <w:r>
        <w:rPr>
          <w:rFonts w:hint="eastAsia"/>
          <w:color w:val="auto"/>
          <w:highlight w:val="none"/>
          <w:lang w:eastAsia="zh-CN"/>
        </w:rPr>
        <w:fldChar w:fldCharType="separate"/>
      </w:r>
      <w:r>
        <w:rPr>
          <w:color w:val="auto"/>
          <w:highlight w:val="none"/>
        </w:rPr>
        <w:t>②</w:t>
      </w:r>
      <w:r>
        <w:rPr>
          <w:rFonts w:hint="eastAsia"/>
          <w:color w:val="auto"/>
          <w:highlight w:val="none"/>
          <w:lang w:eastAsia="zh-CN"/>
        </w:rPr>
        <w:fldChar w:fldCharType="end"/>
      </w:r>
      <w:r>
        <w:rPr>
          <w:rFonts w:hint="eastAsia"/>
          <w:color w:val="auto"/>
          <w:highlight w:val="none"/>
          <w:lang w:eastAsia="zh-CN"/>
        </w:rPr>
        <w:t>水生生态环境影响回顾</w:t>
      </w:r>
    </w:p>
    <w:p>
      <w:pPr>
        <w:bidi w:val="0"/>
        <w:rPr>
          <w:rFonts w:hint="eastAsia" w:ascii="Times New Roman" w:hAnsi="Times New Roman"/>
          <w:color w:val="auto"/>
          <w:kern w:val="0"/>
          <w:sz w:val="26"/>
          <w:szCs w:val="26"/>
          <w:highlight w:val="none"/>
          <w:lang w:eastAsia="zh-CN"/>
        </w:rPr>
      </w:pPr>
      <w:r>
        <w:rPr>
          <w:rFonts w:hint="eastAsia" w:ascii="Times New Roman" w:hAnsi="Times New Roman"/>
          <w:color w:val="auto"/>
          <w:kern w:val="0"/>
          <w:sz w:val="26"/>
          <w:szCs w:val="26"/>
          <w:highlight w:val="none"/>
          <w:lang w:eastAsia="zh-CN"/>
        </w:rPr>
        <w:t>涪江干流重庆河段长136km，该段共规划6座梯级且均已建成，包括三块石、莲花寺、潼南、富金坝、安居、渭沱。渭沱电站是以发电、航运为主的综合性水利水电工程</w:t>
      </w:r>
      <w:r>
        <w:rPr>
          <w:rFonts w:hint="eastAsia"/>
          <w:color w:val="auto"/>
          <w:kern w:val="0"/>
          <w:sz w:val="26"/>
          <w:szCs w:val="26"/>
          <w:highlight w:val="none"/>
          <w:lang w:eastAsia="zh-CN"/>
        </w:rPr>
        <w:t>，</w:t>
      </w:r>
      <w:r>
        <w:rPr>
          <w:rFonts w:hint="eastAsia"/>
          <w:color w:val="auto"/>
          <w:kern w:val="0"/>
          <w:sz w:val="26"/>
          <w:szCs w:val="26"/>
          <w:highlight w:val="none"/>
          <w:lang w:val="en-US" w:eastAsia="zh-CN"/>
        </w:rPr>
        <w:t>是涪江重庆段的6座梯级之一，且为最末一级</w:t>
      </w:r>
      <w:r>
        <w:rPr>
          <w:rFonts w:hint="eastAsia" w:ascii="Times New Roman" w:hAnsi="Times New Roman"/>
          <w:color w:val="auto"/>
          <w:kern w:val="0"/>
          <w:sz w:val="26"/>
          <w:szCs w:val="26"/>
          <w:highlight w:val="none"/>
          <w:lang w:eastAsia="zh-CN"/>
        </w:rPr>
        <w:t>。渭沱电站于1988年开工，1992年建成投产。</w:t>
      </w:r>
      <w:r>
        <w:rPr>
          <w:rFonts w:hint="eastAsia"/>
          <w:color w:val="auto"/>
          <w:kern w:val="0"/>
          <w:sz w:val="26"/>
          <w:szCs w:val="26"/>
          <w:highlight w:val="none"/>
          <w:lang w:val="en-US" w:eastAsia="zh-CN"/>
        </w:rPr>
        <w:t>至今</w:t>
      </w:r>
      <w:r>
        <w:rPr>
          <w:rFonts w:hint="eastAsia" w:ascii="Times New Roman" w:hAnsi="Times New Roman"/>
          <w:color w:val="auto"/>
          <w:kern w:val="0"/>
          <w:sz w:val="26"/>
          <w:szCs w:val="26"/>
          <w:highlight w:val="none"/>
          <w:lang w:eastAsia="zh-CN"/>
        </w:rPr>
        <w:t>，由于渭沱电站已运行</w:t>
      </w:r>
      <w:r>
        <w:rPr>
          <w:rFonts w:hint="eastAsia"/>
          <w:color w:val="auto"/>
          <w:kern w:val="0"/>
          <w:sz w:val="26"/>
          <w:szCs w:val="26"/>
          <w:highlight w:val="none"/>
          <w:lang w:val="en-US" w:eastAsia="zh-CN"/>
        </w:rPr>
        <w:t>30余</w:t>
      </w:r>
      <w:r>
        <w:rPr>
          <w:rFonts w:hint="eastAsia" w:ascii="Times New Roman" w:hAnsi="Times New Roman"/>
          <w:color w:val="auto"/>
          <w:kern w:val="0"/>
          <w:sz w:val="26"/>
          <w:szCs w:val="26"/>
          <w:highlight w:val="none"/>
          <w:lang w:eastAsia="zh-CN"/>
        </w:rPr>
        <w:t>年，坝下无明显减水河段</w:t>
      </w:r>
      <w:r>
        <w:rPr>
          <w:rFonts w:hint="eastAsia"/>
          <w:color w:val="auto"/>
          <w:kern w:val="0"/>
          <w:sz w:val="26"/>
          <w:szCs w:val="26"/>
          <w:highlight w:val="none"/>
          <w:lang w:eastAsia="zh-CN"/>
        </w:rPr>
        <w:t>。</w:t>
      </w:r>
    </w:p>
    <w:p>
      <w:pPr>
        <w:bidi w:val="0"/>
        <w:rPr>
          <w:rFonts w:hint="default" w:ascii="Times New Roman" w:hAnsi="Times New Roman"/>
          <w:color w:val="auto"/>
          <w:kern w:val="0"/>
          <w:sz w:val="26"/>
          <w:szCs w:val="26"/>
          <w:highlight w:val="none"/>
          <w:lang w:val="en-US" w:eastAsia="zh-CN"/>
        </w:rPr>
      </w:pPr>
      <w:r>
        <w:rPr>
          <w:rFonts w:hint="eastAsia"/>
          <w:color w:val="auto"/>
          <w:kern w:val="0"/>
          <w:sz w:val="26"/>
          <w:szCs w:val="26"/>
          <w:highlight w:val="none"/>
          <w:lang w:val="en-US" w:eastAsia="zh-CN"/>
        </w:rPr>
        <w:t>渭沱枢纽建设</w:t>
      </w:r>
      <w:r>
        <w:rPr>
          <w:rFonts w:hint="eastAsia" w:ascii="Times New Roman" w:hAnsi="Times New Roman"/>
          <w:color w:val="auto"/>
          <w:kern w:val="0"/>
          <w:sz w:val="26"/>
          <w:szCs w:val="26"/>
          <w:highlight w:val="none"/>
          <w:lang w:eastAsia="zh-CN"/>
        </w:rPr>
        <w:t>后，大坝造成阻隔、库区水流变缓、水深增加、水体容积及水域面积增大，河流自然生态系统向河道型水库生态系统演变，水生生态影响突出。</w:t>
      </w:r>
      <w:r>
        <w:rPr>
          <w:rFonts w:hint="eastAsia"/>
          <w:color w:val="auto"/>
          <w:kern w:val="0"/>
          <w:sz w:val="26"/>
          <w:szCs w:val="26"/>
          <w:highlight w:val="none"/>
          <w:lang w:val="en-US" w:eastAsia="zh-CN"/>
        </w:rPr>
        <w:t>由于安居电站为渭沱电站上游梯级，与渭沱电站几乎在同期进行建设，建设年限较久，水生生态环境相对稳定，涪江干流缺少系统的水生生物调查资料，本次采用安居电站上游梯级富金坝蓄水前的数据和2020年涪江重庆段流域回顾性评价阶段调查数据进行回顾性评价。</w:t>
      </w:r>
    </w:p>
    <w:p>
      <w:pPr>
        <w:numPr>
          <w:ilvl w:val="0"/>
          <w:numId w:val="14"/>
        </w:numPr>
        <w:bidi w:val="0"/>
        <w:rPr>
          <w:rFonts w:hint="eastAsia"/>
          <w:color w:val="auto"/>
          <w:kern w:val="0"/>
          <w:sz w:val="26"/>
          <w:szCs w:val="26"/>
          <w:highlight w:val="none"/>
          <w:lang w:val="en-US" w:eastAsia="zh-CN"/>
        </w:rPr>
      </w:pPr>
      <w:r>
        <w:rPr>
          <w:rFonts w:hint="eastAsia"/>
          <w:color w:val="auto"/>
          <w:kern w:val="0"/>
          <w:sz w:val="26"/>
          <w:szCs w:val="26"/>
          <w:highlight w:val="none"/>
          <w:lang w:val="en-US" w:eastAsia="zh-CN"/>
        </w:rPr>
        <w:t>浮游植物</w:t>
      </w:r>
    </w:p>
    <w:p>
      <w:pPr>
        <w:numPr>
          <w:ilvl w:val="0"/>
          <w:numId w:val="0"/>
        </w:numPr>
        <w:bidi w:val="0"/>
        <w:ind w:firstLine="520" w:firstLineChars="200"/>
        <w:rPr>
          <w:rFonts w:hint="eastAsia" w:ascii="Times New Roman" w:hAnsi="Times New Roman"/>
          <w:color w:val="auto"/>
          <w:kern w:val="0"/>
          <w:sz w:val="26"/>
          <w:szCs w:val="26"/>
          <w:highlight w:val="none"/>
          <w:lang w:eastAsia="zh-CN"/>
        </w:rPr>
      </w:pPr>
      <w:r>
        <w:rPr>
          <w:rFonts w:hint="eastAsia" w:ascii="Times New Roman" w:hAnsi="Times New Roman"/>
          <w:color w:val="auto"/>
          <w:kern w:val="0"/>
          <w:sz w:val="26"/>
          <w:szCs w:val="26"/>
          <w:highlight w:val="none"/>
          <w:lang w:eastAsia="zh-CN"/>
        </w:rPr>
        <w:t>浮游植物对水环境变化十分敏感，水体环境中的许多因素都会影响浮游植物的分布，如温度、pH值、微量元素、水动力学等。由于电站的修建，导致河流流速的改变，河道形成独立小生境，使得适宜于</w:t>
      </w:r>
      <w:r>
        <w:rPr>
          <w:rFonts w:hint="eastAsia" w:ascii="Times New Roman" w:hAnsi="Times New Roman"/>
          <w:color w:val="auto"/>
          <w:kern w:val="0"/>
          <w:sz w:val="26"/>
          <w:szCs w:val="26"/>
          <w:highlight w:val="none"/>
          <w:shd w:val="clear" w:fill="FFFFFF"/>
          <w:lang w:eastAsia="zh-CN"/>
        </w:rPr>
        <w:t>激流生长</w:t>
      </w:r>
      <w:r>
        <w:rPr>
          <w:rFonts w:hint="eastAsia" w:ascii="Times New Roman" w:hAnsi="Times New Roman"/>
          <w:color w:val="auto"/>
          <w:kern w:val="0"/>
          <w:sz w:val="26"/>
          <w:szCs w:val="26"/>
          <w:highlight w:val="none"/>
          <w:lang w:eastAsia="zh-CN"/>
        </w:rPr>
        <w:t>的浮游植物（如硅藻门桥弯藻属、菱形藻属）种群数量、密度和生物量呈下降趋势，而新形成的生境如坝下小型坑塘又为适宜于缓流环境中生存的浮游植物（如蓝藻门的微囊藻属、颤藻属和绿藻门中的小球藻等）提供适宜条件。</w:t>
      </w:r>
    </w:p>
    <w:p>
      <w:pPr>
        <w:numPr>
          <w:ilvl w:val="0"/>
          <w:numId w:val="0"/>
        </w:numPr>
        <w:bidi w:val="0"/>
        <w:ind w:firstLine="520" w:firstLineChars="200"/>
        <w:rPr>
          <w:rFonts w:hint="eastAsia"/>
          <w:color w:val="auto"/>
          <w:kern w:val="0"/>
          <w:sz w:val="26"/>
          <w:szCs w:val="26"/>
          <w:highlight w:val="none"/>
          <w:lang w:val="en-US" w:eastAsia="zh-CN"/>
        </w:rPr>
      </w:pPr>
      <w:r>
        <w:rPr>
          <w:rFonts w:hint="eastAsia"/>
          <w:color w:val="auto"/>
          <w:kern w:val="0"/>
          <w:sz w:val="26"/>
          <w:szCs w:val="26"/>
          <w:highlight w:val="none"/>
          <w:lang w:val="en-US" w:eastAsia="zh-CN"/>
        </w:rPr>
        <w:t>根据历史资料，富金坝蓄水前涪江共检测出浮游植物4门，21科，30属，61种（含变种）。其中硅藻门10科、12属、29种，占被调查藻类总种类数的47.54%；绿藻门8科、12属、21种，占总种类数的34.43%；蓝藻门2科、4属、7种，占总种类数的11.47%；裸藻门1科、2属、4种，占总种类数的6.56%。根据回顾性评价阶段调查，涪江干流共检测出7门15属20种，其中硅藻门6属，8种，占比40%；绿藻门4属4种，占比20%；蓝藻门4属4种，占比20%；甲藻门1属1种，占比5%；裸藻门1属1种，占比5%，隐藻门1属1种，占比5%，黄藻门1属1种，占比5%。浮游植物的密度大多在0.8~2.9×104ind./L之间，生物量在0.007~0.18mg/L之间。</w:t>
      </w:r>
    </w:p>
    <w:p>
      <w:pPr>
        <w:numPr>
          <w:ilvl w:val="0"/>
          <w:numId w:val="0"/>
        </w:numPr>
        <w:bidi w:val="0"/>
        <w:ind w:firstLine="520" w:firstLineChars="200"/>
        <w:rPr>
          <w:rFonts w:hint="eastAsia"/>
          <w:color w:val="auto"/>
          <w:kern w:val="0"/>
          <w:sz w:val="26"/>
          <w:szCs w:val="26"/>
          <w:highlight w:val="none"/>
          <w:lang w:val="en-US" w:eastAsia="zh-CN"/>
        </w:rPr>
      </w:pPr>
      <w:r>
        <w:rPr>
          <w:rFonts w:hint="eastAsia"/>
          <w:color w:val="auto"/>
          <w:kern w:val="0"/>
          <w:sz w:val="26"/>
          <w:szCs w:val="26"/>
          <w:highlight w:val="none"/>
          <w:lang w:val="en-US" w:eastAsia="zh-CN"/>
        </w:rPr>
        <w:t>由于渭沱电站建成后，陆续建设了其他几座枢纽，干流形成了以河道型水库库区为主的生态环境，干流流速变平缓，导致了</w:t>
      </w:r>
      <w:r>
        <w:rPr>
          <w:rFonts w:hint="eastAsia"/>
          <w:color w:val="auto"/>
          <w:kern w:val="0"/>
          <w:sz w:val="26"/>
          <w:szCs w:val="26"/>
          <w:highlight w:val="none"/>
          <w:shd w:val="clear" w:fill="FFFFFF"/>
          <w:lang w:val="en-US" w:eastAsia="zh-CN"/>
        </w:rPr>
        <w:t>激流生长</w:t>
      </w:r>
      <w:r>
        <w:rPr>
          <w:rFonts w:hint="eastAsia"/>
          <w:color w:val="auto"/>
          <w:kern w:val="0"/>
          <w:sz w:val="26"/>
          <w:szCs w:val="26"/>
          <w:highlight w:val="none"/>
          <w:lang w:val="en-US" w:eastAsia="zh-CN"/>
        </w:rPr>
        <w:t>的浮游植物种群数量、密度和生物量下降，为适宜于缓流环境中生存的浮游植物提供适宜条件。流域仍然以硅-绿藻为优势种群，但浮游种类较历史数据相比，浮游植物种类下降，可能由于涪江干流多个梯级航电开发，导致水质降低，从而使耐污种黄藻门和隐藻门出现。</w:t>
      </w:r>
    </w:p>
    <w:p>
      <w:pPr>
        <w:numPr>
          <w:ilvl w:val="0"/>
          <w:numId w:val="14"/>
        </w:numPr>
        <w:spacing w:beforeLines="0" w:afterLines="0"/>
        <w:ind w:firstLine="200"/>
        <w:rPr>
          <w:rFonts w:hint="eastAsia"/>
          <w:color w:val="auto"/>
          <w:kern w:val="0"/>
          <w:sz w:val="26"/>
          <w:szCs w:val="26"/>
          <w:highlight w:val="none"/>
        </w:rPr>
      </w:pPr>
      <w:r>
        <w:rPr>
          <w:rFonts w:hint="eastAsia"/>
          <w:color w:val="auto"/>
          <w:kern w:val="0"/>
          <w:sz w:val="26"/>
          <w:szCs w:val="26"/>
          <w:highlight w:val="none"/>
        </w:rPr>
        <w:t>浮游</w:t>
      </w:r>
      <w:r>
        <w:rPr>
          <w:rFonts w:hint="eastAsia"/>
          <w:color w:val="auto"/>
          <w:kern w:val="0"/>
          <w:sz w:val="26"/>
          <w:szCs w:val="26"/>
          <w:highlight w:val="none"/>
          <w:lang w:val="en-US" w:eastAsia="zh-CN"/>
        </w:rPr>
        <w:t>动物</w:t>
      </w:r>
    </w:p>
    <w:p>
      <w:pPr>
        <w:numPr>
          <w:ilvl w:val="0"/>
          <w:numId w:val="0"/>
        </w:numPr>
        <w:bidi w:val="0"/>
        <w:ind w:firstLine="520" w:firstLineChars="200"/>
        <w:rPr>
          <w:rFonts w:hint="default"/>
          <w:color w:val="auto"/>
          <w:kern w:val="0"/>
          <w:sz w:val="26"/>
          <w:szCs w:val="26"/>
          <w:highlight w:val="none"/>
          <w:lang w:val="en-US" w:eastAsia="zh-CN"/>
        </w:rPr>
      </w:pPr>
      <w:r>
        <w:rPr>
          <w:rFonts w:hint="default"/>
          <w:color w:val="auto"/>
          <w:kern w:val="0"/>
          <w:sz w:val="26"/>
          <w:szCs w:val="26"/>
          <w:highlight w:val="none"/>
          <w:lang w:val="en-US" w:eastAsia="zh-CN"/>
        </w:rPr>
        <w:t>浮游动物是水域生态系统的重要组成部分，通过食物链与滤食性鱼类和浮游植物紧密联系。浮游植物作为生产者，其产量（初级生产力）决定</w:t>
      </w:r>
      <w:r>
        <w:rPr>
          <w:rFonts w:hint="eastAsia"/>
          <w:color w:val="auto"/>
          <w:kern w:val="0"/>
          <w:sz w:val="26"/>
          <w:szCs w:val="26"/>
          <w:highlight w:val="none"/>
          <w:shd w:val="clear" w:fill="FFFFFF"/>
          <w:lang w:val="en-US" w:eastAsia="zh-CN"/>
        </w:rPr>
        <w:t>着</w:t>
      </w:r>
      <w:r>
        <w:rPr>
          <w:rFonts w:hint="default"/>
          <w:color w:val="auto"/>
          <w:kern w:val="0"/>
          <w:sz w:val="26"/>
          <w:szCs w:val="26"/>
          <w:highlight w:val="none"/>
          <w:lang w:val="en-US" w:eastAsia="zh-CN"/>
        </w:rPr>
        <w:t>植食性浮游动物的产量（次级生产力）。通常在温度适宜、食物充足的情况下浮游动物可以大量繁殖，而藻类、细菌及腐殖质均可作为浮游动物的食物来源，饵料的丰富程度是浮游动物群落动态变化的重要因素。</w:t>
      </w:r>
    </w:p>
    <w:p>
      <w:pPr>
        <w:numPr>
          <w:ilvl w:val="0"/>
          <w:numId w:val="0"/>
        </w:numPr>
        <w:bidi w:val="0"/>
        <w:ind w:firstLine="520" w:firstLineChars="200"/>
        <w:rPr>
          <w:rFonts w:hint="default"/>
          <w:color w:val="auto"/>
          <w:kern w:val="0"/>
          <w:sz w:val="26"/>
          <w:szCs w:val="26"/>
          <w:highlight w:val="none"/>
          <w:lang w:val="en-US" w:eastAsia="zh-CN"/>
        </w:rPr>
      </w:pPr>
      <w:r>
        <w:rPr>
          <w:rFonts w:hint="default"/>
          <w:color w:val="auto"/>
          <w:kern w:val="0"/>
          <w:sz w:val="26"/>
          <w:szCs w:val="26"/>
          <w:highlight w:val="none"/>
          <w:lang w:val="en-US" w:eastAsia="zh-CN"/>
        </w:rPr>
        <w:t>根据历史资料，富金坝蓄水前仅检测出两种原生动物和一种轮虫动物。根据回顾性评价阶段调查，涪江干流检测出浮游动物4大类23种</w:t>
      </w:r>
      <w:r>
        <w:rPr>
          <w:rFonts w:hint="eastAsia"/>
          <w:color w:val="auto"/>
          <w:kern w:val="0"/>
          <w:sz w:val="26"/>
          <w:szCs w:val="26"/>
          <w:highlight w:val="none"/>
          <w:lang w:val="en-US" w:eastAsia="zh-CN"/>
        </w:rPr>
        <w:t>，</w:t>
      </w:r>
      <w:r>
        <w:rPr>
          <w:rFonts w:hint="default"/>
          <w:color w:val="auto"/>
          <w:kern w:val="0"/>
          <w:sz w:val="26"/>
          <w:szCs w:val="26"/>
          <w:highlight w:val="none"/>
          <w:lang w:val="en-US" w:eastAsia="zh-CN"/>
        </w:rPr>
        <w:t>其中原生动物共5种，占总数的21.7%，轮虫共9种，占总数的39.1%，枝角类共5种，占总数的21.7%，桡足类共4种，占总数的17.4%。浮游动物的密度大多在120~166 ind/L之间，生物量在1.58~2.37 mg/L之间。</w:t>
      </w:r>
    </w:p>
    <w:p>
      <w:pPr>
        <w:numPr>
          <w:ilvl w:val="0"/>
          <w:numId w:val="0"/>
        </w:numPr>
        <w:bidi w:val="0"/>
        <w:ind w:firstLine="520" w:firstLineChars="200"/>
        <w:rPr>
          <w:rFonts w:hint="default"/>
          <w:color w:val="auto"/>
          <w:kern w:val="0"/>
          <w:sz w:val="26"/>
          <w:szCs w:val="26"/>
          <w:highlight w:val="none"/>
          <w:lang w:val="en-US" w:eastAsia="zh-CN"/>
        </w:rPr>
      </w:pPr>
      <w:r>
        <w:rPr>
          <w:rFonts w:hint="default"/>
          <w:color w:val="auto"/>
          <w:kern w:val="0"/>
          <w:sz w:val="26"/>
          <w:szCs w:val="26"/>
          <w:highlight w:val="none"/>
          <w:lang w:val="en-US" w:eastAsia="zh-CN"/>
        </w:rPr>
        <w:t>由于渭沱电站</w:t>
      </w:r>
      <w:r>
        <w:rPr>
          <w:rFonts w:hint="eastAsia"/>
          <w:color w:val="auto"/>
          <w:kern w:val="0"/>
          <w:sz w:val="26"/>
          <w:szCs w:val="26"/>
          <w:highlight w:val="none"/>
          <w:lang w:val="en-US" w:eastAsia="zh-CN"/>
        </w:rPr>
        <w:t>及</w:t>
      </w:r>
      <w:r>
        <w:rPr>
          <w:rFonts w:hint="default"/>
          <w:color w:val="auto"/>
          <w:kern w:val="0"/>
          <w:sz w:val="26"/>
          <w:szCs w:val="26"/>
          <w:highlight w:val="none"/>
          <w:lang w:val="en-US" w:eastAsia="zh-CN"/>
        </w:rPr>
        <w:t>其他</w:t>
      </w:r>
      <w:r>
        <w:rPr>
          <w:rFonts w:hint="eastAsia"/>
          <w:color w:val="auto"/>
          <w:kern w:val="0"/>
          <w:sz w:val="26"/>
          <w:szCs w:val="26"/>
          <w:highlight w:val="none"/>
          <w:lang w:val="en-US" w:eastAsia="zh-CN"/>
        </w:rPr>
        <w:t>梯级</w:t>
      </w:r>
      <w:r>
        <w:rPr>
          <w:rFonts w:hint="default"/>
          <w:color w:val="auto"/>
          <w:kern w:val="0"/>
          <w:sz w:val="26"/>
          <w:szCs w:val="26"/>
          <w:highlight w:val="none"/>
          <w:lang w:val="en-US" w:eastAsia="zh-CN"/>
        </w:rPr>
        <w:t>水电工程的建立，使河流的流速减慢，水体中的泥沙沉积，营养物质渗出，水中有机物质增加，这些条件的改变有利于一些浮游动物的生长和繁殖，如轮虫中静水敞水种类，以及枝角类的象鼻溞、秀体溞等。因此，浮游动物相比历史数据有了明显的增长。</w:t>
      </w:r>
    </w:p>
    <w:p>
      <w:pPr>
        <w:numPr>
          <w:ilvl w:val="0"/>
          <w:numId w:val="14"/>
        </w:numPr>
        <w:bidi w:val="0"/>
        <w:ind w:left="0" w:leftChars="0" w:firstLine="520" w:firstLineChars="200"/>
        <w:rPr>
          <w:rFonts w:hint="eastAsia" w:ascii="Times New Roman" w:hAnsi="Times New Roman"/>
          <w:color w:val="auto"/>
          <w:kern w:val="0"/>
          <w:sz w:val="26"/>
          <w:szCs w:val="26"/>
          <w:highlight w:val="none"/>
          <w:lang w:eastAsia="zh-CN"/>
        </w:rPr>
      </w:pPr>
      <w:r>
        <w:rPr>
          <w:rFonts w:hint="eastAsia" w:ascii="Times New Roman" w:hAnsi="Times New Roman"/>
          <w:color w:val="auto"/>
          <w:kern w:val="0"/>
          <w:sz w:val="26"/>
          <w:szCs w:val="26"/>
          <w:highlight w:val="none"/>
          <w:lang w:eastAsia="zh-CN"/>
        </w:rPr>
        <w:t>底栖动物</w:t>
      </w:r>
    </w:p>
    <w:p>
      <w:pPr>
        <w:numPr>
          <w:ilvl w:val="0"/>
          <w:numId w:val="0"/>
        </w:numPr>
        <w:bidi w:val="0"/>
        <w:ind w:firstLine="520" w:firstLineChars="200"/>
        <w:rPr>
          <w:rFonts w:hint="default" w:ascii="Times New Roman" w:hAnsi="Times New Roman"/>
          <w:color w:val="auto"/>
          <w:kern w:val="0"/>
          <w:sz w:val="26"/>
          <w:szCs w:val="26"/>
          <w:highlight w:val="none"/>
          <w:lang w:val="en-US" w:eastAsia="zh-CN"/>
        </w:rPr>
      </w:pPr>
      <w:r>
        <w:rPr>
          <w:rFonts w:hint="eastAsia" w:ascii="Times New Roman" w:hAnsi="Times New Roman"/>
          <w:color w:val="auto"/>
          <w:kern w:val="0"/>
          <w:sz w:val="26"/>
          <w:szCs w:val="26"/>
          <w:highlight w:val="none"/>
          <w:lang w:val="en-US" w:eastAsia="zh-CN"/>
        </w:rPr>
        <w:t>由于渭沱电站及其他梯级水电工程的建立</w:t>
      </w:r>
      <w:r>
        <w:rPr>
          <w:rFonts w:hint="eastAsia" w:ascii="Times New Roman" w:hAnsi="Times New Roman"/>
          <w:color w:val="auto"/>
          <w:kern w:val="0"/>
          <w:sz w:val="26"/>
          <w:szCs w:val="26"/>
          <w:highlight w:val="none"/>
          <w:lang w:eastAsia="zh-CN"/>
        </w:rPr>
        <w:t>，使底栖动物的生境发生改变，底栖动物</w:t>
      </w:r>
      <w:r>
        <w:rPr>
          <w:rFonts w:hint="eastAsia"/>
          <w:color w:val="auto"/>
          <w:kern w:val="0"/>
          <w:sz w:val="26"/>
          <w:szCs w:val="26"/>
          <w:highlight w:val="none"/>
          <w:lang w:eastAsia="zh-CN"/>
        </w:rPr>
        <w:t>的</w:t>
      </w:r>
      <w:r>
        <w:rPr>
          <w:rFonts w:hint="eastAsia"/>
          <w:color w:val="auto"/>
          <w:kern w:val="0"/>
          <w:sz w:val="26"/>
          <w:szCs w:val="26"/>
          <w:highlight w:val="none"/>
          <w:lang w:val="en-US" w:eastAsia="zh-CN"/>
        </w:rPr>
        <w:t>种类和数量也相应出现变化。</w:t>
      </w:r>
    </w:p>
    <w:p>
      <w:pPr>
        <w:numPr>
          <w:ilvl w:val="0"/>
          <w:numId w:val="0"/>
        </w:numPr>
        <w:bidi w:val="0"/>
        <w:ind w:firstLine="520" w:firstLineChars="200"/>
        <w:rPr>
          <w:rFonts w:hint="eastAsia" w:ascii="Times New Roman" w:hAnsi="Times New Roman"/>
          <w:color w:val="auto"/>
          <w:kern w:val="0"/>
          <w:sz w:val="26"/>
          <w:szCs w:val="26"/>
          <w:highlight w:val="none"/>
          <w:lang w:eastAsia="zh-CN"/>
        </w:rPr>
      </w:pPr>
      <w:r>
        <w:rPr>
          <w:rFonts w:hint="eastAsia" w:ascii="Times New Roman" w:hAnsi="Times New Roman"/>
          <w:color w:val="auto"/>
          <w:kern w:val="0"/>
          <w:sz w:val="26"/>
          <w:szCs w:val="26"/>
          <w:highlight w:val="none"/>
          <w:lang w:val="en-US" w:eastAsia="zh-CN"/>
        </w:rPr>
        <w:t>根据历史资料，富金坝蓄水前检测出底栖生物5种。根据回顾性评价阶段调查，检测出底栖动物种有水丝蚓、中华圆田螺、纹沼螺、折叠萝卜螺、方格短沟螺、椭圆萝卜螺、钩虾、扁蜉共三门8种。涪江干流中，底栖动物的密度大多在11~42ind/m</w:t>
      </w:r>
      <w:r>
        <w:rPr>
          <w:rFonts w:hint="eastAsia" w:ascii="Times New Roman" w:hAnsi="Times New Roman"/>
          <w:color w:val="auto"/>
          <w:kern w:val="0"/>
          <w:sz w:val="26"/>
          <w:szCs w:val="26"/>
          <w:highlight w:val="none"/>
          <w:vertAlign w:val="superscript"/>
          <w:lang w:val="en-US" w:eastAsia="zh-CN"/>
        </w:rPr>
        <w:t>2</w:t>
      </w:r>
      <w:r>
        <w:rPr>
          <w:rFonts w:hint="eastAsia" w:ascii="Times New Roman" w:hAnsi="Times New Roman"/>
          <w:color w:val="auto"/>
          <w:kern w:val="0"/>
          <w:sz w:val="26"/>
          <w:szCs w:val="26"/>
          <w:highlight w:val="none"/>
          <w:lang w:val="en-US" w:eastAsia="zh-CN"/>
        </w:rPr>
        <w:t>之间，生物量在1.87~3.82 mg/L之间。</w:t>
      </w:r>
    </w:p>
    <w:p>
      <w:pPr>
        <w:numPr>
          <w:ilvl w:val="0"/>
          <w:numId w:val="0"/>
        </w:numPr>
        <w:bidi w:val="0"/>
        <w:ind w:firstLine="520" w:firstLineChars="200"/>
        <w:rPr>
          <w:rFonts w:hint="eastAsia" w:ascii="Times New Roman" w:hAnsi="Times New Roman"/>
          <w:color w:val="auto"/>
          <w:kern w:val="0"/>
          <w:sz w:val="26"/>
          <w:szCs w:val="26"/>
          <w:highlight w:val="none"/>
          <w:lang w:eastAsia="zh-CN"/>
        </w:rPr>
      </w:pPr>
      <w:r>
        <w:rPr>
          <w:rFonts w:hint="eastAsia" w:ascii="Times New Roman" w:hAnsi="Times New Roman"/>
          <w:color w:val="auto"/>
          <w:kern w:val="0"/>
          <w:sz w:val="26"/>
          <w:szCs w:val="26"/>
          <w:highlight w:val="none"/>
          <w:lang w:eastAsia="zh-CN"/>
        </w:rPr>
        <w:t>底栖动物种类由原激流型河流种类转变为典型的湖沼型静水种类，带丝蚓等环节动物的数量增加，激流型的蜉蝣目等种类大大减少，底栖动物的数量和种类较少，组成单一。</w:t>
      </w:r>
    </w:p>
    <w:p>
      <w:pPr>
        <w:numPr>
          <w:ilvl w:val="0"/>
          <w:numId w:val="0"/>
        </w:numPr>
        <w:bidi w:val="0"/>
        <w:ind w:firstLine="520" w:firstLineChars="200"/>
        <w:rPr>
          <w:rFonts w:hint="default"/>
          <w:color w:val="auto"/>
          <w:kern w:val="0"/>
          <w:sz w:val="26"/>
          <w:szCs w:val="26"/>
          <w:highlight w:val="none"/>
          <w:lang w:val="en-US" w:eastAsia="zh-CN"/>
        </w:rPr>
      </w:pPr>
      <w:r>
        <w:rPr>
          <w:rFonts w:hint="eastAsia"/>
          <w:color w:val="auto"/>
          <w:kern w:val="0"/>
          <w:sz w:val="26"/>
          <w:szCs w:val="26"/>
          <w:highlight w:val="none"/>
          <w:lang w:eastAsia="zh-CN"/>
        </w:rPr>
        <w:t>（</w:t>
      </w:r>
      <w:r>
        <w:rPr>
          <w:rFonts w:hint="eastAsia"/>
          <w:color w:val="auto"/>
          <w:kern w:val="0"/>
          <w:sz w:val="26"/>
          <w:szCs w:val="26"/>
          <w:highlight w:val="none"/>
          <w:lang w:val="en-US" w:eastAsia="zh-CN"/>
        </w:rPr>
        <w:t>4</w:t>
      </w:r>
      <w:r>
        <w:rPr>
          <w:rFonts w:hint="eastAsia"/>
          <w:color w:val="auto"/>
          <w:kern w:val="0"/>
          <w:sz w:val="26"/>
          <w:szCs w:val="26"/>
          <w:highlight w:val="none"/>
          <w:lang w:eastAsia="zh-CN"/>
        </w:rPr>
        <w:t>）</w:t>
      </w:r>
      <w:r>
        <w:rPr>
          <w:rFonts w:hint="eastAsia"/>
          <w:color w:val="auto"/>
          <w:kern w:val="0"/>
          <w:sz w:val="26"/>
          <w:szCs w:val="26"/>
          <w:highlight w:val="none"/>
          <w:lang w:val="en-US" w:eastAsia="zh-CN"/>
        </w:rPr>
        <w:t>鱼类</w:t>
      </w:r>
    </w:p>
    <w:p>
      <w:pPr>
        <w:spacing w:beforeLines="0" w:afterLines="0" w:line="480" w:lineRule="exact"/>
        <w:ind w:firstLine="522"/>
        <w:rPr>
          <w:rFonts w:hint="default" w:ascii="Times New Roman" w:hAnsi="Times New Roman" w:eastAsia="宋体"/>
          <w:b/>
          <w:color w:val="auto"/>
          <w:sz w:val="26"/>
          <w:szCs w:val="24"/>
          <w:highlight w:val="none"/>
        </w:rPr>
      </w:pPr>
      <w:r>
        <w:rPr>
          <w:rFonts w:hint="default" w:ascii="Times New Roman" w:hAnsi="Times New Roman" w:eastAsia="宋体"/>
          <w:b/>
          <w:color w:val="auto"/>
          <w:sz w:val="26"/>
          <w:szCs w:val="24"/>
          <w:highlight w:val="none"/>
        </w:rPr>
        <w:t>A.</w:t>
      </w:r>
      <w:r>
        <w:rPr>
          <w:rFonts w:hint="eastAsia" w:ascii="Times New Roman" w:hAnsi="Times New Roman" w:eastAsia="宋体"/>
          <w:b/>
          <w:color w:val="auto"/>
          <w:sz w:val="26"/>
          <w:szCs w:val="24"/>
          <w:highlight w:val="none"/>
        </w:rPr>
        <w:t>鱼类资源种类变化</w:t>
      </w:r>
    </w:p>
    <w:p>
      <w:pPr>
        <w:spacing w:beforeLines="0" w:afterLines="0" w:line="480" w:lineRule="exact"/>
        <w:ind w:firstLine="520"/>
        <w:rPr>
          <w:rFonts w:hint="default" w:ascii="Times New Roman" w:hAnsi="Times New Roman" w:eastAsia="宋体"/>
          <w:color w:val="auto"/>
          <w:sz w:val="26"/>
          <w:szCs w:val="24"/>
          <w:highlight w:val="none"/>
        </w:rPr>
      </w:pPr>
      <w:r>
        <w:rPr>
          <w:rFonts w:hint="eastAsia" w:ascii="宋体" w:hAnsi="宋体" w:eastAsia="宋体" w:cs="宋体"/>
          <w:color w:val="auto"/>
          <w:kern w:val="2"/>
          <w:sz w:val="26"/>
          <w:szCs w:val="26"/>
          <w:highlight w:val="none"/>
          <w:lang w:val="en-US" w:eastAsia="zh-CN" w:bidi="ar"/>
        </w:rPr>
        <w:t>根据历史文献和《四川鱼类志》记载数据资料分析表明，涪江重庆段历史上分布有鱼类</w:t>
      </w:r>
      <w:r>
        <w:rPr>
          <w:rFonts w:hint="default" w:ascii="Times New Roman" w:hAnsi="Times New Roman" w:eastAsia="宋体" w:cs="Times New Roman"/>
          <w:color w:val="auto"/>
          <w:kern w:val="2"/>
          <w:sz w:val="26"/>
          <w:szCs w:val="26"/>
          <w:highlight w:val="none"/>
          <w:lang w:val="en-US" w:eastAsia="zh-CN" w:bidi="ar"/>
        </w:rPr>
        <w:t>103</w:t>
      </w:r>
      <w:r>
        <w:rPr>
          <w:rFonts w:hint="eastAsia" w:ascii="宋体" w:hAnsi="宋体" w:eastAsia="宋体" w:cs="宋体"/>
          <w:color w:val="auto"/>
          <w:kern w:val="2"/>
          <w:sz w:val="26"/>
          <w:szCs w:val="26"/>
          <w:highlight w:val="none"/>
          <w:lang w:val="en-US" w:eastAsia="zh-CN" w:bidi="ar"/>
        </w:rPr>
        <w:t>种，分隶于</w:t>
      </w:r>
      <w:r>
        <w:rPr>
          <w:rFonts w:hint="default" w:ascii="Times New Roman" w:hAnsi="Times New Roman" w:eastAsia="宋体" w:cs="Times New Roman"/>
          <w:color w:val="auto"/>
          <w:kern w:val="2"/>
          <w:sz w:val="26"/>
          <w:szCs w:val="26"/>
          <w:highlight w:val="none"/>
          <w:lang w:val="en-US" w:eastAsia="zh-CN" w:bidi="ar"/>
        </w:rPr>
        <w:t>6</w:t>
      </w:r>
      <w:r>
        <w:rPr>
          <w:rFonts w:hint="eastAsia" w:ascii="宋体" w:hAnsi="宋体" w:eastAsia="宋体" w:cs="宋体"/>
          <w:color w:val="auto"/>
          <w:kern w:val="2"/>
          <w:sz w:val="26"/>
          <w:szCs w:val="26"/>
          <w:highlight w:val="none"/>
          <w:lang w:val="en-US" w:eastAsia="zh-CN" w:bidi="ar"/>
        </w:rPr>
        <w:t>目</w:t>
      </w:r>
      <w:r>
        <w:rPr>
          <w:rFonts w:hint="default" w:ascii="Times New Roman" w:hAnsi="Times New Roman" w:eastAsia="宋体" w:cs="Times New Roman"/>
          <w:color w:val="auto"/>
          <w:kern w:val="2"/>
          <w:sz w:val="26"/>
          <w:szCs w:val="26"/>
          <w:highlight w:val="none"/>
          <w:lang w:val="en-US" w:eastAsia="zh-CN" w:bidi="ar"/>
        </w:rPr>
        <w:t>16</w:t>
      </w:r>
      <w:r>
        <w:rPr>
          <w:rFonts w:hint="eastAsia" w:ascii="宋体" w:hAnsi="宋体" w:eastAsia="宋体" w:cs="宋体"/>
          <w:color w:val="auto"/>
          <w:kern w:val="2"/>
          <w:sz w:val="26"/>
          <w:szCs w:val="26"/>
          <w:highlight w:val="none"/>
          <w:lang w:val="en-US" w:eastAsia="zh-CN" w:bidi="ar"/>
        </w:rPr>
        <w:t>科</w:t>
      </w:r>
      <w:r>
        <w:rPr>
          <w:rFonts w:hint="default" w:ascii="Times New Roman" w:hAnsi="Times New Roman" w:eastAsia="宋体" w:cs="Times New Roman"/>
          <w:color w:val="auto"/>
          <w:kern w:val="2"/>
          <w:sz w:val="26"/>
          <w:szCs w:val="26"/>
          <w:highlight w:val="none"/>
          <w:lang w:val="en-US" w:eastAsia="zh-CN" w:bidi="ar"/>
        </w:rPr>
        <w:t>73</w:t>
      </w:r>
      <w:r>
        <w:rPr>
          <w:rFonts w:hint="eastAsia" w:ascii="宋体" w:hAnsi="宋体" w:eastAsia="宋体" w:cs="宋体"/>
          <w:color w:val="auto"/>
          <w:kern w:val="2"/>
          <w:sz w:val="26"/>
          <w:szCs w:val="26"/>
          <w:highlight w:val="none"/>
          <w:lang w:val="en-US" w:eastAsia="zh-CN" w:bidi="ar"/>
        </w:rPr>
        <w:t>属，鲤形目为该区的主要类群。</w:t>
      </w:r>
      <w:r>
        <w:rPr>
          <w:rFonts w:hint="default" w:ascii="Times New Roman" w:hAnsi="Times New Roman" w:eastAsia="宋体" w:cs="Times New Roman"/>
          <w:color w:val="auto"/>
          <w:kern w:val="2"/>
          <w:sz w:val="26"/>
          <w:szCs w:val="26"/>
          <w:highlight w:val="none"/>
          <w:lang w:val="en-US" w:eastAsia="zh-CN" w:bidi="ar"/>
        </w:rPr>
        <w:t>90</w:t>
      </w:r>
      <w:r>
        <w:rPr>
          <w:rFonts w:hint="eastAsia" w:ascii="宋体" w:hAnsi="宋体" w:eastAsia="宋体" w:cs="宋体"/>
          <w:color w:val="auto"/>
          <w:kern w:val="2"/>
          <w:sz w:val="26"/>
          <w:szCs w:val="26"/>
          <w:highlight w:val="none"/>
          <w:lang w:val="en-US" w:eastAsia="zh-CN" w:bidi="ar"/>
        </w:rPr>
        <w:t>年代，安居电站、渭沱电站建成后，</w:t>
      </w:r>
      <w:r>
        <w:rPr>
          <w:rFonts w:hint="eastAsia" w:ascii="Times New Roman" w:hAnsi="Times New Roman" w:eastAsia="宋体"/>
          <w:color w:val="auto"/>
          <w:sz w:val="26"/>
          <w:szCs w:val="24"/>
          <w:highlight w:val="none"/>
        </w:rPr>
        <w:t>富金坝航电枢纽大坝截流前进行的涪江段渔业资源调查研究得出涪江江段分布有89种鱼类</w:t>
      </w:r>
      <w:r>
        <w:rPr>
          <w:rFonts w:hint="eastAsia"/>
          <w:color w:val="auto"/>
          <w:sz w:val="26"/>
          <w:szCs w:val="24"/>
          <w:highlight w:val="none"/>
          <w:shd w:val="clear" w:fill="FFFFFF"/>
          <w:lang w:eastAsia="zh-CN"/>
        </w:rPr>
        <w:t>，</w:t>
      </w:r>
      <w:r>
        <w:rPr>
          <w:rFonts w:hint="eastAsia" w:ascii="Times New Roman" w:hAnsi="Times New Roman" w:eastAsia="宋体"/>
          <w:color w:val="auto"/>
          <w:sz w:val="26"/>
          <w:szCs w:val="24"/>
          <w:highlight w:val="none"/>
        </w:rPr>
        <w:t>隶属于5目13科61属，其中鳢形目的鳢科43种，鳅科12种，鳢科鱼类为该江段的主要类群。说明安居电站、渭沱电站对上游鱼类资源产生了影响，鱼类种类呈下降趋势。</w:t>
      </w:r>
    </w:p>
    <w:p>
      <w:pPr>
        <w:spacing w:beforeLines="0" w:afterLines="0" w:line="480" w:lineRule="exact"/>
        <w:ind w:firstLine="520"/>
        <w:rPr>
          <w:rFonts w:hint="default" w:ascii="Times New Roman" w:hAnsi="Times New Roman" w:eastAsia="宋体"/>
          <w:color w:val="auto"/>
          <w:sz w:val="26"/>
          <w:szCs w:val="24"/>
          <w:highlight w:val="none"/>
        </w:rPr>
      </w:pPr>
      <w:r>
        <w:rPr>
          <w:rFonts w:hint="eastAsia" w:ascii="Times New Roman" w:hAnsi="Times New Roman" w:eastAsia="宋体"/>
          <w:color w:val="auto"/>
          <w:sz w:val="26"/>
          <w:szCs w:val="24"/>
          <w:highlight w:val="none"/>
        </w:rPr>
        <w:t>富金坝航电枢纽</w:t>
      </w:r>
      <w:r>
        <w:rPr>
          <w:rFonts w:hint="eastAsia"/>
          <w:color w:val="auto"/>
          <w:sz w:val="26"/>
          <w:szCs w:val="24"/>
          <w:highlight w:val="none"/>
          <w:lang w:eastAsia="zh-CN"/>
        </w:rPr>
        <w:t>于</w:t>
      </w:r>
      <w:r>
        <w:rPr>
          <w:rFonts w:hint="eastAsia" w:ascii="Times New Roman" w:hAnsi="Times New Roman" w:eastAsia="宋体"/>
          <w:color w:val="auto"/>
          <w:sz w:val="26"/>
          <w:szCs w:val="24"/>
          <w:highlight w:val="none"/>
        </w:rPr>
        <w:t>2006年建成，根据《富金坝枢纽竣工验收调查报告》，富金坝梯级运行后，库区及坝下有鱼类54种，隶属于5目</w:t>
      </w:r>
      <w:r>
        <w:rPr>
          <w:rFonts w:hint="eastAsia"/>
          <w:color w:val="auto"/>
          <w:sz w:val="26"/>
          <w:szCs w:val="24"/>
          <w:highlight w:val="none"/>
          <w:lang w:val="en-US" w:eastAsia="zh-CN"/>
        </w:rPr>
        <w:t>13</w:t>
      </w:r>
      <w:r>
        <w:rPr>
          <w:rFonts w:hint="eastAsia" w:ascii="Times New Roman" w:hAnsi="Times New Roman" w:eastAsia="宋体"/>
          <w:color w:val="auto"/>
          <w:sz w:val="26"/>
          <w:szCs w:val="24"/>
          <w:highlight w:val="none"/>
        </w:rPr>
        <w:t>科，以鲤科鱼类为主。与库区蓄水前相比，喜流水生活鱼类、产漂流性卵鱼类以及浅滩激流产卵鱼类减少。说明富金坝建成后对鱼类资源进一步影响，鱼类种类呈下降趋势。</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eastAsia" w:ascii="宋体" w:hAnsi="宋体" w:eastAsia="宋体" w:cs="宋体"/>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2015</w:t>
      </w:r>
      <w:r>
        <w:rPr>
          <w:rFonts w:hint="eastAsia" w:ascii="宋体" w:hAnsi="宋体" w:eastAsia="宋体" w:cs="宋体"/>
          <w:color w:val="auto"/>
          <w:kern w:val="2"/>
          <w:sz w:val="26"/>
          <w:szCs w:val="26"/>
          <w:highlight w:val="none"/>
          <w:lang w:val="en-US" w:eastAsia="zh-CN" w:bidi="ar"/>
        </w:rPr>
        <w:t>年在《安居水电站扩建工程环境影响报告书》中指出：重庆铜梁安居国家湿地公园区域河段有鱼类</w:t>
      </w:r>
      <w:r>
        <w:rPr>
          <w:rFonts w:hint="default" w:ascii="Times New Roman" w:hAnsi="Times New Roman" w:eastAsia="宋体" w:cs="Times New Roman"/>
          <w:color w:val="auto"/>
          <w:kern w:val="2"/>
          <w:sz w:val="26"/>
          <w:szCs w:val="26"/>
          <w:highlight w:val="none"/>
          <w:lang w:val="en-US" w:eastAsia="zh-CN" w:bidi="ar"/>
        </w:rPr>
        <w:t>73</w:t>
      </w:r>
      <w:r>
        <w:rPr>
          <w:rFonts w:hint="eastAsia" w:ascii="宋体" w:hAnsi="宋体" w:eastAsia="宋体" w:cs="宋体"/>
          <w:color w:val="auto"/>
          <w:kern w:val="2"/>
          <w:sz w:val="26"/>
          <w:szCs w:val="26"/>
          <w:highlight w:val="none"/>
          <w:lang w:val="en-US" w:eastAsia="zh-CN" w:bidi="ar"/>
        </w:rPr>
        <w:t>种，隶属于</w:t>
      </w:r>
      <w:r>
        <w:rPr>
          <w:rFonts w:hint="default" w:ascii="Times New Roman" w:hAnsi="Times New Roman" w:eastAsia="宋体" w:cs="Times New Roman"/>
          <w:color w:val="auto"/>
          <w:kern w:val="2"/>
          <w:sz w:val="26"/>
          <w:szCs w:val="26"/>
          <w:highlight w:val="none"/>
          <w:lang w:val="en-US" w:eastAsia="zh-CN" w:bidi="ar"/>
        </w:rPr>
        <w:t>4</w:t>
      </w:r>
      <w:r>
        <w:rPr>
          <w:rFonts w:hint="eastAsia" w:ascii="宋体" w:hAnsi="宋体" w:eastAsia="宋体" w:cs="宋体"/>
          <w:color w:val="auto"/>
          <w:kern w:val="2"/>
          <w:sz w:val="26"/>
          <w:szCs w:val="26"/>
          <w:highlight w:val="none"/>
          <w:lang w:val="en-US" w:eastAsia="zh-CN" w:bidi="ar"/>
        </w:rPr>
        <w:t>目</w:t>
      </w:r>
      <w:r>
        <w:rPr>
          <w:rFonts w:hint="default" w:ascii="Times New Roman" w:hAnsi="Times New Roman" w:eastAsia="宋体" w:cs="Times New Roman"/>
          <w:color w:val="auto"/>
          <w:kern w:val="2"/>
          <w:sz w:val="26"/>
          <w:szCs w:val="26"/>
          <w:highlight w:val="none"/>
          <w:lang w:val="en-US" w:eastAsia="zh-CN" w:bidi="ar"/>
        </w:rPr>
        <w:t>11</w:t>
      </w:r>
      <w:r>
        <w:rPr>
          <w:rFonts w:hint="eastAsia" w:ascii="宋体" w:hAnsi="宋体" w:eastAsia="宋体" w:cs="宋体"/>
          <w:color w:val="auto"/>
          <w:kern w:val="2"/>
          <w:sz w:val="26"/>
          <w:szCs w:val="26"/>
          <w:highlight w:val="none"/>
          <w:lang w:val="en-US" w:eastAsia="zh-CN" w:bidi="ar"/>
        </w:rPr>
        <w:t>科，鲤形目是区域鱼类的主要组成，共</w:t>
      </w:r>
      <w:r>
        <w:rPr>
          <w:rFonts w:hint="default" w:ascii="Times New Roman" w:hAnsi="Times New Roman" w:eastAsia="宋体" w:cs="Times New Roman"/>
          <w:color w:val="auto"/>
          <w:kern w:val="2"/>
          <w:sz w:val="26"/>
          <w:szCs w:val="26"/>
          <w:highlight w:val="none"/>
          <w:lang w:val="en-US" w:eastAsia="zh-CN" w:bidi="ar"/>
        </w:rPr>
        <w:t>57</w:t>
      </w:r>
      <w:r>
        <w:rPr>
          <w:rFonts w:hint="eastAsia" w:ascii="宋体" w:hAnsi="宋体" w:eastAsia="宋体" w:cs="宋体"/>
          <w:color w:val="auto"/>
          <w:kern w:val="2"/>
          <w:sz w:val="26"/>
          <w:szCs w:val="26"/>
          <w:highlight w:val="none"/>
          <w:lang w:val="en-US" w:eastAsia="zh-CN" w:bidi="ar"/>
        </w:rPr>
        <w:t>种，占区域鱼类种类的</w:t>
      </w:r>
      <w:r>
        <w:rPr>
          <w:rFonts w:hint="default" w:ascii="Times New Roman" w:hAnsi="Times New Roman" w:eastAsia="宋体" w:cs="Times New Roman"/>
          <w:color w:val="auto"/>
          <w:kern w:val="2"/>
          <w:sz w:val="26"/>
          <w:szCs w:val="26"/>
          <w:highlight w:val="none"/>
          <w:lang w:val="en-US" w:eastAsia="zh-CN" w:bidi="ar"/>
        </w:rPr>
        <w:t>78.08%</w:t>
      </w:r>
      <w:r>
        <w:rPr>
          <w:rFonts w:hint="eastAsia" w:ascii="宋体" w:hAnsi="宋体" w:eastAsia="宋体" w:cs="宋体"/>
          <w:color w:val="auto"/>
          <w:kern w:val="2"/>
          <w:sz w:val="26"/>
          <w:szCs w:val="26"/>
          <w:highlight w:val="none"/>
          <w:lang w:val="en-US" w:eastAsia="zh-CN" w:bidi="ar"/>
        </w:rPr>
        <w:t>，鲤科</w:t>
      </w:r>
      <w:r>
        <w:rPr>
          <w:rFonts w:hint="default" w:ascii="Times New Roman" w:hAnsi="Times New Roman" w:eastAsia="宋体" w:cs="Times New Roman"/>
          <w:color w:val="auto"/>
          <w:kern w:val="2"/>
          <w:sz w:val="26"/>
          <w:szCs w:val="26"/>
          <w:highlight w:val="none"/>
          <w:lang w:val="en-US" w:eastAsia="zh-CN" w:bidi="ar"/>
        </w:rPr>
        <w:t>49</w:t>
      </w:r>
      <w:r>
        <w:rPr>
          <w:rFonts w:hint="eastAsia" w:ascii="宋体" w:hAnsi="宋体" w:eastAsia="宋体" w:cs="宋体"/>
          <w:color w:val="auto"/>
          <w:kern w:val="2"/>
          <w:sz w:val="26"/>
          <w:szCs w:val="26"/>
          <w:highlight w:val="none"/>
          <w:lang w:val="en-US" w:eastAsia="zh-CN" w:bidi="ar"/>
        </w:rPr>
        <w:t>种。</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eastAsia" w:ascii="宋体" w:hAnsi="宋体" w:eastAsia="宋体" w:cs="宋体"/>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2015</w:t>
      </w:r>
      <w:r>
        <w:rPr>
          <w:rFonts w:hint="eastAsia" w:ascii="宋体" w:hAnsi="宋体" w:eastAsia="宋体" w:cs="宋体"/>
          <w:color w:val="auto"/>
          <w:kern w:val="2"/>
          <w:sz w:val="26"/>
          <w:szCs w:val="26"/>
          <w:highlight w:val="none"/>
          <w:lang w:val="en-US" w:eastAsia="zh-CN" w:bidi="ar"/>
        </w:rPr>
        <w:t>年</w:t>
      </w:r>
      <w:r>
        <w:rPr>
          <w:rFonts w:hint="default" w:ascii="Times New Roman" w:hAnsi="Times New Roman" w:eastAsia="宋体" w:cs="Times New Roman"/>
          <w:color w:val="auto"/>
          <w:kern w:val="2"/>
          <w:sz w:val="26"/>
          <w:szCs w:val="26"/>
          <w:highlight w:val="none"/>
          <w:lang w:val="en-US" w:eastAsia="zh-CN" w:bidi="ar"/>
        </w:rPr>
        <w:t>11</w:t>
      </w:r>
      <w:r>
        <w:rPr>
          <w:rFonts w:hint="eastAsia" w:ascii="宋体" w:hAnsi="宋体" w:eastAsia="宋体" w:cs="宋体"/>
          <w:color w:val="auto"/>
          <w:kern w:val="2"/>
          <w:sz w:val="26"/>
          <w:szCs w:val="26"/>
          <w:highlight w:val="none"/>
          <w:lang w:val="en-US" w:eastAsia="zh-CN" w:bidi="ar"/>
        </w:rPr>
        <w:t>月，重庆市潼南区农业农村委与西南大学编制的《重庆市潼南区江河鱼类资源现状调查及保护研究专题报告》中，指出在</w:t>
      </w:r>
      <w:r>
        <w:rPr>
          <w:rFonts w:hint="default" w:ascii="Times New Roman" w:hAnsi="Times New Roman" w:eastAsia="宋体" w:cs="Times New Roman"/>
          <w:color w:val="auto"/>
          <w:kern w:val="2"/>
          <w:sz w:val="26"/>
          <w:szCs w:val="26"/>
          <w:highlight w:val="none"/>
          <w:lang w:val="en-US" w:eastAsia="zh-CN" w:bidi="ar"/>
        </w:rPr>
        <w:t>2014</w:t>
      </w:r>
      <w:r>
        <w:rPr>
          <w:rFonts w:hint="eastAsia" w:ascii="宋体" w:hAnsi="宋体" w:eastAsia="宋体" w:cs="宋体"/>
          <w:color w:val="auto"/>
          <w:kern w:val="2"/>
          <w:sz w:val="26"/>
          <w:szCs w:val="26"/>
          <w:highlight w:val="none"/>
          <w:lang w:val="en-US" w:eastAsia="zh-CN" w:bidi="ar"/>
        </w:rPr>
        <w:t>年至</w:t>
      </w:r>
      <w:r>
        <w:rPr>
          <w:rFonts w:hint="default" w:ascii="Times New Roman" w:hAnsi="Times New Roman" w:eastAsia="宋体" w:cs="Times New Roman"/>
          <w:color w:val="auto"/>
          <w:kern w:val="2"/>
          <w:sz w:val="26"/>
          <w:szCs w:val="26"/>
          <w:highlight w:val="none"/>
          <w:lang w:val="en-US" w:eastAsia="zh-CN" w:bidi="ar"/>
        </w:rPr>
        <w:t>2015</w:t>
      </w:r>
      <w:r>
        <w:rPr>
          <w:rFonts w:hint="eastAsia" w:ascii="宋体" w:hAnsi="宋体" w:eastAsia="宋体" w:cs="宋体"/>
          <w:color w:val="auto"/>
          <w:kern w:val="2"/>
          <w:sz w:val="26"/>
          <w:szCs w:val="26"/>
          <w:highlight w:val="none"/>
          <w:lang w:val="en-US" w:eastAsia="zh-CN" w:bidi="ar"/>
        </w:rPr>
        <w:t>年间，涪江潼南江段采集标本种类为</w:t>
      </w:r>
      <w:r>
        <w:rPr>
          <w:rFonts w:hint="default" w:ascii="Times New Roman" w:hAnsi="Times New Roman" w:eastAsia="宋体" w:cs="Times New Roman"/>
          <w:color w:val="auto"/>
          <w:kern w:val="2"/>
          <w:sz w:val="26"/>
          <w:szCs w:val="26"/>
          <w:highlight w:val="none"/>
          <w:lang w:val="en-US" w:eastAsia="zh-CN" w:bidi="ar"/>
        </w:rPr>
        <w:t>50</w:t>
      </w:r>
      <w:r>
        <w:rPr>
          <w:rFonts w:hint="eastAsia" w:ascii="宋体" w:hAnsi="宋体" w:eastAsia="宋体" w:cs="宋体"/>
          <w:color w:val="auto"/>
          <w:kern w:val="2"/>
          <w:sz w:val="26"/>
          <w:szCs w:val="26"/>
          <w:highlight w:val="none"/>
          <w:lang w:val="en-US" w:eastAsia="zh-CN" w:bidi="ar"/>
        </w:rPr>
        <w:t>种，访问记录</w:t>
      </w:r>
      <w:r>
        <w:rPr>
          <w:rFonts w:hint="default" w:ascii="Times New Roman" w:hAnsi="Times New Roman" w:eastAsia="宋体" w:cs="Times New Roman"/>
          <w:color w:val="auto"/>
          <w:kern w:val="2"/>
          <w:sz w:val="26"/>
          <w:szCs w:val="26"/>
          <w:highlight w:val="none"/>
          <w:lang w:val="en-US" w:eastAsia="zh-CN" w:bidi="ar"/>
        </w:rPr>
        <w:t>11</w:t>
      </w:r>
      <w:r>
        <w:rPr>
          <w:rFonts w:hint="eastAsia" w:ascii="宋体" w:hAnsi="宋体" w:eastAsia="宋体" w:cs="宋体"/>
          <w:color w:val="auto"/>
          <w:kern w:val="2"/>
          <w:sz w:val="26"/>
          <w:szCs w:val="26"/>
          <w:highlight w:val="none"/>
          <w:lang w:val="en-US" w:eastAsia="zh-CN" w:bidi="ar"/>
        </w:rPr>
        <w:t>种，共</w:t>
      </w:r>
      <w:r>
        <w:rPr>
          <w:rFonts w:hint="default" w:ascii="Times New Roman" w:hAnsi="Times New Roman" w:eastAsia="宋体" w:cs="Times New Roman"/>
          <w:color w:val="auto"/>
          <w:kern w:val="2"/>
          <w:sz w:val="26"/>
          <w:szCs w:val="26"/>
          <w:highlight w:val="none"/>
          <w:lang w:val="en-US" w:eastAsia="zh-CN" w:bidi="ar"/>
        </w:rPr>
        <w:t>61</w:t>
      </w:r>
      <w:r>
        <w:rPr>
          <w:rFonts w:hint="eastAsia" w:ascii="宋体" w:hAnsi="宋体" w:eastAsia="宋体" w:cs="宋体"/>
          <w:color w:val="auto"/>
          <w:kern w:val="2"/>
          <w:sz w:val="26"/>
          <w:szCs w:val="26"/>
          <w:highlight w:val="none"/>
          <w:lang w:val="en-US" w:eastAsia="zh-CN" w:bidi="ar"/>
        </w:rPr>
        <w:t>种，隶属</w:t>
      </w:r>
      <w:r>
        <w:rPr>
          <w:rFonts w:hint="default" w:ascii="Times New Roman" w:hAnsi="Times New Roman" w:eastAsia="宋体" w:cs="Times New Roman"/>
          <w:color w:val="auto"/>
          <w:kern w:val="2"/>
          <w:sz w:val="26"/>
          <w:szCs w:val="26"/>
          <w:highlight w:val="none"/>
          <w:lang w:val="en-US" w:eastAsia="zh-CN" w:bidi="ar"/>
        </w:rPr>
        <w:t>4</w:t>
      </w:r>
      <w:r>
        <w:rPr>
          <w:rFonts w:hint="eastAsia" w:ascii="宋体" w:hAnsi="宋体" w:eastAsia="宋体" w:cs="宋体"/>
          <w:color w:val="auto"/>
          <w:kern w:val="2"/>
          <w:sz w:val="26"/>
          <w:szCs w:val="26"/>
          <w:highlight w:val="none"/>
          <w:lang w:val="en-US" w:eastAsia="zh-CN" w:bidi="ar"/>
        </w:rPr>
        <w:t>目</w:t>
      </w:r>
      <w:r>
        <w:rPr>
          <w:rFonts w:hint="default" w:ascii="Times New Roman" w:hAnsi="Times New Roman" w:eastAsia="宋体" w:cs="Times New Roman"/>
          <w:color w:val="auto"/>
          <w:kern w:val="2"/>
          <w:sz w:val="26"/>
          <w:szCs w:val="26"/>
          <w:highlight w:val="none"/>
          <w:lang w:val="en-US" w:eastAsia="zh-CN" w:bidi="ar"/>
        </w:rPr>
        <w:t>12</w:t>
      </w:r>
      <w:r>
        <w:rPr>
          <w:rFonts w:hint="eastAsia" w:ascii="宋体" w:hAnsi="宋体" w:eastAsia="宋体" w:cs="宋体"/>
          <w:color w:val="auto"/>
          <w:kern w:val="2"/>
          <w:sz w:val="26"/>
          <w:szCs w:val="26"/>
          <w:highlight w:val="none"/>
          <w:lang w:val="en-US" w:eastAsia="zh-CN" w:bidi="ar"/>
        </w:rPr>
        <w:t>科</w:t>
      </w:r>
      <w:r>
        <w:rPr>
          <w:rFonts w:hint="default" w:ascii="Times New Roman" w:hAnsi="Times New Roman" w:eastAsia="宋体" w:cs="Times New Roman"/>
          <w:color w:val="auto"/>
          <w:kern w:val="2"/>
          <w:sz w:val="26"/>
          <w:szCs w:val="26"/>
          <w:highlight w:val="none"/>
          <w:lang w:val="en-US" w:eastAsia="zh-CN" w:bidi="ar"/>
        </w:rPr>
        <w:t>40</w:t>
      </w:r>
      <w:r>
        <w:rPr>
          <w:rFonts w:hint="eastAsia" w:ascii="宋体" w:hAnsi="宋体" w:eastAsia="宋体" w:cs="宋体"/>
          <w:color w:val="auto"/>
          <w:kern w:val="2"/>
          <w:sz w:val="26"/>
          <w:szCs w:val="26"/>
          <w:highlight w:val="none"/>
          <w:lang w:val="en-US" w:eastAsia="zh-CN" w:bidi="ar"/>
        </w:rPr>
        <w:t>属。其中鲤科为</w:t>
      </w:r>
      <w:r>
        <w:rPr>
          <w:rFonts w:hint="default" w:ascii="Times New Roman" w:hAnsi="Times New Roman" w:eastAsia="宋体" w:cs="Times New Roman"/>
          <w:color w:val="auto"/>
          <w:kern w:val="2"/>
          <w:sz w:val="26"/>
          <w:szCs w:val="26"/>
          <w:highlight w:val="none"/>
          <w:lang w:val="en-US" w:eastAsia="zh-CN" w:bidi="ar"/>
        </w:rPr>
        <w:t>29</w:t>
      </w:r>
      <w:r>
        <w:rPr>
          <w:rFonts w:hint="eastAsia" w:ascii="宋体" w:hAnsi="宋体" w:eastAsia="宋体" w:cs="宋体"/>
          <w:color w:val="auto"/>
          <w:kern w:val="2"/>
          <w:sz w:val="26"/>
          <w:szCs w:val="26"/>
          <w:highlight w:val="none"/>
          <w:lang w:val="en-US" w:eastAsia="zh-CN" w:bidi="ar"/>
        </w:rPr>
        <w:t>种，占</w:t>
      </w:r>
      <w:r>
        <w:rPr>
          <w:rFonts w:hint="default" w:ascii="Times New Roman" w:hAnsi="Times New Roman" w:eastAsia="宋体" w:cs="Times New Roman"/>
          <w:color w:val="auto"/>
          <w:kern w:val="2"/>
          <w:sz w:val="26"/>
          <w:szCs w:val="26"/>
          <w:highlight w:val="none"/>
          <w:lang w:val="en-US" w:eastAsia="zh-CN" w:bidi="ar"/>
        </w:rPr>
        <w:t>58.0%</w:t>
      </w:r>
      <w:r>
        <w:rPr>
          <w:rFonts w:hint="eastAsia" w:ascii="宋体" w:hAnsi="宋体" w:eastAsia="宋体" w:cs="宋体"/>
          <w:color w:val="auto"/>
          <w:kern w:val="2"/>
          <w:sz w:val="26"/>
          <w:szCs w:val="26"/>
          <w:highlight w:val="none"/>
          <w:lang w:val="en-US" w:eastAsia="zh-CN" w:bidi="ar"/>
        </w:rPr>
        <w:t>。</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eastAsia" w:ascii="宋体" w:hAnsi="宋体" w:eastAsia="宋体" w:cs="宋体"/>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2018</w:t>
      </w:r>
      <w:r>
        <w:rPr>
          <w:rFonts w:hint="eastAsia" w:ascii="宋体" w:hAnsi="宋体" w:eastAsia="宋体" w:cs="宋体"/>
          <w:color w:val="auto"/>
          <w:kern w:val="2"/>
          <w:sz w:val="26"/>
          <w:szCs w:val="26"/>
          <w:highlight w:val="none"/>
          <w:lang w:val="en-US" w:eastAsia="zh-CN" w:bidi="ar"/>
        </w:rPr>
        <w:t>年</w:t>
      </w:r>
      <w:r>
        <w:rPr>
          <w:rFonts w:hint="default" w:ascii="Times New Roman" w:hAnsi="Times New Roman" w:eastAsia="宋体" w:cs="Times New Roman"/>
          <w:color w:val="auto"/>
          <w:kern w:val="2"/>
          <w:sz w:val="26"/>
          <w:szCs w:val="26"/>
          <w:highlight w:val="none"/>
          <w:lang w:val="en-US" w:eastAsia="zh-CN" w:bidi="ar"/>
        </w:rPr>
        <w:t>9</w:t>
      </w:r>
      <w:r>
        <w:rPr>
          <w:rFonts w:hint="eastAsia" w:ascii="宋体" w:hAnsi="宋体" w:eastAsia="宋体" w:cs="宋体"/>
          <w:color w:val="auto"/>
          <w:kern w:val="2"/>
          <w:sz w:val="26"/>
          <w:szCs w:val="26"/>
          <w:highlight w:val="none"/>
          <w:lang w:val="en-US" w:eastAsia="zh-CN" w:bidi="ar"/>
        </w:rPr>
        <w:t>月，长江水资源保护科学研究所编制的《嘉陵江流域（桐子壕至河口）航电开发环境影响回顾性评价报告》中，对涪江江段的鱼类记录为</w:t>
      </w:r>
      <w:r>
        <w:rPr>
          <w:rFonts w:hint="default" w:ascii="Times New Roman" w:hAnsi="Times New Roman" w:eastAsia="宋体" w:cs="Times New Roman"/>
          <w:color w:val="auto"/>
          <w:kern w:val="2"/>
          <w:sz w:val="26"/>
          <w:szCs w:val="26"/>
          <w:highlight w:val="none"/>
          <w:lang w:val="en-US" w:eastAsia="zh-CN" w:bidi="ar"/>
        </w:rPr>
        <w:t>86</w:t>
      </w:r>
      <w:r>
        <w:rPr>
          <w:rFonts w:hint="eastAsia" w:ascii="宋体" w:hAnsi="宋体" w:eastAsia="宋体" w:cs="宋体"/>
          <w:color w:val="auto"/>
          <w:kern w:val="2"/>
          <w:sz w:val="26"/>
          <w:szCs w:val="26"/>
          <w:highlight w:val="none"/>
          <w:lang w:val="en-US" w:eastAsia="zh-CN" w:bidi="ar"/>
        </w:rPr>
        <w:t>种，鲤形目鱼类是涪江的主要</w:t>
      </w:r>
      <w:r>
        <w:rPr>
          <w:rFonts w:hint="eastAsia" w:ascii="宋体" w:hAnsi="宋体" w:eastAsia="宋体" w:cs="宋体"/>
          <w:color w:val="auto"/>
          <w:kern w:val="2"/>
          <w:sz w:val="26"/>
          <w:szCs w:val="26"/>
          <w:highlight w:val="none"/>
          <w:shd w:val="clear" w:fill="FFFFFF"/>
          <w:lang w:val="en-US" w:eastAsia="zh-CN" w:bidi="ar"/>
        </w:rPr>
        <w:t>鱼类类</w:t>
      </w:r>
      <w:r>
        <w:rPr>
          <w:rFonts w:hint="eastAsia" w:ascii="宋体" w:hAnsi="宋体" w:eastAsia="宋体" w:cs="宋体"/>
          <w:color w:val="auto"/>
          <w:kern w:val="2"/>
          <w:sz w:val="26"/>
          <w:szCs w:val="26"/>
          <w:highlight w:val="none"/>
          <w:lang w:val="en-US" w:eastAsia="zh-CN" w:bidi="ar"/>
        </w:rPr>
        <w:t>群，有</w:t>
      </w:r>
      <w:r>
        <w:rPr>
          <w:rFonts w:hint="default" w:ascii="Times New Roman" w:hAnsi="Times New Roman" w:eastAsia="宋体" w:cs="Times New Roman"/>
          <w:color w:val="auto"/>
          <w:kern w:val="2"/>
          <w:sz w:val="26"/>
          <w:szCs w:val="26"/>
          <w:highlight w:val="none"/>
          <w:lang w:val="en-US" w:eastAsia="zh-CN" w:bidi="ar"/>
        </w:rPr>
        <w:t>68</w:t>
      </w:r>
      <w:r>
        <w:rPr>
          <w:rFonts w:hint="eastAsia" w:ascii="宋体" w:hAnsi="宋体" w:eastAsia="宋体" w:cs="宋体"/>
          <w:color w:val="auto"/>
          <w:kern w:val="2"/>
          <w:sz w:val="26"/>
          <w:szCs w:val="26"/>
          <w:highlight w:val="none"/>
          <w:lang w:val="en-US" w:eastAsia="zh-CN" w:bidi="ar"/>
        </w:rPr>
        <w:t>种，占该江段鱼类种类数的</w:t>
      </w:r>
      <w:r>
        <w:rPr>
          <w:rFonts w:hint="default" w:ascii="Times New Roman" w:hAnsi="Times New Roman" w:eastAsia="宋体" w:cs="Times New Roman"/>
          <w:color w:val="auto"/>
          <w:kern w:val="2"/>
          <w:sz w:val="26"/>
          <w:szCs w:val="26"/>
          <w:highlight w:val="none"/>
          <w:lang w:val="en-US" w:eastAsia="zh-CN" w:bidi="ar"/>
        </w:rPr>
        <w:t>79.1%</w:t>
      </w:r>
      <w:r>
        <w:rPr>
          <w:rFonts w:hint="eastAsia" w:ascii="宋体" w:hAnsi="宋体" w:eastAsia="宋体" w:cs="宋体"/>
          <w:color w:val="auto"/>
          <w:kern w:val="2"/>
          <w:sz w:val="26"/>
          <w:szCs w:val="26"/>
          <w:highlight w:val="none"/>
          <w:lang w:val="en-US" w:eastAsia="zh-CN" w:bidi="ar"/>
        </w:rPr>
        <w:t>；鲇形目鱼类</w:t>
      </w:r>
      <w:r>
        <w:rPr>
          <w:rFonts w:hint="default" w:ascii="Times New Roman" w:hAnsi="Times New Roman" w:eastAsia="宋体" w:cs="Times New Roman"/>
          <w:color w:val="auto"/>
          <w:kern w:val="2"/>
          <w:sz w:val="26"/>
          <w:szCs w:val="26"/>
          <w:highlight w:val="none"/>
          <w:lang w:val="en-US" w:eastAsia="zh-CN" w:bidi="ar"/>
        </w:rPr>
        <w:t>8</w:t>
      </w:r>
      <w:r>
        <w:rPr>
          <w:rFonts w:hint="eastAsia" w:ascii="宋体" w:hAnsi="宋体" w:eastAsia="宋体" w:cs="宋体"/>
          <w:color w:val="auto"/>
          <w:kern w:val="2"/>
          <w:sz w:val="26"/>
          <w:szCs w:val="26"/>
          <w:highlight w:val="none"/>
          <w:lang w:val="en-US" w:eastAsia="zh-CN" w:bidi="ar"/>
        </w:rPr>
        <w:t>种，占</w:t>
      </w:r>
      <w:r>
        <w:rPr>
          <w:rFonts w:hint="default" w:ascii="Times New Roman" w:hAnsi="Times New Roman" w:eastAsia="宋体" w:cs="Times New Roman"/>
          <w:color w:val="auto"/>
          <w:kern w:val="2"/>
          <w:sz w:val="26"/>
          <w:szCs w:val="26"/>
          <w:highlight w:val="none"/>
          <w:lang w:val="en-US" w:eastAsia="zh-CN" w:bidi="ar"/>
        </w:rPr>
        <w:t>9.3%</w:t>
      </w:r>
      <w:r>
        <w:rPr>
          <w:rFonts w:hint="eastAsia" w:ascii="宋体" w:hAnsi="宋体" w:eastAsia="宋体" w:cs="宋体"/>
          <w:color w:val="auto"/>
          <w:kern w:val="2"/>
          <w:sz w:val="26"/>
          <w:szCs w:val="26"/>
          <w:highlight w:val="none"/>
          <w:lang w:val="en-US" w:eastAsia="zh-CN" w:bidi="ar"/>
        </w:rPr>
        <w:t>；鲈形目</w:t>
      </w:r>
      <w:r>
        <w:rPr>
          <w:rFonts w:hint="default" w:ascii="Times New Roman" w:hAnsi="Times New Roman" w:eastAsia="宋体" w:cs="Times New Roman"/>
          <w:color w:val="auto"/>
          <w:kern w:val="2"/>
          <w:sz w:val="26"/>
          <w:szCs w:val="26"/>
          <w:highlight w:val="none"/>
          <w:lang w:val="en-US" w:eastAsia="zh-CN" w:bidi="ar"/>
        </w:rPr>
        <w:t>8</w:t>
      </w:r>
      <w:r>
        <w:rPr>
          <w:rFonts w:hint="eastAsia" w:ascii="宋体" w:hAnsi="宋体" w:eastAsia="宋体" w:cs="宋体"/>
          <w:color w:val="auto"/>
          <w:kern w:val="2"/>
          <w:sz w:val="26"/>
          <w:szCs w:val="26"/>
          <w:highlight w:val="none"/>
          <w:lang w:val="en-US" w:eastAsia="zh-CN" w:bidi="ar"/>
        </w:rPr>
        <w:t>种，占</w:t>
      </w:r>
      <w:r>
        <w:rPr>
          <w:rFonts w:hint="default" w:ascii="Times New Roman" w:hAnsi="Times New Roman" w:eastAsia="宋体" w:cs="Times New Roman"/>
          <w:color w:val="auto"/>
          <w:kern w:val="2"/>
          <w:sz w:val="26"/>
          <w:szCs w:val="26"/>
          <w:highlight w:val="none"/>
          <w:lang w:val="en-US" w:eastAsia="zh-CN" w:bidi="ar"/>
        </w:rPr>
        <w:t>9.3%</w:t>
      </w:r>
      <w:r>
        <w:rPr>
          <w:rFonts w:hint="eastAsia" w:ascii="宋体" w:hAnsi="宋体" w:eastAsia="宋体" w:cs="宋体"/>
          <w:color w:val="auto"/>
          <w:kern w:val="2"/>
          <w:sz w:val="26"/>
          <w:szCs w:val="26"/>
          <w:highlight w:val="none"/>
          <w:lang w:val="en-US" w:eastAsia="zh-CN" w:bidi="ar"/>
        </w:rPr>
        <w:t>；合鳃鱼目鱼类</w:t>
      </w:r>
      <w:r>
        <w:rPr>
          <w:rFonts w:hint="default" w:ascii="Times New Roman" w:hAnsi="Times New Roman" w:eastAsia="宋体" w:cs="Times New Roman"/>
          <w:color w:val="auto"/>
          <w:kern w:val="2"/>
          <w:sz w:val="26"/>
          <w:szCs w:val="26"/>
          <w:highlight w:val="none"/>
          <w:lang w:val="en-US" w:eastAsia="zh-CN" w:bidi="ar"/>
        </w:rPr>
        <w:t>1</w:t>
      </w:r>
      <w:r>
        <w:rPr>
          <w:rFonts w:hint="eastAsia" w:ascii="宋体" w:hAnsi="宋体" w:eastAsia="宋体" w:cs="宋体"/>
          <w:color w:val="auto"/>
          <w:kern w:val="2"/>
          <w:sz w:val="26"/>
          <w:szCs w:val="26"/>
          <w:highlight w:val="none"/>
          <w:lang w:val="en-US" w:eastAsia="zh-CN" w:bidi="ar"/>
        </w:rPr>
        <w:t>种，占</w:t>
      </w:r>
      <w:r>
        <w:rPr>
          <w:rFonts w:hint="default" w:ascii="Times New Roman" w:hAnsi="Times New Roman" w:eastAsia="宋体" w:cs="Times New Roman"/>
          <w:color w:val="auto"/>
          <w:kern w:val="2"/>
          <w:sz w:val="26"/>
          <w:szCs w:val="26"/>
          <w:highlight w:val="none"/>
          <w:lang w:val="en-US" w:eastAsia="zh-CN" w:bidi="ar"/>
        </w:rPr>
        <w:t>1.2%</w:t>
      </w:r>
      <w:r>
        <w:rPr>
          <w:rFonts w:hint="eastAsia" w:ascii="宋体" w:hAnsi="宋体" w:eastAsia="宋体" w:cs="宋体"/>
          <w:color w:val="auto"/>
          <w:kern w:val="2"/>
          <w:sz w:val="26"/>
          <w:szCs w:val="26"/>
          <w:highlight w:val="none"/>
          <w:lang w:val="en-US" w:eastAsia="zh-CN" w:bidi="ar"/>
        </w:rPr>
        <w:t>；鳉形目鱼类</w:t>
      </w:r>
      <w:r>
        <w:rPr>
          <w:rFonts w:hint="default" w:ascii="Times New Roman" w:hAnsi="Times New Roman" w:eastAsia="宋体" w:cs="Times New Roman"/>
          <w:color w:val="auto"/>
          <w:kern w:val="2"/>
          <w:sz w:val="26"/>
          <w:szCs w:val="26"/>
          <w:highlight w:val="none"/>
          <w:lang w:val="en-US" w:eastAsia="zh-CN" w:bidi="ar"/>
        </w:rPr>
        <w:t>1</w:t>
      </w:r>
      <w:r>
        <w:rPr>
          <w:rFonts w:hint="eastAsia" w:ascii="宋体" w:hAnsi="宋体" w:eastAsia="宋体" w:cs="宋体"/>
          <w:color w:val="auto"/>
          <w:kern w:val="2"/>
          <w:sz w:val="26"/>
          <w:szCs w:val="26"/>
          <w:highlight w:val="none"/>
          <w:lang w:val="en-US" w:eastAsia="zh-CN" w:bidi="ar"/>
        </w:rPr>
        <w:t>种，占</w:t>
      </w:r>
      <w:r>
        <w:rPr>
          <w:rFonts w:hint="default" w:ascii="Times New Roman" w:hAnsi="Times New Roman" w:eastAsia="宋体" w:cs="Times New Roman"/>
          <w:color w:val="auto"/>
          <w:kern w:val="2"/>
          <w:sz w:val="26"/>
          <w:szCs w:val="26"/>
          <w:highlight w:val="none"/>
          <w:lang w:val="en-US" w:eastAsia="zh-CN" w:bidi="ar"/>
        </w:rPr>
        <w:t>1.2%</w:t>
      </w:r>
      <w:r>
        <w:rPr>
          <w:rFonts w:hint="eastAsia" w:ascii="宋体" w:hAnsi="宋体" w:eastAsia="宋体" w:cs="宋体"/>
          <w:color w:val="auto"/>
          <w:kern w:val="2"/>
          <w:sz w:val="26"/>
          <w:szCs w:val="26"/>
          <w:highlight w:val="none"/>
          <w:lang w:val="en-US" w:eastAsia="zh-CN" w:bidi="ar"/>
        </w:rPr>
        <w:t>。</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2020</w:t>
      </w:r>
      <w:r>
        <w:rPr>
          <w:rFonts w:hint="eastAsia" w:ascii="宋体" w:hAnsi="宋体" w:eastAsia="宋体" w:cs="宋体"/>
          <w:color w:val="auto"/>
          <w:kern w:val="2"/>
          <w:sz w:val="26"/>
          <w:szCs w:val="26"/>
          <w:highlight w:val="none"/>
          <w:lang w:val="en-US" w:eastAsia="zh-CN" w:bidi="ar"/>
        </w:rPr>
        <w:t>年</w:t>
      </w:r>
      <w:r>
        <w:rPr>
          <w:rFonts w:hint="default" w:ascii="Times New Roman" w:hAnsi="Times New Roman" w:eastAsia="宋体" w:cs="Times New Roman"/>
          <w:color w:val="auto"/>
          <w:kern w:val="2"/>
          <w:sz w:val="26"/>
          <w:szCs w:val="26"/>
          <w:highlight w:val="none"/>
          <w:lang w:val="en-US" w:eastAsia="zh-CN" w:bidi="ar"/>
        </w:rPr>
        <w:t>12</w:t>
      </w:r>
      <w:r>
        <w:rPr>
          <w:rFonts w:hint="eastAsia" w:ascii="宋体" w:hAnsi="宋体" w:eastAsia="宋体" w:cs="宋体"/>
          <w:color w:val="auto"/>
          <w:kern w:val="2"/>
          <w:sz w:val="26"/>
          <w:szCs w:val="26"/>
          <w:highlight w:val="none"/>
          <w:lang w:val="en-US" w:eastAsia="zh-CN" w:bidi="ar"/>
        </w:rPr>
        <w:t>月，西南大学编制的《</w:t>
      </w:r>
      <w:r>
        <w:rPr>
          <w:rFonts w:hint="default" w:ascii="Times New Roman" w:hAnsi="Times New Roman" w:eastAsia="宋体" w:cs="Times New Roman"/>
          <w:color w:val="auto"/>
          <w:kern w:val="2"/>
          <w:sz w:val="26"/>
          <w:szCs w:val="26"/>
          <w:highlight w:val="none"/>
          <w:lang w:val="en-US" w:eastAsia="zh-CN" w:bidi="ar"/>
        </w:rPr>
        <w:t>2019</w:t>
      </w:r>
      <w:r>
        <w:rPr>
          <w:rFonts w:hint="eastAsia" w:ascii="宋体" w:hAnsi="宋体" w:eastAsia="宋体" w:cs="宋体"/>
          <w:color w:val="auto"/>
          <w:kern w:val="2"/>
          <w:sz w:val="26"/>
          <w:szCs w:val="26"/>
          <w:highlight w:val="none"/>
          <w:lang w:val="en-US" w:eastAsia="zh-CN" w:bidi="ar"/>
        </w:rPr>
        <w:t>年度潼南航电枢纽工程水域生态环境监测项目总结报告》中，指出</w:t>
      </w:r>
      <w:r>
        <w:rPr>
          <w:rFonts w:hint="default" w:ascii="Times New Roman" w:hAnsi="Times New Roman" w:eastAsia="宋体" w:cs="Times New Roman"/>
          <w:color w:val="auto"/>
          <w:kern w:val="2"/>
          <w:sz w:val="26"/>
          <w:szCs w:val="26"/>
          <w:highlight w:val="none"/>
          <w:lang w:val="en-US" w:eastAsia="zh-CN" w:bidi="ar"/>
        </w:rPr>
        <w:t>2019</w:t>
      </w:r>
      <w:r>
        <w:rPr>
          <w:rFonts w:hint="eastAsia" w:ascii="宋体" w:hAnsi="宋体" w:eastAsia="宋体" w:cs="宋体"/>
          <w:color w:val="auto"/>
          <w:kern w:val="2"/>
          <w:sz w:val="26"/>
          <w:szCs w:val="26"/>
          <w:highlight w:val="none"/>
          <w:lang w:val="en-US" w:eastAsia="zh-CN" w:bidi="ar"/>
        </w:rPr>
        <w:t>年度在潼南航电枢纽上下游渔获物调查共采样鱼类共</w:t>
      </w:r>
      <w:r>
        <w:rPr>
          <w:rFonts w:hint="default" w:ascii="Times New Roman" w:hAnsi="Times New Roman" w:eastAsia="宋体" w:cs="Times New Roman"/>
          <w:color w:val="auto"/>
          <w:kern w:val="2"/>
          <w:sz w:val="26"/>
          <w:szCs w:val="26"/>
          <w:highlight w:val="none"/>
          <w:lang w:val="en-US" w:eastAsia="zh-CN" w:bidi="ar"/>
        </w:rPr>
        <w:t>26</w:t>
      </w:r>
      <w:r>
        <w:rPr>
          <w:rFonts w:hint="eastAsia" w:ascii="宋体" w:hAnsi="宋体" w:eastAsia="宋体" w:cs="宋体"/>
          <w:color w:val="auto"/>
          <w:kern w:val="2"/>
          <w:sz w:val="26"/>
          <w:szCs w:val="26"/>
          <w:highlight w:val="none"/>
          <w:lang w:val="en-US" w:eastAsia="zh-CN" w:bidi="ar"/>
        </w:rPr>
        <w:t>种，隶属</w:t>
      </w:r>
      <w:r>
        <w:rPr>
          <w:rFonts w:hint="default" w:ascii="Times New Roman" w:hAnsi="Times New Roman" w:eastAsia="宋体" w:cs="Times New Roman"/>
          <w:color w:val="auto"/>
          <w:kern w:val="2"/>
          <w:sz w:val="26"/>
          <w:szCs w:val="26"/>
          <w:highlight w:val="none"/>
          <w:lang w:val="en-US" w:eastAsia="zh-CN" w:bidi="ar"/>
        </w:rPr>
        <w:t>3</w:t>
      </w:r>
      <w:r>
        <w:rPr>
          <w:rFonts w:hint="eastAsia" w:ascii="宋体" w:hAnsi="宋体" w:eastAsia="宋体" w:cs="宋体"/>
          <w:color w:val="auto"/>
          <w:kern w:val="2"/>
          <w:sz w:val="26"/>
          <w:szCs w:val="26"/>
          <w:highlight w:val="none"/>
          <w:lang w:val="en-US" w:eastAsia="zh-CN" w:bidi="ar"/>
        </w:rPr>
        <w:t>目</w:t>
      </w:r>
      <w:r>
        <w:rPr>
          <w:rFonts w:hint="default" w:ascii="Times New Roman" w:hAnsi="Times New Roman" w:eastAsia="宋体" w:cs="Times New Roman"/>
          <w:color w:val="auto"/>
          <w:kern w:val="2"/>
          <w:sz w:val="26"/>
          <w:szCs w:val="26"/>
          <w:highlight w:val="none"/>
          <w:lang w:val="en-US" w:eastAsia="zh-CN" w:bidi="ar"/>
        </w:rPr>
        <w:t>6</w:t>
      </w:r>
      <w:r>
        <w:rPr>
          <w:rFonts w:hint="eastAsia" w:ascii="宋体" w:hAnsi="宋体" w:eastAsia="宋体" w:cs="宋体"/>
          <w:color w:val="auto"/>
          <w:kern w:val="2"/>
          <w:sz w:val="26"/>
          <w:szCs w:val="26"/>
          <w:highlight w:val="none"/>
          <w:lang w:val="en-US" w:eastAsia="zh-CN" w:bidi="ar"/>
        </w:rPr>
        <w:t>科。其中鲤形目种类最多，有</w:t>
      </w:r>
      <w:r>
        <w:rPr>
          <w:rFonts w:hint="default" w:ascii="Times New Roman" w:hAnsi="Times New Roman" w:eastAsia="宋体" w:cs="Times New Roman"/>
          <w:color w:val="auto"/>
          <w:kern w:val="2"/>
          <w:sz w:val="26"/>
          <w:szCs w:val="26"/>
          <w:highlight w:val="none"/>
          <w:lang w:val="en-US" w:eastAsia="zh-CN" w:bidi="ar"/>
        </w:rPr>
        <w:t>19</w:t>
      </w:r>
      <w:r>
        <w:rPr>
          <w:rFonts w:hint="eastAsia" w:ascii="宋体" w:hAnsi="宋体" w:eastAsia="宋体" w:cs="宋体"/>
          <w:color w:val="auto"/>
          <w:kern w:val="2"/>
          <w:sz w:val="26"/>
          <w:szCs w:val="26"/>
          <w:highlight w:val="none"/>
          <w:lang w:val="en-US" w:eastAsia="zh-CN" w:bidi="ar"/>
        </w:rPr>
        <w:t>种，占</w:t>
      </w:r>
      <w:r>
        <w:rPr>
          <w:rFonts w:hint="default" w:ascii="Times New Roman" w:hAnsi="Times New Roman" w:eastAsia="宋体" w:cs="Times New Roman"/>
          <w:color w:val="auto"/>
          <w:kern w:val="2"/>
          <w:sz w:val="26"/>
          <w:szCs w:val="26"/>
          <w:highlight w:val="none"/>
          <w:lang w:val="en-US" w:eastAsia="zh-CN" w:bidi="ar"/>
        </w:rPr>
        <w:t>73.08%</w:t>
      </w:r>
      <w:r>
        <w:rPr>
          <w:rFonts w:hint="eastAsia" w:ascii="宋体" w:hAnsi="宋体" w:eastAsia="宋体" w:cs="宋体"/>
          <w:color w:val="auto"/>
          <w:kern w:val="2"/>
          <w:sz w:val="26"/>
          <w:szCs w:val="26"/>
          <w:highlight w:val="none"/>
          <w:lang w:val="en-US" w:eastAsia="zh-CN" w:bidi="ar"/>
        </w:rPr>
        <w:t>；鲈形目其次，有</w:t>
      </w:r>
      <w:r>
        <w:rPr>
          <w:rFonts w:hint="default" w:ascii="Times New Roman" w:hAnsi="Times New Roman" w:eastAsia="宋体" w:cs="Times New Roman"/>
          <w:color w:val="auto"/>
          <w:kern w:val="2"/>
          <w:sz w:val="26"/>
          <w:szCs w:val="26"/>
          <w:highlight w:val="none"/>
          <w:lang w:val="en-US" w:eastAsia="zh-CN" w:bidi="ar"/>
        </w:rPr>
        <w:t>6</w:t>
      </w:r>
      <w:r>
        <w:rPr>
          <w:rFonts w:hint="eastAsia" w:ascii="宋体" w:hAnsi="宋体" w:eastAsia="宋体" w:cs="宋体"/>
          <w:color w:val="auto"/>
          <w:kern w:val="2"/>
          <w:sz w:val="26"/>
          <w:szCs w:val="26"/>
          <w:highlight w:val="none"/>
          <w:lang w:val="en-US" w:eastAsia="zh-CN" w:bidi="ar"/>
        </w:rPr>
        <w:t>种，占</w:t>
      </w:r>
      <w:r>
        <w:rPr>
          <w:rFonts w:hint="default" w:ascii="Times New Roman" w:hAnsi="Times New Roman" w:eastAsia="宋体" w:cs="Times New Roman"/>
          <w:color w:val="auto"/>
          <w:kern w:val="2"/>
          <w:sz w:val="26"/>
          <w:szCs w:val="26"/>
          <w:highlight w:val="none"/>
          <w:lang w:val="en-US" w:eastAsia="zh-CN" w:bidi="ar"/>
        </w:rPr>
        <w:t>23.08%</w:t>
      </w:r>
      <w:r>
        <w:rPr>
          <w:rFonts w:hint="eastAsia" w:ascii="宋体" w:hAnsi="宋体" w:eastAsia="宋体" w:cs="宋体"/>
          <w:color w:val="auto"/>
          <w:kern w:val="2"/>
          <w:sz w:val="26"/>
          <w:szCs w:val="26"/>
          <w:highlight w:val="none"/>
          <w:lang w:val="en-US" w:eastAsia="zh-CN" w:bidi="ar"/>
        </w:rPr>
        <w:t>；鲇形目仅</w:t>
      </w:r>
      <w:r>
        <w:rPr>
          <w:rFonts w:hint="default" w:ascii="Times New Roman" w:hAnsi="Times New Roman" w:eastAsia="宋体" w:cs="Times New Roman"/>
          <w:color w:val="auto"/>
          <w:kern w:val="2"/>
          <w:sz w:val="26"/>
          <w:szCs w:val="26"/>
          <w:highlight w:val="none"/>
          <w:lang w:val="en-US" w:eastAsia="zh-CN" w:bidi="ar"/>
        </w:rPr>
        <w:t>1</w:t>
      </w:r>
      <w:r>
        <w:rPr>
          <w:rFonts w:hint="eastAsia" w:ascii="宋体" w:hAnsi="宋体" w:eastAsia="宋体" w:cs="宋体"/>
          <w:color w:val="auto"/>
          <w:kern w:val="2"/>
          <w:sz w:val="26"/>
          <w:szCs w:val="26"/>
          <w:highlight w:val="none"/>
          <w:lang w:val="en-US" w:eastAsia="zh-CN" w:bidi="ar"/>
        </w:rPr>
        <w:t>种，占</w:t>
      </w:r>
      <w:r>
        <w:rPr>
          <w:rFonts w:hint="default" w:ascii="Times New Roman" w:hAnsi="Times New Roman" w:eastAsia="宋体" w:cs="Times New Roman"/>
          <w:color w:val="auto"/>
          <w:kern w:val="2"/>
          <w:sz w:val="26"/>
          <w:szCs w:val="26"/>
          <w:highlight w:val="none"/>
          <w:lang w:val="en-US" w:eastAsia="zh-CN" w:bidi="ar"/>
        </w:rPr>
        <w:t>3.84%</w:t>
      </w:r>
      <w:r>
        <w:rPr>
          <w:rFonts w:hint="eastAsia" w:ascii="宋体" w:hAnsi="宋体" w:eastAsia="宋体" w:cs="宋体"/>
          <w:color w:val="auto"/>
          <w:kern w:val="2"/>
          <w:sz w:val="26"/>
          <w:szCs w:val="26"/>
          <w:highlight w:val="none"/>
          <w:lang w:val="en-US" w:eastAsia="zh-CN" w:bidi="ar"/>
        </w:rPr>
        <w:t>。渔获物中坝上坝下均有的有</w:t>
      </w:r>
      <w:r>
        <w:rPr>
          <w:rFonts w:hint="default" w:ascii="Times New Roman" w:hAnsi="Times New Roman" w:eastAsia="宋体" w:cs="Times New Roman"/>
          <w:color w:val="auto"/>
          <w:kern w:val="2"/>
          <w:sz w:val="26"/>
          <w:szCs w:val="26"/>
          <w:highlight w:val="none"/>
          <w:lang w:val="en-US" w:eastAsia="zh-CN" w:bidi="ar"/>
        </w:rPr>
        <w:t>14</w:t>
      </w:r>
      <w:r>
        <w:rPr>
          <w:rFonts w:hint="eastAsia" w:ascii="宋体" w:hAnsi="宋体" w:eastAsia="宋体" w:cs="宋体"/>
          <w:color w:val="auto"/>
          <w:kern w:val="2"/>
          <w:sz w:val="26"/>
          <w:szCs w:val="26"/>
          <w:highlight w:val="none"/>
          <w:lang w:val="en-US" w:eastAsia="zh-CN" w:bidi="ar"/>
        </w:rPr>
        <w:t>种，不同种类</w:t>
      </w:r>
      <w:r>
        <w:rPr>
          <w:rFonts w:hint="default" w:ascii="Times New Roman" w:hAnsi="Times New Roman" w:eastAsia="宋体" w:cs="Times New Roman"/>
          <w:color w:val="auto"/>
          <w:kern w:val="2"/>
          <w:sz w:val="26"/>
          <w:szCs w:val="26"/>
          <w:highlight w:val="none"/>
          <w:lang w:val="en-US" w:eastAsia="zh-CN" w:bidi="ar"/>
        </w:rPr>
        <w:t>12</w:t>
      </w:r>
      <w:r>
        <w:rPr>
          <w:rFonts w:hint="eastAsia" w:ascii="宋体" w:hAnsi="宋体" w:eastAsia="宋体" w:cs="宋体"/>
          <w:color w:val="auto"/>
          <w:kern w:val="2"/>
          <w:sz w:val="26"/>
          <w:szCs w:val="26"/>
          <w:highlight w:val="none"/>
          <w:lang w:val="en-US" w:eastAsia="zh-CN" w:bidi="ar"/>
        </w:rPr>
        <w:t>种，占</w:t>
      </w:r>
      <w:r>
        <w:rPr>
          <w:rFonts w:hint="default" w:ascii="Times New Roman" w:hAnsi="Times New Roman" w:eastAsia="宋体" w:cs="Times New Roman"/>
          <w:color w:val="auto"/>
          <w:kern w:val="2"/>
          <w:sz w:val="26"/>
          <w:szCs w:val="26"/>
          <w:highlight w:val="none"/>
          <w:lang w:val="en-US" w:eastAsia="zh-CN" w:bidi="ar"/>
        </w:rPr>
        <w:t>46.15%</w:t>
      </w:r>
      <w:r>
        <w:rPr>
          <w:rFonts w:hint="eastAsia" w:ascii="宋体" w:hAnsi="宋体" w:eastAsia="宋体" w:cs="宋体"/>
          <w:color w:val="auto"/>
          <w:kern w:val="2"/>
          <w:sz w:val="26"/>
          <w:szCs w:val="26"/>
          <w:highlight w:val="none"/>
          <w:lang w:val="en-US" w:eastAsia="zh-CN" w:bidi="ar"/>
        </w:rPr>
        <w:t>，其中仅在坝上采集到的为鲢、红鳍鲌、赤眼鳟、银鲴、宽体沙鳅、瓦氏黄颡鱼，仅在坝下采集到的为</w:t>
      </w:r>
      <w:r>
        <w:rPr>
          <w:rFonts w:hint="eastAsia" w:ascii="宋体" w:hAnsi="宋体" w:eastAsia="宋体" w:cs="宋体"/>
          <w:color w:val="auto"/>
          <w:kern w:val="2"/>
          <w:sz w:val="26"/>
          <w:szCs w:val="26"/>
          <w:highlight w:val="none"/>
          <w:shd w:val="clear" w:fill="FFFFFF"/>
          <w:lang w:val="en-US" w:eastAsia="zh-CN" w:bidi="ar"/>
        </w:rPr>
        <w:t>鲶鱼</w:t>
      </w:r>
      <w:r>
        <w:rPr>
          <w:rFonts w:hint="eastAsia" w:ascii="宋体" w:hAnsi="宋体" w:eastAsia="宋体" w:cs="宋体"/>
          <w:color w:val="auto"/>
          <w:kern w:val="2"/>
          <w:sz w:val="26"/>
          <w:szCs w:val="26"/>
          <w:highlight w:val="none"/>
          <w:lang w:val="en-US" w:eastAsia="zh-CN" w:bidi="ar"/>
        </w:rPr>
        <w:t>、蒙古红鲌、翘嘴红鲌、鳑鲏。</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eastAsia" w:ascii="Times New Roman" w:hAnsi="Times New Roman" w:eastAsia="宋体"/>
          <w:color w:val="auto"/>
          <w:sz w:val="26"/>
          <w:szCs w:val="24"/>
          <w:highlight w:val="none"/>
        </w:rPr>
      </w:pPr>
      <w:r>
        <w:rPr>
          <w:rFonts w:hint="eastAsia"/>
          <w:color w:val="auto"/>
          <w:sz w:val="26"/>
          <w:szCs w:val="24"/>
          <w:highlight w:val="none"/>
          <w:lang w:val="en-US" w:eastAsia="zh-CN"/>
        </w:rPr>
        <w:t>根据涪江流域回顾性评价阶段调查结果</w:t>
      </w:r>
      <w:r>
        <w:rPr>
          <w:rFonts w:hint="eastAsia" w:ascii="Times New Roman" w:hAnsi="Times New Roman" w:eastAsia="宋体"/>
          <w:color w:val="auto"/>
          <w:sz w:val="26"/>
          <w:szCs w:val="24"/>
          <w:highlight w:val="none"/>
        </w:rPr>
        <w:t>，涪江干流的鱼类有5目12科73种，其中鲤形目鱼类有54种，占比73.97%；鲇形目鱼类有10种，占比13.69%；鲈形目鱼类有7种，占比9.59%；合鳃鱼目有1种，占比1.37%；鳉形目鱼类有1种，占比1.37%。虽然通过增殖放流等水生生态补偿措施，使涪江流域鱼类资源有所增加，但原流域中以适应流水或激流生活的鱼类减少，而适应静水及敞水面生活的鲤、鲫、鲇、草等鱼类数量上升，流域内鱼类优势种发生了明显的变化。</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2022</w:t>
      </w:r>
      <w:r>
        <w:rPr>
          <w:rFonts w:hint="eastAsia" w:ascii="宋体" w:hAnsi="宋体" w:eastAsia="宋体" w:cs="宋体"/>
          <w:color w:val="auto"/>
          <w:kern w:val="2"/>
          <w:sz w:val="26"/>
          <w:szCs w:val="26"/>
          <w:highlight w:val="none"/>
          <w:lang w:val="en-US" w:eastAsia="zh-CN" w:bidi="ar"/>
        </w:rPr>
        <w:t>年，重庆市水生生物资源监测在涪江流域共监测到鱼类</w:t>
      </w:r>
      <w:r>
        <w:rPr>
          <w:rFonts w:hint="default" w:ascii="Times New Roman" w:hAnsi="Times New Roman" w:eastAsia="宋体" w:cs="Times New Roman"/>
          <w:color w:val="auto"/>
          <w:kern w:val="2"/>
          <w:sz w:val="26"/>
          <w:szCs w:val="26"/>
          <w:highlight w:val="none"/>
          <w:lang w:val="en-US" w:eastAsia="zh-CN" w:bidi="ar"/>
        </w:rPr>
        <w:t>56</w:t>
      </w:r>
      <w:r>
        <w:rPr>
          <w:rFonts w:hint="eastAsia" w:ascii="宋体" w:hAnsi="宋体" w:eastAsia="宋体" w:cs="宋体"/>
          <w:color w:val="auto"/>
          <w:kern w:val="2"/>
          <w:sz w:val="26"/>
          <w:szCs w:val="26"/>
          <w:highlight w:val="none"/>
          <w:lang w:val="en-US" w:eastAsia="zh-CN" w:bidi="ar"/>
        </w:rPr>
        <w:t>种。其中，土著鱼类</w:t>
      </w:r>
      <w:r>
        <w:rPr>
          <w:rFonts w:hint="default" w:ascii="Times New Roman" w:hAnsi="Times New Roman" w:eastAsia="宋体" w:cs="Times New Roman"/>
          <w:color w:val="auto"/>
          <w:kern w:val="2"/>
          <w:sz w:val="26"/>
          <w:szCs w:val="26"/>
          <w:highlight w:val="none"/>
          <w:lang w:val="en-US" w:eastAsia="zh-CN" w:bidi="ar"/>
        </w:rPr>
        <w:t>51</w:t>
      </w:r>
      <w:r>
        <w:rPr>
          <w:rFonts w:hint="eastAsia" w:ascii="宋体" w:hAnsi="宋体" w:eastAsia="宋体" w:cs="宋体"/>
          <w:color w:val="auto"/>
          <w:kern w:val="2"/>
          <w:sz w:val="26"/>
          <w:szCs w:val="26"/>
          <w:highlight w:val="none"/>
          <w:lang w:val="en-US" w:eastAsia="zh-CN" w:bidi="ar"/>
        </w:rPr>
        <w:t>种，国家</w:t>
      </w:r>
      <w:r>
        <w:rPr>
          <w:rFonts w:hint="default" w:ascii="Times New Roman" w:hAnsi="Times New Roman" w:eastAsia="宋体" w:cs="Times New Roman"/>
          <w:color w:val="auto"/>
          <w:kern w:val="2"/>
          <w:sz w:val="26"/>
          <w:szCs w:val="26"/>
          <w:highlight w:val="none"/>
          <w:lang w:val="en-US" w:eastAsia="zh-CN" w:bidi="ar"/>
        </w:rPr>
        <w:t>Ⅱ</w:t>
      </w:r>
      <w:r>
        <w:rPr>
          <w:rFonts w:hint="eastAsia" w:ascii="宋体" w:hAnsi="宋体" w:eastAsia="宋体" w:cs="宋体"/>
          <w:color w:val="auto"/>
          <w:kern w:val="2"/>
          <w:sz w:val="26"/>
          <w:szCs w:val="26"/>
          <w:highlight w:val="none"/>
          <w:lang w:val="en-US" w:eastAsia="zh-CN" w:bidi="ar"/>
        </w:rPr>
        <w:t>级保护鱼类</w:t>
      </w:r>
      <w:r>
        <w:rPr>
          <w:rFonts w:hint="default" w:ascii="Times New Roman" w:hAnsi="Times New Roman" w:eastAsia="宋体" w:cs="Times New Roman"/>
          <w:color w:val="auto"/>
          <w:kern w:val="2"/>
          <w:sz w:val="26"/>
          <w:szCs w:val="26"/>
          <w:highlight w:val="none"/>
          <w:lang w:val="en-US" w:eastAsia="zh-CN" w:bidi="ar"/>
        </w:rPr>
        <w:t>2</w:t>
      </w:r>
      <w:r>
        <w:rPr>
          <w:rFonts w:hint="eastAsia" w:ascii="宋体" w:hAnsi="宋体" w:eastAsia="宋体" w:cs="宋体"/>
          <w:color w:val="auto"/>
          <w:kern w:val="2"/>
          <w:sz w:val="26"/>
          <w:szCs w:val="26"/>
          <w:highlight w:val="none"/>
          <w:lang w:val="en-US" w:eastAsia="zh-CN" w:bidi="ar"/>
        </w:rPr>
        <w:t>种（胭脂鱼、岩原鲤），外来种</w:t>
      </w:r>
      <w:r>
        <w:rPr>
          <w:rFonts w:hint="default" w:ascii="Times New Roman" w:hAnsi="Times New Roman" w:eastAsia="宋体" w:cs="Times New Roman"/>
          <w:color w:val="auto"/>
          <w:kern w:val="2"/>
          <w:sz w:val="26"/>
          <w:szCs w:val="26"/>
          <w:highlight w:val="none"/>
          <w:lang w:val="en-US" w:eastAsia="zh-CN" w:bidi="ar"/>
        </w:rPr>
        <w:t>5</w:t>
      </w:r>
      <w:r>
        <w:rPr>
          <w:rFonts w:hint="eastAsia" w:ascii="宋体" w:hAnsi="宋体" w:eastAsia="宋体" w:cs="宋体"/>
          <w:color w:val="auto"/>
          <w:kern w:val="2"/>
          <w:sz w:val="26"/>
          <w:szCs w:val="26"/>
          <w:highlight w:val="none"/>
          <w:lang w:val="en-US" w:eastAsia="zh-CN" w:bidi="ar"/>
        </w:rPr>
        <w:t>种（南方拟䱗、斑点叉尾鮰、杂交鲟、麦瑞加拉鲮、团头鲂），长江上游特有鱼类</w:t>
      </w:r>
      <w:r>
        <w:rPr>
          <w:rFonts w:hint="default" w:ascii="Times New Roman" w:hAnsi="Times New Roman" w:eastAsia="宋体" w:cs="Times New Roman"/>
          <w:color w:val="auto"/>
          <w:kern w:val="2"/>
          <w:sz w:val="26"/>
          <w:szCs w:val="26"/>
          <w:highlight w:val="none"/>
          <w:lang w:val="en-US" w:eastAsia="zh-CN" w:bidi="ar"/>
        </w:rPr>
        <w:t>7</w:t>
      </w:r>
      <w:r>
        <w:rPr>
          <w:rFonts w:hint="eastAsia" w:ascii="宋体" w:hAnsi="宋体" w:eastAsia="宋体" w:cs="宋体"/>
          <w:color w:val="auto"/>
          <w:kern w:val="2"/>
          <w:sz w:val="26"/>
          <w:szCs w:val="26"/>
          <w:highlight w:val="none"/>
          <w:lang w:val="en-US" w:eastAsia="zh-CN" w:bidi="ar"/>
        </w:rPr>
        <w:t>种（张氏䱗、黑尾近红鲌、厚颌鲂、高体近红鲌、半䱗、岩原鲤、伦氏孟加拉鲮）。种类数最高科鲤科</w:t>
      </w:r>
      <w:r>
        <w:rPr>
          <w:rFonts w:hint="default" w:ascii="Times New Roman" w:hAnsi="Times New Roman" w:eastAsia="宋体" w:cs="Times New Roman"/>
          <w:color w:val="auto"/>
          <w:kern w:val="2"/>
          <w:sz w:val="26"/>
          <w:szCs w:val="26"/>
          <w:highlight w:val="none"/>
          <w:lang w:val="en-US" w:eastAsia="zh-CN" w:bidi="ar"/>
        </w:rPr>
        <w:t>39</w:t>
      </w:r>
      <w:r>
        <w:rPr>
          <w:rFonts w:hint="eastAsia" w:ascii="宋体" w:hAnsi="宋体" w:eastAsia="宋体" w:cs="宋体"/>
          <w:color w:val="auto"/>
          <w:kern w:val="2"/>
          <w:sz w:val="26"/>
          <w:szCs w:val="26"/>
          <w:highlight w:val="none"/>
          <w:lang w:val="en-US" w:eastAsia="zh-CN" w:bidi="ar"/>
        </w:rPr>
        <w:t>种，占比</w:t>
      </w:r>
      <w:r>
        <w:rPr>
          <w:rFonts w:hint="default" w:ascii="Times New Roman" w:hAnsi="Times New Roman" w:eastAsia="宋体" w:cs="Times New Roman"/>
          <w:color w:val="auto"/>
          <w:kern w:val="2"/>
          <w:sz w:val="26"/>
          <w:szCs w:val="26"/>
          <w:highlight w:val="none"/>
          <w:lang w:val="en-US" w:eastAsia="zh-CN" w:bidi="ar"/>
        </w:rPr>
        <w:t>69.6%</w:t>
      </w:r>
      <w:r>
        <w:rPr>
          <w:rFonts w:hint="eastAsia" w:ascii="宋体" w:hAnsi="宋体" w:eastAsia="宋体" w:cs="宋体"/>
          <w:color w:val="auto"/>
          <w:kern w:val="2"/>
          <w:sz w:val="26"/>
          <w:szCs w:val="26"/>
          <w:highlight w:val="none"/>
          <w:lang w:val="en-US" w:eastAsia="zh-CN" w:bidi="ar"/>
        </w:rPr>
        <w:t>；次高科鲿科</w:t>
      </w:r>
      <w:r>
        <w:rPr>
          <w:rFonts w:hint="default" w:ascii="Times New Roman" w:hAnsi="Times New Roman" w:eastAsia="宋体" w:cs="Times New Roman"/>
          <w:color w:val="auto"/>
          <w:kern w:val="2"/>
          <w:sz w:val="26"/>
          <w:szCs w:val="26"/>
          <w:highlight w:val="none"/>
          <w:lang w:val="en-US" w:eastAsia="zh-CN" w:bidi="ar"/>
        </w:rPr>
        <w:t>7</w:t>
      </w:r>
      <w:r>
        <w:rPr>
          <w:rFonts w:hint="eastAsia" w:ascii="宋体" w:hAnsi="宋体" w:eastAsia="宋体" w:cs="宋体"/>
          <w:color w:val="auto"/>
          <w:kern w:val="2"/>
          <w:sz w:val="26"/>
          <w:szCs w:val="26"/>
          <w:highlight w:val="none"/>
          <w:lang w:val="en-US" w:eastAsia="zh-CN" w:bidi="ar"/>
        </w:rPr>
        <w:t>种，占比</w:t>
      </w:r>
      <w:r>
        <w:rPr>
          <w:rFonts w:hint="default" w:ascii="Times New Roman" w:hAnsi="Times New Roman" w:eastAsia="宋体" w:cs="Times New Roman"/>
          <w:color w:val="auto"/>
          <w:kern w:val="2"/>
          <w:sz w:val="26"/>
          <w:szCs w:val="26"/>
          <w:highlight w:val="none"/>
          <w:lang w:val="en-US" w:eastAsia="zh-CN" w:bidi="ar"/>
        </w:rPr>
        <w:t>12.5%</w:t>
      </w:r>
      <w:r>
        <w:rPr>
          <w:rFonts w:hint="eastAsia" w:ascii="宋体" w:hAnsi="宋体" w:eastAsia="宋体" w:cs="宋体"/>
          <w:color w:val="auto"/>
          <w:kern w:val="2"/>
          <w:sz w:val="26"/>
          <w:szCs w:val="26"/>
          <w:highlight w:val="none"/>
          <w:lang w:val="en-US" w:eastAsia="zh-CN" w:bidi="ar"/>
        </w:rPr>
        <w:t>；鱼食性鱼类个体数占比</w:t>
      </w:r>
      <w:r>
        <w:rPr>
          <w:rFonts w:hint="default" w:ascii="Times New Roman" w:hAnsi="Times New Roman" w:eastAsia="宋体" w:cs="Times New Roman"/>
          <w:color w:val="auto"/>
          <w:kern w:val="2"/>
          <w:sz w:val="26"/>
          <w:szCs w:val="26"/>
          <w:highlight w:val="none"/>
          <w:lang w:val="en-US" w:eastAsia="zh-CN" w:bidi="ar"/>
        </w:rPr>
        <w:t>19.1%</w:t>
      </w:r>
      <w:r>
        <w:rPr>
          <w:rFonts w:hint="eastAsia" w:ascii="宋体" w:hAnsi="宋体" w:eastAsia="宋体" w:cs="宋体"/>
          <w:color w:val="auto"/>
          <w:kern w:val="2"/>
          <w:sz w:val="26"/>
          <w:szCs w:val="26"/>
          <w:highlight w:val="none"/>
          <w:lang w:val="en-US" w:eastAsia="zh-CN" w:bidi="ar"/>
        </w:rPr>
        <w:t>，香农</w:t>
      </w:r>
      <w:r>
        <w:rPr>
          <w:rFonts w:hint="default" w:ascii="Times New Roman" w:hAnsi="Times New Roman" w:eastAsia="宋体" w:cs="Times New Roman"/>
          <w:color w:val="auto"/>
          <w:kern w:val="2"/>
          <w:sz w:val="26"/>
          <w:szCs w:val="26"/>
          <w:highlight w:val="none"/>
          <w:lang w:val="en-US" w:eastAsia="zh-CN" w:bidi="ar"/>
        </w:rPr>
        <w:t>-</w:t>
      </w:r>
      <w:r>
        <w:rPr>
          <w:rFonts w:hint="eastAsia" w:ascii="宋体" w:hAnsi="宋体" w:eastAsia="宋体" w:cs="宋体"/>
          <w:color w:val="auto"/>
          <w:kern w:val="2"/>
          <w:sz w:val="26"/>
          <w:szCs w:val="26"/>
          <w:highlight w:val="none"/>
          <w:lang w:val="en-US" w:eastAsia="zh-CN" w:bidi="ar"/>
        </w:rPr>
        <w:t>威纳指数</w:t>
      </w:r>
      <w:r>
        <w:rPr>
          <w:rFonts w:hint="default" w:ascii="Times New Roman" w:hAnsi="Times New Roman" w:eastAsia="宋体" w:cs="Times New Roman"/>
          <w:color w:val="auto"/>
          <w:kern w:val="2"/>
          <w:sz w:val="26"/>
          <w:szCs w:val="26"/>
          <w:highlight w:val="none"/>
          <w:lang w:val="en-US" w:eastAsia="zh-CN" w:bidi="ar"/>
        </w:rPr>
        <w:t>2.91</w:t>
      </w:r>
      <w:r>
        <w:rPr>
          <w:rFonts w:hint="eastAsia" w:ascii="宋体" w:hAnsi="宋体" w:eastAsia="宋体" w:cs="宋体"/>
          <w:color w:val="auto"/>
          <w:kern w:val="2"/>
          <w:sz w:val="26"/>
          <w:szCs w:val="26"/>
          <w:highlight w:val="none"/>
          <w:lang w:val="en-US" w:eastAsia="zh-CN" w:bidi="ar"/>
        </w:rPr>
        <w:t>。涪江主要渔获种类为鳙、鲢、鲤、鲫等，重量占比分别为</w:t>
      </w:r>
      <w:r>
        <w:rPr>
          <w:rFonts w:hint="default" w:ascii="Times New Roman" w:hAnsi="Times New Roman" w:eastAsia="宋体" w:cs="Times New Roman"/>
          <w:color w:val="auto"/>
          <w:kern w:val="2"/>
          <w:sz w:val="26"/>
          <w:szCs w:val="26"/>
          <w:highlight w:val="none"/>
          <w:lang w:val="en-US" w:eastAsia="zh-CN" w:bidi="ar"/>
        </w:rPr>
        <w:t>36.52%</w:t>
      </w:r>
      <w:r>
        <w:rPr>
          <w:rFonts w:hint="eastAsia" w:ascii="宋体" w:hAnsi="宋体" w:eastAsia="宋体" w:cs="宋体"/>
          <w:color w:val="auto"/>
          <w:kern w:val="2"/>
          <w:sz w:val="26"/>
          <w:szCs w:val="26"/>
          <w:highlight w:val="none"/>
          <w:lang w:val="en-US" w:eastAsia="zh-CN" w:bidi="ar"/>
        </w:rPr>
        <w:t>、</w:t>
      </w:r>
      <w:r>
        <w:rPr>
          <w:rFonts w:hint="default" w:ascii="Times New Roman" w:hAnsi="Times New Roman" w:eastAsia="宋体" w:cs="Times New Roman"/>
          <w:color w:val="auto"/>
          <w:kern w:val="2"/>
          <w:sz w:val="26"/>
          <w:szCs w:val="26"/>
          <w:highlight w:val="none"/>
          <w:lang w:val="en-US" w:eastAsia="zh-CN" w:bidi="ar"/>
        </w:rPr>
        <w:t>11.00%</w:t>
      </w:r>
      <w:r>
        <w:rPr>
          <w:rFonts w:hint="eastAsia" w:ascii="宋体" w:hAnsi="宋体" w:eastAsia="宋体" w:cs="宋体"/>
          <w:color w:val="auto"/>
          <w:kern w:val="2"/>
          <w:sz w:val="26"/>
          <w:szCs w:val="26"/>
          <w:highlight w:val="none"/>
          <w:lang w:val="en-US" w:eastAsia="zh-CN" w:bidi="ar"/>
        </w:rPr>
        <w:t>、</w:t>
      </w:r>
      <w:r>
        <w:rPr>
          <w:rFonts w:hint="default" w:ascii="Times New Roman" w:hAnsi="Times New Roman" w:eastAsia="宋体" w:cs="Times New Roman"/>
          <w:color w:val="auto"/>
          <w:kern w:val="2"/>
          <w:sz w:val="26"/>
          <w:szCs w:val="26"/>
          <w:highlight w:val="none"/>
          <w:lang w:val="en-US" w:eastAsia="zh-CN" w:bidi="ar"/>
        </w:rPr>
        <w:t>9.92%</w:t>
      </w:r>
      <w:r>
        <w:rPr>
          <w:rFonts w:hint="eastAsia" w:ascii="宋体" w:hAnsi="宋体" w:eastAsia="宋体" w:cs="宋体"/>
          <w:color w:val="auto"/>
          <w:kern w:val="2"/>
          <w:sz w:val="26"/>
          <w:szCs w:val="26"/>
          <w:highlight w:val="none"/>
          <w:lang w:val="en-US" w:eastAsia="zh-CN" w:bidi="ar"/>
        </w:rPr>
        <w:t>、</w:t>
      </w:r>
      <w:r>
        <w:rPr>
          <w:rFonts w:hint="default" w:ascii="Times New Roman" w:hAnsi="Times New Roman" w:eastAsia="宋体" w:cs="Times New Roman"/>
          <w:color w:val="auto"/>
          <w:kern w:val="2"/>
          <w:sz w:val="26"/>
          <w:szCs w:val="26"/>
          <w:highlight w:val="none"/>
          <w:lang w:val="en-US" w:eastAsia="zh-CN" w:bidi="ar"/>
        </w:rPr>
        <w:t>5.60%</w:t>
      </w:r>
      <w:r>
        <w:rPr>
          <w:rFonts w:hint="eastAsia" w:ascii="宋体" w:hAnsi="宋体" w:eastAsia="宋体" w:cs="宋体"/>
          <w:color w:val="auto"/>
          <w:kern w:val="2"/>
          <w:sz w:val="26"/>
          <w:szCs w:val="26"/>
          <w:highlight w:val="none"/>
          <w:lang w:val="en-US" w:eastAsia="zh-CN" w:bidi="ar"/>
        </w:rPr>
        <w:t>。</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eastAsia" w:ascii="宋体" w:hAnsi="宋体" w:eastAsia="宋体" w:cs="宋体"/>
          <w:color w:val="auto"/>
          <w:kern w:val="2"/>
          <w:sz w:val="26"/>
          <w:szCs w:val="26"/>
          <w:highlight w:val="none"/>
          <w:lang w:val="en-US" w:eastAsia="zh-CN" w:bidi="ar"/>
        </w:rPr>
      </w:pPr>
      <w:r>
        <w:rPr>
          <w:rFonts w:hint="eastAsia" w:ascii="宋体" w:hAnsi="宋体" w:eastAsia="宋体" w:cs="宋体"/>
          <w:color w:val="auto"/>
          <w:kern w:val="2"/>
          <w:sz w:val="26"/>
          <w:szCs w:val="26"/>
          <w:highlight w:val="none"/>
          <w:lang w:val="en-US" w:eastAsia="zh-CN" w:bidi="ar"/>
        </w:rPr>
        <w:t>综合以上资料，可以看出整个涪江流域重庆段内鱼类资源由于区域内的梯级水电开发已显著改变。总体来说，</w:t>
      </w:r>
      <w:r>
        <w:rPr>
          <w:rFonts w:hint="eastAsia" w:ascii="宋体" w:hAnsi="宋体" w:eastAsia="宋体" w:cs="宋体"/>
          <w:color w:val="auto"/>
          <w:kern w:val="2"/>
          <w:sz w:val="26"/>
          <w:szCs w:val="26"/>
          <w:highlight w:val="none"/>
          <w:shd w:val="clear" w:fill="FFFFFF"/>
          <w:lang w:val="en-US" w:eastAsia="zh-CN" w:bidi="ar"/>
        </w:rPr>
        <w:t>在</w:t>
      </w:r>
      <w:r>
        <w:rPr>
          <w:rFonts w:hint="default" w:ascii="Times New Roman" w:hAnsi="Times New Roman" w:eastAsia="宋体" w:cs="Times New Roman"/>
          <w:color w:val="auto"/>
          <w:kern w:val="2"/>
          <w:sz w:val="26"/>
          <w:szCs w:val="26"/>
          <w:highlight w:val="none"/>
          <w:shd w:val="clear" w:fill="FFFFFF"/>
          <w:lang w:val="en-US" w:eastAsia="zh-CN" w:bidi="ar"/>
        </w:rPr>
        <w:t>90</w:t>
      </w:r>
      <w:r>
        <w:rPr>
          <w:rFonts w:hint="eastAsia" w:ascii="宋体" w:hAnsi="宋体" w:eastAsia="宋体" w:cs="宋体"/>
          <w:color w:val="auto"/>
          <w:kern w:val="2"/>
          <w:sz w:val="26"/>
          <w:szCs w:val="26"/>
          <w:highlight w:val="none"/>
          <w:shd w:val="clear" w:fill="FFFFFF"/>
          <w:lang w:val="en-US" w:eastAsia="zh-CN" w:bidi="ar"/>
        </w:rPr>
        <w:t>年代</w:t>
      </w:r>
      <w:r>
        <w:rPr>
          <w:rFonts w:hint="eastAsia" w:ascii="宋体" w:hAnsi="宋体" w:eastAsia="宋体" w:cs="宋体"/>
          <w:color w:val="auto"/>
          <w:kern w:val="2"/>
          <w:sz w:val="26"/>
          <w:szCs w:val="26"/>
          <w:highlight w:val="none"/>
          <w:lang w:val="en-US" w:eastAsia="zh-CN" w:bidi="ar"/>
        </w:rPr>
        <w:t>前水电项目未建设前，鱼类资源总量较丰富，</w:t>
      </w:r>
      <w:r>
        <w:rPr>
          <w:rFonts w:hint="default" w:ascii="Times New Roman" w:hAnsi="Times New Roman" w:eastAsia="宋体" w:cs="Times New Roman"/>
          <w:color w:val="auto"/>
          <w:kern w:val="2"/>
          <w:sz w:val="26"/>
          <w:szCs w:val="26"/>
          <w:highlight w:val="none"/>
          <w:lang w:val="en-US" w:eastAsia="zh-CN" w:bidi="ar"/>
        </w:rPr>
        <w:t>90</w:t>
      </w:r>
      <w:r>
        <w:rPr>
          <w:rFonts w:hint="eastAsia" w:ascii="宋体" w:hAnsi="宋体" w:eastAsia="宋体" w:cs="宋体"/>
          <w:color w:val="auto"/>
          <w:kern w:val="2"/>
          <w:sz w:val="26"/>
          <w:szCs w:val="26"/>
          <w:highlight w:val="none"/>
          <w:lang w:val="en-US" w:eastAsia="zh-CN" w:bidi="ar"/>
        </w:rPr>
        <w:t>年代后安居电站和渭沱枢纽建成后，导致</w:t>
      </w:r>
      <w:r>
        <w:rPr>
          <w:rFonts w:hint="eastAsia" w:ascii="宋体" w:hAnsi="宋体" w:cs="宋体"/>
          <w:color w:val="auto"/>
          <w:kern w:val="2"/>
          <w:sz w:val="26"/>
          <w:szCs w:val="26"/>
          <w:highlight w:val="none"/>
          <w:lang w:val="en-US" w:eastAsia="zh-CN" w:bidi="ar"/>
        </w:rPr>
        <w:t>鱼类种类和</w:t>
      </w:r>
      <w:r>
        <w:rPr>
          <w:rFonts w:hint="eastAsia" w:ascii="宋体" w:hAnsi="宋体" w:eastAsia="宋体" w:cs="宋体"/>
          <w:color w:val="auto"/>
          <w:kern w:val="2"/>
          <w:sz w:val="26"/>
          <w:szCs w:val="26"/>
          <w:highlight w:val="none"/>
          <w:lang w:val="en-US" w:eastAsia="zh-CN" w:bidi="ar"/>
        </w:rPr>
        <w:t>资源总量</w:t>
      </w:r>
      <w:r>
        <w:rPr>
          <w:rFonts w:hint="eastAsia" w:ascii="宋体" w:hAnsi="宋体" w:cs="宋体"/>
          <w:color w:val="auto"/>
          <w:kern w:val="2"/>
          <w:sz w:val="26"/>
          <w:szCs w:val="26"/>
          <w:highlight w:val="none"/>
          <w:lang w:val="en-US" w:eastAsia="zh-CN" w:bidi="ar"/>
        </w:rPr>
        <w:t>逐渐</w:t>
      </w:r>
      <w:r>
        <w:rPr>
          <w:rFonts w:hint="eastAsia" w:ascii="宋体" w:hAnsi="宋体" w:eastAsia="宋体" w:cs="宋体"/>
          <w:color w:val="auto"/>
          <w:kern w:val="2"/>
          <w:sz w:val="26"/>
          <w:szCs w:val="26"/>
          <w:highlight w:val="none"/>
          <w:lang w:val="en-US" w:eastAsia="zh-CN" w:bidi="ar"/>
        </w:rPr>
        <w:t>减少；</w:t>
      </w:r>
      <w:r>
        <w:rPr>
          <w:rFonts w:hint="default" w:ascii="Times New Roman" w:hAnsi="Times New Roman" w:eastAsia="宋体" w:cs="Times New Roman"/>
          <w:color w:val="auto"/>
          <w:kern w:val="2"/>
          <w:sz w:val="26"/>
          <w:szCs w:val="26"/>
          <w:highlight w:val="none"/>
          <w:lang w:val="en-US" w:eastAsia="zh-CN" w:bidi="ar"/>
        </w:rPr>
        <w:t>2006</w:t>
      </w:r>
      <w:r>
        <w:rPr>
          <w:rFonts w:hint="eastAsia" w:ascii="宋体" w:hAnsi="宋体" w:eastAsia="宋体" w:cs="宋体"/>
          <w:color w:val="auto"/>
          <w:kern w:val="2"/>
          <w:sz w:val="26"/>
          <w:szCs w:val="26"/>
          <w:highlight w:val="none"/>
          <w:lang w:val="en-US" w:eastAsia="zh-CN" w:bidi="ar"/>
        </w:rPr>
        <w:t>年富金坝水电站建成后，鱼类资源进一步减少，且导致鱼类的种类和分布在枢纽的上下游区域存在着一定的差异；</w:t>
      </w:r>
      <w:r>
        <w:rPr>
          <w:rFonts w:hint="default" w:ascii="Times New Roman" w:hAnsi="Times New Roman" w:eastAsia="宋体" w:cs="Times New Roman"/>
          <w:color w:val="auto"/>
          <w:kern w:val="2"/>
          <w:sz w:val="26"/>
          <w:szCs w:val="26"/>
          <w:highlight w:val="none"/>
          <w:lang w:val="en-US" w:eastAsia="zh-CN" w:bidi="ar"/>
        </w:rPr>
        <w:t>2018</w:t>
      </w:r>
      <w:r>
        <w:rPr>
          <w:rFonts w:hint="eastAsia" w:ascii="宋体" w:hAnsi="宋体" w:eastAsia="宋体" w:cs="宋体"/>
          <w:color w:val="auto"/>
          <w:kern w:val="2"/>
          <w:sz w:val="26"/>
          <w:szCs w:val="26"/>
          <w:highlight w:val="none"/>
          <w:lang w:val="en-US" w:eastAsia="zh-CN" w:bidi="ar"/>
        </w:rPr>
        <w:t>年潼南航电建成后，与潼南航电枢纽建成之前对比，短短</w:t>
      </w:r>
      <w:r>
        <w:rPr>
          <w:rFonts w:hint="default" w:ascii="Times New Roman" w:hAnsi="Times New Roman" w:eastAsia="宋体" w:cs="Times New Roman"/>
          <w:color w:val="auto"/>
          <w:kern w:val="2"/>
          <w:sz w:val="26"/>
          <w:szCs w:val="26"/>
          <w:highlight w:val="none"/>
          <w:lang w:val="en-US" w:eastAsia="zh-CN" w:bidi="ar"/>
        </w:rPr>
        <w:t>4</w:t>
      </w:r>
      <w:r>
        <w:rPr>
          <w:rFonts w:hint="eastAsia" w:ascii="宋体" w:hAnsi="宋体" w:eastAsia="宋体" w:cs="宋体"/>
          <w:color w:val="auto"/>
          <w:kern w:val="2"/>
          <w:sz w:val="26"/>
          <w:szCs w:val="26"/>
          <w:highlight w:val="none"/>
          <w:lang w:val="en-US" w:eastAsia="zh-CN" w:bidi="ar"/>
        </w:rPr>
        <w:t>年时间，排除访问鱼类，仅渔获物而言，潼南段渔获物的种类呈减少趋势，可见潼南航电枢纽的建设，更加导致鱼类资源的急剧改变。通过对以上资料对比分析，各梯级航电枢纽的建设已经导致了鱼类资源的分布出现显著差异，</w:t>
      </w:r>
      <w:r>
        <w:rPr>
          <w:rFonts w:hint="default" w:ascii="Times New Roman" w:hAnsi="Times New Roman" w:eastAsia="宋体" w:cs="Times New Roman"/>
          <w:color w:val="auto"/>
          <w:kern w:val="2"/>
          <w:sz w:val="26"/>
          <w:szCs w:val="26"/>
          <w:highlight w:val="none"/>
          <w:lang w:val="en-US" w:eastAsia="zh-CN" w:bidi="ar"/>
        </w:rPr>
        <w:t>2021</w:t>
      </w:r>
      <w:r>
        <w:rPr>
          <w:rFonts w:hint="eastAsia" w:ascii="宋体" w:hAnsi="宋体" w:eastAsia="宋体" w:cs="宋体"/>
          <w:color w:val="auto"/>
          <w:kern w:val="2"/>
          <w:sz w:val="26"/>
          <w:szCs w:val="26"/>
          <w:highlight w:val="none"/>
          <w:lang w:val="en-US" w:eastAsia="zh-CN" w:bidi="ar"/>
        </w:rPr>
        <w:t>年双江航电枢纽截流后，对干流江段水文形势和鱼类适宜生境势必会进一步产生影响，但就涪江流域重庆段干流整体而言，早期的涪江安居电站、渭沱枢纽建设年代久远，它们附近的鱼类资源已经趋于稳定，不会有太大改变。</w:t>
      </w:r>
    </w:p>
    <w:p>
      <w:pPr>
        <w:rPr>
          <w:rFonts w:hint="default"/>
          <w:color w:val="auto"/>
          <w:highlight w:val="none"/>
        </w:rPr>
      </w:pPr>
      <w:r>
        <w:rPr>
          <w:rFonts w:hint="eastAsia" w:ascii="宋体" w:hAnsi="宋体" w:eastAsia="宋体" w:cs="宋体"/>
          <w:color w:val="auto"/>
          <w:kern w:val="2"/>
          <w:sz w:val="26"/>
          <w:szCs w:val="26"/>
          <w:highlight w:val="none"/>
          <w:lang w:val="en-US" w:eastAsia="zh-CN" w:bidi="ar"/>
        </w:rPr>
        <w:t>通过对以上资料对比分析，各梯级航电枢纽的建设已经导致了鱼类资源的分布出现显著差异，减少的种类主要包括长距离洄游性鱼类、激流底栖性鱼类以及产漂流性卵鱼类。双江航电枢纽截流后，对干流江段水文形势和鱼类适宜生境势必会进一步产生影响</w:t>
      </w:r>
      <w:r>
        <w:rPr>
          <w:rFonts w:hint="eastAsia" w:ascii="宋体" w:hAnsi="宋体" w:cs="宋体"/>
          <w:color w:val="auto"/>
          <w:kern w:val="2"/>
          <w:sz w:val="26"/>
          <w:szCs w:val="26"/>
          <w:highlight w:val="none"/>
          <w:lang w:val="en-US" w:eastAsia="zh-CN" w:bidi="ar"/>
        </w:rPr>
        <w:t>。</w:t>
      </w:r>
      <w:r>
        <w:rPr>
          <w:rFonts w:hint="eastAsia" w:ascii="宋体" w:hAnsi="宋体" w:eastAsia="宋体" w:cs="宋体"/>
          <w:color w:val="auto"/>
          <w:kern w:val="2"/>
          <w:sz w:val="26"/>
          <w:szCs w:val="26"/>
          <w:highlight w:val="none"/>
          <w:lang w:val="en-US" w:eastAsia="zh-CN" w:bidi="ar"/>
        </w:rPr>
        <w:t>但就涪江流域重庆段干流整体而言，早期的涪江安居电站、渭沱枢纽建设年代久远，它们附近的鱼类资源已经趋于稳定，不会有太大改变。</w:t>
      </w:r>
    </w:p>
    <w:p>
      <w:pPr>
        <w:numPr>
          <w:ilvl w:val="0"/>
          <w:numId w:val="15"/>
        </w:numPr>
        <w:spacing w:beforeLines="0" w:afterLines="0" w:line="480" w:lineRule="exact"/>
        <w:ind w:firstLine="522" w:firstLineChars="200"/>
        <w:rPr>
          <w:rFonts w:hint="default" w:ascii="Times New Roman" w:hAnsi="Times New Roman" w:eastAsia="宋体"/>
          <w:b/>
          <w:color w:val="auto"/>
          <w:sz w:val="26"/>
          <w:szCs w:val="24"/>
          <w:highlight w:val="none"/>
        </w:rPr>
      </w:pPr>
      <w:r>
        <w:rPr>
          <w:rFonts w:hint="eastAsia" w:ascii="Times New Roman" w:hAnsi="Times New Roman" w:eastAsia="宋体"/>
          <w:b/>
          <w:color w:val="auto"/>
          <w:sz w:val="26"/>
          <w:szCs w:val="24"/>
          <w:highlight w:val="none"/>
        </w:rPr>
        <w:t>鱼类资源类型变化</w:t>
      </w:r>
    </w:p>
    <w:p>
      <w:pPr>
        <w:spacing w:beforeLines="0" w:afterLines="0" w:line="480" w:lineRule="exact"/>
        <w:rPr>
          <w:rFonts w:hint="default" w:ascii="Times New Roman" w:hAnsi="Times New Roman" w:eastAsia="宋体"/>
          <w:color w:val="auto"/>
          <w:sz w:val="26"/>
          <w:szCs w:val="24"/>
          <w:highlight w:val="none"/>
        </w:rPr>
      </w:pPr>
      <w:r>
        <w:rPr>
          <w:rFonts w:hint="eastAsia" w:ascii="Times New Roman" w:hAnsi="Times New Roman" w:eastAsia="宋体"/>
          <w:color w:val="auto"/>
          <w:sz w:val="26"/>
          <w:szCs w:val="24"/>
          <w:highlight w:val="none"/>
          <w:lang w:val="en-US" w:eastAsia="zh-CN"/>
        </w:rPr>
        <w:t>渭沱电站和安居电站建设后，鱼类资源类型发生了一定变化，但由于早期缺乏较为全面的调查资料，因此本次</w:t>
      </w:r>
      <w:r>
        <w:rPr>
          <w:rFonts w:hint="eastAsia" w:ascii="Times New Roman" w:hAnsi="Times New Roman" w:eastAsia="宋体"/>
          <w:color w:val="auto"/>
          <w:sz w:val="26"/>
          <w:szCs w:val="24"/>
          <w:highlight w:val="none"/>
        </w:rPr>
        <w:t>鱼类资源类型的变化以富金坝航电枢纽</w:t>
      </w:r>
      <w:r>
        <w:rPr>
          <w:rFonts w:hint="eastAsia" w:ascii="Times New Roman" w:hAnsi="Times New Roman" w:eastAsia="宋体"/>
          <w:color w:val="auto"/>
          <w:sz w:val="26"/>
          <w:szCs w:val="24"/>
          <w:highlight w:val="none"/>
          <w:lang w:val="en-US" w:eastAsia="zh-CN"/>
        </w:rPr>
        <w:t>建设前后</w:t>
      </w:r>
      <w:r>
        <w:rPr>
          <w:rFonts w:hint="eastAsia" w:ascii="Times New Roman" w:hAnsi="Times New Roman" w:eastAsia="宋体"/>
          <w:color w:val="auto"/>
          <w:sz w:val="26"/>
          <w:szCs w:val="24"/>
          <w:highlight w:val="none"/>
        </w:rPr>
        <w:t>为典型进行分析。按照鱼类保护级别（按新名录）、濒危现状、特有程度、种群大小、经济价值等，将该江段的鱼类划分为4个类型。</w:t>
      </w:r>
    </w:p>
    <w:p>
      <w:pPr>
        <w:snapToGrid w:val="0"/>
        <w:spacing w:beforeLines="0" w:afterLines="0" w:line="240" w:lineRule="auto"/>
        <w:ind w:firstLine="520"/>
        <w:jc w:val="center"/>
        <w:rPr>
          <w:rFonts w:hint="default" w:ascii="Times New Roman" w:hAnsi="Times New Roman" w:eastAsia="宋体"/>
          <w:color w:val="auto"/>
          <w:sz w:val="26"/>
          <w:szCs w:val="24"/>
          <w:highlight w:val="none"/>
        </w:rPr>
      </w:pPr>
    </w:p>
    <w:p>
      <w:pPr>
        <w:snapToGrid w:val="0"/>
        <w:spacing w:beforeLines="0" w:afterLines="0" w:line="240" w:lineRule="auto"/>
        <w:ind w:firstLine="520"/>
        <w:jc w:val="center"/>
        <w:rPr>
          <w:rFonts w:hint="default" w:ascii="Times New Roman" w:hAnsi="Times New Roman" w:eastAsia="宋体"/>
          <w:color w:val="auto"/>
          <w:sz w:val="26"/>
          <w:szCs w:val="24"/>
          <w:highlight w:val="none"/>
        </w:rPr>
      </w:pPr>
      <w:r>
        <w:rPr>
          <w:rFonts w:hint="eastAsia" w:ascii="Times New Roman" w:hAnsi="Times New Roman" w:eastAsia="宋体"/>
          <w:color w:val="auto"/>
          <w:sz w:val="26"/>
          <w:szCs w:val="24"/>
          <w:highlight w:val="none"/>
        </w:rPr>
        <w:t>表</w:t>
      </w:r>
      <w:r>
        <w:rPr>
          <w:rFonts w:hint="eastAsia"/>
          <w:color w:val="auto"/>
          <w:sz w:val="26"/>
          <w:szCs w:val="24"/>
          <w:highlight w:val="none"/>
          <w:lang w:val="en-US" w:eastAsia="zh-CN"/>
        </w:rPr>
        <w:t xml:space="preserve">2.4.5-1  </w:t>
      </w:r>
      <w:r>
        <w:rPr>
          <w:rFonts w:hint="eastAsia" w:ascii="Times New Roman" w:hAnsi="Times New Roman" w:eastAsia="宋体"/>
          <w:color w:val="auto"/>
          <w:sz w:val="26"/>
          <w:szCs w:val="24"/>
          <w:highlight w:val="none"/>
        </w:rPr>
        <w:t>鱼类资源类型</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8"/>
        <w:gridCol w:w="3621"/>
        <w:gridCol w:w="718"/>
        <w:gridCol w:w="2454"/>
        <w:gridCol w:w="7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68"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资源类型</w:t>
            </w:r>
          </w:p>
        </w:tc>
        <w:tc>
          <w:tcPr>
            <w:tcW w:w="4339"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富金坝航电枢纽建成前（2004年）</w:t>
            </w:r>
          </w:p>
        </w:tc>
        <w:tc>
          <w:tcPr>
            <w:tcW w:w="3171"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富金坝建成后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68"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p>
        </w:tc>
        <w:tc>
          <w:tcPr>
            <w:tcW w:w="3621"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鱼       名</w:t>
            </w:r>
          </w:p>
        </w:tc>
        <w:tc>
          <w:tcPr>
            <w:tcW w:w="718"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种数</w:t>
            </w:r>
          </w:p>
        </w:tc>
        <w:tc>
          <w:tcPr>
            <w:tcW w:w="2454"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鱼       名</w:t>
            </w:r>
          </w:p>
        </w:tc>
        <w:tc>
          <w:tcPr>
            <w:tcW w:w="717"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种数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68"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lang w:val="en-US" w:eastAsia="zh-CN"/>
              </w:rPr>
            </w:pPr>
            <w:r>
              <w:rPr>
                <w:rFonts w:hint="eastAsia"/>
                <w:color w:val="auto"/>
                <w:sz w:val="22"/>
                <w:szCs w:val="24"/>
                <w:highlight w:val="none"/>
                <w:lang w:val="en-US" w:eastAsia="zh-CN"/>
              </w:rPr>
              <w:t>国家重点保护鱼类</w:t>
            </w:r>
          </w:p>
        </w:tc>
        <w:tc>
          <w:tcPr>
            <w:tcW w:w="3621"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olor w:val="auto"/>
                <w:sz w:val="22"/>
                <w:szCs w:val="24"/>
                <w:highlight w:val="none"/>
                <w:lang w:eastAsia="zh-CN"/>
              </w:rPr>
            </w:pPr>
            <w:r>
              <w:rPr>
                <w:rFonts w:hint="eastAsia" w:ascii="Times New Roman" w:hAnsi="Times New Roman" w:eastAsia="宋体"/>
                <w:color w:val="auto"/>
                <w:sz w:val="22"/>
                <w:szCs w:val="24"/>
                <w:highlight w:val="none"/>
              </w:rPr>
              <w:t>鯮、岩原鲤、长薄鳅、红唇薄鳅</w:t>
            </w:r>
            <w:r>
              <w:rPr>
                <w:rFonts w:hint="eastAsia"/>
                <w:color w:val="auto"/>
                <w:sz w:val="22"/>
                <w:szCs w:val="24"/>
                <w:highlight w:val="none"/>
                <w:lang w:eastAsia="zh-CN"/>
              </w:rPr>
              <w:t>、</w:t>
            </w:r>
            <w:r>
              <w:rPr>
                <w:rFonts w:hint="eastAsia" w:ascii="Times New Roman" w:hAnsi="Times New Roman" w:eastAsia="宋体"/>
                <w:color w:val="auto"/>
                <w:sz w:val="22"/>
                <w:szCs w:val="24"/>
                <w:highlight w:val="none"/>
              </w:rPr>
              <w:t>长鳍吻鮈、四川白甲鱼</w:t>
            </w:r>
          </w:p>
        </w:tc>
        <w:tc>
          <w:tcPr>
            <w:tcW w:w="718"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olor w:val="auto"/>
                <w:sz w:val="22"/>
                <w:szCs w:val="24"/>
                <w:highlight w:val="none"/>
              </w:rPr>
            </w:pPr>
            <w:r>
              <w:rPr>
                <w:rFonts w:hint="eastAsia"/>
                <w:color w:val="auto"/>
                <w:sz w:val="22"/>
                <w:szCs w:val="24"/>
                <w:highlight w:val="none"/>
                <w:lang w:val="en-US" w:eastAsia="zh-CN"/>
              </w:rPr>
              <w:t>6</w:t>
            </w:r>
          </w:p>
        </w:tc>
        <w:tc>
          <w:tcPr>
            <w:tcW w:w="2454"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olor w:val="auto"/>
                <w:sz w:val="22"/>
                <w:szCs w:val="24"/>
                <w:highlight w:val="none"/>
                <w:lang w:eastAsia="zh-CN"/>
              </w:rPr>
            </w:pPr>
            <w:r>
              <w:rPr>
                <w:rFonts w:hint="eastAsia" w:ascii="Times New Roman" w:hAnsi="Times New Roman" w:eastAsia="宋体"/>
                <w:color w:val="auto"/>
                <w:sz w:val="22"/>
                <w:szCs w:val="24"/>
                <w:highlight w:val="none"/>
              </w:rPr>
              <w:t>岩原鲤</w:t>
            </w:r>
            <w:r>
              <w:rPr>
                <w:rFonts w:hint="eastAsia"/>
                <w:color w:val="auto"/>
                <w:sz w:val="22"/>
                <w:szCs w:val="24"/>
                <w:highlight w:val="none"/>
                <w:lang w:eastAsia="zh-CN"/>
              </w:rPr>
              <w:t>、长鳍吻鮈</w:t>
            </w:r>
          </w:p>
        </w:tc>
        <w:tc>
          <w:tcPr>
            <w:tcW w:w="717"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olor w:val="auto"/>
                <w:sz w:val="22"/>
                <w:szCs w:val="24"/>
                <w:highlight w:val="none"/>
                <w:lang w:val="en-US" w:eastAsia="zh-CN"/>
              </w:rPr>
            </w:pPr>
            <w:r>
              <w:rPr>
                <w:rFonts w:hint="eastAsia"/>
                <w:color w:val="auto"/>
                <w:sz w:val="22"/>
                <w:szCs w:val="24"/>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重庆重点保护鱼类</w:t>
            </w:r>
          </w:p>
        </w:tc>
        <w:tc>
          <w:tcPr>
            <w:tcW w:w="3621"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olor w:val="auto"/>
                <w:sz w:val="22"/>
                <w:szCs w:val="24"/>
                <w:highlight w:val="none"/>
                <w:lang w:eastAsia="zh-CN"/>
              </w:rPr>
            </w:pPr>
            <w:r>
              <w:rPr>
                <w:rFonts w:hint="eastAsia" w:ascii="Times New Roman" w:hAnsi="Times New Roman" w:eastAsia="宋体"/>
                <w:color w:val="auto"/>
                <w:sz w:val="22"/>
                <w:szCs w:val="24"/>
                <w:highlight w:val="none"/>
              </w:rPr>
              <w:t>窑滩间吸鳅、鳤、小眼薄鳅</w:t>
            </w:r>
            <w:r>
              <w:rPr>
                <w:rFonts w:hint="eastAsia"/>
                <w:color w:val="auto"/>
                <w:sz w:val="22"/>
                <w:szCs w:val="24"/>
                <w:highlight w:val="none"/>
                <w:lang w:eastAsia="zh-CN"/>
              </w:rPr>
              <w:t>、中华沙鳅</w:t>
            </w:r>
          </w:p>
        </w:tc>
        <w:tc>
          <w:tcPr>
            <w:tcW w:w="718"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olor w:val="auto"/>
                <w:sz w:val="22"/>
                <w:szCs w:val="24"/>
                <w:highlight w:val="none"/>
                <w:lang w:eastAsia="zh-CN"/>
              </w:rPr>
            </w:pPr>
            <w:r>
              <w:rPr>
                <w:rFonts w:hint="eastAsia"/>
                <w:color w:val="auto"/>
                <w:sz w:val="22"/>
                <w:szCs w:val="24"/>
                <w:highlight w:val="none"/>
                <w:lang w:val="en-US" w:eastAsia="zh-CN"/>
              </w:rPr>
              <w:t>5</w:t>
            </w:r>
          </w:p>
        </w:tc>
        <w:tc>
          <w:tcPr>
            <w:tcW w:w="2454"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olor w:val="auto"/>
                <w:sz w:val="22"/>
                <w:szCs w:val="24"/>
                <w:highlight w:val="none"/>
                <w:lang w:val="en-US" w:eastAsia="zh-CN"/>
              </w:rPr>
            </w:pPr>
            <w:r>
              <w:rPr>
                <w:rFonts w:hint="eastAsia"/>
                <w:color w:val="auto"/>
                <w:sz w:val="22"/>
                <w:szCs w:val="24"/>
                <w:highlight w:val="none"/>
                <w:lang w:val="en-US" w:eastAsia="zh-CN"/>
              </w:rPr>
              <w:t>/</w:t>
            </w:r>
          </w:p>
        </w:tc>
        <w:tc>
          <w:tcPr>
            <w:tcW w:w="717"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olor w:val="auto"/>
                <w:sz w:val="22"/>
                <w:szCs w:val="24"/>
                <w:highlight w:val="none"/>
                <w:lang w:eastAsia="zh-CN"/>
              </w:rPr>
            </w:pPr>
            <w:r>
              <w:rPr>
                <w:rFonts w:hint="eastAsia"/>
                <w:color w:val="auto"/>
                <w:sz w:val="22"/>
                <w:szCs w:val="24"/>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长江上游特有鱼类</w:t>
            </w:r>
          </w:p>
        </w:tc>
        <w:tc>
          <w:tcPr>
            <w:tcW w:w="3621"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红尾副鳅、中华</w:t>
            </w:r>
            <w:r>
              <w:rPr>
                <w:rFonts w:hint="eastAsia" w:ascii="Times New Roman" w:hAnsi="Times New Roman" w:eastAsia="宋体"/>
                <w:color w:val="auto"/>
                <w:sz w:val="22"/>
                <w:szCs w:val="24"/>
                <w:highlight w:val="none"/>
                <w:shd w:val="clear" w:fill="FFFFFF"/>
              </w:rPr>
              <w:t>纹胸</w:t>
            </w:r>
            <w:r>
              <w:rPr>
                <w:rFonts w:hint="eastAsia" w:ascii="Times New Roman" w:hAnsi="Times New Roman" w:eastAsia="宋体"/>
                <w:color w:val="auto"/>
                <w:sz w:val="22"/>
                <w:szCs w:val="24"/>
                <w:highlight w:val="none"/>
              </w:rPr>
              <w:t>鮡、中华沙鳅、四川白甲鱼、红唇薄鳅、圆吻鲴、钝吻棒花鱼、长鳍吻鮈、岩原鲤、华鲮、四川华吸鳅等</w:t>
            </w:r>
          </w:p>
        </w:tc>
        <w:tc>
          <w:tcPr>
            <w:tcW w:w="718"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default" w:ascii="Times New Roman" w:hAnsi="Times New Roman" w:eastAsia="宋体"/>
                <w:color w:val="auto"/>
                <w:sz w:val="22"/>
                <w:szCs w:val="24"/>
                <w:highlight w:val="none"/>
              </w:rPr>
              <w:t>11</w:t>
            </w:r>
          </w:p>
        </w:tc>
        <w:tc>
          <w:tcPr>
            <w:tcW w:w="2454"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长鳍吻鮈、岩原鲤、华鲮、四川华吸鳅</w:t>
            </w:r>
          </w:p>
        </w:tc>
        <w:tc>
          <w:tcPr>
            <w:tcW w:w="717"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default" w:ascii="Times New Roman" w:hAnsi="Times New Roman" w:eastAsia="宋体"/>
                <w:color w:val="auto"/>
                <w:sz w:val="22"/>
                <w:szCs w:val="24"/>
                <w:highlight w:val="none"/>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主要经济鱼类</w:t>
            </w:r>
          </w:p>
        </w:tc>
        <w:tc>
          <w:tcPr>
            <w:tcW w:w="3621"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草、鲢、鳙、鲤、鲫、南方鲇、长吻鮠、大鳍</w:t>
            </w:r>
            <w:r>
              <w:rPr>
                <w:rFonts w:hint="eastAsia" w:ascii="Times New Roman" w:hAnsi="Times New Roman" w:eastAsia="宋体"/>
                <w:color w:val="auto"/>
                <w:sz w:val="22"/>
                <w:szCs w:val="24"/>
                <w:highlight w:val="none"/>
                <w:shd w:val="clear" w:fill="FFFFFF"/>
              </w:rPr>
              <w:t>鱯</w:t>
            </w:r>
            <w:r>
              <w:rPr>
                <w:rFonts w:hint="eastAsia" w:ascii="Times New Roman" w:hAnsi="Times New Roman" w:eastAsia="宋体"/>
                <w:color w:val="auto"/>
                <w:sz w:val="22"/>
                <w:szCs w:val="24"/>
                <w:highlight w:val="none"/>
              </w:rPr>
              <w:t>、中华倒刺鲃、白甲、长鳍吻鮈、翘嘴鲌、黄尾鲴、</w:t>
            </w:r>
            <w:r>
              <w:rPr>
                <w:rFonts w:hint="eastAsia" w:ascii="Times New Roman" w:hAnsi="Times New Roman" w:eastAsia="宋体"/>
                <w:color w:val="auto"/>
                <w:sz w:val="22"/>
                <w:szCs w:val="24"/>
                <w:highlight w:val="none"/>
                <w:shd w:val="clear" w:fill="FFFFFF"/>
              </w:rPr>
              <w:t>鱖</w:t>
            </w:r>
            <w:r>
              <w:rPr>
                <w:rFonts w:hint="eastAsia" w:ascii="Times New Roman" w:hAnsi="Times New Roman" w:eastAsia="宋体"/>
                <w:color w:val="auto"/>
                <w:sz w:val="22"/>
                <w:szCs w:val="24"/>
                <w:highlight w:val="none"/>
              </w:rPr>
              <w:t>、岩原鲤、瓦氏黄颡鱼等</w:t>
            </w:r>
          </w:p>
        </w:tc>
        <w:tc>
          <w:tcPr>
            <w:tcW w:w="718"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default" w:ascii="Times New Roman" w:hAnsi="Times New Roman" w:eastAsia="宋体"/>
                <w:color w:val="auto"/>
                <w:sz w:val="22"/>
                <w:szCs w:val="24"/>
                <w:highlight w:val="none"/>
              </w:rPr>
              <w:t>16</w:t>
            </w:r>
          </w:p>
        </w:tc>
        <w:tc>
          <w:tcPr>
            <w:tcW w:w="2454"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草、鲢、鳙、鲤、鲫、南方鲇、长吻鮠、大鳍</w:t>
            </w:r>
            <w:r>
              <w:rPr>
                <w:rFonts w:hint="eastAsia" w:ascii="Times New Roman" w:hAnsi="Times New Roman" w:eastAsia="宋体"/>
                <w:color w:val="auto"/>
                <w:sz w:val="22"/>
                <w:szCs w:val="24"/>
                <w:highlight w:val="none"/>
                <w:shd w:val="clear" w:fill="FFFFFF"/>
              </w:rPr>
              <w:t>鱯</w:t>
            </w:r>
            <w:r>
              <w:rPr>
                <w:rFonts w:hint="eastAsia" w:ascii="Times New Roman" w:hAnsi="Times New Roman" w:eastAsia="宋体"/>
                <w:color w:val="auto"/>
                <w:sz w:val="22"/>
                <w:szCs w:val="24"/>
                <w:highlight w:val="none"/>
              </w:rPr>
              <w:t>、白甲、长鳍吻鮈、翘嘴鲌、黄尾鲴、</w:t>
            </w:r>
            <w:r>
              <w:rPr>
                <w:rFonts w:hint="eastAsia" w:ascii="Times New Roman" w:hAnsi="Times New Roman" w:eastAsia="宋体"/>
                <w:color w:val="auto"/>
                <w:sz w:val="22"/>
                <w:szCs w:val="24"/>
                <w:highlight w:val="none"/>
                <w:shd w:val="clear" w:fill="FFFFFF"/>
              </w:rPr>
              <w:t>鱖</w:t>
            </w:r>
            <w:r>
              <w:rPr>
                <w:rFonts w:hint="eastAsia" w:ascii="Times New Roman" w:hAnsi="Times New Roman" w:eastAsia="宋体"/>
                <w:color w:val="auto"/>
                <w:sz w:val="22"/>
                <w:szCs w:val="24"/>
                <w:highlight w:val="none"/>
              </w:rPr>
              <w:t>等</w:t>
            </w:r>
          </w:p>
        </w:tc>
        <w:tc>
          <w:tcPr>
            <w:tcW w:w="717"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default" w:ascii="Times New Roman" w:hAnsi="Times New Roman" w:eastAsia="宋体"/>
                <w:color w:val="auto"/>
                <w:sz w:val="22"/>
                <w:szCs w:val="24"/>
                <w:highlight w:val="none"/>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其它</w:t>
            </w:r>
          </w:p>
        </w:tc>
        <w:tc>
          <w:tcPr>
            <w:tcW w:w="3621"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鲈鲤、鲇、银飘、泥鳅、黄鳝、吻鮈、唇鱼骨、花鱼骨、䱗条、鳅科、鰟</w:t>
            </w:r>
            <w:r>
              <w:rPr>
                <w:rFonts w:hint="eastAsia" w:ascii="Times New Roman" w:hAnsi="Times New Roman" w:eastAsia="宋体"/>
                <w:color w:val="auto"/>
                <w:sz w:val="22"/>
                <w:szCs w:val="24"/>
                <w:highlight w:val="none"/>
                <w:shd w:val="clear" w:fill="FFFFFF"/>
              </w:rPr>
              <w:t>鮍亚</w:t>
            </w:r>
            <w:r>
              <w:rPr>
                <w:rFonts w:hint="eastAsia" w:ascii="Times New Roman" w:hAnsi="Times New Roman" w:eastAsia="宋体"/>
                <w:color w:val="auto"/>
                <w:sz w:val="22"/>
                <w:szCs w:val="24"/>
                <w:highlight w:val="none"/>
              </w:rPr>
              <w:t>科、鳅鮀亚科、峨眉后平鳅、四川华吸鳅、中华间吸鳅、四川栉鰕虎鱼、黄幼鱼等</w:t>
            </w:r>
          </w:p>
        </w:tc>
        <w:tc>
          <w:tcPr>
            <w:tcW w:w="718"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olor w:val="auto"/>
                <w:sz w:val="22"/>
                <w:szCs w:val="24"/>
                <w:highlight w:val="none"/>
                <w:lang w:eastAsia="zh-CN"/>
              </w:rPr>
            </w:pPr>
            <w:r>
              <w:rPr>
                <w:rFonts w:hint="default" w:ascii="Times New Roman" w:hAnsi="Times New Roman" w:eastAsia="宋体"/>
                <w:color w:val="auto"/>
                <w:sz w:val="22"/>
                <w:szCs w:val="24"/>
                <w:highlight w:val="none"/>
              </w:rPr>
              <w:t>5</w:t>
            </w:r>
            <w:r>
              <w:rPr>
                <w:rFonts w:hint="eastAsia"/>
                <w:color w:val="auto"/>
                <w:sz w:val="22"/>
                <w:szCs w:val="24"/>
                <w:highlight w:val="none"/>
                <w:lang w:val="en-US" w:eastAsia="zh-CN"/>
              </w:rPr>
              <w:t>6</w:t>
            </w:r>
          </w:p>
        </w:tc>
        <w:tc>
          <w:tcPr>
            <w:tcW w:w="2454"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eastAsia" w:ascii="Times New Roman" w:hAnsi="Times New Roman" w:eastAsia="宋体"/>
                <w:color w:val="auto"/>
                <w:sz w:val="22"/>
                <w:szCs w:val="24"/>
                <w:highlight w:val="none"/>
              </w:rPr>
              <w:t>鲇、银飘、泥鳅、黄鳝、吻鮈、唇鱼骨、四川华吸鳅</w:t>
            </w:r>
            <w:r>
              <w:rPr>
                <w:rFonts w:hint="eastAsia"/>
                <w:color w:val="auto"/>
                <w:sz w:val="22"/>
                <w:szCs w:val="24"/>
                <w:highlight w:val="none"/>
                <w:lang w:eastAsia="zh-CN"/>
              </w:rPr>
              <w:t>、</w:t>
            </w:r>
            <w:r>
              <w:rPr>
                <w:rFonts w:hint="eastAsia" w:ascii="Times New Roman" w:hAnsi="Times New Roman" w:eastAsia="宋体"/>
                <w:color w:val="auto"/>
                <w:sz w:val="22"/>
                <w:szCs w:val="24"/>
                <w:highlight w:val="none"/>
              </w:rPr>
              <w:t>䱗条等</w:t>
            </w:r>
          </w:p>
        </w:tc>
        <w:tc>
          <w:tcPr>
            <w:tcW w:w="717"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olor w:val="auto"/>
                <w:sz w:val="22"/>
                <w:szCs w:val="24"/>
                <w:highlight w:val="none"/>
              </w:rPr>
            </w:pPr>
            <w:r>
              <w:rPr>
                <w:rFonts w:hint="default" w:ascii="Times New Roman" w:hAnsi="Times New Roman" w:eastAsia="宋体"/>
                <w:color w:val="auto"/>
                <w:sz w:val="22"/>
                <w:szCs w:val="24"/>
                <w:highlight w:val="none"/>
              </w:rPr>
              <w:t>31</w:t>
            </w:r>
          </w:p>
        </w:tc>
      </w:tr>
    </w:tbl>
    <w:p>
      <w:pPr>
        <w:snapToGrid w:val="0"/>
        <w:spacing w:beforeLines="0" w:afterLines="0" w:line="240" w:lineRule="auto"/>
        <w:ind w:firstLine="520"/>
        <w:rPr>
          <w:rFonts w:hint="default" w:ascii="Times New Roman" w:hAnsi="Times New Roman" w:eastAsia="宋体"/>
          <w:color w:val="auto"/>
          <w:sz w:val="26"/>
          <w:szCs w:val="24"/>
          <w:highlight w:val="none"/>
        </w:rPr>
      </w:pPr>
    </w:p>
    <w:p>
      <w:pPr>
        <w:snapToGrid w:val="0"/>
        <w:spacing w:beforeLines="0" w:afterLines="0" w:line="480" w:lineRule="exact"/>
        <w:ind w:firstLine="520"/>
        <w:rPr>
          <w:rFonts w:hint="default" w:ascii="Times New Roman" w:hAnsi="Times New Roman" w:eastAsia="宋体"/>
          <w:color w:val="auto"/>
          <w:sz w:val="26"/>
          <w:szCs w:val="24"/>
          <w:highlight w:val="none"/>
        </w:rPr>
      </w:pPr>
      <w:r>
        <w:rPr>
          <w:rFonts w:hint="eastAsia" w:ascii="Times New Roman" w:hAnsi="Times New Roman" w:eastAsia="宋体"/>
          <w:color w:val="auto"/>
          <w:sz w:val="26"/>
          <w:szCs w:val="24"/>
          <w:highlight w:val="none"/>
        </w:rPr>
        <w:t>由此可知，涪江干流进行</w:t>
      </w:r>
      <w:r>
        <w:rPr>
          <w:rFonts w:hint="eastAsia" w:ascii="Times New Roman" w:hAnsi="Times New Roman" w:eastAsia="宋体"/>
          <w:color w:val="auto"/>
          <w:sz w:val="26"/>
          <w:szCs w:val="24"/>
          <w:highlight w:val="none"/>
          <w:lang w:val="en-US" w:eastAsia="zh-CN"/>
        </w:rPr>
        <w:t>梯级</w:t>
      </w:r>
      <w:r>
        <w:rPr>
          <w:rFonts w:hint="eastAsia" w:ascii="Times New Roman" w:hAnsi="Times New Roman" w:eastAsia="宋体"/>
          <w:color w:val="auto"/>
          <w:sz w:val="26"/>
          <w:szCs w:val="24"/>
          <w:highlight w:val="none"/>
        </w:rPr>
        <w:t>开发后，各类型的鱼类资源都发生了</w:t>
      </w:r>
      <w:r>
        <w:rPr>
          <w:rFonts w:hint="eastAsia"/>
          <w:color w:val="auto"/>
          <w:sz w:val="26"/>
          <w:szCs w:val="24"/>
          <w:highlight w:val="none"/>
          <w:lang w:val="en-US" w:eastAsia="zh-CN"/>
        </w:rPr>
        <w:t>较为</w:t>
      </w:r>
      <w:r>
        <w:rPr>
          <w:rFonts w:hint="eastAsia" w:ascii="Times New Roman" w:hAnsi="Times New Roman" w:eastAsia="宋体"/>
          <w:color w:val="auto"/>
          <w:sz w:val="26"/>
          <w:szCs w:val="24"/>
          <w:highlight w:val="none"/>
        </w:rPr>
        <w:t>明显的变化，数量和种类都</w:t>
      </w:r>
      <w:r>
        <w:rPr>
          <w:rFonts w:hint="eastAsia"/>
          <w:color w:val="auto"/>
          <w:sz w:val="26"/>
          <w:szCs w:val="24"/>
          <w:highlight w:val="none"/>
          <w:lang w:val="en-US" w:eastAsia="zh-CN"/>
        </w:rPr>
        <w:t>有所</w:t>
      </w:r>
      <w:r>
        <w:rPr>
          <w:rFonts w:hint="eastAsia" w:ascii="Times New Roman" w:hAnsi="Times New Roman" w:eastAsia="宋体"/>
          <w:color w:val="auto"/>
          <w:sz w:val="26"/>
          <w:szCs w:val="24"/>
          <w:highlight w:val="none"/>
        </w:rPr>
        <w:t>减少。</w:t>
      </w:r>
    </w:p>
    <w:p>
      <w:pPr>
        <w:spacing w:beforeLines="0" w:afterLines="0" w:line="480" w:lineRule="exact"/>
        <w:ind w:firstLine="522"/>
        <w:rPr>
          <w:rFonts w:hint="default" w:ascii="Times New Roman" w:hAnsi="Times New Roman" w:eastAsia="宋体"/>
          <w:b/>
          <w:color w:val="auto"/>
          <w:sz w:val="26"/>
          <w:szCs w:val="24"/>
          <w:highlight w:val="none"/>
        </w:rPr>
      </w:pPr>
      <w:r>
        <w:rPr>
          <w:rFonts w:hint="default" w:ascii="Times New Roman" w:hAnsi="Times New Roman" w:eastAsia="宋体"/>
          <w:b/>
          <w:color w:val="auto"/>
          <w:sz w:val="26"/>
          <w:szCs w:val="24"/>
          <w:highlight w:val="none"/>
        </w:rPr>
        <w:t>C.</w:t>
      </w:r>
      <w:r>
        <w:rPr>
          <w:rFonts w:hint="eastAsia" w:ascii="Times New Roman" w:hAnsi="Times New Roman" w:eastAsia="宋体"/>
          <w:b/>
          <w:color w:val="auto"/>
          <w:sz w:val="26"/>
          <w:szCs w:val="24"/>
          <w:highlight w:val="none"/>
        </w:rPr>
        <w:t>繁殖类群变化</w:t>
      </w:r>
    </w:p>
    <w:p>
      <w:pPr>
        <w:spacing w:beforeLines="0" w:afterLines="0" w:line="480" w:lineRule="exact"/>
        <w:ind w:firstLine="520"/>
        <w:rPr>
          <w:rFonts w:hint="default" w:ascii="Times New Roman" w:hAnsi="Times New Roman" w:eastAsia="宋体"/>
          <w:color w:val="auto"/>
          <w:sz w:val="26"/>
          <w:szCs w:val="24"/>
          <w:highlight w:val="none"/>
        </w:rPr>
      </w:pPr>
      <w:r>
        <w:rPr>
          <w:rFonts w:hint="eastAsia" w:ascii="Times New Roman" w:hAnsi="Times New Roman" w:eastAsia="宋体"/>
          <w:color w:val="auto"/>
          <w:sz w:val="26"/>
          <w:szCs w:val="24"/>
          <w:highlight w:val="none"/>
        </w:rPr>
        <w:t>对于产漂流性卵的鱼类，</w:t>
      </w:r>
      <w:r>
        <w:rPr>
          <w:rFonts w:hint="eastAsia" w:ascii="Times New Roman" w:hAnsi="Times New Roman" w:eastAsia="宋体"/>
          <w:color w:val="auto"/>
          <w:sz w:val="26"/>
          <w:szCs w:val="24"/>
          <w:highlight w:val="none"/>
          <w:lang w:eastAsia="zh-CN"/>
        </w:rPr>
        <w:t>在</w:t>
      </w:r>
      <w:r>
        <w:rPr>
          <w:rFonts w:hint="eastAsia" w:ascii="Times New Roman" w:hAnsi="Times New Roman" w:eastAsia="宋体"/>
          <w:color w:val="auto"/>
          <w:sz w:val="26"/>
          <w:szCs w:val="24"/>
          <w:highlight w:val="none"/>
          <w:lang w:val="en-US" w:eastAsia="zh-CN"/>
        </w:rPr>
        <w:t>渭沱电站和其他梯级库区形成后</w:t>
      </w:r>
      <w:r>
        <w:rPr>
          <w:rFonts w:hint="eastAsia" w:ascii="Times New Roman" w:hAnsi="Times New Roman" w:eastAsia="宋体"/>
          <w:color w:val="auto"/>
          <w:sz w:val="26"/>
          <w:szCs w:val="24"/>
          <w:highlight w:val="none"/>
        </w:rPr>
        <w:t>流水变缓，上游所产的卵没有足够的距离进行漂流发育，增加它们的早期死亡率。涪江流域产漂流性卵的大型鱼类极少，产漂流性卵的四大家鱼除草鱼外，在涪江干流</w:t>
      </w:r>
      <w:r>
        <w:rPr>
          <w:rFonts w:hint="eastAsia"/>
          <w:color w:val="auto"/>
          <w:sz w:val="26"/>
          <w:szCs w:val="24"/>
          <w:highlight w:val="none"/>
          <w:lang w:val="en-US" w:eastAsia="zh-CN"/>
        </w:rPr>
        <w:t>较</w:t>
      </w:r>
      <w:r>
        <w:rPr>
          <w:rFonts w:hint="eastAsia" w:ascii="Times New Roman" w:hAnsi="Times New Roman" w:eastAsia="宋体"/>
          <w:color w:val="auto"/>
          <w:sz w:val="26"/>
          <w:szCs w:val="24"/>
          <w:highlight w:val="none"/>
        </w:rPr>
        <w:t>为罕见。</w:t>
      </w:r>
    </w:p>
    <w:p>
      <w:pPr>
        <w:spacing w:beforeLines="0" w:afterLines="0" w:line="480" w:lineRule="exact"/>
        <w:ind w:firstLine="520"/>
        <w:rPr>
          <w:rFonts w:hint="default" w:ascii="Times New Roman" w:hAnsi="Times New Roman" w:eastAsia="宋体"/>
          <w:color w:val="auto"/>
          <w:sz w:val="26"/>
          <w:szCs w:val="24"/>
          <w:highlight w:val="none"/>
        </w:rPr>
      </w:pPr>
      <w:r>
        <w:rPr>
          <w:rFonts w:hint="eastAsia" w:ascii="Times New Roman" w:hAnsi="Times New Roman" w:eastAsia="宋体"/>
          <w:color w:val="auto"/>
          <w:sz w:val="26"/>
          <w:szCs w:val="24"/>
          <w:highlight w:val="none"/>
        </w:rPr>
        <w:t>涪江江段鱼类产卵行为与该江段水域环境状况密切相关。草、鲢、鳙等产漂流性卵的鱼卵需要较长的漂流距离，才能完成胚胎发育，而涪江江段鱼卵长距离漂流的环境条件已不存在，上述几种鱼类的资源补充以人工养殖水体逃逸个体和人工增殖放流为主。现流域内以产浮性卵类群和产</w:t>
      </w:r>
      <w:r>
        <w:rPr>
          <w:rFonts w:hint="eastAsia" w:ascii="Times New Roman" w:hAnsi="Times New Roman" w:eastAsia="宋体"/>
          <w:color w:val="auto"/>
          <w:sz w:val="26"/>
          <w:szCs w:val="24"/>
          <w:highlight w:val="none"/>
          <w:shd w:val="clear" w:fill="FFFFFF"/>
        </w:rPr>
        <w:t>弱粘性</w:t>
      </w:r>
      <w:r>
        <w:rPr>
          <w:rFonts w:hint="eastAsia" w:ascii="Times New Roman" w:hAnsi="Times New Roman" w:eastAsia="宋体"/>
          <w:color w:val="auto"/>
          <w:sz w:val="26"/>
          <w:szCs w:val="24"/>
          <w:highlight w:val="none"/>
        </w:rPr>
        <w:t>卵类为主。</w:t>
      </w:r>
    </w:p>
    <w:p>
      <w:pPr>
        <w:spacing w:beforeLines="0" w:afterLines="0" w:line="480" w:lineRule="exact"/>
        <w:ind w:firstLine="522"/>
        <w:rPr>
          <w:rFonts w:hint="default" w:ascii="Times New Roman" w:hAnsi="Times New Roman" w:eastAsia="宋体"/>
          <w:b/>
          <w:color w:val="auto"/>
          <w:sz w:val="26"/>
          <w:szCs w:val="24"/>
          <w:highlight w:val="none"/>
        </w:rPr>
      </w:pPr>
      <w:r>
        <w:rPr>
          <w:rFonts w:hint="default" w:ascii="Times New Roman" w:hAnsi="Times New Roman" w:eastAsia="宋体"/>
          <w:b/>
          <w:color w:val="auto"/>
          <w:sz w:val="26"/>
          <w:szCs w:val="24"/>
          <w:highlight w:val="none"/>
        </w:rPr>
        <w:t>D.</w:t>
      </w:r>
      <w:r>
        <w:rPr>
          <w:rFonts w:hint="eastAsia" w:ascii="Times New Roman" w:hAnsi="Times New Roman" w:eastAsia="宋体"/>
          <w:b/>
          <w:color w:val="auto"/>
          <w:sz w:val="26"/>
          <w:szCs w:val="24"/>
          <w:highlight w:val="none"/>
        </w:rPr>
        <w:t>珍稀水生动物</w:t>
      </w:r>
    </w:p>
    <w:p>
      <w:pPr>
        <w:spacing w:beforeLines="0" w:afterLines="0" w:line="480" w:lineRule="exact"/>
        <w:ind w:firstLine="520"/>
        <w:rPr>
          <w:rFonts w:hint="default" w:ascii="Times New Roman" w:hAnsi="Times New Roman" w:eastAsia="宋体"/>
          <w:color w:val="auto"/>
          <w:sz w:val="26"/>
          <w:szCs w:val="24"/>
          <w:highlight w:val="none"/>
        </w:rPr>
      </w:pPr>
      <w:r>
        <w:rPr>
          <w:rFonts w:hint="eastAsia" w:ascii="Times New Roman" w:hAnsi="Times New Roman" w:eastAsia="宋体"/>
          <w:color w:val="auto"/>
          <w:sz w:val="26"/>
          <w:szCs w:val="24"/>
          <w:highlight w:val="none"/>
        </w:rPr>
        <w:t>根据</w:t>
      </w:r>
      <w:r>
        <w:rPr>
          <w:rFonts w:hint="eastAsia" w:ascii="Times New Roman" w:hAnsi="Times New Roman" w:eastAsia="宋体"/>
          <w:color w:val="auto"/>
          <w:sz w:val="26"/>
          <w:szCs w:val="24"/>
          <w:highlight w:val="none"/>
          <w:shd w:val="clear" w:fill="FFFFFF"/>
        </w:rPr>
        <w:t>上世纪</w:t>
      </w:r>
      <w:r>
        <w:rPr>
          <w:rFonts w:hint="eastAsia" w:ascii="Times New Roman" w:hAnsi="Times New Roman" w:eastAsia="宋体"/>
          <w:color w:val="auto"/>
          <w:sz w:val="26"/>
          <w:szCs w:val="24"/>
          <w:highlight w:val="none"/>
        </w:rPr>
        <w:t>70年代的《嘉陵江渔业资源调查报告》涪江流域曾采集到达氏鲟、胭脂鱼（大型淡水洄游性鱼类）、鳗鲡（江海洄游性鱼类，80年代数量已极少，现涪江早已不存在）等国家珍稀保护鱼类，这些鱼类在涪江并无繁殖场所，系由长江干流进入进行索饵的暂居性鱼类，</w:t>
      </w:r>
      <w:r>
        <w:rPr>
          <w:rFonts w:hint="eastAsia"/>
          <w:color w:val="auto"/>
          <w:sz w:val="26"/>
          <w:szCs w:val="24"/>
          <w:highlight w:val="none"/>
          <w:shd w:val="clear" w:fill="FFFFFF"/>
          <w:lang w:eastAsia="zh-CN"/>
        </w:rPr>
        <w:t>随着</w:t>
      </w:r>
      <w:r>
        <w:rPr>
          <w:rFonts w:hint="eastAsia" w:ascii="Times New Roman" w:hAnsi="Times New Roman" w:eastAsia="宋体"/>
          <w:color w:val="auto"/>
          <w:sz w:val="26"/>
          <w:szCs w:val="24"/>
          <w:highlight w:val="none"/>
        </w:rPr>
        <w:t>涪江水电工程的兴建，阻断了这些鱼类的洄游通道，自2004年以来的数次调查中均未发现这些鱼类的存在，也无珍稀鱼类误捕记录。</w:t>
      </w:r>
    </w:p>
    <w:p>
      <w:pPr>
        <w:spacing w:beforeLines="0" w:afterLines="0" w:line="480" w:lineRule="exact"/>
        <w:ind w:firstLine="520"/>
        <w:rPr>
          <w:rFonts w:hint="default" w:ascii="Times New Roman" w:hAnsi="Times New Roman" w:eastAsia="宋体"/>
          <w:color w:val="auto"/>
          <w:sz w:val="26"/>
          <w:szCs w:val="24"/>
          <w:highlight w:val="none"/>
        </w:rPr>
      </w:pPr>
      <w:r>
        <w:rPr>
          <w:rFonts w:hint="eastAsia" w:ascii="Times New Roman" w:hAnsi="Times New Roman" w:eastAsia="宋体"/>
          <w:color w:val="auto"/>
          <w:sz w:val="26"/>
          <w:szCs w:val="24"/>
          <w:highlight w:val="none"/>
        </w:rPr>
        <w:t>结合近几年历史资料以及《国家野生保护动物名录》（2021年修订），</w:t>
      </w:r>
      <w:r>
        <w:rPr>
          <w:rFonts w:hint="eastAsia" w:ascii="Times New Roman" w:hAnsi="Times New Roman" w:eastAsia="宋体"/>
          <w:color w:val="auto"/>
          <w:sz w:val="26"/>
          <w:szCs w:val="24"/>
          <w:highlight w:val="none"/>
          <w:lang w:val="en-US" w:eastAsia="zh-CN"/>
        </w:rPr>
        <w:t>渭沱电站库区及下游</w:t>
      </w:r>
      <w:r>
        <w:rPr>
          <w:rFonts w:hint="eastAsia" w:ascii="Times New Roman" w:hAnsi="Times New Roman" w:eastAsia="宋体"/>
          <w:color w:val="auto"/>
          <w:sz w:val="26"/>
          <w:szCs w:val="24"/>
          <w:highlight w:val="none"/>
        </w:rPr>
        <w:t>有国家保护鱼类</w:t>
      </w:r>
      <w:r>
        <w:rPr>
          <w:rFonts w:hint="eastAsia" w:ascii="Times New Roman" w:hAnsi="Times New Roman" w:eastAsia="宋体"/>
          <w:color w:val="auto"/>
          <w:sz w:val="26"/>
          <w:szCs w:val="24"/>
          <w:highlight w:val="none"/>
          <w:lang w:val="en-US" w:eastAsia="zh-CN"/>
        </w:rPr>
        <w:t>2</w:t>
      </w:r>
      <w:r>
        <w:rPr>
          <w:rFonts w:hint="eastAsia" w:ascii="Times New Roman" w:hAnsi="Times New Roman" w:eastAsia="宋体"/>
          <w:color w:val="auto"/>
          <w:sz w:val="26"/>
          <w:szCs w:val="24"/>
          <w:highlight w:val="none"/>
        </w:rPr>
        <w:t>种，分别是岩原鲤、胭脂鱼。</w:t>
      </w:r>
    </w:p>
    <w:p>
      <w:pPr>
        <w:spacing w:beforeLines="0" w:afterLines="0" w:line="480" w:lineRule="exact"/>
        <w:ind w:firstLine="522"/>
        <w:rPr>
          <w:rFonts w:hint="default" w:ascii="Times New Roman" w:hAnsi="Times New Roman" w:eastAsia="宋体"/>
          <w:color w:val="auto"/>
          <w:sz w:val="26"/>
          <w:szCs w:val="24"/>
          <w:highlight w:val="none"/>
        </w:rPr>
      </w:pPr>
      <w:r>
        <w:rPr>
          <w:rFonts w:hint="eastAsia" w:ascii="Times New Roman" w:hAnsi="Times New Roman" w:eastAsia="宋体"/>
          <w:b/>
          <w:color w:val="auto"/>
          <w:sz w:val="26"/>
          <w:szCs w:val="24"/>
          <w:highlight w:val="none"/>
        </w:rPr>
        <w:t>（</w:t>
      </w:r>
      <w:r>
        <w:rPr>
          <w:rFonts w:hint="eastAsia" w:ascii="Times New Roman" w:hAnsi="Times New Roman" w:eastAsia="宋体"/>
          <w:b/>
          <w:color w:val="auto"/>
          <w:sz w:val="26"/>
          <w:szCs w:val="24"/>
          <w:highlight w:val="none"/>
          <w:lang w:val="en-US" w:eastAsia="zh-CN"/>
        </w:rPr>
        <w:t>5</w:t>
      </w:r>
      <w:r>
        <w:rPr>
          <w:rFonts w:hint="eastAsia" w:ascii="Times New Roman" w:hAnsi="Times New Roman" w:eastAsia="宋体"/>
          <w:b/>
          <w:color w:val="auto"/>
          <w:sz w:val="26"/>
          <w:szCs w:val="24"/>
          <w:highlight w:val="none"/>
        </w:rPr>
        <w:t>）鱼类“三场”回顾性评价</w:t>
      </w:r>
    </w:p>
    <w:p>
      <w:pPr>
        <w:spacing w:beforeLines="0" w:afterLines="0" w:line="480" w:lineRule="exact"/>
        <w:ind w:firstLine="520"/>
        <w:rPr>
          <w:rFonts w:hint="default" w:ascii="Times New Roman" w:hAnsi="Times New Roman" w:eastAsia="宋体"/>
          <w:color w:val="auto"/>
          <w:sz w:val="26"/>
          <w:szCs w:val="24"/>
          <w:highlight w:val="none"/>
          <w:lang w:val="en-US" w:eastAsia="zh-CN"/>
        </w:rPr>
      </w:pPr>
      <w:r>
        <w:rPr>
          <w:rFonts w:hint="eastAsia" w:ascii="Times New Roman" w:hAnsi="Times New Roman" w:eastAsia="宋体"/>
          <w:color w:val="auto"/>
          <w:sz w:val="26"/>
          <w:szCs w:val="24"/>
          <w:highlight w:val="none"/>
        </w:rPr>
        <w:t>产卵场：受</w:t>
      </w:r>
      <w:r>
        <w:rPr>
          <w:rFonts w:hint="eastAsia" w:ascii="Times New Roman" w:hAnsi="Times New Roman" w:eastAsia="宋体"/>
          <w:color w:val="auto"/>
          <w:sz w:val="26"/>
          <w:szCs w:val="24"/>
          <w:highlight w:val="none"/>
          <w:lang w:val="en-US" w:eastAsia="zh-CN"/>
        </w:rPr>
        <w:t>渭沱电站</w:t>
      </w:r>
      <w:r>
        <w:rPr>
          <w:rFonts w:hint="eastAsia" w:ascii="Times New Roman" w:hAnsi="Times New Roman" w:eastAsia="宋体"/>
          <w:color w:val="auto"/>
          <w:sz w:val="26"/>
          <w:szCs w:val="24"/>
          <w:highlight w:val="none"/>
        </w:rPr>
        <w:t>建设影响，</w:t>
      </w:r>
      <w:r>
        <w:rPr>
          <w:rFonts w:hint="eastAsia" w:ascii="Times New Roman" w:hAnsi="Times New Roman" w:eastAsia="宋体"/>
          <w:color w:val="auto"/>
          <w:sz w:val="26"/>
          <w:szCs w:val="24"/>
          <w:highlight w:val="none"/>
          <w:lang w:val="en-US" w:eastAsia="zh-CN"/>
        </w:rPr>
        <w:t>电站坝址上游形成渭沱库区，</w:t>
      </w:r>
      <w:r>
        <w:rPr>
          <w:rFonts w:hint="eastAsia" w:ascii="Times New Roman" w:hAnsi="Times New Roman" w:eastAsia="宋体"/>
          <w:color w:val="auto"/>
          <w:sz w:val="26"/>
          <w:szCs w:val="24"/>
          <w:highlight w:val="none"/>
        </w:rPr>
        <w:t>流速变得平缓，导致了原有的漂流性产卵场部分丧失功能或完全丧失功能，也有</w:t>
      </w:r>
      <w:r>
        <w:rPr>
          <w:rFonts w:hint="eastAsia"/>
          <w:color w:val="auto"/>
          <w:sz w:val="26"/>
          <w:szCs w:val="24"/>
          <w:highlight w:val="none"/>
          <w:shd w:val="clear" w:fill="FFFFFF"/>
          <w:lang w:eastAsia="zh-CN"/>
        </w:rPr>
        <w:t>因</w:t>
      </w:r>
      <w:r>
        <w:rPr>
          <w:rFonts w:hint="eastAsia" w:ascii="Times New Roman" w:hAnsi="Times New Roman" w:eastAsia="宋体"/>
          <w:color w:val="auto"/>
          <w:sz w:val="26"/>
          <w:szCs w:val="24"/>
          <w:highlight w:val="none"/>
        </w:rPr>
        <w:t>处于减水河段而丧失功能的产卵场，也有因库区蓄水后产量上升的产卵场</w:t>
      </w:r>
      <w:r>
        <w:rPr>
          <w:rFonts w:hint="eastAsia" w:ascii="Times New Roman" w:hAnsi="Times New Roman" w:eastAsia="宋体"/>
          <w:color w:val="auto"/>
          <w:sz w:val="26"/>
          <w:szCs w:val="24"/>
          <w:highlight w:val="none"/>
          <w:lang w:val="zh-TW"/>
        </w:rPr>
        <w:t>。</w:t>
      </w:r>
      <w:r>
        <w:rPr>
          <w:rFonts w:hint="eastAsia" w:ascii="Times New Roman" w:hAnsi="Times New Roman" w:eastAsia="宋体"/>
          <w:color w:val="auto"/>
          <w:sz w:val="26"/>
          <w:szCs w:val="24"/>
          <w:highlight w:val="none"/>
          <w:lang w:val="en-US" w:eastAsia="zh-CN"/>
        </w:rPr>
        <w:t>根据</w:t>
      </w:r>
      <w:r>
        <w:rPr>
          <w:rFonts w:hint="eastAsia" w:ascii="Times New Roman" w:hAnsi="Times New Roman" w:eastAsia="宋体"/>
          <w:color w:val="auto"/>
          <w:sz w:val="26"/>
          <w:szCs w:val="24"/>
          <w:highlight w:val="none"/>
        </w:rPr>
        <w:t>历史资料</w:t>
      </w:r>
      <w:r>
        <w:rPr>
          <w:rFonts w:hint="eastAsia" w:ascii="Times New Roman" w:hAnsi="Times New Roman" w:eastAsia="宋体"/>
          <w:color w:val="auto"/>
          <w:sz w:val="26"/>
          <w:szCs w:val="24"/>
          <w:highlight w:val="none"/>
          <w:lang w:val="en-US" w:eastAsia="zh-CN"/>
        </w:rPr>
        <w:t>和调查资料</w:t>
      </w:r>
      <w:r>
        <w:rPr>
          <w:rFonts w:hint="eastAsia" w:ascii="Times New Roman" w:hAnsi="Times New Roman" w:eastAsia="宋体"/>
          <w:color w:val="auto"/>
          <w:sz w:val="26"/>
          <w:szCs w:val="24"/>
          <w:highlight w:val="none"/>
        </w:rPr>
        <w:t>，</w:t>
      </w:r>
      <w:r>
        <w:rPr>
          <w:rFonts w:hint="eastAsia" w:ascii="Times New Roman" w:hAnsi="Times New Roman" w:eastAsia="宋体"/>
          <w:color w:val="auto"/>
          <w:sz w:val="26"/>
          <w:szCs w:val="24"/>
          <w:highlight w:val="none"/>
          <w:lang w:val="en-US" w:eastAsia="zh-CN"/>
        </w:rPr>
        <w:t>目前渭沱库区分布产卵场1个，为安居电站坝下产卵场，渭沱坝址下游分布产卵场1个，为野土地产卵场，均为鲤、鲫、鲶等</w:t>
      </w:r>
      <w:r>
        <w:rPr>
          <w:rFonts w:hint="eastAsia" w:ascii="Times New Roman" w:hAnsi="Times New Roman" w:eastAsia="宋体"/>
          <w:color w:val="auto"/>
          <w:sz w:val="26"/>
          <w:szCs w:val="24"/>
          <w:highlight w:val="none"/>
          <w:shd w:val="clear" w:fill="FFFFFF"/>
          <w:lang w:val="en-US" w:eastAsia="zh-CN"/>
        </w:rPr>
        <w:t>粘</w:t>
      </w:r>
      <w:r>
        <w:rPr>
          <w:rFonts w:hint="eastAsia" w:ascii="Times New Roman" w:hAnsi="Times New Roman" w:eastAsia="宋体"/>
          <w:color w:val="auto"/>
          <w:sz w:val="26"/>
          <w:szCs w:val="24"/>
          <w:highlight w:val="none"/>
          <w:lang w:val="en-US" w:eastAsia="zh-CN"/>
        </w:rPr>
        <w:t>草性鱼类产卵场。</w:t>
      </w:r>
    </w:p>
    <w:p>
      <w:pPr>
        <w:spacing w:beforeLines="0" w:afterLines="0" w:line="480" w:lineRule="exact"/>
        <w:ind w:firstLine="520"/>
        <w:rPr>
          <w:rFonts w:hint="default" w:ascii="Times New Roman" w:hAnsi="Times New Roman" w:eastAsia="宋体"/>
          <w:color w:val="auto"/>
          <w:sz w:val="26"/>
          <w:szCs w:val="24"/>
          <w:highlight w:val="none"/>
        </w:rPr>
      </w:pPr>
      <w:r>
        <w:rPr>
          <w:rFonts w:hint="eastAsia" w:ascii="Times New Roman" w:hAnsi="Times New Roman" w:eastAsia="宋体"/>
          <w:color w:val="auto"/>
          <w:sz w:val="26"/>
          <w:szCs w:val="24"/>
          <w:highlight w:val="none"/>
        </w:rPr>
        <w:t>索饵场：适应缓流或静水环境索饵肥育的鱼类，往往在河流中的深潭、回水湾、深水缓流河槽和下游宽谷河段索饵肥育。</w:t>
      </w:r>
      <w:r>
        <w:rPr>
          <w:rFonts w:hint="eastAsia" w:ascii="Times New Roman" w:hAnsi="Times New Roman" w:eastAsia="宋体"/>
          <w:color w:val="auto"/>
          <w:sz w:val="26"/>
          <w:szCs w:val="24"/>
          <w:highlight w:val="none"/>
          <w:lang w:val="en-US" w:eastAsia="zh-CN"/>
        </w:rPr>
        <w:t>渭沱库区形成</w:t>
      </w:r>
      <w:r>
        <w:rPr>
          <w:rFonts w:hint="eastAsia" w:ascii="Times New Roman" w:hAnsi="Times New Roman" w:eastAsia="宋体"/>
          <w:color w:val="auto"/>
          <w:sz w:val="26"/>
          <w:szCs w:val="24"/>
          <w:highlight w:val="none"/>
        </w:rPr>
        <w:t>后，无疑为这些鱼类提供了空间大、饵料丰富的索饵场。如鲢、鳙、鲌类、鲤、鲫、棒花鱼等。而在流水中以底栖动物、着生藻类等为食的鱼类，由于库区形成后，饵料生物基础的结构演变成以浮游生物为主，流水生境大规模萎缩，其索饵场萎缩。根据现状调查和查阅历史资料，</w:t>
      </w:r>
      <w:r>
        <w:rPr>
          <w:rFonts w:hint="eastAsia" w:ascii="Times New Roman" w:hAnsi="Times New Roman" w:eastAsia="宋体"/>
          <w:color w:val="auto"/>
          <w:sz w:val="26"/>
          <w:szCs w:val="24"/>
          <w:highlight w:val="none"/>
          <w:lang w:val="en-US" w:eastAsia="zh-CN"/>
        </w:rPr>
        <w:t>渭沱库区内目前存在2处索饵场，分别为安居电站下游索饵场和白羊河口索饵场</w:t>
      </w:r>
      <w:r>
        <w:rPr>
          <w:rFonts w:hint="eastAsia" w:ascii="Times New Roman" w:hAnsi="Times New Roman" w:eastAsia="宋体"/>
          <w:color w:val="auto"/>
          <w:sz w:val="26"/>
          <w:szCs w:val="24"/>
          <w:highlight w:val="none"/>
        </w:rPr>
        <w:t>。</w:t>
      </w:r>
    </w:p>
    <w:p>
      <w:pPr>
        <w:spacing w:beforeLines="0" w:afterLines="0" w:line="480" w:lineRule="exact"/>
        <w:ind w:firstLine="520"/>
        <w:rPr>
          <w:rFonts w:hint="default" w:ascii="Times New Roman" w:hAnsi="Times New Roman" w:eastAsia="宋体"/>
          <w:b/>
          <w:color w:val="auto"/>
          <w:sz w:val="26"/>
          <w:szCs w:val="24"/>
          <w:highlight w:val="none"/>
        </w:rPr>
      </w:pPr>
      <w:r>
        <w:rPr>
          <w:rFonts w:hint="eastAsia" w:ascii="Times New Roman" w:hAnsi="Times New Roman" w:eastAsia="宋体"/>
          <w:color w:val="auto"/>
          <w:sz w:val="26"/>
          <w:szCs w:val="24"/>
          <w:highlight w:val="none"/>
        </w:rPr>
        <w:t>越冬场：随着</w:t>
      </w:r>
      <w:r>
        <w:rPr>
          <w:rFonts w:hint="eastAsia" w:ascii="Times New Roman" w:hAnsi="Times New Roman" w:eastAsia="宋体"/>
          <w:color w:val="auto"/>
          <w:sz w:val="26"/>
          <w:szCs w:val="24"/>
          <w:highlight w:val="none"/>
          <w:lang w:val="en-US" w:eastAsia="zh-CN"/>
        </w:rPr>
        <w:t>渭沱库区形成</w:t>
      </w:r>
      <w:r>
        <w:rPr>
          <w:rFonts w:hint="eastAsia" w:ascii="Times New Roman" w:hAnsi="Times New Roman" w:eastAsia="宋体"/>
          <w:color w:val="auto"/>
          <w:sz w:val="26"/>
          <w:szCs w:val="24"/>
          <w:highlight w:val="none"/>
        </w:rPr>
        <w:t>后，</w:t>
      </w:r>
      <w:r>
        <w:rPr>
          <w:rFonts w:hint="eastAsia" w:ascii="Times New Roman" w:hAnsi="Times New Roman" w:eastAsia="宋体"/>
          <w:color w:val="auto"/>
          <w:sz w:val="26"/>
          <w:szCs w:val="24"/>
          <w:highlight w:val="none"/>
          <w:lang w:val="en-US" w:eastAsia="zh-CN"/>
        </w:rPr>
        <w:t>坝前</w:t>
      </w:r>
      <w:r>
        <w:rPr>
          <w:rFonts w:hint="eastAsia" w:ascii="Times New Roman" w:hAnsi="Times New Roman" w:eastAsia="宋体"/>
          <w:color w:val="auto"/>
          <w:sz w:val="26"/>
          <w:szCs w:val="24"/>
          <w:highlight w:val="none"/>
        </w:rPr>
        <w:t>水流平缓，水面扩大，</w:t>
      </w:r>
      <w:r>
        <w:rPr>
          <w:rFonts w:hint="eastAsia" w:ascii="Times New Roman" w:hAnsi="Times New Roman" w:eastAsia="宋体"/>
          <w:color w:val="auto"/>
          <w:sz w:val="26"/>
          <w:szCs w:val="24"/>
          <w:highlight w:val="none"/>
          <w:lang w:val="en-US" w:eastAsia="zh-CN"/>
        </w:rPr>
        <w:t>水深变大，</w:t>
      </w:r>
      <w:r>
        <w:rPr>
          <w:rFonts w:hint="eastAsia" w:ascii="Times New Roman" w:hAnsi="Times New Roman" w:eastAsia="宋体"/>
          <w:color w:val="auto"/>
          <w:sz w:val="26"/>
          <w:szCs w:val="24"/>
          <w:highlight w:val="none"/>
        </w:rPr>
        <w:t>为鱼类越冬提供了理想的场所。根据现状调查和查阅历史资料，</w:t>
      </w:r>
      <w:r>
        <w:rPr>
          <w:rFonts w:hint="eastAsia" w:ascii="Times New Roman" w:hAnsi="Times New Roman" w:eastAsia="宋体"/>
          <w:color w:val="auto"/>
          <w:sz w:val="26"/>
          <w:szCs w:val="24"/>
          <w:highlight w:val="none"/>
          <w:lang w:val="en-US" w:eastAsia="zh-CN"/>
        </w:rPr>
        <w:t>渭沱库区内目前存在1处越冬场，分别为渭沱库区越冬场</w:t>
      </w:r>
      <w:r>
        <w:rPr>
          <w:rFonts w:hint="eastAsia" w:ascii="Times New Roman" w:hAnsi="Times New Roman" w:eastAsia="宋体"/>
          <w:color w:val="auto"/>
          <w:sz w:val="26"/>
          <w:szCs w:val="24"/>
          <w:highlight w:val="none"/>
        </w:rPr>
        <w:t>。</w:t>
      </w:r>
    </w:p>
    <w:p>
      <w:pPr>
        <w:bidi w:val="0"/>
        <w:rPr>
          <w:rFonts w:hint="eastAsia"/>
          <w:color w:val="auto"/>
          <w:highlight w:val="none"/>
          <w:lang w:eastAsia="zh-CN"/>
        </w:rPr>
      </w:pPr>
      <w:r>
        <w:rPr>
          <w:rFonts w:hint="eastAsia"/>
          <w:color w:val="auto"/>
          <w:kern w:val="0"/>
          <w:sz w:val="26"/>
          <w:szCs w:val="26"/>
          <w:highlight w:val="none"/>
          <w:lang w:val="en-US" w:eastAsia="zh-CN"/>
        </w:rPr>
        <w:t>洄游通道：渭沱电站和安居电站建设年限较早，至今运行30年余，后续也有多个梯级相继建设，完全阻断了长江干流及嘉陵江鱼类进入涪江繁殖、索饵的通道，鱼类洄游通道的功能已经消失。</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3 \* GB3 \* MERGEFORMAT </w:instrText>
      </w:r>
      <w:r>
        <w:rPr>
          <w:rFonts w:hint="eastAsia"/>
          <w:color w:val="auto"/>
          <w:highlight w:val="none"/>
          <w:lang w:eastAsia="zh-CN"/>
        </w:rPr>
        <w:fldChar w:fldCharType="separate"/>
      </w:r>
      <w:r>
        <w:rPr>
          <w:color w:val="auto"/>
          <w:highlight w:val="none"/>
        </w:rPr>
        <w:t>③</w:t>
      </w:r>
      <w:r>
        <w:rPr>
          <w:rFonts w:hint="eastAsia"/>
          <w:color w:val="auto"/>
          <w:highlight w:val="none"/>
          <w:lang w:eastAsia="zh-CN"/>
        </w:rPr>
        <w:fldChar w:fldCharType="end"/>
      </w:r>
      <w:r>
        <w:rPr>
          <w:rFonts w:hint="eastAsia"/>
          <w:color w:val="auto"/>
          <w:highlight w:val="none"/>
          <w:lang w:eastAsia="zh-CN"/>
        </w:rPr>
        <w:t>对生态敏感区的影响回顾</w:t>
      </w:r>
    </w:p>
    <w:p>
      <w:pPr>
        <w:bidi w:val="0"/>
        <w:rPr>
          <w:rFonts w:hint="eastAsia"/>
          <w:color w:val="auto"/>
          <w:highlight w:val="none"/>
          <w:lang w:eastAsia="zh-CN"/>
        </w:rPr>
      </w:pPr>
      <w:r>
        <w:rPr>
          <w:rFonts w:hint="eastAsia"/>
          <w:color w:val="auto"/>
          <w:highlight w:val="none"/>
          <w:lang w:eastAsia="zh-CN"/>
        </w:rPr>
        <w:t>根据调查，渭沱枢纽上游分布库区分布有</w:t>
      </w:r>
      <w:r>
        <w:rPr>
          <w:color w:val="auto"/>
          <w:highlight w:val="none"/>
          <w:lang w:val="zh-CN"/>
        </w:rPr>
        <w:t>重庆铜梁安居国家湿地公园</w:t>
      </w:r>
      <w:r>
        <w:rPr>
          <w:rFonts w:hint="eastAsia"/>
          <w:color w:val="auto"/>
          <w:highlight w:val="none"/>
          <w:lang w:eastAsia="zh-CN"/>
        </w:rPr>
        <w:t>，下游分布有重庆合川三江国家湿地公园。</w:t>
      </w:r>
    </w:p>
    <w:p>
      <w:pPr>
        <w:bidi w:val="0"/>
        <w:rPr>
          <w:rFonts w:hint="eastAsia"/>
          <w:color w:val="auto"/>
          <w:highlight w:val="none"/>
          <w:lang w:val="zh-CN"/>
        </w:rPr>
      </w:pPr>
      <w:r>
        <w:rPr>
          <w:color w:val="auto"/>
          <w:highlight w:val="none"/>
          <w:lang w:val="zh-CN"/>
        </w:rPr>
        <w:t>重庆铜梁安居国家湿地公园于2014年批准试点，渭沱</w:t>
      </w:r>
      <w:r>
        <w:rPr>
          <w:rFonts w:hint="eastAsia"/>
          <w:color w:val="auto"/>
          <w:highlight w:val="none"/>
          <w:lang w:val="zh-CN"/>
        </w:rPr>
        <w:t>枢纽于</w:t>
      </w:r>
      <w:r>
        <w:rPr>
          <w:color w:val="auto"/>
          <w:highlight w:val="none"/>
          <w:lang w:val="zh-CN"/>
        </w:rPr>
        <w:t>1988年开建，1992年建成投产，建设时间早于湿地公园建立时间。</w:t>
      </w:r>
      <w:r>
        <w:rPr>
          <w:rFonts w:hint="eastAsia"/>
          <w:color w:val="auto"/>
          <w:highlight w:val="none"/>
          <w:lang w:val="zh-CN"/>
        </w:rPr>
        <w:t>渭沱</w:t>
      </w:r>
      <w:r>
        <w:rPr>
          <w:color w:val="auto"/>
          <w:highlight w:val="none"/>
          <w:lang w:val="zh-CN"/>
        </w:rPr>
        <w:t>建成运行20多年后，区域生态环境已达到新的平衡，同时重庆铜梁安居国家湿地公园是在渭沱水电站（1988年开建，1992年建成投产</w:t>
      </w:r>
      <w:r>
        <w:rPr>
          <w:rFonts w:hint="eastAsia"/>
          <w:color w:val="auto"/>
          <w:highlight w:val="none"/>
          <w:shd w:val="clear" w:fill="FFFFFF"/>
          <w:lang w:val="zh-CN"/>
        </w:rPr>
        <w:t>）</w:t>
      </w:r>
      <w:r>
        <w:rPr>
          <w:color w:val="auto"/>
          <w:highlight w:val="none"/>
          <w:lang w:val="zh-CN"/>
        </w:rPr>
        <w:t>建成后形成的特殊水文条件下，由琼江河口、渭沱水电站库区形成的人工湿地，因此已建渭沱</w:t>
      </w:r>
      <w:r>
        <w:rPr>
          <w:rFonts w:hint="eastAsia"/>
          <w:color w:val="auto"/>
          <w:highlight w:val="none"/>
          <w:lang w:val="zh-CN"/>
        </w:rPr>
        <w:t>枢纽</w:t>
      </w:r>
      <w:r>
        <w:rPr>
          <w:color w:val="auto"/>
          <w:highlight w:val="none"/>
          <w:lang w:val="zh-CN"/>
        </w:rPr>
        <w:t>是重庆铜梁安居国家湿地公园湿地资源形成的前提</w:t>
      </w:r>
      <w:r>
        <w:rPr>
          <w:rFonts w:hint="eastAsia"/>
          <w:color w:val="auto"/>
          <w:highlight w:val="none"/>
          <w:lang w:val="zh-CN"/>
        </w:rPr>
        <w:t>。</w:t>
      </w:r>
      <w:r>
        <w:rPr>
          <w:rFonts w:hint="eastAsia" w:ascii="Times New Roman" w:hAnsi="Times New Roman"/>
          <w:color w:val="auto"/>
          <w:sz w:val="26"/>
          <w:szCs w:val="26"/>
          <w:highlight w:val="none"/>
        </w:rPr>
        <w:t>渭沱枢纽</w:t>
      </w:r>
      <w:r>
        <w:rPr>
          <w:rFonts w:hint="eastAsia"/>
          <w:color w:val="auto"/>
          <w:sz w:val="26"/>
          <w:szCs w:val="26"/>
          <w:highlight w:val="none"/>
          <w:lang w:eastAsia="zh-CN"/>
        </w:rPr>
        <w:t>为</w:t>
      </w:r>
      <w:r>
        <w:rPr>
          <w:rFonts w:hint="eastAsia" w:ascii="Times New Roman" w:hAnsi="Times New Roman"/>
          <w:color w:val="auto"/>
          <w:sz w:val="26"/>
          <w:szCs w:val="26"/>
          <w:highlight w:val="none"/>
        </w:rPr>
        <w:t>径流式电站，对上游来水流量基本无调节能力</w:t>
      </w:r>
      <w:r>
        <w:rPr>
          <w:rFonts w:hint="eastAsia"/>
          <w:color w:val="auto"/>
          <w:sz w:val="26"/>
          <w:szCs w:val="26"/>
          <w:highlight w:val="none"/>
          <w:lang w:eastAsia="zh-CN"/>
        </w:rPr>
        <w:t>，</w:t>
      </w:r>
      <w:r>
        <w:rPr>
          <w:rFonts w:hint="eastAsia"/>
          <w:color w:val="auto"/>
          <w:highlight w:val="none"/>
          <w:lang w:val="zh-CN"/>
        </w:rPr>
        <w:t>项目正常运行过程中，库区水位变化不大，对安居国家湿地公园</w:t>
      </w:r>
      <w:r>
        <w:rPr>
          <w:rFonts w:hint="eastAsia"/>
          <w:color w:val="auto"/>
          <w:highlight w:val="none"/>
          <w:lang w:val="en-US" w:eastAsia="zh-CN"/>
        </w:rPr>
        <w:t>未</w:t>
      </w:r>
      <w:r>
        <w:rPr>
          <w:rFonts w:hint="eastAsia"/>
          <w:color w:val="auto"/>
          <w:highlight w:val="none"/>
          <w:lang w:val="zh-CN"/>
        </w:rPr>
        <w:t>造成较大影响</w:t>
      </w:r>
      <w:r>
        <w:rPr>
          <w:color w:val="auto"/>
          <w:highlight w:val="none"/>
        </w:rPr>
        <w:t>。</w:t>
      </w:r>
    </w:p>
    <w:p>
      <w:pPr>
        <w:bidi w:val="0"/>
        <w:rPr>
          <w:rFonts w:hint="eastAsia"/>
          <w:color w:val="auto"/>
          <w:highlight w:val="none"/>
          <w:lang w:eastAsia="zh-CN"/>
        </w:rPr>
      </w:pPr>
      <w:r>
        <w:rPr>
          <w:color w:val="auto"/>
          <w:highlight w:val="none"/>
          <w:lang w:val="zh-CN"/>
        </w:rPr>
        <w:t>重庆合川三江国家湿地公园</w:t>
      </w:r>
      <w:r>
        <w:rPr>
          <w:rFonts w:hint="eastAsia"/>
          <w:color w:val="auto"/>
          <w:highlight w:val="none"/>
          <w:lang w:val="zh-CN"/>
        </w:rPr>
        <w:t>于</w:t>
      </w:r>
      <w:r>
        <w:rPr>
          <w:color w:val="auto"/>
          <w:highlight w:val="none"/>
          <w:lang w:val="zh-CN"/>
        </w:rPr>
        <w:t>2016年</w:t>
      </w:r>
      <w:r>
        <w:rPr>
          <w:rFonts w:hint="eastAsia"/>
          <w:color w:val="auto"/>
          <w:highlight w:val="none"/>
          <w:lang w:val="zh-CN"/>
        </w:rPr>
        <w:t>批准建设</w:t>
      </w:r>
      <w:r>
        <w:rPr>
          <w:color w:val="auto"/>
          <w:highlight w:val="none"/>
          <w:lang w:val="zh-CN"/>
        </w:rPr>
        <w:t>，渭沱电站工程建设早于湿地公园成立时间，其在施工期对湿地公园无影响。已建渭沱电站工程坝址为重庆合川三江国家湿地公园</w:t>
      </w:r>
      <w:r>
        <w:rPr>
          <w:rFonts w:hint="eastAsia"/>
          <w:color w:val="auto"/>
          <w:highlight w:val="none"/>
          <w:lang w:val="en-US" w:eastAsia="zh-CN"/>
        </w:rPr>
        <w:t>上游</w:t>
      </w:r>
      <w:r>
        <w:rPr>
          <w:color w:val="auto"/>
          <w:highlight w:val="none"/>
          <w:lang w:val="zh-CN"/>
        </w:rPr>
        <w:t>边界，坝下即为湿地公园范围，</w:t>
      </w:r>
      <w:r>
        <w:rPr>
          <w:rFonts w:hint="eastAsia"/>
          <w:color w:val="auto"/>
          <w:highlight w:val="none"/>
          <w:lang w:val="zh-CN"/>
        </w:rPr>
        <w:t>尾水渠、船闸位于湿地公园内。渭沱枢纽无调节功能，坝址下游与草街枢纽尾水相衔接，不会造成湿地公园水源截断</w:t>
      </w:r>
      <w:r>
        <w:rPr>
          <w:color w:val="auto"/>
          <w:highlight w:val="none"/>
          <w:lang w:val="zh-CN"/>
        </w:rPr>
        <w:t>，结合现场调查，渭沱水电站经过20多年运行，区域生态环境已达到稳定</w:t>
      </w:r>
      <w:r>
        <w:rPr>
          <w:rFonts w:hint="eastAsia"/>
          <w:color w:val="auto"/>
          <w:highlight w:val="none"/>
          <w:lang w:val="zh-CN"/>
        </w:rPr>
        <w:t>，</w:t>
      </w:r>
      <w:r>
        <w:rPr>
          <w:color w:val="auto"/>
          <w:highlight w:val="none"/>
          <w:lang w:val="zh-CN"/>
        </w:rPr>
        <w:t>渭沱</w:t>
      </w:r>
      <w:r>
        <w:rPr>
          <w:rFonts w:hint="eastAsia"/>
          <w:color w:val="auto"/>
          <w:highlight w:val="none"/>
          <w:lang w:val="zh-CN"/>
        </w:rPr>
        <w:t>枢纽运行</w:t>
      </w:r>
      <w:r>
        <w:rPr>
          <w:color w:val="auto"/>
          <w:highlight w:val="none"/>
          <w:lang w:val="zh-CN"/>
        </w:rPr>
        <w:t>对湿地公园基本无影响。</w:t>
      </w:r>
    </w:p>
    <w:p>
      <w:pPr>
        <w:pStyle w:val="5"/>
        <w:ind w:firstLine="522"/>
        <w:rPr>
          <w:color w:val="auto"/>
          <w:highlight w:val="none"/>
        </w:rPr>
      </w:pPr>
      <w:r>
        <w:rPr>
          <w:rFonts w:hint="eastAsia"/>
          <w:color w:val="auto"/>
          <w:highlight w:val="none"/>
        </w:rPr>
        <w:t>现状存在的环境问题</w:t>
      </w:r>
    </w:p>
    <w:p>
      <w:pPr>
        <w:ind w:firstLine="520"/>
        <w:rPr>
          <w:rFonts w:hint="eastAsia"/>
          <w:color w:val="auto"/>
          <w:highlight w:val="none"/>
          <w:lang w:eastAsia="zh-CN"/>
        </w:rPr>
      </w:pPr>
      <w:r>
        <w:rPr>
          <w:rFonts w:hint="eastAsia"/>
          <w:color w:val="auto"/>
          <w:highlight w:val="none"/>
          <w:lang w:eastAsia="zh-CN"/>
        </w:rPr>
        <w:t>渭沱枢纽已建成运行多年，运营期污染物产生量较少，较好</w:t>
      </w:r>
      <w:r>
        <w:rPr>
          <w:rFonts w:hint="eastAsia"/>
          <w:color w:val="auto"/>
          <w:highlight w:val="none"/>
          <w:shd w:val="clear" w:fill="FFFFFF"/>
          <w:lang w:eastAsia="zh-CN"/>
        </w:rPr>
        <w:t>地</w:t>
      </w:r>
      <w:r>
        <w:rPr>
          <w:rFonts w:hint="eastAsia"/>
          <w:color w:val="auto"/>
          <w:highlight w:val="none"/>
          <w:lang w:eastAsia="zh-CN"/>
        </w:rPr>
        <w:t>落实了各项生态恢复、污染防治措施。但由于尚无过鱼设施，导致产漂流性卵鱼类</w:t>
      </w:r>
      <w:r>
        <w:rPr>
          <w:rFonts w:hint="eastAsia"/>
          <w:color w:val="auto"/>
          <w:highlight w:val="none"/>
          <w:shd w:val="clear" w:fill="FFFFFF"/>
          <w:lang w:eastAsia="zh-CN"/>
        </w:rPr>
        <w:t>及</w:t>
      </w:r>
      <w:r>
        <w:rPr>
          <w:rFonts w:hint="eastAsia"/>
          <w:color w:val="auto"/>
          <w:highlight w:val="none"/>
          <w:lang w:eastAsia="zh-CN"/>
        </w:rPr>
        <w:t>浅滩激流产卵鱼类受到较大影响，鱼类洄游通道明显阻隔，本次通过新建鱼道工程可使上述环境影响得到一定的缓解。</w:t>
      </w:r>
    </w:p>
    <w:p>
      <w:pPr>
        <w:pStyle w:val="5"/>
        <w:rPr>
          <w:rFonts w:hint="eastAsia"/>
          <w:color w:val="auto"/>
          <w:highlight w:val="none"/>
          <w:lang w:eastAsia="zh-CN"/>
        </w:rPr>
      </w:pPr>
      <w:r>
        <w:rPr>
          <w:rFonts w:hint="eastAsia"/>
          <w:color w:val="auto"/>
          <w:highlight w:val="none"/>
          <w:lang w:eastAsia="zh-CN"/>
        </w:rPr>
        <w:t>拟建船闸与现有枢纽关系</w:t>
      </w:r>
    </w:p>
    <w:p>
      <w:pPr>
        <w:rPr>
          <w:rFonts w:hint="default" w:eastAsia="宋体"/>
          <w:color w:val="auto"/>
          <w:highlight w:val="none"/>
          <w:lang w:val="en-US" w:eastAsia="zh-CN"/>
        </w:rPr>
      </w:pPr>
      <w:r>
        <w:rPr>
          <w:rFonts w:hint="eastAsia"/>
          <w:color w:val="auto"/>
          <w:kern w:val="0"/>
          <w:szCs w:val="26"/>
          <w:highlight w:val="none"/>
          <w:lang w:eastAsia="zh-CN"/>
        </w:rPr>
        <w:t>本次</w:t>
      </w:r>
      <w:r>
        <w:rPr>
          <w:color w:val="auto"/>
          <w:kern w:val="0"/>
          <w:szCs w:val="26"/>
          <w:highlight w:val="none"/>
        </w:rPr>
        <w:t>在</w:t>
      </w:r>
      <w:r>
        <w:rPr>
          <w:rFonts w:hint="eastAsia"/>
          <w:color w:val="auto"/>
          <w:kern w:val="0"/>
          <w:szCs w:val="26"/>
          <w:highlight w:val="none"/>
          <w:lang w:eastAsia="zh-CN"/>
        </w:rPr>
        <w:t>渭沱枢纽</w:t>
      </w:r>
      <w:r>
        <w:rPr>
          <w:color w:val="auto"/>
          <w:kern w:val="0"/>
          <w:szCs w:val="26"/>
          <w:highlight w:val="none"/>
        </w:rPr>
        <w:t>既有船闸右侧新建船闸1座，</w:t>
      </w:r>
      <w:r>
        <w:rPr>
          <w:rFonts w:hint="eastAsia"/>
          <w:color w:val="auto"/>
          <w:kern w:val="0"/>
          <w:szCs w:val="26"/>
          <w:highlight w:val="none"/>
          <w:lang w:eastAsia="zh-CN"/>
        </w:rPr>
        <w:t>对枢纽现有电厂管理区（含公用工程、环保工程等）、</w:t>
      </w:r>
      <w:r>
        <w:rPr>
          <w:rFonts w:hint="eastAsia"/>
          <w:color w:val="auto"/>
          <w:kern w:val="0"/>
          <w:szCs w:val="26"/>
          <w:highlight w:val="none"/>
          <w:lang w:val="en-US" w:eastAsia="zh-CN"/>
        </w:rPr>
        <w:t>35kV升压站进行拆除后重建，对现有船闸改造成鱼道，不改变枢纽挡水构筑物、引水构筑物、发电厂房。项目建成后，不改变渭沱枢纽</w:t>
      </w:r>
      <w:r>
        <w:rPr>
          <w:rFonts w:hint="eastAsia"/>
          <w:color w:val="auto"/>
          <w:kern w:val="0"/>
          <w:szCs w:val="26"/>
          <w:highlight w:val="none"/>
          <w:lang w:eastAsia="zh-CN"/>
        </w:rPr>
        <w:t>调度运行方式及工程特性，不改变装机规模。</w:t>
      </w:r>
    </w:p>
    <w:p>
      <w:pPr>
        <w:pStyle w:val="4"/>
        <w:rPr>
          <w:color w:val="auto"/>
          <w:highlight w:val="none"/>
        </w:rPr>
      </w:pPr>
      <w:bookmarkStart w:id="72" w:name="_Toc12617"/>
      <w:r>
        <w:rPr>
          <w:rFonts w:hint="eastAsia"/>
          <w:color w:val="auto"/>
          <w:highlight w:val="none"/>
        </w:rPr>
        <w:t>拟建项目</w:t>
      </w:r>
      <w:r>
        <w:rPr>
          <w:color w:val="auto"/>
          <w:highlight w:val="none"/>
        </w:rPr>
        <w:t>概况</w:t>
      </w:r>
      <w:bookmarkEnd w:id="72"/>
    </w:p>
    <w:p>
      <w:pPr>
        <w:pStyle w:val="5"/>
        <w:ind w:firstLine="522"/>
        <w:rPr>
          <w:color w:val="auto"/>
          <w:highlight w:val="none"/>
        </w:rPr>
      </w:pPr>
      <w:r>
        <w:rPr>
          <w:rFonts w:hint="eastAsia"/>
          <w:color w:val="auto"/>
          <w:highlight w:val="none"/>
        </w:rPr>
        <w:t>项目基本</w:t>
      </w:r>
      <w:r>
        <w:rPr>
          <w:color w:val="auto"/>
          <w:highlight w:val="none"/>
        </w:rPr>
        <w:t>情况</w:t>
      </w:r>
    </w:p>
    <w:p>
      <w:pPr>
        <w:ind w:firstLine="520"/>
        <w:rPr>
          <w:color w:val="auto"/>
          <w:kern w:val="44"/>
          <w:highlight w:val="none"/>
        </w:rPr>
      </w:pPr>
      <w:r>
        <w:rPr>
          <w:rFonts w:hint="eastAsia"/>
          <w:color w:val="auto"/>
          <w:kern w:val="44"/>
          <w:highlight w:val="none"/>
        </w:rPr>
        <w:t>项目名称：涪江干流渭沱电厂船闸扩能升级改造工程</w:t>
      </w:r>
    </w:p>
    <w:p>
      <w:pPr>
        <w:ind w:firstLine="520"/>
        <w:rPr>
          <w:color w:val="auto"/>
          <w:kern w:val="44"/>
          <w:highlight w:val="none"/>
        </w:rPr>
      </w:pPr>
      <w:r>
        <w:rPr>
          <w:rFonts w:hint="eastAsia"/>
          <w:color w:val="auto"/>
          <w:kern w:val="44"/>
          <w:highlight w:val="none"/>
        </w:rPr>
        <w:t>建设单位：重庆航运建设发展（集团）有限公司</w:t>
      </w:r>
    </w:p>
    <w:p>
      <w:pPr>
        <w:ind w:firstLine="520"/>
        <w:rPr>
          <w:color w:val="auto"/>
          <w:kern w:val="44"/>
          <w:highlight w:val="none"/>
        </w:rPr>
      </w:pPr>
      <w:r>
        <w:rPr>
          <w:rFonts w:hint="eastAsia"/>
          <w:color w:val="auto"/>
          <w:kern w:val="44"/>
          <w:highlight w:val="none"/>
        </w:rPr>
        <w:t>建设性质：改扩建</w:t>
      </w:r>
    </w:p>
    <w:p>
      <w:pPr>
        <w:ind w:firstLine="520"/>
        <w:rPr>
          <w:rFonts w:hint="eastAsia" w:eastAsia="宋体"/>
          <w:color w:val="auto"/>
          <w:kern w:val="44"/>
          <w:highlight w:val="none"/>
          <w:lang w:eastAsia="zh-CN"/>
        </w:rPr>
      </w:pPr>
      <w:r>
        <w:rPr>
          <w:rFonts w:hint="eastAsia"/>
          <w:color w:val="auto"/>
          <w:kern w:val="44"/>
          <w:highlight w:val="none"/>
        </w:rPr>
        <w:t>建设地点：重庆市合川区铜溪镇</w:t>
      </w:r>
      <w:r>
        <w:rPr>
          <w:rFonts w:hint="eastAsia"/>
          <w:color w:val="auto"/>
          <w:kern w:val="44"/>
          <w:highlight w:val="none"/>
          <w:lang w:eastAsia="zh-CN"/>
        </w:rPr>
        <w:t>、渭沱镇</w:t>
      </w:r>
    </w:p>
    <w:p>
      <w:pPr>
        <w:ind w:firstLine="520"/>
        <w:rPr>
          <w:rFonts w:hint="eastAsia"/>
          <w:color w:val="auto"/>
          <w:kern w:val="44"/>
          <w:highlight w:val="none"/>
        </w:rPr>
      </w:pPr>
      <w:r>
        <w:rPr>
          <w:rFonts w:hint="eastAsia"/>
          <w:color w:val="auto"/>
          <w:kern w:val="44"/>
          <w:highlight w:val="none"/>
        </w:rPr>
        <w:t>建设内容及规模：</w:t>
      </w:r>
      <w:r>
        <w:rPr>
          <w:color w:val="auto"/>
          <w:kern w:val="0"/>
          <w:szCs w:val="26"/>
          <w:highlight w:val="none"/>
        </w:rPr>
        <w:t>在既有船闸右侧新建船闸1座，配套建设公用工程、过鱼设施等，迁建原枢纽电厂配套设施。船闸采用内河Ⅲ级标准建设，有效尺度</w:t>
      </w:r>
      <w:bookmarkStart w:id="73" w:name="OLE_LINK14"/>
      <w:r>
        <w:rPr>
          <w:color w:val="auto"/>
          <w:kern w:val="0"/>
          <w:szCs w:val="26"/>
          <w:highlight w:val="none"/>
        </w:rPr>
        <w:t>190</w:t>
      </w:r>
      <w:r>
        <w:rPr>
          <w:color w:val="auto"/>
          <w:szCs w:val="26"/>
          <w:highlight w:val="none"/>
          <w:shd w:val="clear" w:color="auto" w:fill="FFFFFF"/>
        </w:rPr>
        <w:t>×</w:t>
      </w:r>
      <w:r>
        <w:rPr>
          <w:color w:val="auto"/>
          <w:kern w:val="0"/>
          <w:szCs w:val="26"/>
          <w:highlight w:val="none"/>
        </w:rPr>
        <w:t>23</w:t>
      </w:r>
      <w:r>
        <w:rPr>
          <w:color w:val="auto"/>
          <w:szCs w:val="26"/>
          <w:highlight w:val="none"/>
          <w:shd w:val="clear" w:color="auto" w:fill="FFFFFF"/>
        </w:rPr>
        <w:t>×</w:t>
      </w:r>
      <w:r>
        <w:rPr>
          <w:color w:val="auto"/>
          <w:kern w:val="0"/>
          <w:szCs w:val="26"/>
          <w:highlight w:val="none"/>
        </w:rPr>
        <w:t>4.2</w:t>
      </w:r>
      <w:bookmarkEnd w:id="73"/>
      <w:r>
        <w:rPr>
          <w:color w:val="auto"/>
          <w:kern w:val="0"/>
          <w:szCs w:val="26"/>
          <w:highlight w:val="none"/>
        </w:rPr>
        <w:t>米</w:t>
      </w:r>
      <w:r>
        <w:rPr>
          <w:rFonts w:hint="eastAsia"/>
          <w:color w:val="auto"/>
          <w:kern w:val="0"/>
          <w:szCs w:val="26"/>
          <w:highlight w:val="none"/>
        </w:rPr>
        <w:t>（</w:t>
      </w:r>
      <w:r>
        <w:rPr>
          <w:color w:val="auto"/>
          <w:kern w:val="0"/>
          <w:szCs w:val="26"/>
          <w:highlight w:val="none"/>
        </w:rPr>
        <w:t>长</w:t>
      </w:r>
      <w:r>
        <w:rPr>
          <w:color w:val="auto"/>
          <w:szCs w:val="26"/>
          <w:highlight w:val="none"/>
          <w:shd w:val="clear" w:color="auto" w:fill="FFFFFF"/>
        </w:rPr>
        <w:t>×</w:t>
      </w:r>
      <w:r>
        <w:rPr>
          <w:color w:val="auto"/>
          <w:kern w:val="0"/>
          <w:szCs w:val="26"/>
          <w:highlight w:val="none"/>
        </w:rPr>
        <w:t>宽</w:t>
      </w:r>
      <w:r>
        <w:rPr>
          <w:color w:val="auto"/>
          <w:szCs w:val="26"/>
          <w:highlight w:val="none"/>
          <w:shd w:val="clear" w:color="auto" w:fill="FFFFFF"/>
        </w:rPr>
        <w:t>×</w:t>
      </w:r>
      <w:r>
        <w:rPr>
          <w:color w:val="auto"/>
          <w:kern w:val="0"/>
          <w:szCs w:val="26"/>
          <w:highlight w:val="none"/>
        </w:rPr>
        <w:t>门槛水深</w:t>
      </w:r>
      <w:r>
        <w:rPr>
          <w:rFonts w:hint="eastAsia"/>
          <w:color w:val="auto"/>
          <w:kern w:val="0"/>
          <w:szCs w:val="26"/>
          <w:highlight w:val="none"/>
        </w:rPr>
        <w:t>）</w:t>
      </w:r>
      <w:r>
        <w:rPr>
          <w:color w:val="auto"/>
          <w:kern w:val="0"/>
          <w:szCs w:val="26"/>
          <w:highlight w:val="none"/>
        </w:rPr>
        <w:t>。设计代表船型为1000吨级干散货船，船型尺度 63</w:t>
      </w:r>
      <w:r>
        <w:rPr>
          <w:color w:val="auto"/>
          <w:szCs w:val="26"/>
          <w:highlight w:val="none"/>
          <w:shd w:val="clear" w:color="auto" w:fill="FFFFFF"/>
        </w:rPr>
        <w:t>×</w:t>
      </w:r>
      <w:r>
        <w:rPr>
          <w:color w:val="auto"/>
          <w:kern w:val="0"/>
          <w:szCs w:val="26"/>
          <w:highlight w:val="none"/>
        </w:rPr>
        <w:t>11</w:t>
      </w:r>
      <w:r>
        <w:rPr>
          <w:color w:val="auto"/>
          <w:szCs w:val="26"/>
          <w:highlight w:val="none"/>
          <w:shd w:val="clear" w:color="auto" w:fill="FFFFFF"/>
        </w:rPr>
        <w:t>×</w:t>
      </w:r>
      <w:r>
        <w:rPr>
          <w:color w:val="auto"/>
          <w:kern w:val="0"/>
          <w:szCs w:val="26"/>
          <w:highlight w:val="none"/>
        </w:rPr>
        <w:t>2.6米</w:t>
      </w:r>
      <w:r>
        <w:rPr>
          <w:rFonts w:hint="eastAsia"/>
          <w:color w:val="auto"/>
          <w:kern w:val="0"/>
          <w:szCs w:val="26"/>
          <w:highlight w:val="none"/>
        </w:rPr>
        <w:t>（</w:t>
      </w:r>
      <w:r>
        <w:rPr>
          <w:color w:val="auto"/>
          <w:kern w:val="0"/>
          <w:szCs w:val="26"/>
          <w:highlight w:val="none"/>
        </w:rPr>
        <w:t>长</w:t>
      </w:r>
      <w:r>
        <w:rPr>
          <w:color w:val="auto"/>
          <w:szCs w:val="26"/>
          <w:highlight w:val="none"/>
          <w:shd w:val="clear" w:color="auto" w:fill="FFFFFF"/>
        </w:rPr>
        <w:t>×</w:t>
      </w:r>
      <w:r>
        <w:rPr>
          <w:color w:val="auto"/>
          <w:kern w:val="0"/>
          <w:szCs w:val="26"/>
          <w:highlight w:val="none"/>
        </w:rPr>
        <w:t>宽</w:t>
      </w:r>
      <w:r>
        <w:rPr>
          <w:color w:val="auto"/>
          <w:szCs w:val="26"/>
          <w:highlight w:val="none"/>
          <w:shd w:val="clear" w:color="auto" w:fill="FFFFFF"/>
        </w:rPr>
        <w:t>×</w:t>
      </w:r>
      <w:r>
        <w:rPr>
          <w:color w:val="auto"/>
          <w:kern w:val="0"/>
          <w:szCs w:val="26"/>
          <w:highlight w:val="none"/>
        </w:rPr>
        <w:t>吃水</w:t>
      </w:r>
      <w:r>
        <w:rPr>
          <w:rFonts w:hint="eastAsia"/>
          <w:color w:val="auto"/>
          <w:kern w:val="0"/>
          <w:szCs w:val="26"/>
          <w:highlight w:val="none"/>
        </w:rPr>
        <w:t>）</w:t>
      </w:r>
      <w:r>
        <w:rPr>
          <w:rFonts w:hint="eastAsia"/>
          <w:color w:val="auto"/>
          <w:kern w:val="44"/>
          <w:highlight w:val="none"/>
        </w:rPr>
        <w:t>。</w:t>
      </w:r>
    </w:p>
    <w:p>
      <w:pPr>
        <w:ind w:firstLine="520"/>
        <w:rPr>
          <w:rFonts w:hint="eastAsia" w:eastAsia="宋体"/>
          <w:color w:val="auto"/>
          <w:kern w:val="44"/>
          <w:highlight w:val="none"/>
          <w:lang w:eastAsia="zh-CN"/>
        </w:rPr>
      </w:pPr>
      <w:r>
        <w:rPr>
          <w:rFonts w:hint="eastAsia"/>
          <w:color w:val="auto"/>
          <w:kern w:val="44"/>
          <w:highlight w:val="none"/>
          <w:lang w:eastAsia="zh-CN"/>
        </w:rPr>
        <w:t>建设标准：船闸级别Ⅲ级。近期单向年通过能力1145.7万吨，远期单向年通过能力1223.2万吨。</w:t>
      </w:r>
    </w:p>
    <w:p>
      <w:pPr>
        <w:ind w:firstLine="520"/>
        <w:rPr>
          <w:color w:val="auto"/>
          <w:szCs w:val="26"/>
          <w:highlight w:val="none"/>
        </w:rPr>
      </w:pPr>
      <w:r>
        <w:rPr>
          <w:rFonts w:hint="eastAsia"/>
          <w:color w:val="auto"/>
          <w:kern w:val="44"/>
          <w:highlight w:val="none"/>
        </w:rPr>
        <w:t>建设投资：项目</w:t>
      </w:r>
      <w:r>
        <w:rPr>
          <w:rFonts w:hint="eastAsia"/>
          <w:color w:val="auto"/>
          <w:kern w:val="44"/>
          <w:highlight w:val="none"/>
          <w:lang w:eastAsia="zh-CN"/>
        </w:rPr>
        <w:t>概算</w:t>
      </w:r>
      <w:r>
        <w:rPr>
          <w:rFonts w:hint="eastAsia"/>
          <w:color w:val="auto"/>
          <w:kern w:val="44"/>
          <w:highlight w:val="none"/>
        </w:rPr>
        <w:t>总投资86943.66万元，其中环保投资</w:t>
      </w:r>
      <w:r>
        <w:rPr>
          <w:rFonts w:hint="eastAsia"/>
          <w:color w:val="auto"/>
          <w:kern w:val="44"/>
          <w:highlight w:val="none"/>
          <w:lang w:val="en-US" w:eastAsia="zh-CN"/>
        </w:rPr>
        <w:t>514</w:t>
      </w:r>
      <w:r>
        <w:rPr>
          <w:rFonts w:hint="eastAsia"/>
          <w:color w:val="auto"/>
          <w:kern w:val="44"/>
          <w:highlight w:val="none"/>
        </w:rPr>
        <w:t>万元</w:t>
      </w:r>
      <w:r>
        <w:rPr>
          <w:rFonts w:hint="eastAsia"/>
          <w:color w:val="auto"/>
          <w:kern w:val="0"/>
          <w:szCs w:val="26"/>
          <w:highlight w:val="none"/>
        </w:rPr>
        <w:t>。</w:t>
      </w:r>
    </w:p>
    <w:p>
      <w:pPr>
        <w:pStyle w:val="5"/>
        <w:ind w:firstLine="522"/>
        <w:rPr>
          <w:color w:val="auto"/>
          <w:highlight w:val="none"/>
        </w:rPr>
      </w:pPr>
      <w:r>
        <w:rPr>
          <w:rFonts w:hint="eastAsia"/>
          <w:color w:val="auto"/>
          <w:highlight w:val="none"/>
        </w:rPr>
        <w:t>项目</w:t>
      </w:r>
      <w:r>
        <w:rPr>
          <w:color w:val="auto"/>
          <w:highlight w:val="none"/>
        </w:rPr>
        <w:t>组成</w:t>
      </w:r>
    </w:p>
    <w:p>
      <w:pPr>
        <w:spacing w:line="460" w:lineRule="exact"/>
        <w:ind w:firstLine="520"/>
        <w:rPr>
          <w:color w:val="auto"/>
          <w:szCs w:val="26"/>
          <w:highlight w:val="none"/>
        </w:rPr>
      </w:pPr>
      <w:r>
        <w:rPr>
          <w:rFonts w:hint="eastAsia"/>
          <w:color w:val="auto"/>
          <w:szCs w:val="26"/>
          <w:highlight w:val="none"/>
        </w:rPr>
        <w:t>建设内容为“在既有船闸右侧新建船闸1座，配套建设公用工程、过鱼设施等，迁建原枢纽电厂配套设施”。主要包括：新建船闸</w:t>
      </w:r>
      <w:r>
        <w:rPr>
          <w:rFonts w:hint="eastAsia"/>
          <w:color w:val="auto"/>
          <w:szCs w:val="26"/>
          <w:highlight w:val="none"/>
          <w:lang w:eastAsia="zh-CN"/>
        </w:rPr>
        <w:t>及配套引航道疏浚工程</w:t>
      </w:r>
      <w:r>
        <w:rPr>
          <w:rFonts w:hint="eastAsia"/>
          <w:color w:val="auto"/>
          <w:szCs w:val="26"/>
          <w:highlight w:val="none"/>
        </w:rPr>
        <w:t>，新建鱼道，建设船闸生产管理用房，迁建原枢纽电厂配套设施</w:t>
      </w:r>
      <w:r>
        <w:rPr>
          <w:rFonts w:hint="eastAsia"/>
          <w:color w:val="auto"/>
          <w:szCs w:val="26"/>
          <w:highlight w:val="none"/>
          <w:lang w:eastAsia="zh-CN"/>
        </w:rPr>
        <w:t>等</w:t>
      </w:r>
      <w:r>
        <w:rPr>
          <w:rFonts w:hint="eastAsia"/>
          <w:color w:val="auto"/>
          <w:szCs w:val="26"/>
          <w:highlight w:val="none"/>
        </w:rPr>
        <w:t>。工程建设内容</w:t>
      </w:r>
      <w:r>
        <w:rPr>
          <w:color w:val="auto"/>
          <w:szCs w:val="26"/>
          <w:highlight w:val="none"/>
        </w:rPr>
        <w:t>见</w:t>
      </w:r>
      <w:r>
        <w:rPr>
          <w:rFonts w:hint="eastAsia"/>
          <w:color w:val="auto"/>
          <w:szCs w:val="26"/>
          <w:highlight w:val="none"/>
        </w:rPr>
        <w:t>下表：</w:t>
      </w:r>
    </w:p>
    <w:p>
      <w:pPr>
        <w:pStyle w:val="36"/>
        <w:spacing w:line="240" w:lineRule="auto"/>
        <w:ind w:firstLine="480"/>
        <w:rPr>
          <w:color w:val="auto"/>
          <w:highlight w:val="none"/>
        </w:rPr>
        <w:sectPr>
          <w:pgSz w:w="11906" w:h="16838"/>
          <w:pgMar w:top="1701" w:right="1588" w:bottom="1588" w:left="1588" w:header="1304" w:footer="1247" w:gutter="0"/>
          <w:cols w:space="425" w:num="1"/>
          <w:docGrid w:linePitch="312" w:charSpace="0"/>
        </w:sectPr>
      </w:pPr>
    </w:p>
    <w:p>
      <w:pPr>
        <w:pStyle w:val="36"/>
        <w:spacing w:line="240" w:lineRule="auto"/>
        <w:ind w:firstLine="0" w:firstLineChars="0"/>
        <w:jc w:val="center"/>
        <w:rPr>
          <w:rFonts w:ascii="Times New Roman" w:cs="Times New Roman"/>
          <w:color w:val="auto"/>
          <w:sz w:val="26"/>
          <w:szCs w:val="26"/>
          <w:highlight w:val="none"/>
        </w:rPr>
      </w:pPr>
      <w:r>
        <w:rPr>
          <w:rFonts w:ascii="Times New Roman" w:cs="Times New Roman"/>
          <w:color w:val="auto"/>
          <w:sz w:val="26"/>
          <w:szCs w:val="26"/>
          <w:highlight w:val="none"/>
        </w:rPr>
        <w:t>表2.</w:t>
      </w:r>
      <w:r>
        <w:rPr>
          <w:rFonts w:hint="eastAsia" w:ascii="Times New Roman" w:cs="Times New Roman"/>
          <w:color w:val="auto"/>
          <w:sz w:val="26"/>
          <w:szCs w:val="26"/>
          <w:highlight w:val="none"/>
          <w:lang w:val="en-US" w:eastAsia="zh-CN"/>
        </w:rPr>
        <w:t>5.2</w:t>
      </w:r>
      <w:r>
        <w:rPr>
          <w:rFonts w:ascii="Times New Roman" w:cs="Times New Roman"/>
          <w:color w:val="auto"/>
          <w:sz w:val="26"/>
          <w:szCs w:val="26"/>
          <w:highlight w:val="none"/>
        </w:rPr>
        <w:t>-1  工程建设内容及规模一览表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4"/>
        <w:gridCol w:w="669"/>
        <w:gridCol w:w="1355"/>
        <w:gridCol w:w="9930"/>
        <w:gridCol w:w="12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94"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工程类别</w:t>
            </w:r>
          </w:p>
        </w:tc>
        <w:tc>
          <w:tcPr>
            <w:tcW w:w="2024" w:type="dxa"/>
            <w:gridSpan w:val="2"/>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工程名称</w:t>
            </w:r>
          </w:p>
        </w:tc>
        <w:tc>
          <w:tcPr>
            <w:tcW w:w="99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建设内容及规模</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restart"/>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主体工程</w:t>
            </w:r>
          </w:p>
        </w:tc>
        <w:tc>
          <w:tcPr>
            <w:tcW w:w="669" w:type="dxa"/>
            <w:vMerge w:val="restart"/>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船闸工程</w:t>
            </w:r>
          </w:p>
        </w:tc>
        <w:tc>
          <w:tcPr>
            <w:tcW w:w="1355"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闸首</w:t>
            </w:r>
          </w:p>
        </w:tc>
        <w:tc>
          <w:tcPr>
            <w:tcW w:w="9930" w:type="dxa"/>
            <w:vAlign w:val="center"/>
          </w:tcPr>
          <w:p>
            <w:pPr>
              <w:pStyle w:val="224"/>
              <w:adjustRightInd w:val="0"/>
              <w:snapToGrid w:val="0"/>
              <w:spacing w:line="240" w:lineRule="auto"/>
              <w:ind w:firstLine="0" w:firstLineChars="0"/>
              <w:rPr>
                <w:rFonts w:hint="eastAsia" w:ascii="Times New Roman" w:hAnsi="Times New Roman" w:eastAsia="宋体" w:cs="Times New Roman"/>
                <w:color w:val="auto"/>
                <w:sz w:val="22"/>
                <w:szCs w:val="22"/>
                <w:highlight w:val="none"/>
                <w:lang w:eastAsia="zh-CN"/>
              </w:rPr>
            </w:pPr>
            <w:r>
              <w:rPr>
                <w:rFonts w:hint="default" w:ascii="Times New Roman" w:hAnsi="Times New Roman" w:cs="Times New Roman"/>
                <w:color w:val="auto"/>
                <w:sz w:val="22"/>
                <w:szCs w:val="22"/>
                <w:highlight w:val="none"/>
              </w:rPr>
              <w:t>上闸首平面尺度为45.0×39.0m</w:t>
            </w:r>
            <w:r>
              <w:rPr>
                <w:rFonts w:hint="eastAsia" w:cs="Times New Roman"/>
                <w:color w:val="auto"/>
                <w:sz w:val="22"/>
                <w:szCs w:val="22"/>
                <w:highlight w:val="none"/>
                <w:lang w:eastAsia="zh-CN"/>
              </w:rPr>
              <w:t>，</w:t>
            </w:r>
            <w:r>
              <w:rPr>
                <w:rFonts w:hint="default" w:ascii="Times New Roman" w:hAnsi="Times New Roman" w:cs="Times New Roman"/>
                <w:color w:val="auto"/>
                <w:sz w:val="22"/>
                <w:szCs w:val="22"/>
                <w:highlight w:val="none"/>
              </w:rPr>
              <w:t>下闸首平面尺度为45.0×37.0m</w:t>
            </w:r>
            <w:r>
              <w:rPr>
                <w:rFonts w:hint="eastAsia" w:cs="Times New Roman"/>
                <w:color w:val="auto"/>
                <w:sz w:val="22"/>
                <w:szCs w:val="22"/>
                <w:highlight w:val="none"/>
                <w:lang w:eastAsia="zh-CN"/>
              </w:rPr>
              <w:t>，均采用</w:t>
            </w:r>
            <w:r>
              <w:rPr>
                <w:rFonts w:hint="default" w:ascii="Times New Roman" w:hAnsi="Times New Roman" w:cs="Times New Roman"/>
                <w:color w:val="auto"/>
                <w:sz w:val="22"/>
                <w:szCs w:val="22"/>
                <w:highlight w:val="none"/>
              </w:rPr>
              <w:t>人字门方案</w:t>
            </w:r>
            <w:r>
              <w:rPr>
                <w:rFonts w:hint="eastAsia" w:cs="Times New Roman"/>
                <w:color w:val="auto"/>
                <w:sz w:val="22"/>
                <w:szCs w:val="22"/>
                <w:highlight w:val="none"/>
                <w:lang w:eastAsia="zh-CN"/>
              </w:rPr>
              <w:t>。</w:t>
            </w:r>
          </w:p>
        </w:tc>
        <w:tc>
          <w:tcPr>
            <w:tcW w:w="1230" w:type="dxa"/>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669"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1355" w:type="dxa"/>
            <w:vAlign w:val="center"/>
          </w:tcPr>
          <w:p>
            <w:pPr>
              <w:pStyle w:val="223"/>
              <w:snapToGrid w:val="0"/>
              <w:spacing w:before="0" w:line="240" w:lineRule="auto"/>
              <w:ind w:firstLine="0" w:firstLineChars="0"/>
              <w:jc w:val="center"/>
              <w:rPr>
                <w:rFonts w:hint="eastAsia" w:ascii="Times New Roman" w:hAnsi="Times New Roman" w:eastAsia="宋体" w:cs="Times New Roman"/>
                <w:color w:val="auto"/>
                <w:sz w:val="22"/>
                <w:szCs w:val="22"/>
                <w:highlight w:val="none"/>
                <w:lang w:val="sq-AL" w:eastAsia="zh-CN"/>
              </w:rPr>
            </w:pPr>
            <w:r>
              <w:rPr>
                <w:rFonts w:hint="eastAsia" w:cs="Times New Roman"/>
                <w:color w:val="auto"/>
                <w:sz w:val="22"/>
                <w:szCs w:val="22"/>
                <w:highlight w:val="none"/>
                <w:lang w:val="sq-AL" w:eastAsia="zh-CN"/>
              </w:rPr>
              <w:t>闸室</w:t>
            </w:r>
          </w:p>
        </w:tc>
        <w:tc>
          <w:tcPr>
            <w:tcW w:w="9930" w:type="dxa"/>
            <w:vAlign w:val="center"/>
          </w:tcPr>
          <w:p>
            <w:pPr>
              <w:pStyle w:val="224"/>
              <w:adjustRightInd w:val="0"/>
              <w:snapToGrid w:val="0"/>
              <w:spacing w:line="240" w:lineRule="auto"/>
              <w:ind w:firstLine="0" w:firstLineChars="0"/>
              <w:rPr>
                <w:rFonts w:hint="eastAsia" w:ascii="Times New Roman" w:hAnsi="Times New Roman" w:eastAsia="宋体" w:cs="Times New Roman"/>
                <w:color w:val="auto"/>
                <w:sz w:val="22"/>
                <w:szCs w:val="22"/>
                <w:highlight w:val="none"/>
                <w:lang w:eastAsia="zh-CN"/>
              </w:rPr>
            </w:pPr>
            <w:r>
              <w:rPr>
                <w:rFonts w:hint="default" w:ascii="Times New Roman" w:hAnsi="Times New Roman" w:cs="Times New Roman"/>
                <w:color w:val="auto"/>
                <w:sz w:val="22"/>
                <w:szCs w:val="22"/>
                <w:highlight w:val="none"/>
              </w:rPr>
              <w:t>船闸闸室尺度为 190×23×4.2m（有效长度×有效宽度×槛上水深）</w:t>
            </w:r>
            <w:r>
              <w:rPr>
                <w:rFonts w:hint="eastAsia" w:cs="Times New Roman"/>
                <w:color w:val="auto"/>
                <w:sz w:val="22"/>
                <w:szCs w:val="22"/>
                <w:highlight w:val="none"/>
                <w:lang w:eastAsia="zh-CN"/>
              </w:rPr>
              <w:t>。</w:t>
            </w:r>
          </w:p>
        </w:tc>
        <w:tc>
          <w:tcPr>
            <w:tcW w:w="1230" w:type="dxa"/>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669"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1355"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rPr>
              <w:t>输水系统</w:t>
            </w:r>
          </w:p>
        </w:tc>
        <w:tc>
          <w:tcPr>
            <w:tcW w:w="9930" w:type="dxa"/>
            <w:vAlign w:val="center"/>
          </w:tcPr>
          <w:p>
            <w:pPr>
              <w:pStyle w:val="224"/>
              <w:adjustRightInd w:val="0"/>
              <w:snapToGrid w:val="0"/>
              <w:spacing w:line="240" w:lineRule="auto"/>
              <w:ind w:firstLine="0" w:firstLineChars="0"/>
              <w:rPr>
                <w:rFonts w:hint="eastAsia" w:ascii="Times New Roman" w:hAnsi="Times New Roman" w:eastAsia="宋体" w:cs="Times New Roman"/>
                <w:color w:val="auto"/>
                <w:sz w:val="22"/>
                <w:szCs w:val="22"/>
                <w:highlight w:val="none"/>
                <w:lang w:eastAsia="zh-CN"/>
              </w:rPr>
            </w:pPr>
            <w:r>
              <w:rPr>
                <w:rFonts w:hint="default" w:ascii="Times New Roman" w:hAnsi="Times New Roman" w:cs="Times New Roman"/>
                <w:color w:val="auto"/>
                <w:sz w:val="22"/>
                <w:szCs w:val="22"/>
                <w:highlight w:val="none"/>
              </w:rPr>
              <w:t>采用闸墙长廊道侧支孔分散输水系统。上游廊道进水口布置在上闸首，采用直线型导航墙垂直多支孔布置</w:t>
            </w:r>
            <w:r>
              <w:rPr>
                <w:rFonts w:hint="eastAsia" w:cs="Times New Roman"/>
                <w:color w:val="auto"/>
                <w:sz w:val="22"/>
                <w:szCs w:val="22"/>
                <w:highlight w:val="none"/>
                <w:lang w:eastAsia="zh-CN"/>
              </w:rPr>
              <w:t>，</w:t>
            </w:r>
            <w:r>
              <w:rPr>
                <w:rFonts w:hint="default" w:ascii="Times New Roman" w:hAnsi="Times New Roman" w:cs="Times New Roman"/>
                <w:color w:val="auto"/>
                <w:sz w:val="22"/>
                <w:szCs w:val="22"/>
                <w:highlight w:val="none"/>
              </w:rPr>
              <w:t>船闸闸室段输水主廊道采用对称布置，两侧闸墙内各设一条主廊道，下游廊道出口布置在下闸首，采用双廊道布置</w:t>
            </w:r>
            <w:r>
              <w:rPr>
                <w:rFonts w:hint="eastAsia" w:cs="Times New Roman"/>
                <w:color w:val="auto"/>
                <w:sz w:val="22"/>
                <w:szCs w:val="22"/>
                <w:highlight w:val="none"/>
                <w:lang w:eastAsia="zh-CN"/>
              </w:rPr>
              <w:t>。</w:t>
            </w:r>
          </w:p>
        </w:tc>
        <w:tc>
          <w:tcPr>
            <w:tcW w:w="1230" w:type="dxa"/>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669" w:type="dxa"/>
            <w:vMerge w:val="restart"/>
            <w:vAlign w:val="center"/>
          </w:tcPr>
          <w:p>
            <w:pPr>
              <w:pStyle w:val="224"/>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s="Times New Roman"/>
                <w:color w:val="auto"/>
                <w:sz w:val="22"/>
                <w:szCs w:val="22"/>
                <w:highlight w:val="none"/>
                <w:lang w:eastAsia="zh-CN"/>
              </w:rPr>
              <w:t>疏浚工程</w:t>
            </w:r>
          </w:p>
        </w:tc>
        <w:tc>
          <w:tcPr>
            <w:tcW w:w="1355" w:type="dxa"/>
            <w:vAlign w:val="center"/>
          </w:tcPr>
          <w:p>
            <w:pPr>
              <w:pStyle w:val="224"/>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sz w:val="22"/>
                <w:szCs w:val="22"/>
                <w:highlight w:val="none"/>
                <w:lang w:eastAsia="zh-CN"/>
              </w:rPr>
              <w:t>上游</w:t>
            </w:r>
            <w:r>
              <w:rPr>
                <w:rFonts w:hint="default" w:ascii="Times New Roman" w:hAnsi="Times New Roman" w:cs="Times New Roman"/>
                <w:color w:val="auto"/>
                <w:sz w:val="22"/>
                <w:szCs w:val="22"/>
                <w:highlight w:val="none"/>
              </w:rPr>
              <w:t>疏浚区</w:t>
            </w:r>
          </w:p>
        </w:tc>
        <w:tc>
          <w:tcPr>
            <w:tcW w:w="9930" w:type="dxa"/>
            <w:vAlign w:val="center"/>
          </w:tcPr>
          <w:p>
            <w:pPr>
              <w:pStyle w:val="223"/>
              <w:snapToGrid w:val="0"/>
              <w:spacing w:before="0" w:line="240" w:lineRule="auto"/>
              <w:ind w:firstLine="0" w:firstLineChars="0"/>
              <w:rPr>
                <w:rFonts w:hint="default" w:ascii="Times New Roman" w:hAnsi="Times New Roman" w:eastAsia="宋体" w:cs="Times New Roman"/>
                <w:color w:val="auto"/>
                <w:kern w:val="2"/>
                <w:sz w:val="22"/>
                <w:szCs w:val="22"/>
                <w:highlight w:val="none"/>
                <w:lang w:val="en-US" w:eastAsia="zh-CN" w:bidi="ar-SA"/>
              </w:rPr>
            </w:pPr>
            <w:r>
              <w:rPr>
                <w:rFonts w:hint="default" w:ascii="Times New Roman" w:hAnsi="Times New Roman" w:cs="Times New Roman"/>
                <w:color w:val="auto"/>
                <w:sz w:val="22"/>
                <w:szCs w:val="22"/>
                <w:highlight w:val="none"/>
              </w:rPr>
              <w:t>位于上游导航段左侧，为上游停泊段以上160m处至船闸上闸首段范围，</w:t>
            </w:r>
            <w:r>
              <w:rPr>
                <w:rFonts w:hint="eastAsia" w:cs="Times New Roman"/>
                <w:color w:val="auto"/>
                <w:sz w:val="22"/>
                <w:szCs w:val="22"/>
                <w:highlight w:val="none"/>
                <w:lang w:eastAsia="zh-CN"/>
              </w:rPr>
              <w:t>分为</w:t>
            </w:r>
            <w:r>
              <w:rPr>
                <w:rFonts w:hint="eastAsia" w:cs="Times New Roman"/>
                <w:color w:val="auto"/>
                <w:sz w:val="22"/>
                <w:szCs w:val="22"/>
                <w:highlight w:val="none"/>
                <w:lang w:val="en-US" w:eastAsia="zh-CN"/>
              </w:rPr>
              <w:t>2处。</w:t>
            </w:r>
            <w:r>
              <w:rPr>
                <w:rFonts w:hint="eastAsia"/>
                <w:color w:val="auto"/>
                <w:sz w:val="22"/>
                <w:szCs w:val="22"/>
                <w:highlight w:val="none"/>
                <w:lang w:eastAsia="zh-CN"/>
              </w:rPr>
              <w:t>由上游停泊段上游160m处至船闸上闸首段范围内的上游疏浚区（1），疏浚长度约810m，疏浚最大宽度130m，疏浚工程量</w:t>
            </w:r>
            <w:r>
              <w:rPr>
                <w:rFonts w:hint="eastAsia"/>
                <w:color w:val="auto"/>
                <w:sz w:val="22"/>
                <w:szCs w:val="22"/>
                <w:highlight w:val="none"/>
                <w:lang w:val="en-US" w:eastAsia="zh-CN"/>
              </w:rPr>
              <w:t>202020.22m³</w:t>
            </w:r>
            <w:r>
              <w:rPr>
                <w:rFonts w:hint="eastAsia"/>
                <w:color w:val="auto"/>
                <w:sz w:val="22"/>
                <w:szCs w:val="22"/>
                <w:highlight w:val="none"/>
                <w:lang w:eastAsia="zh-CN"/>
              </w:rPr>
              <w:t>；位于上游导航段右侧，位于上游口门区上游340m处的上游疏浚区（2），疏浚长度约 137m，疏浚最大宽度50m，疏浚工程量</w:t>
            </w:r>
            <w:r>
              <w:rPr>
                <w:rFonts w:hint="eastAsia"/>
                <w:color w:val="auto"/>
                <w:sz w:val="22"/>
                <w:szCs w:val="22"/>
                <w:highlight w:val="none"/>
                <w:lang w:val="en-US" w:eastAsia="zh-CN"/>
              </w:rPr>
              <w:t>17735.33m³。</w:t>
            </w:r>
          </w:p>
        </w:tc>
        <w:tc>
          <w:tcPr>
            <w:tcW w:w="1230" w:type="dxa"/>
            <w:vAlign w:val="center"/>
          </w:tcPr>
          <w:p>
            <w:pPr>
              <w:pStyle w:val="223"/>
              <w:snapToGrid w:val="0"/>
              <w:spacing w:before="0" w:line="240" w:lineRule="auto"/>
              <w:ind w:firstLine="0" w:firstLineChars="0"/>
              <w:jc w:val="center"/>
              <w:rPr>
                <w:rFonts w:hint="default" w:ascii="Times New Roman" w:hAnsi="Times New Roman" w:eastAsia="宋体" w:cs="Times New Roman"/>
                <w:color w:val="auto"/>
                <w:kern w:val="2"/>
                <w:sz w:val="22"/>
                <w:szCs w:val="22"/>
                <w:highlight w:val="none"/>
                <w:lang w:val="sq-AL" w:eastAsia="zh-CN" w:bidi="ar-SA"/>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669" w:type="dxa"/>
            <w:vMerge w:val="continue"/>
            <w:vAlign w:val="center"/>
          </w:tcPr>
          <w:p>
            <w:pPr>
              <w:pStyle w:val="224"/>
              <w:adjustRightInd w:val="0"/>
              <w:snapToGrid w:val="0"/>
              <w:spacing w:line="240" w:lineRule="auto"/>
              <w:ind w:firstLine="0" w:firstLineChars="0"/>
              <w:jc w:val="center"/>
              <w:rPr>
                <w:rFonts w:hint="eastAsia" w:ascii="Times New Roman" w:hAnsi="Times New Roman" w:cs="Times New Roman"/>
                <w:color w:val="auto"/>
                <w:sz w:val="22"/>
                <w:szCs w:val="22"/>
                <w:highlight w:val="none"/>
                <w:lang w:eastAsia="zh-CN"/>
              </w:rPr>
            </w:pPr>
          </w:p>
        </w:tc>
        <w:tc>
          <w:tcPr>
            <w:tcW w:w="1355" w:type="dxa"/>
            <w:vAlign w:val="center"/>
          </w:tcPr>
          <w:p>
            <w:pPr>
              <w:pStyle w:val="224"/>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sz w:val="22"/>
                <w:szCs w:val="22"/>
                <w:highlight w:val="none"/>
                <w:lang w:eastAsia="zh-CN"/>
              </w:rPr>
              <w:t>下游</w:t>
            </w:r>
            <w:r>
              <w:rPr>
                <w:rFonts w:hint="default" w:ascii="Times New Roman" w:hAnsi="Times New Roman" w:cs="Times New Roman"/>
                <w:color w:val="auto"/>
                <w:sz w:val="22"/>
                <w:szCs w:val="22"/>
                <w:highlight w:val="none"/>
              </w:rPr>
              <w:t>疏浚区</w:t>
            </w:r>
          </w:p>
        </w:tc>
        <w:tc>
          <w:tcPr>
            <w:tcW w:w="9930" w:type="dxa"/>
            <w:vAlign w:val="center"/>
          </w:tcPr>
          <w:p>
            <w:pPr>
              <w:pStyle w:val="224"/>
              <w:adjustRightInd w:val="0"/>
              <w:snapToGrid w:val="0"/>
              <w:spacing w:line="240" w:lineRule="auto"/>
              <w:ind w:firstLine="0" w:firstLineChars="0"/>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位于下游导航段右侧，由下游制动区下游76m处至下游口门区下游900m 处范围内的下游疏浚区，疏浚长度约730m，疏浚最大宽度60m，疏浚底高程195m，边坡坡比1:1.5，疏浚工程量</w:t>
            </w:r>
            <w:r>
              <w:rPr>
                <w:rFonts w:hint="eastAsia"/>
                <w:color w:val="auto"/>
                <w:sz w:val="22"/>
                <w:szCs w:val="22"/>
                <w:highlight w:val="none"/>
                <w:lang w:val="en-US" w:eastAsia="zh-CN"/>
              </w:rPr>
              <w:t>80304.72m³</w:t>
            </w:r>
            <w:r>
              <w:rPr>
                <w:rFonts w:hint="eastAsia"/>
                <w:color w:val="auto"/>
                <w:sz w:val="22"/>
                <w:szCs w:val="22"/>
                <w:highlight w:val="none"/>
                <w:lang w:eastAsia="zh-CN"/>
              </w:rPr>
              <w:t>。</w:t>
            </w:r>
          </w:p>
        </w:tc>
        <w:tc>
          <w:tcPr>
            <w:tcW w:w="1230" w:type="dxa"/>
            <w:vAlign w:val="center"/>
          </w:tcPr>
          <w:p>
            <w:pPr>
              <w:pStyle w:val="224"/>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669" w:type="dxa"/>
            <w:vMerge w:val="continue"/>
            <w:vAlign w:val="center"/>
          </w:tcPr>
          <w:p>
            <w:pPr>
              <w:pStyle w:val="224"/>
              <w:adjustRightInd w:val="0"/>
              <w:snapToGrid w:val="0"/>
              <w:spacing w:line="240" w:lineRule="auto"/>
              <w:ind w:firstLine="0" w:firstLineChars="0"/>
              <w:jc w:val="center"/>
              <w:rPr>
                <w:rFonts w:hint="eastAsia" w:ascii="Times New Roman" w:hAnsi="Times New Roman" w:cs="Times New Roman"/>
                <w:color w:val="auto"/>
                <w:sz w:val="22"/>
                <w:szCs w:val="22"/>
                <w:highlight w:val="none"/>
                <w:lang w:eastAsia="zh-CN"/>
              </w:rPr>
            </w:pPr>
          </w:p>
        </w:tc>
        <w:tc>
          <w:tcPr>
            <w:tcW w:w="1355" w:type="dxa"/>
            <w:vAlign w:val="center"/>
          </w:tcPr>
          <w:p>
            <w:pPr>
              <w:pStyle w:val="224"/>
              <w:keepNext w:val="0"/>
              <w:keepLines/>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上游潜丁坝</w:t>
            </w:r>
          </w:p>
        </w:tc>
        <w:tc>
          <w:tcPr>
            <w:tcW w:w="9930" w:type="dxa"/>
            <w:vAlign w:val="center"/>
          </w:tcPr>
          <w:p>
            <w:pPr>
              <w:pStyle w:val="224"/>
              <w:adjustRightInd w:val="0"/>
              <w:snapToGrid w:val="0"/>
              <w:spacing w:line="240" w:lineRule="auto"/>
              <w:ind w:firstLine="0" w:firstLineChars="0"/>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距离渭沱船闸坝轴线上游右岸约1.2km，横河向布置，坝顶宽度为3m，坝顶高程为204m，坝顶长度为135.2m。坡面采用抛石筑坝（65~710kg），坡比为1：3，坡脚采用抛石护脚。</w:t>
            </w:r>
          </w:p>
        </w:tc>
        <w:tc>
          <w:tcPr>
            <w:tcW w:w="1230" w:type="dxa"/>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Align w:val="center"/>
          </w:tcPr>
          <w:p>
            <w:pPr>
              <w:pStyle w:val="223"/>
              <w:snapToGrid w:val="0"/>
              <w:spacing w:before="0"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default" w:ascii="Times New Roman" w:hAnsi="Times New Roman" w:cs="Times New Roman"/>
                <w:color w:val="auto"/>
                <w:sz w:val="22"/>
                <w:szCs w:val="22"/>
                <w:highlight w:val="none"/>
              </w:rPr>
              <w:t>鱼道工程</w:t>
            </w:r>
          </w:p>
        </w:tc>
        <w:tc>
          <w:tcPr>
            <w:tcW w:w="9930" w:type="dxa"/>
            <w:vAlign w:val="center"/>
          </w:tcPr>
          <w:p>
            <w:pPr>
              <w:pStyle w:val="224"/>
              <w:adjustRightInd w:val="0"/>
              <w:snapToGrid w:val="0"/>
              <w:spacing w:line="240" w:lineRule="auto"/>
              <w:ind w:firstLine="0" w:firstLineChars="0"/>
              <w:rPr>
                <w:rFonts w:hint="default" w:ascii="Times New Roman" w:hAnsi="Times New Roman" w:eastAsia="宋体" w:cs="Times New Roman"/>
                <w:color w:val="auto"/>
                <w:kern w:val="2"/>
                <w:sz w:val="22"/>
                <w:szCs w:val="22"/>
                <w:highlight w:val="none"/>
                <w:lang w:val="en-US" w:eastAsia="zh-CN" w:bidi="ar-SA"/>
              </w:rPr>
            </w:pPr>
            <w:r>
              <w:rPr>
                <w:rFonts w:hint="default" w:ascii="Times New Roman" w:hAnsi="Times New Roman" w:cs="Times New Roman"/>
                <w:color w:val="auto"/>
                <w:sz w:val="22"/>
                <w:szCs w:val="22"/>
                <w:highlight w:val="none"/>
              </w:rPr>
              <w:t>采用竖缝横隔板式</w:t>
            </w:r>
            <w:r>
              <w:rPr>
                <w:rFonts w:hint="eastAsia" w:cs="Times New Roman"/>
                <w:color w:val="auto"/>
                <w:sz w:val="22"/>
                <w:szCs w:val="22"/>
                <w:highlight w:val="none"/>
                <w:lang w:eastAsia="zh-CN"/>
              </w:rPr>
              <w:t>梯级</w:t>
            </w:r>
            <w:r>
              <w:rPr>
                <w:rFonts w:hint="default" w:ascii="Times New Roman" w:hAnsi="Times New Roman" w:cs="Times New Roman"/>
                <w:color w:val="auto"/>
                <w:sz w:val="22"/>
                <w:szCs w:val="22"/>
                <w:highlight w:val="none"/>
              </w:rPr>
              <w:t>鱼道，布置在枢纽</w:t>
            </w:r>
            <w:r>
              <w:rPr>
                <w:rFonts w:hint="eastAsia" w:cs="Times New Roman"/>
                <w:color w:val="auto"/>
                <w:sz w:val="22"/>
                <w:szCs w:val="22"/>
                <w:highlight w:val="none"/>
                <w:lang w:eastAsia="zh-CN"/>
              </w:rPr>
              <w:t>右</w:t>
            </w:r>
            <w:r>
              <w:rPr>
                <w:rFonts w:hint="default" w:ascii="Times New Roman" w:hAnsi="Times New Roman" w:cs="Times New Roman"/>
                <w:color w:val="auto"/>
                <w:sz w:val="22"/>
                <w:szCs w:val="22"/>
                <w:highlight w:val="none"/>
              </w:rPr>
              <w:t>岸，利用现有船闸，位于新建船闸及泄洪闸之间</w:t>
            </w:r>
            <w:r>
              <w:rPr>
                <w:rFonts w:hint="eastAsia" w:cs="Times New Roman"/>
                <w:color w:val="auto"/>
                <w:sz w:val="22"/>
                <w:szCs w:val="22"/>
                <w:highlight w:val="none"/>
                <w:lang w:eastAsia="zh-CN"/>
              </w:rPr>
              <w:t>，</w:t>
            </w:r>
            <w:r>
              <w:rPr>
                <w:rFonts w:hint="default" w:ascii="Times New Roman" w:hAnsi="Times New Roman" w:cs="Times New Roman"/>
                <w:color w:val="auto"/>
                <w:sz w:val="22"/>
                <w:szCs w:val="22"/>
                <w:highlight w:val="none"/>
              </w:rPr>
              <w:t>总长</w:t>
            </w:r>
            <w:r>
              <w:rPr>
                <w:rFonts w:hint="eastAsia" w:cs="Times New Roman"/>
                <w:color w:val="auto"/>
                <w:sz w:val="22"/>
                <w:szCs w:val="22"/>
                <w:highlight w:val="none"/>
                <w:lang w:val="en-US" w:eastAsia="zh-CN"/>
              </w:rPr>
              <w:t>705</w:t>
            </w:r>
            <w:r>
              <w:rPr>
                <w:rFonts w:hint="default" w:ascii="Times New Roman" w:hAnsi="Times New Roman" w:cs="Times New Roman"/>
                <w:color w:val="auto"/>
                <w:sz w:val="22"/>
                <w:szCs w:val="22"/>
                <w:highlight w:val="none"/>
              </w:rPr>
              <w:t>m，鱼道底坡1/100，池室尺度：</w:t>
            </w:r>
            <w:r>
              <w:rPr>
                <w:rFonts w:hint="eastAsia" w:cs="Times New Roman"/>
                <w:color w:val="auto"/>
                <w:sz w:val="22"/>
                <w:szCs w:val="22"/>
                <w:highlight w:val="none"/>
                <w:lang w:val="en-US" w:eastAsia="zh-CN"/>
              </w:rPr>
              <w:t>2.7</w:t>
            </w:r>
            <w:r>
              <w:rPr>
                <w:rFonts w:hint="default" w:ascii="Times New Roman" w:hAnsi="Times New Roman" w:cs="Times New Roman"/>
                <w:color w:val="auto"/>
                <w:sz w:val="22"/>
                <w:szCs w:val="22"/>
                <w:highlight w:val="none"/>
              </w:rPr>
              <w:t>×2.0×</w:t>
            </w:r>
            <w:r>
              <w:rPr>
                <w:rFonts w:hint="eastAsia" w:cs="Times New Roman"/>
                <w:color w:val="auto"/>
                <w:sz w:val="22"/>
                <w:szCs w:val="22"/>
                <w:highlight w:val="none"/>
                <w:lang w:eastAsia="zh-CN"/>
              </w:rPr>
              <w:t>（</w:t>
            </w:r>
            <w:r>
              <w:rPr>
                <w:rFonts w:hint="default" w:ascii="Times New Roman" w:hAnsi="Times New Roman" w:cs="Times New Roman"/>
                <w:color w:val="auto"/>
                <w:sz w:val="22"/>
                <w:szCs w:val="22"/>
                <w:highlight w:val="none"/>
              </w:rPr>
              <w:t>2.5~4.0m</w:t>
            </w:r>
            <w:r>
              <w:rPr>
                <w:rFonts w:hint="eastAsia" w:cs="Times New Roman"/>
                <w:color w:val="auto"/>
                <w:sz w:val="22"/>
                <w:szCs w:val="22"/>
                <w:highlight w:val="none"/>
                <w:lang w:eastAsia="zh-CN"/>
              </w:rPr>
              <w:t>）</w:t>
            </w:r>
            <w:r>
              <w:rPr>
                <w:rFonts w:hint="default" w:ascii="Times New Roman" w:hAnsi="Times New Roman" w:cs="Times New Roman"/>
                <w:color w:val="auto"/>
                <w:sz w:val="22"/>
                <w:szCs w:val="22"/>
                <w:highlight w:val="none"/>
              </w:rPr>
              <w:t>（长×宽×池室深度），</w:t>
            </w:r>
            <w:r>
              <w:rPr>
                <w:rFonts w:hint="eastAsia" w:cs="Times New Roman"/>
                <w:color w:val="auto"/>
                <w:sz w:val="22"/>
                <w:szCs w:val="22"/>
                <w:highlight w:val="none"/>
                <w:lang w:eastAsia="zh-CN"/>
              </w:rPr>
              <w:t>配套建设闸门控制系统、拦鱼电栅、水下摄像系统、流速流量监测单元、水质监测单元、多波束成像声呐系统、捕鱼装置、PIT设备、灯光诱鱼设备、鱼道LCU监控单元、集成与数据处理单元、系统软件平台等附属设施</w:t>
            </w:r>
            <w:r>
              <w:rPr>
                <w:rFonts w:hint="default" w:ascii="Times New Roman" w:hAnsi="Times New Roman" w:cs="Times New Roman"/>
                <w:color w:val="auto"/>
                <w:sz w:val="22"/>
                <w:szCs w:val="22"/>
                <w:highlight w:val="none"/>
              </w:rPr>
              <w:t>。</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restart"/>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公用工程</w:t>
            </w:r>
          </w:p>
        </w:tc>
        <w:tc>
          <w:tcPr>
            <w:tcW w:w="2024" w:type="dxa"/>
            <w:gridSpan w:val="2"/>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闸管区</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施工</w:t>
            </w:r>
            <w:r>
              <w:rPr>
                <w:rFonts w:hint="default" w:ascii="Times New Roman" w:hAnsi="Times New Roman" w:cs="Times New Roman"/>
                <w:color w:val="auto"/>
                <w:sz w:val="22"/>
                <w:szCs w:val="22"/>
                <w:highlight w:val="none"/>
                <w:shd w:val="clear" w:fill="FFFFFF"/>
                <w:lang w:val="sq-AL"/>
              </w:rPr>
              <w:t>期</w:t>
            </w:r>
            <w:r>
              <w:rPr>
                <w:rFonts w:hint="default" w:ascii="Times New Roman" w:hAnsi="Times New Roman" w:cs="Times New Roman"/>
                <w:color w:val="auto"/>
                <w:sz w:val="22"/>
                <w:szCs w:val="22"/>
                <w:highlight w:val="none"/>
                <w:lang w:val="sq-AL"/>
              </w:rPr>
              <w:t>对现有生产管理区进行拆除，后期</w:t>
            </w:r>
            <w:r>
              <w:rPr>
                <w:rFonts w:hint="eastAsia" w:cs="Times New Roman"/>
                <w:color w:val="auto"/>
                <w:sz w:val="22"/>
                <w:szCs w:val="22"/>
                <w:highlight w:val="none"/>
                <w:lang w:val="sq-AL" w:eastAsia="zh-CN"/>
              </w:rPr>
              <w:t>新建</w:t>
            </w:r>
            <w:r>
              <w:rPr>
                <w:rFonts w:hint="default" w:ascii="Times New Roman" w:hAnsi="Times New Roman" w:cs="Times New Roman"/>
                <w:color w:val="auto"/>
                <w:sz w:val="22"/>
                <w:szCs w:val="22"/>
                <w:highlight w:val="none"/>
                <w:lang w:val="sq-AL"/>
              </w:rPr>
              <w:t>闸管区位于新建船闸右岸侧，闸管区布置有宿舍、综合楼、设备间、污水处理站、消防设施、仓库、危化品仓库等辅助建构筑物</w:t>
            </w:r>
            <w:r>
              <w:rPr>
                <w:rFonts w:hint="eastAsia" w:cs="Times New Roman"/>
                <w:color w:val="auto"/>
                <w:sz w:val="22"/>
                <w:szCs w:val="22"/>
                <w:highlight w:val="none"/>
                <w:lang w:val="sq-AL" w:eastAsia="zh-CN"/>
              </w:rPr>
              <w:t>，</w:t>
            </w:r>
            <w:r>
              <w:rPr>
                <w:rFonts w:hint="default" w:ascii="Times New Roman" w:hAnsi="Times New Roman" w:cs="Times New Roman"/>
                <w:color w:val="auto"/>
                <w:sz w:val="22"/>
                <w:szCs w:val="22"/>
                <w:highlight w:val="none"/>
                <w:lang w:val="sq-AL"/>
              </w:rPr>
              <w:t>总建筑面积7485.55m</w:t>
            </w:r>
            <w:r>
              <w:rPr>
                <w:rFonts w:hint="default" w:ascii="Times New Roman" w:hAnsi="Times New Roman" w:cs="Times New Roman"/>
                <w:color w:val="auto"/>
                <w:sz w:val="22"/>
                <w:szCs w:val="22"/>
                <w:highlight w:val="none"/>
                <w:vertAlign w:val="superscript"/>
                <w:lang w:val="sq-AL"/>
              </w:rPr>
              <w:t>2</w:t>
            </w:r>
            <w:r>
              <w:rPr>
                <w:rFonts w:hint="default" w:ascii="Times New Roman" w:hAnsi="Times New Roman" w:cs="Times New Roman"/>
                <w:color w:val="auto"/>
                <w:sz w:val="22"/>
                <w:szCs w:val="22"/>
                <w:highlight w:val="none"/>
                <w:lang w:val="sq-AL"/>
              </w:rPr>
              <w:t>。</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拆除+新建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给水</w:t>
            </w:r>
          </w:p>
        </w:tc>
        <w:tc>
          <w:tcPr>
            <w:tcW w:w="9930" w:type="dxa"/>
            <w:vAlign w:val="center"/>
          </w:tcPr>
          <w:p>
            <w:pPr>
              <w:pStyle w:val="223"/>
              <w:snapToGrid w:val="0"/>
              <w:spacing w:before="0" w:line="240" w:lineRule="auto"/>
              <w:ind w:firstLine="0" w:firstLineChars="0"/>
              <w:rPr>
                <w:rFonts w:hint="eastAsia" w:ascii="Times New Roman" w:hAnsi="Times New Roman" w:eastAsia="宋体"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sq-AL"/>
              </w:rPr>
              <w:t>生活给水水源均由市政供水管网接管供给，生产、消防给水水源由电厂内已建抽水泵供给</w:t>
            </w:r>
            <w:r>
              <w:rPr>
                <w:rFonts w:hint="eastAsia" w:cs="Times New Roman"/>
                <w:color w:val="auto"/>
                <w:sz w:val="22"/>
                <w:szCs w:val="22"/>
                <w:highlight w:val="none"/>
                <w:lang w:val="sq-AL" w:eastAsia="zh-CN"/>
              </w:rPr>
              <w:t>。</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排水</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本工程排水采用雨污分流制。生活污水收集后排入</w:t>
            </w:r>
            <w:r>
              <w:rPr>
                <w:rFonts w:hint="default" w:ascii="Times New Roman" w:hAnsi="Times New Roman" w:cs="Times New Roman"/>
                <w:color w:val="auto"/>
                <w:sz w:val="22"/>
                <w:szCs w:val="22"/>
                <w:highlight w:val="none"/>
                <w:shd w:val="clear" w:fill="FFFFFF"/>
                <w:lang w:val="sq-AL"/>
              </w:rPr>
              <w:t>闸</w:t>
            </w:r>
            <w:r>
              <w:rPr>
                <w:rFonts w:hint="eastAsia" w:cs="Times New Roman"/>
                <w:color w:val="auto"/>
                <w:sz w:val="22"/>
                <w:szCs w:val="22"/>
                <w:highlight w:val="none"/>
                <w:shd w:val="clear" w:fill="FFFFFF"/>
                <w:lang w:val="sq-AL" w:eastAsia="zh-CN"/>
              </w:rPr>
              <w:t>管</w:t>
            </w:r>
            <w:r>
              <w:rPr>
                <w:rFonts w:hint="default" w:ascii="Times New Roman" w:hAnsi="Times New Roman" w:cs="Times New Roman"/>
                <w:color w:val="auto"/>
                <w:sz w:val="22"/>
                <w:szCs w:val="22"/>
                <w:highlight w:val="none"/>
                <w:shd w:val="clear" w:fill="FFFFFF"/>
                <w:lang w:val="sq-AL"/>
              </w:rPr>
              <w:t>区</w:t>
            </w:r>
            <w:r>
              <w:rPr>
                <w:rFonts w:hint="default" w:ascii="Times New Roman" w:hAnsi="Times New Roman" w:cs="Times New Roman"/>
                <w:color w:val="auto"/>
                <w:sz w:val="22"/>
                <w:szCs w:val="22"/>
                <w:highlight w:val="none"/>
                <w:lang w:val="sq-AL"/>
              </w:rPr>
              <w:t>污水处理设施</w:t>
            </w:r>
            <w:r>
              <w:rPr>
                <w:rFonts w:hint="eastAsia" w:cs="Times New Roman"/>
                <w:color w:val="auto"/>
                <w:sz w:val="22"/>
                <w:szCs w:val="22"/>
                <w:highlight w:val="none"/>
                <w:lang w:val="sq-AL" w:eastAsia="zh-CN"/>
              </w:rPr>
              <w:t>，</w:t>
            </w:r>
            <w:r>
              <w:rPr>
                <w:rFonts w:hint="default" w:ascii="Times New Roman" w:hAnsi="Times New Roman" w:cs="Times New Roman"/>
                <w:color w:val="auto"/>
                <w:sz w:val="22"/>
                <w:szCs w:val="22"/>
                <w:highlight w:val="none"/>
                <w:lang w:val="sq-AL"/>
              </w:rPr>
              <w:t>处理后用于厂区绿化，雨水经暗管收集后，就近排入附近水域。</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eastAsia" w:cs="Times New Roman"/>
                <w:color w:val="auto"/>
                <w:sz w:val="22"/>
                <w:szCs w:val="22"/>
                <w:highlight w:val="none"/>
                <w:lang w:eastAsia="zh-CN"/>
              </w:rPr>
              <w:t>迁建</w:t>
            </w:r>
            <w:r>
              <w:rPr>
                <w:rFonts w:hint="eastAsia" w:cs="Times New Roman"/>
                <w:color w:val="auto"/>
                <w:sz w:val="22"/>
                <w:szCs w:val="22"/>
                <w:highlight w:val="none"/>
                <w:lang w:val="en-US" w:eastAsia="zh-CN"/>
              </w:rPr>
              <w:t>+</w:t>
            </w: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 xml:space="preserve">供配电 </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对现有</w:t>
            </w:r>
            <w:r>
              <w:rPr>
                <w:rFonts w:hint="default" w:ascii="Times New Roman" w:hAnsi="Times New Roman" w:cs="Times New Roman"/>
                <w:color w:val="auto"/>
                <w:sz w:val="22"/>
                <w:szCs w:val="22"/>
                <w:highlight w:val="none"/>
              </w:rPr>
              <w:t>3</w:t>
            </w:r>
            <w:r>
              <w:rPr>
                <w:rFonts w:hint="eastAsia" w:cs="Times New Roman"/>
                <w:color w:val="auto"/>
                <w:sz w:val="22"/>
                <w:szCs w:val="22"/>
                <w:highlight w:val="none"/>
                <w:lang w:val="en-US" w:eastAsia="zh-CN"/>
              </w:rPr>
              <w:t>5</w:t>
            </w:r>
            <w:r>
              <w:rPr>
                <w:rFonts w:hint="default" w:ascii="Times New Roman" w:hAnsi="Times New Roman" w:cs="Times New Roman"/>
                <w:color w:val="auto"/>
                <w:sz w:val="22"/>
                <w:szCs w:val="22"/>
                <w:highlight w:val="none"/>
              </w:rPr>
              <w:t>kV</w:t>
            </w:r>
            <w:r>
              <w:rPr>
                <w:rFonts w:hint="default" w:ascii="Times New Roman" w:hAnsi="Times New Roman" w:cs="Times New Roman"/>
                <w:color w:val="auto"/>
                <w:sz w:val="22"/>
                <w:szCs w:val="22"/>
                <w:highlight w:val="none"/>
                <w:lang w:val="sq-AL"/>
              </w:rPr>
              <w:t>升压站、开关站进行拆除后还建，还建后升压站布置于现状船闸与新建船闸之间</w:t>
            </w:r>
            <w:r>
              <w:rPr>
                <w:rFonts w:hint="eastAsia" w:cs="Times New Roman"/>
                <w:color w:val="auto"/>
                <w:sz w:val="22"/>
                <w:szCs w:val="22"/>
                <w:highlight w:val="none"/>
                <w:lang w:val="sq-AL" w:eastAsia="zh-CN"/>
              </w:rPr>
              <w:t>，</w:t>
            </w:r>
            <w:r>
              <w:rPr>
                <w:rFonts w:hint="default" w:ascii="Times New Roman" w:hAnsi="Times New Roman" w:cs="Times New Roman"/>
                <w:color w:val="auto"/>
                <w:sz w:val="22"/>
                <w:szCs w:val="22"/>
                <w:highlight w:val="none"/>
                <w:lang w:val="sq-AL"/>
              </w:rPr>
              <w:t>升压站相关设备换新。</w:t>
            </w:r>
          </w:p>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渭沱船闸采用两路电源(一用一备)供电，一路工作电源是从枢纽电厂升压站35kV母线引接的一回35kV电缆线路，另一路备用电源是从铜溪变电站引接</w:t>
            </w:r>
            <w:r>
              <w:rPr>
                <w:rFonts w:hint="eastAsia" w:cs="Times New Roman"/>
                <w:color w:val="auto"/>
                <w:sz w:val="22"/>
                <w:szCs w:val="22"/>
                <w:highlight w:val="none"/>
                <w:shd w:val="clear" w:fill="FFFFFF"/>
                <w:lang w:val="sq-AL" w:eastAsia="zh-CN"/>
              </w:rPr>
              <w:t>的一</w:t>
            </w:r>
            <w:r>
              <w:rPr>
                <w:rFonts w:hint="default" w:ascii="Times New Roman" w:hAnsi="Times New Roman" w:cs="Times New Roman"/>
                <w:color w:val="auto"/>
                <w:sz w:val="22"/>
                <w:szCs w:val="22"/>
                <w:highlight w:val="none"/>
                <w:lang w:val="sq-AL"/>
              </w:rPr>
              <w:t>回10kV电源线路，同时，利旧一台250kW柴油发电机组作为保安电源。</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eastAsia" w:cs="Times New Roman"/>
                <w:color w:val="auto"/>
                <w:sz w:val="22"/>
                <w:szCs w:val="22"/>
                <w:highlight w:val="none"/>
                <w:lang w:eastAsia="zh-CN"/>
              </w:rPr>
              <w:t>迁建</w:t>
            </w:r>
            <w:r>
              <w:rPr>
                <w:rFonts w:hint="eastAsia" w:cs="Times New Roman"/>
                <w:color w:val="auto"/>
                <w:sz w:val="22"/>
                <w:szCs w:val="22"/>
                <w:highlight w:val="none"/>
                <w:lang w:val="en-US" w:eastAsia="zh-CN"/>
              </w:rPr>
              <w:t>+</w:t>
            </w: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4" w:type="dxa"/>
            <w:vMerge w:val="restart"/>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辅助工程</w:t>
            </w:r>
          </w:p>
        </w:tc>
        <w:tc>
          <w:tcPr>
            <w:tcW w:w="2024" w:type="dxa"/>
            <w:gridSpan w:val="2"/>
            <w:vMerge w:val="restart"/>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引航道</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cs="Times New Roman"/>
                <w:b/>
                <w:bCs/>
                <w:color w:val="auto"/>
                <w:sz w:val="22"/>
                <w:szCs w:val="22"/>
                <w:highlight w:val="none"/>
                <w:lang w:val="sq-AL"/>
              </w:rPr>
              <w:t>上游引航道：</w:t>
            </w:r>
            <w:r>
              <w:rPr>
                <w:rFonts w:hint="default" w:ascii="Times New Roman" w:hAnsi="Times New Roman" w:cs="Times New Roman"/>
                <w:color w:val="auto"/>
                <w:sz w:val="22"/>
                <w:szCs w:val="22"/>
                <w:highlight w:val="none"/>
                <w:lang w:val="sq-AL"/>
              </w:rPr>
              <w:t>由导航调顺段、停泊段和制动段组成，总长525m，其中导航段总长为</w:t>
            </w:r>
            <w:r>
              <w:rPr>
                <w:rFonts w:hint="eastAsia" w:cs="Times New Roman"/>
                <w:color w:val="auto"/>
                <w:sz w:val="22"/>
                <w:szCs w:val="22"/>
                <w:highlight w:val="none"/>
                <w:lang w:val="en-US" w:eastAsia="zh-CN"/>
              </w:rPr>
              <w:t>146</w:t>
            </w:r>
            <w:r>
              <w:rPr>
                <w:rFonts w:hint="default" w:ascii="Times New Roman" w:hAnsi="Times New Roman" w:cs="Times New Roman"/>
                <w:color w:val="auto"/>
                <w:sz w:val="22"/>
                <w:szCs w:val="22"/>
                <w:highlight w:val="none"/>
                <w:lang w:val="sq-AL"/>
              </w:rPr>
              <w:t>m，分为直线段 73m和曲线段73m，曲线段转弯半径为315m。停泊段长190m，制动段长189m。引航道外口门区长度 157.5m，宽度60m。在引航道左侧设置长约331.2m的桩基插板式隔</w:t>
            </w:r>
            <w:r>
              <w:rPr>
                <w:rFonts w:hint="default" w:ascii="Times New Roman" w:hAnsi="Times New Roman" w:cs="Times New Roman"/>
                <w:color w:val="auto"/>
                <w:sz w:val="22"/>
                <w:szCs w:val="22"/>
                <w:highlight w:val="none"/>
                <w:shd w:val="clear" w:fill="FFFFFF"/>
                <w:lang w:val="sq-AL"/>
              </w:rPr>
              <w:t>流墙</w:t>
            </w:r>
            <w:r>
              <w:rPr>
                <w:rFonts w:hint="default" w:ascii="Times New Roman" w:hAnsi="Times New Roman" w:cs="Times New Roman"/>
                <w:color w:val="auto"/>
                <w:sz w:val="22"/>
                <w:szCs w:val="22"/>
                <w:highlight w:val="none"/>
                <w:lang w:val="sq-AL"/>
              </w:rPr>
              <w:t>，桩基间距15m，用于掩护引航道，使得水流条件满足规范要求。</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Merge w:val="continue"/>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cs="Times New Roman"/>
                <w:b/>
                <w:bCs/>
                <w:color w:val="auto"/>
                <w:sz w:val="22"/>
                <w:szCs w:val="22"/>
                <w:highlight w:val="none"/>
                <w:lang w:val="sq-AL"/>
              </w:rPr>
              <w:t>下游引航道：</w:t>
            </w:r>
            <w:r>
              <w:rPr>
                <w:rFonts w:hint="default" w:ascii="Times New Roman" w:hAnsi="Times New Roman" w:cs="Times New Roman"/>
                <w:color w:val="auto"/>
                <w:sz w:val="22"/>
                <w:szCs w:val="22"/>
                <w:highlight w:val="none"/>
                <w:lang w:val="sq-AL"/>
              </w:rPr>
              <w:t>由导航调顺段、停泊段和制动段组成，总长399m，其中导航段总长为14m，分为直线段73m和曲线段73m，曲线段转弯半径为315m。停泊段长190m，制动段长63m</w:t>
            </w:r>
            <w:r>
              <w:rPr>
                <w:rFonts w:hint="eastAsia" w:cs="Times New Roman"/>
                <w:color w:val="auto"/>
                <w:sz w:val="22"/>
                <w:szCs w:val="22"/>
                <w:highlight w:val="none"/>
                <w:lang w:val="sq-AL" w:eastAsia="zh-CN"/>
              </w:rPr>
              <w:t>。</w:t>
            </w:r>
            <w:r>
              <w:rPr>
                <w:rFonts w:hint="default" w:ascii="Times New Roman" w:hAnsi="Times New Roman" w:cs="Times New Roman"/>
                <w:color w:val="auto"/>
                <w:sz w:val="22"/>
                <w:szCs w:val="22"/>
                <w:highlight w:val="none"/>
                <w:lang w:val="sq-AL"/>
              </w:rPr>
              <w:t>引航道外口门区长度</w:t>
            </w:r>
            <w:r>
              <w:rPr>
                <w:rFonts w:hint="eastAsia" w:cs="Times New Roman"/>
                <w:color w:val="auto"/>
                <w:sz w:val="22"/>
                <w:szCs w:val="22"/>
                <w:highlight w:val="none"/>
                <w:lang w:val="en-US" w:eastAsia="zh-CN"/>
              </w:rPr>
              <w:t>126</w:t>
            </w:r>
            <w:r>
              <w:rPr>
                <w:rFonts w:hint="default" w:ascii="Times New Roman" w:hAnsi="Times New Roman" w:cs="Times New Roman"/>
                <w:color w:val="auto"/>
                <w:sz w:val="22"/>
                <w:szCs w:val="22"/>
                <w:highlight w:val="none"/>
                <w:lang w:val="sq-AL"/>
              </w:rPr>
              <w:t>m，宽度60m。在引航道左侧设置长约368.9m的桩基插板式隔</w:t>
            </w:r>
            <w:r>
              <w:rPr>
                <w:rFonts w:hint="default" w:ascii="Times New Roman" w:hAnsi="Times New Roman" w:cs="Times New Roman"/>
                <w:color w:val="auto"/>
                <w:sz w:val="22"/>
                <w:szCs w:val="22"/>
                <w:highlight w:val="none"/>
                <w:shd w:val="clear" w:fill="FFFFFF"/>
                <w:lang w:val="sq-AL"/>
              </w:rPr>
              <w:t>流墙</w:t>
            </w:r>
            <w:r>
              <w:rPr>
                <w:rFonts w:hint="default" w:ascii="Times New Roman" w:hAnsi="Times New Roman" w:cs="Times New Roman"/>
                <w:color w:val="auto"/>
                <w:sz w:val="22"/>
                <w:szCs w:val="22"/>
                <w:highlight w:val="none"/>
                <w:lang w:val="sq-AL"/>
              </w:rPr>
              <w:t>，桩基间距15m，用于掩护引航道，使水流条件满足规范要求。</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上下游</w:t>
            </w:r>
            <w:r>
              <w:rPr>
                <w:rFonts w:hint="default" w:ascii="Times New Roman" w:hAnsi="Times New Roman" w:cs="Times New Roman"/>
                <w:color w:val="auto"/>
                <w:sz w:val="22"/>
                <w:szCs w:val="22"/>
                <w:highlight w:val="none"/>
                <w:shd w:val="clear" w:fill="FFFFFF"/>
              </w:rPr>
              <w:t>护坦</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为防止船闸运行时水流对引航道冲刷，上、下游引航道均设置钢筋砼护坦，上游护坦长30m、下游护坦长40m。</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靠船墩</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上、下游停泊段引航道停泊段靠右岸各布置</w:t>
            </w:r>
            <w:r>
              <w:rPr>
                <w:rFonts w:hint="default" w:ascii="Times New Roman" w:hAnsi="Times New Roman" w:cs="Times New Roman"/>
                <w:color w:val="auto"/>
                <w:sz w:val="22"/>
                <w:szCs w:val="22"/>
                <w:highlight w:val="none"/>
              </w:rPr>
              <w:t>9</w:t>
            </w:r>
            <w:r>
              <w:rPr>
                <w:rFonts w:hint="default" w:ascii="Times New Roman" w:hAnsi="Times New Roman" w:cs="Times New Roman"/>
                <w:color w:val="auto"/>
                <w:sz w:val="22"/>
                <w:szCs w:val="22"/>
                <w:highlight w:val="none"/>
                <w:lang w:val="sq-AL"/>
              </w:rPr>
              <w:t>个靠船墩，采用重力式结构，靠船墩间距为20m。平面尺寸为5.5m</w:t>
            </w:r>
            <w:r>
              <w:rPr>
                <w:rFonts w:hint="default" w:ascii="Times New Roman" w:hAnsi="Times New Roman" w:cs="Times New Roman"/>
                <w:color w:val="auto"/>
                <w:sz w:val="22"/>
                <w:szCs w:val="22"/>
                <w:highlight w:val="none"/>
                <w:shd w:val="clear" w:color="auto" w:fill="FFFFFF"/>
              </w:rPr>
              <w:t>×</w:t>
            </w:r>
            <w:r>
              <w:rPr>
                <w:rFonts w:hint="default" w:ascii="Times New Roman" w:hAnsi="Times New Roman" w:cs="Times New Roman"/>
                <w:color w:val="auto"/>
                <w:sz w:val="22"/>
                <w:szCs w:val="22"/>
                <w:highlight w:val="none"/>
                <w:lang w:val="sq-AL"/>
              </w:rPr>
              <w:t>5.0m(顺水流方向</w:t>
            </w:r>
            <w:r>
              <w:rPr>
                <w:rFonts w:hint="default" w:ascii="Times New Roman" w:hAnsi="Times New Roman" w:cs="Times New Roman"/>
                <w:color w:val="auto"/>
                <w:sz w:val="22"/>
                <w:szCs w:val="22"/>
                <w:highlight w:val="none"/>
                <w:shd w:val="clear" w:color="auto" w:fill="FFFFFF"/>
              </w:rPr>
              <w:t>×</w:t>
            </w:r>
            <w:r>
              <w:rPr>
                <w:rFonts w:hint="default" w:ascii="Times New Roman" w:hAnsi="Times New Roman" w:cs="Times New Roman"/>
                <w:color w:val="auto"/>
                <w:sz w:val="22"/>
                <w:szCs w:val="22"/>
                <w:highlight w:val="none"/>
                <w:lang w:val="sq-AL"/>
              </w:rPr>
              <w:t>垂直水流方向)，靠船墩之间通过宽度为1.2m的人行桥连接。</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Merge w:val="restart"/>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待闸锚地</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lang w:val="sq-AL"/>
              </w:rPr>
              <w:t>上游锚地：上游待闸锚地距船闸上游停泊段约</w:t>
            </w:r>
            <w:r>
              <w:rPr>
                <w:rFonts w:hint="eastAsia" w:cs="Times New Roman"/>
                <w:color w:val="auto"/>
                <w:sz w:val="22"/>
                <w:szCs w:val="22"/>
                <w:highlight w:val="none"/>
                <w:lang w:val="en-US" w:eastAsia="zh-CN"/>
              </w:rPr>
              <w:t>1228</w:t>
            </w:r>
            <w:r>
              <w:rPr>
                <w:rFonts w:hint="default" w:ascii="Times New Roman" w:hAnsi="Times New Roman" w:cs="Times New Roman"/>
                <w:color w:val="auto"/>
                <w:sz w:val="22"/>
                <w:szCs w:val="22"/>
                <w:highlight w:val="none"/>
                <w:lang w:val="sq-AL"/>
              </w:rPr>
              <w:t>m，锚位长度126m，锚位宽度45m</w:t>
            </w:r>
            <w:r>
              <w:rPr>
                <w:rFonts w:hint="eastAsia" w:cs="Times New Roman"/>
                <w:color w:val="auto"/>
                <w:sz w:val="22"/>
                <w:szCs w:val="22"/>
                <w:highlight w:val="none"/>
                <w:lang w:val="sq-AL" w:eastAsia="zh-CN"/>
              </w:rPr>
              <w:t>，</w:t>
            </w:r>
            <w:r>
              <w:rPr>
                <w:rFonts w:hint="default" w:ascii="Times New Roman" w:hAnsi="Times New Roman" w:cs="Times New Roman"/>
                <w:color w:val="auto"/>
                <w:sz w:val="22"/>
                <w:szCs w:val="22"/>
                <w:highlight w:val="none"/>
                <w:lang w:val="sq-AL"/>
              </w:rPr>
              <w:t>布设于航道左岸，采用抵坡丁靠的系泊方式，拟按双驳并排停泊的方式锚泊6艘1000t级船舶，共布设3组共3个地牛，地牛布置高程为209m。</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Merge w:val="continue"/>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下游锚地：布置于下游弯道末端直线段，距下游停泊段约</w:t>
            </w:r>
            <w:r>
              <w:rPr>
                <w:rFonts w:hint="eastAsia" w:cs="Times New Roman"/>
                <w:color w:val="auto"/>
                <w:sz w:val="22"/>
                <w:szCs w:val="22"/>
                <w:highlight w:val="none"/>
                <w:lang w:val="en-US" w:eastAsia="zh-CN"/>
              </w:rPr>
              <w:t>1232</w:t>
            </w:r>
            <w:r>
              <w:rPr>
                <w:rFonts w:hint="default" w:ascii="Times New Roman" w:hAnsi="Times New Roman" w:cs="Times New Roman"/>
                <w:color w:val="auto"/>
                <w:sz w:val="22"/>
                <w:szCs w:val="22"/>
                <w:highlight w:val="none"/>
                <w:lang w:val="sq-AL"/>
              </w:rPr>
              <w:t>m，锚位长度126m，锚位宽度45m</w:t>
            </w:r>
            <w:r>
              <w:rPr>
                <w:rFonts w:hint="eastAsia" w:cs="Times New Roman"/>
                <w:color w:val="auto"/>
                <w:sz w:val="22"/>
                <w:szCs w:val="22"/>
                <w:highlight w:val="none"/>
                <w:lang w:val="sq-AL" w:eastAsia="zh-CN"/>
              </w:rPr>
              <w:t>，</w:t>
            </w:r>
            <w:r>
              <w:rPr>
                <w:rFonts w:hint="default" w:ascii="Times New Roman" w:hAnsi="Times New Roman" w:cs="Times New Roman"/>
                <w:color w:val="auto"/>
                <w:sz w:val="22"/>
                <w:szCs w:val="22"/>
                <w:highlight w:val="none"/>
                <w:lang w:val="sq-AL"/>
              </w:rPr>
              <w:t>布设在航道右岸，采用抵坡丁靠的系泊方式，拟按双驳并排停泊的方式锚泊6艘1000t级船舶，每组布设高低水位2个地牛，共布设3组共6个地牛，高水地牛布置高程为208.3m，低水地牛布设高程为204m。</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航标工程</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lang w:val="sq-AL"/>
              </w:rPr>
              <w:t>布设侧面</w:t>
            </w:r>
            <w:r>
              <w:rPr>
                <w:rFonts w:hint="eastAsia" w:cs="Times New Roman"/>
                <w:color w:val="auto"/>
                <w:sz w:val="22"/>
                <w:szCs w:val="22"/>
                <w:highlight w:val="none"/>
                <w:lang w:val="sq-AL" w:eastAsia="zh-CN"/>
              </w:rPr>
              <w:t>岸</w:t>
            </w:r>
            <w:r>
              <w:rPr>
                <w:rFonts w:hint="default" w:ascii="Times New Roman" w:hAnsi="Times New Roman" w:cs="Times New Roman"/>
                <w:color w:val="auto"/>
                <w:sz w:val="22"/>
                <w:szCs w:val="22"/>
                <w:highlight w:val="none"/>
                <w:lang w:val="sq-AL"/>
              </w:rPr>
              <w:t>标</w:t>
            </w:r>
            <w:r>
              <w:rPr>
                <w:rFonts w:hint="eastAsia" w:cs="Times New Roman"/>
                <w:color w:val="auto"/>
                <w:sz w:val="22"/>
                <w:szCs w:val="22"/>
                <w:highlight w:val="none"/>
                <w:lang w:val="en-US" w:eastAsia="zh-CN"/>
              </w:rPr>
              <w:t>2</w:t>
            </w:r>
            <w:r>
              <w:rPr>
                <w:rFonts w:hint="default" w:ascii="Times New Roman" w:hAnsi="Times New Roman" w:cs="Times New Roman"/>
                <w:color w:val="auto"/>
                <w:sz w:val="22"/>
                <w:szCs w:val="22"/>
                <w:highlight w:val="none"/>
              </w:rPr>
              <w:t>座、</w:t>
            </w:r>
            <w:r>
              <w:rPr>
                <w:rFonts w:hint="eastAsia" w:cs="Times New Roman"/>
                <w:color w:val="auto"/>
                <w:sz w:val="22"/>
                <w:szCs w:val="22"/>
                <w:highlight w:val="none"/>
                <w:lang w:eastAsia="zh-CN"/>
              </w:rPr>
              <w:t>侧面浮标</w:t>
            </w:r>
            <w:r>
              <w:rPr>
                <w:rFonts w:hint="eastAsia" w:cs="Times New Roman"/>
                <w:color w:val="auto"/>
                <w:sz w:val="22"/>
                <w:szCs w:val="22"/>
                <w:highlight w:val="none"/>
                <w:lang w:val="en-US" w:eastAsia="zh-CN"/>
              </w:rPr>
              <w:t>5座、</w:t>
            </w:r>
            <w:r>
              <w:rPr>
                <w:rFonts w:hint="default" w:ascii="Times New Roman" w:hAnsi="Times New Roman" w:cs="Times New Roman"/>
                <w:color w:val="auto"/>
                <w:sz w:val="22"/>
                <w:szCs w:val="22"/>
                <w:highlight w:val="none"/>
              </w:rPr>
              <w:t>航道整治建筑物提示标</w:t>
            </w:r>
            <w:r>
              <w:rPr>
                <w:rFonts w:hint="default" w:ascii="Times New Roman" w:hAnsi="Times New Roman" w:cs="Times New Roman"/>
                <w:color w:val="auto"/>
                <w:sz w:val="22"/>
                <w:szCs w:val="22"/>
                <w:highlight w:val="none"/>
                <w:lang w:val="en-US" w:eastAsia="zh-CN"/>
              </w:rPr>
              <w:t>1座、</w:t>
            </w:r>
            <w:r>
              <w:rPr>
                <w:rFonts w:hint="eastAsia" w:cs="Times New Roman"/>
                <w:color w:val="auto"/>
                <w:sz w:val="22"/>
                <w:szCs w:val="22"/>
                <w:highlight w:val="none"/>
                <w:lang w:val="en-US" w:eastAsia="zh-CN"/>
              </w:rPr>
              <w:t>锚地专用标4座、</w:t>
            </w:r>
            <w:r>
              <w:rPr>
                <w:rFonts w:hint="default" w:ascii="Times New Roman" w:hAnsi="Times New Roman" w:cs="Times New Roman"/>
                <w:color w:val="auto"/>
                <w:sz w:val="22"/>
                <w:szCs w:val="22"/>
                <w:highlight w:val="none"/>
                <w:lang w:val="en-US" w:eastAsia="zh-CN"/>
              </w:rPr>
              <w:t>鸣笛标2座、</w:t>
            </w:r>
            <w:r>
              <w:rPr>
                <w:rFonts w:hint="default" w:ascii="Times New Roman" w:hAnsi="Times New Roman" w:cs="Times New Roman"/>
                <w:color w:val="auto"/>
                <w:sz w:val="22"/>
                <w:szCs w:val="22"/>
                <w:highlight w:val="none"/>
              </w:rPr>
              <w:t>桥涵标</w:t>
            </w:r>
            <w:r>
              <w:rPr>
                <w:rFonts w:hint="default" w:ascii="Times New Roman" w:hAnsi="Times New Roman" w:cs="Times New Roman"/>
                <w:color w:val="auto"/>
                <w:sz w:val="22"/>
                <w:szCs w:val="22"/>
                <w:highlight w:val="none"/>
                <w:lang w:val="en-US" w:eastAsia="zh-CN"/>
              </w:rPr>
              <w:t>2</w:t>
            </w:r>
            <w:r>
              <w:rPr>
                <w:rFonts w:hint="default" w:ascii="Times New Roman" w:hAnsi="Times New Roman" w:cs="Times New Roman"/>
                <w:color w:val="auto"/>
                <w:sz w:val="22"/>
                <w:szCs w:val="22"/>
                <w:highlight w:val="none"/>
              </w:rPr>
              <w:t>座、</w:t>
            </w:r>
            <w:r>
              <w:rPr>
                <w:rFonts w:hint="eastAsia" w:cs="Times New Roman"/>
                <w:color w:val="auto"/>
                <w:sz w:val="22"/>
                <w:szCs w:val="22"/>
                <w:highlight w:val="none"/>
                <w:lang w:val="en-US" w:eastAsia="zh-CN"/>
              </w:rPr>
              <w:t>节制闸</w:t>
            </w:r>
            <w:r>
              <w:rPr>
                <w:rFonts w:hint="default" w:ascii="Times New Roman" w:hAnsi="Times New Roman" w:cs="Times New Roman"/>
                <w:color w:val="auto"/>
                <w:sz w:val="22"/>
                <w:szCs w:val="22"/>
                <w:highlight w:val="none"/>
                <w:lang w:val="en-US" w:eastAsia="zh-CN"/>
              </w:rPr>
              <w:t>标2座、</w:t>
            </w:r>
            <w:r>
              <w:rPr>
                <w:rFonts w:hint="default" w:ascii="Times New Roman" w:hAnsi="Times New Roman" w:cs="Times New Roman"/>
                <w:color w:val="auto"/>
                <w:sz w:val="22"/>
                <w:szCs w:val="22"/>
                <w:highlight w:val="none"/>
              </w:rPr>
              <w:t>界限标8座、慢行标志2座、防止夹挡标志2座、禁止僭越标志2座、系好缆绳标志2座、宣传标志2座。</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跨闸交通桥</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eastAsia="宋体" w:cs="Times New Roman"/>
                <w:color w:val="auto"/>
                <w:spacing w:val="4"/>
                <w:sz w:val="22"/>
                <w:szCs w:val="22"/>
                <w:highlight w:val="none"/>
              </w:rPr>
              <w:t>设置跨闸桥1座</w:t>
            </w:r>
            <w:r>
              <w:rPr>
                <w:rFonts w:hint="default" w:ascii="Times New Roman" w:hAnsi="Times New Roman" w:eastAsia="宋体" w:cs="Times New Roman"/>
                <w:color w:val="auto"/>
                <w:spacing w:val="4"/>
                <w:sz w:val="22"/>
                <w:szCs w:val="22"/>
                <w:highlight w:val="none"/>
                <w:lang w:eastAsia="zh-CN"/>
              </w:rPr>
              <w:t>，</w:t>
            </w:r>
            <w:r>
              <w:rPr>
                <w:rFonts w:hint="default" w:ascii="Times New Roman" w:hAnsi="Times New Roman" w:eastAsia="宋体" w:cs="Times New Roman"/>
                <w:color w:val="auto"/>
                <w:spacing w:val="4"/>
                <w:sz w:val="22"/>
                <w:szCs w:val="22"/>
                <w:highlight w:val="none"/>
              </w:rPr>
              <w:t>全长</w:t>
            </w:r>
            <w:r>
              <w:rPr>
                <w:rFonts w:hint="default" w:ascii="Times New Roman" w:hAnsi="Times New Roman" w:eastAsia="Times New Roman" w:cs="Times New Roman"/>
                <w:color w:val="auto"/>
                <w:spacing w:val="4"/>
                <w:sz w:val="22"/>
                <w:szCs w:val="22"/>
                <w:highlight w:val="none"/>
              </w:rPr>
              <w:t>69.8m</w:t>
            </w:r>
            <w:r>
              <w:rPr>
                <w:rFonts w:hint="default" w:ascii="Times New Roman" w:hAnsi="Times New Roman" w:eastAsia="宋体" w:cs="Times New Roman"/>
                <w:color w:val="auto"/>
                <w:spacing w:val="4"/>
                <w:sz w:val="22"/>
                <w:szCs w:val="22"/>
                <w:highlight w:val="none"/>
              </w:rPr>
              <w:t>，桥面全宽</w:t>
            </w:r>
            <w:r>
              <w:rPr>
                <w:rFonts w:hint="default" w:ascii="Times New Roman" w:hAnsi="Times New Roman" w:eastAsia="Times New Roman" w:cs="Times New Roman"/>
                <w:color w:val="auto"/>
                <w:spacing w:val="4"/>
                <w:sz w:val="22"/>
                <w:szCs w:val="22"/>
                <w:highlight w:val="none"/>
              </w:rPr>
              <w:t>9.0m</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连接坝</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连接坝沿原坝轴线布置，沿坝轴线从左至右依次为：电站厂房、左侧连接坝下闸首、右侧连接坝。闸首两侧现浇混凝土坝连接坝沿坝轴线总长63.72m。坝顶高程为226.0m，坝顶宽度为10m。</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restart"/>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临时工程</w:t>
            </w:r>
          </w:p>
        </w:tc>
        <w:tc>
          <w:tcPr>
            <w:tcW w:w="2024" w:type="dxa"/>
            <w:gridSpan w:val="2"/>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lang w:val="sq-AL"/>
              </w:rPr>
              <w:t>导流建筑物</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包括全年围堰、枯水围堰。全年围堰由上游横向土石围堰（轴线长</w:t>
            </w:r>
            <w:r>
              <w:rPr>
                <w:rFonts w:hint="eastAsia" w:cs="Times New Roman"/>
                <w:color w:val="auto"/>
                <w:sz w:val="22"/>
                <w:szCs w:val="22"/>
                <w:highlight w:val="none"/>
                <w:lang w:val="en-US" w:eastAsia="zh-CN"/>
              </w:rPr>
              <w:t>133</w:t>
            </w:r>
            <w:r>
              <w:rPr>
                <w:rFonts w:hint="default" w:ascii="Times New Roman" w:hAnsi="Times New Roman" w:cs="Times New Roman"/>
                <w:color w:val="auto"/>
                <w:sz w:val="22"/>
                <w:szCs w:val="22"/>
                <w:highlight w:val="none"/>
              </w:rPr>
              <w:t>m</w:t>
            </w:r>
            <w:r>
              <w:rPr>
                <w:rFonts w:hint="default" w:ascii="Times New Roman" w:hAnsi="Times New Roman" w:cs="Times New Roman"/>
                <w:color w:val="auto"/>
                <w:sz w:val="22"/>
                <w:szCs w:val="22"/>
                <w:highlight w:val="none"/>
                <w:lang w:val="sq-AL"/>
              </w:rPr>
              <w:t>）、上游纵向土石围堰（轴线长</w:t>
            </w:r>
            <w:r>
              <w:rPr>
                <w:rFonts w:hint="default" w:ascii="Times New Roman" w:hAnsi="Times New Roman" w:cs="Times New Roman"/>
                <w:color w:val="auto"/>
                <w:sz w:val="22"/>
                <w:szCs w:val="22"/>
                <w:highlight w:val="none"/>
              </w:rPr>
              <w:t>134.50m</w:t>
            </w:r>
            <w:r>
              <w:rPr>
                <w:rFonts w:hint="default" w:ascii="Times New Roman" w:hAnsi="Times New Roman" w:cs="Times New Roman"/>
                <w:color w:val="auto"/>
                <w:sz w:val="22"/>
                <w:szCs w:val="22"/>
                <w:highlight w:val="none"/>
                <w:lang w:val="sq-AL"/>
              </w:rPr>
              <w:t>）、上游纵向空箱围堰(兼做后期连接路，轴线长</w:t>
            </w:r>
            <w:r>
              <w:rPr>
                <w:rFonts w:hint="default" w:ascii="Times New Roman" w:hAnsi="Times New Roman" w:cs="Times New Roman"/>
                <w:color w:val="auto"/>
                <w:sz w:val="22"/>
                <w:szCs w:val="22"/>
                <w:highlight w:val="none"/>
              </w:rPr>
              <w:t>158m</w:t>
            </w:r>
            <w:r>
              <w:rPr>
                <w:rFonts w:hint="default" w:ascii="Times New Roman" w:hAnsi="Times New Roman" w:cs="Times New Roman"/>
                <w:color w:val="auto"/>
                <w:sz w:val="22"/>
                <w:szCs w:val="22"/>
                <w:highlight w:val="none"/>
                <w:lang w:val="sq-AL"/>
              </w:rPr>
              <w:t>)、下游纵向围堰（轴线长</w:t>
            </w:r>
            <w:r>
              <w:rPr>
                <w:rFonts w:hint="default" w:ascii="Times New Roman" w:hAnsi="Times New Roman" w:cs="Times New Roman"/>
                <w:color w:val="auto"/>
                <w:sz w:val="22"/>
                <w:szCs w:val="22"/>
                <w:highlight w:val="none"/>
              </w:rPr>
              <w:t>38m</w:t>
            </w:r>
            <w:r>
              <w:rPr>
                <w:rFonts w:hint="default" w:ascii="Times New Roman" w:hAnsi="Times New Roman" w:cs="Times New Roman"/>
                <w:color w:val="auto"/>
                <w:sz w:val="22"/>
                <w:szCs w:val="22"/>
                <w:highlight w:val="none"/>
                <w:lang w:val="sq-AL"/>
              </w:rPr>
              <w:t>）和下游纵向土石围堰（轴线长</w:t>
            </w:r>
            <w:r>
              <w:rPr>
                <w:rFonts w:hint="default" w:ascii="Times New Roman" w:hAnsi="Times New Roman" w:cs="Times New Roman"/>
                <w:color w:val="auto"/>
                <w:sz w:val="22"/>
                <w:szCs w:val="22"/>
                <w:highlight w:val="none"/>
              </w:rPr>
              <w:t>107m</w:t>
            </w:r>
            <w:r>
              <w:rPr>
                <w:rFonts w:hint="default" w:ascii="Times New Roman" w:hAnsi="Times New Roman" w:cs="Times New Roman"/>
                <w:color w:val="auto"/>
                <w:sz w:val="22"/>
                <w:szCs w:val="22"/>
                <w:highlight w:val="none"/>
                <w:lang w:val="sq-AL"/>
              </w:rPr>
              <w:t>）组成。枯水围堰包括上游枯水围堰（轴线长</w:t>
            </w:r>
            <w:r>
              <w:rPr>
                <w:rFonts w:hint="default" w:ascii="Times New Roman" w:hAnsi="Times New Roman" w:cs="Times New Roman"/>
                <w:color w:val="auto"/>
                <w:sz w:val="22"/>
                <w:szCs w:val="22"/>
                <w:highlight w:val="none"/>
              </w:rPr>
              <w:t>241m</w:t>
            </w:r>
            <w:r>
              <w:rPr>
                <w:rFonts w:hint="default" w:ascii="Times New Roman" w:hAnsi="Times New Roman" w:cs="Times New Roman"/>
                <w:color w:val="auto"/>
                <w:sz w:val="22"/>
                <w:szCs w:val="22"/>
                <w:highlight w:val="none"/>
                <w:lang w:val="sq-AL"/>
              </w:rPr>
              <w:t>）、下游枯水围堰（轴线长</w:t>
            </w:r>
            <w:r>
              <w:rPr>
                <w:rFonts w:hint="default" w:ascii="Times New Roman" w:hAnsi="Times New Roman" w:cs="Times New Roman"/>
                <w:color w:val="auto"/>
                <w:sz w:val="22"/>
                <w:szCs w:val="22"/>
                <w:highlight w:val="none"/>
              </w:rPr>
              <w:t>215m</w:t>
            </w:r>
            <w:r>
              <w:rPr>
                <w:rFonts w:hint="default" w:ascii="Times New Roman" w:hAnsi="Times New Roman" w:cs="Times New Roman"/>
                <w:color w:val="auto"/>
                <w:sz w:val="22"/>
                <w:szCs w:val="22"/>
                <w:highlight w:val="none"/>
                <w:lang w:val="sq-AL"/>
              </w:rPr>
              <w:t>）。</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施工道路</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lang w:val="sq-AL"/>
              </w:rPr>
              <w:t>新建施工临时道路长约1351m，宽</w:t>
            </w:r>
            <w:r>
              <w:rPr>
                <w:rFonts w:hint="default" w:ascii="Times New Roman" w:hAnsi="Times New Roman" w:cs="Times New Roman"/>
                <w:color w:val="auto"/>
                <w:sz w:val="22"/>
                <w:szCs w:val="22"/>
                <w:highlight w:val="none"/>
              </w:rPr>
              <w:t>8m。</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施工场地</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船闸施工场地分为</w:t>
            </w:r>
            <w:r>
              <w:rPr>
                <w:rFonts w:hint="eastAsia" w:cs="Times New Roman"/>
                <w:color w:val="auto"/>
                <w:sz w:val="22"/>
                <w:szCs w:val="22"/>
                <w:highlight w:val="none"/>
                <w:lang w:val="en-US" w:eastAsia="zh-CN"/>
              </w:rPr>
              <w:t>3</w:t>
            </w:r>
            <w:r>
              <w:rPr>
                <w:rFonts w:hint="default" w:ascii="Times New Roman" w:hAnsi="Times New Roman" w:cs="Times New Roman"/>
                <w:color w:val="auto"/>
                <w:sz w:val="22"/>
                <w:szCs w:val="22"/>
                <w:highlight w:val="none"/>
                <w:lang w:val="sq-AL"/>
              </w:rPr>
              <w:t>块区域，均位于船闸主体工程右侧和下游侧，利用现状枢纽生产管理区办公场地及预留场地布置</w:t>
            </w:r>
            <w:r>
              <w:rPr>
                <w:rFonts w:hint="eastAsia" w:cs="Times New Roman"/>
                <w:color w:val="auto"/>
                <w:sz w:val="22"/>
                <w:szCs w:val="22"/>
                <w:highlight w:val="none"/>
                <w:lang w:val="sq-AL" w:eastAsia="zh-CN"/>
              </w:rPr>
              <w:t>。</w:t>
            </w:r>
            <w:r>
              <w:rPr>
                <w:rFonts w:hint="default" w:ascii="Times New Roman" w:hAnsi="Times New Roman" w:cs="Times New Roman"/>
                <w:color w:val="auto"/>
                <w:sz w:val="22"/>
                <w:szCs w:val="22"/>
                <w:highlight w:val="none"/>
              </w:rPr>
              <w:t>施工营地</w:t>
            </w:r>
            <w:r>
              <w:rPr>
                <w:rFonts w:hint="default" w:ascii="Times New Roman" w:hAnsi="Times New Roman" w:cs="Times New Roman"/>
                <w:color w:val="auto"/>
                <w:sz w:val="22"/>
                <w:szCs w:val="22"/>
                <w:highlight w:val="none"/>
                <w:lang w:val="sq-AL"/>
              </w:rPr>
              <w:t>利用已建枢纽生产管理区办公楼及楼前广场布置，</w:t>
            </w:r>
            <w:r>
              <w:rPr>
                <w:rFonts w:ascii="宋体" w:hAnsi="宋体" w:eastAsia="宋体" w:cs="宋体"/>
                <w:color w:val="auto"/>
                <w:spacing w:val="3"/>
                <w:sz w:val="22"/>
                <w:szCs w:val="22"/>
                <w:highlight w:val="none"/>
              </w:rPr>
              <w:t>场</w:t>
            </w:r>
            <w:r>
              <w:rPr>
                <w:rFonts w:ascii="宋体" w:hAnsi="宋体" w:eastAsia="宋体" w:cs="宋体"/>
                <w:color w:val="auto"/>
                <w:spacing w:val="4"/>
                <w:sz w:val="22"/>
                <w:szCs w:val="22"/>
                <w:highlight w:val="none"/>
              </w:rPr>
              <w:t>地面积</w:t>
            </w:r>
            <w:r>
              <w:rPr>
                <w:rFonts w:ascii="宋体" w:hAnsi="宋体" w:eastAsia="宋体" w:cs="宋体"/>
                <w:color w:val="auto"/>
                <w:spacing w:val="-43"/>
                <w:sz w:val="22"/>
                <w:szCs w:val="22"/>
                <w:highlight w:val="none"/>
              </w:rPr>
              <w:t xml:space="preserve"> </w:t>
            </w:r>
            <w:r>
              <w:rPr>
                <w:rFonts w:ascii="Times New Roman" w:hAnsi="Times New Roman" w:eastAsia="Times New Roman" w:cs="Times New Roman"/>
                <w:color w:val="auto"/>
                <w:spacing w:val="4"/>
                <w:sz w:val="22"/>
                <w:szCs w:val="22"/>
                <w:highlight w:val="none"/>
              </w:rPr>
              <w:t>2300</w:t>
            </w:r>
            <w:r>
              <w:rPr>
                <w:rFonts w:hint="eastAsia" w:ascii="Times New Roman" w:hAnsi="Times New Roman" w:eastAsia="宋体" w:cs="Times New Roman"/>
                <w:color w:val="auto"/>
                <w:spacing w:val="4"/>
                <w:sz w:val="22"/>
                <w:szCs w:val="22"/>
                <w:highlight w:val="none"/>
                <w:lang w:val="en-US" w:eastAsia="zh-CN"/>
              </w:rPr>
              <w:t>m</w:t>
            </w:r>
            <w:r>
              <w:rPr>
                <w:rFonts w:hint="eastAsia" w:ascii="Times New Roman" w:hAnsi="Times New Roman" w:eastAsia="宋体" w:cs="Times New Roman"/>
                <w:color w:val="auto"/>
                <w:spacing w:val="4"/>
                <w:sz w:val="22"/>
                <w:szCs w:val="22"/>
                <w:highlight w:val="none"/>
                <w:vertAlign w:val="superscript"/>
                <w:lang w:val="en-US" w:eastAsia="zh-CN"/>
              </w:rPr>
              <w:t>2</w:t>
            </w:r>
            <w:r>
              <w:rPr>
                <w:rFonts w:hint="eastAsia" w:ascii="Times New Roman" w:hAnsi="Times New Roman" w:eastAsia="宋体" w:cs="Times New Roman"/>
                <w:color w:val="auto"/>
                <w:spacing w:val="4"/>
                <w:sz w:val="22"/>
                <w:szCs w:val="22"/>
                <w:highlight w:val="none"/>
                <w:vertAlign w:val="baseline"/>
                <w:lang w:val="en-US" w:eastAsia="zh-CN"/>
              </w:rPr>
              <w:t>，</w:t>
            </w:r>
            <w:r>
              <w:rPr>
                <w:rFonts w:hint="default" w:ascii="Times New Roman" w:hAnsi="Times New Roman" w:cs="Times New Roman"/>
                <w:color w:val="auto"/>
                <w:sz w:val="22"/>
                <w:szCs w:val="22"/>
                <w:highlight w:val="none"/>
                <w:lang w:val="sq-AL"/>
              </w:rPr>
              <w:t>布置临时办公楼、施工办公区、施工生活区等。施工配套场地利用现状枢纽生产管理区预留场地布置，场地面积</w:t>
            </w:r>
            <w:r>
              <w:rPr>
                <w:rFonts w:hint="eastAsia" w:ascii="Times New Roman" w:hAnsi="Times New Roman" w:cs="Times New Roman"/>
                <w:color w:val="auto"/>
                <w:sz w:val="22"/>
                <w:szCs w:val="22"/>
                <w:highlight w:val="none"/>
                <w:lang w:val="en-US" w:eastAsia="zh-CN"/>
              </w:rPr>
              <w:t>645</w:t>
            </w:r>
            <w:r>
              <w:rPr>
                <w:rFonts w:hint="default" w:ascii="Times New Roman" w:hAnsi="Times New Roman" w:cs="Times New Roman"/>
                <w:color w:val="auto"/>
                <w:sz w:val="22"/>
                <w:szCs w:val="22"/>
                <w:highlight w:val="none"/>
                <w:lang w:val="sq-AL"/>
              </w:rPr>
              <w:t>0</w:t>
            </w:r>
            <w:r>
              <w:rPr>
                <w:rFonts w:hint="eastAsia" w:ascii="Times New Roman" w:hAnsi="Times New Roman" w:cs="Times New Roman"/>
                <w:color w:val="auto"/>
                <w:sz w:val="22"/>
                <w:szCs w:val="22"/>
                <w:highlight w:val="none"/>
                <w:lang w:val="en-US" w:eastAsia="zh-CN"/>
              </w:rPr>
              <w:t>m</w:t>
            </w:r>
            <w:r>
              <w:rPr>
                <w:rFonts w:hint="eastAsia" w:ascii="Times New Roman" w:hAnsi="Times New Roman" w:cs="Times New Roman"/>
                <w:color w:val="auto"/>
                <w:sz w:val="22"/>
                <w:szCs w:val="22"/>
                <w:highlight w:val="none"/>
                <w:vertAlign w:val="superscript"/>
                <w:lang w:val="en-US" w:eastAsia="zh-CN"/>
              </w:rPr>
              <w:t>2</w:t>
            </w:r>
            <w:r>
              <w:rPr>
                <w:rFonts w:hint="eastAsia" w:ascii="Times New Roman" w:hAnsi="Times New Roman" w:cs="Times New Roman"/>
                <w:color w:val="auto"/>
                <w:sz w:val="22"/>
                <w:szCs w:val="22"/>
                <w:highlight w:val="none"/>
                <w:lang w:val="en-US" w:eastAsia="zh-CN"/>
              </w:rPr>
              <w:t>，</w:t>
            </w:r>
            <w:r>
              <w:rPr>
                <w:rFonts w:hint="default" w:ascii="Times New Roman" w:hAnsi="Times New Roman" w:cs="Times New Roman"/>
                <w:color w:val="auto"/>
                <w:sz w:val="22"/>
                <w:szCs w:val="22"/>
                <w:highlight w:val="none"/>
                <w:lang w:val="sq-AL"/>
              </w:rPr>
              <w:t>布置机械停放场地、模板加工场地、钢筋加工场地、料场、搅拌站场地、变压器等。主基坑下游布置有料场、临时堆土区面积约15250m</w:t>
            </w:r>
            <w:r>
              <w:rPr>
                <w:rFonts w:hint="default" w:ascii="Times New Roman" w:hAnsi="Times New Roman" w:cs="Times New Roman"/>
                <w:color w:val="auto"/>
                <w:sz w:val="22"/>
                <w:szCs w:val="22"/>
                <w:highlight w:val="none"/>
                <w:vertAlign w:val="superscript"/>
                <w:lang w:val="sq-AL"/>
              </w:rPr>
              <w:t>2</w:t>
            </w:r>
            <w:r>
              <w:rPr>
                <w:rFonts w:hint="default" w:ascii="Times New Roman" w:hAnsi="Times New Roman" w:cs="Times New Roman"/>
                <w:color w:val="auto"/>
                <w:sz w:val="22"/>
                <w:szCs w:val="22"/>
                <w:highlight w:val="none"/>
                <w:lang w:val="sq-AL"/>
              </w:rPr>
              <w:t>，用于堆放施工材料和临时开挖土方。</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新建+利用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弃渣场</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eastAsia" w:cs="Times New Roman"/>
                <w:color w:val="auto"/>
                <w:sz w:val="22"/>
                <w:szCs w:val="22"/>
                <w:highlight w:val="none"/>
                <w:lang w:val="sq-AL" w:eastAsia="zh-CN"/>
              </w:rPr>
              <w:t>设置</w:t>
            </w:r>
            <w:r>
              <w:rPr>
                <w:rFonts w:hint="eastAsia" w:cs="Times New Roman"/>
                <w:color w:val="auto"/>
                <w:sz w:val="22"/>
                <w:szCs w:val="22"/>
                <w:highlight w:val="none"/>
                <w:lang w:val="en-US" w:eastAsia="zh-CN"/>
              </w:rPr>
              <w:t>2个临时弃渣场，1#弃渣场位于渭沱枢纽东南侧约300m山沟处，容量约22万m³；2#弃渣场位于</w:t>
            </w:r>
            <w:r>
              <w:rPr>
                <w:rFonts w:hint="default" w:ascii="Times New Roman" w:hAnsi="Times New Roman" w:cs="Times New Roman"/>
                <w:color w:val="auto"/>
                <w:sz w:val="22"/>
                <w:szCs w:val="22"/>
                <w:highlight w:val="none"/>
                <w:lang w:val="sq-AL"/>
              </w:rPr>
              <w:t>铜溪镇熊家岩坪南侧、省道S451北侧</w:t>
            </w:r>
            <w:r>
              <w:rPr>
                <w:rFonts w:hint="default" w:ascii="Times New Roman" w:hAnsi="Times New Roman" w:cs="Times New Roman"/>
                <w:color w:val="auto"/>
                <w:sz w:val="22"/>
                <w:szCs w:val="22"/>
                <w:highlight w:val="none"/>
              </w:rPr>
              <w:t>，</w:t>
            </w:r>
            <w:r>
              <w:rPr>
                <w:rFonts w:hint="eastAsia" w:cs="Times New Roman"/>
                <w:color w:val="auto"/>
                <w:sz w:val="22"/>
                <w:szCs w:val="22"/>
                <w:highlight w:val="none"/>
                <w:lang w:eastAsia="zh-CN"/>
              </w:rPr>
              <w:t>运距</w:t>
            </w:r>
            <w:r>
              <w:rPr>
                <w:rFonts w:hint="default" w:ascii="Times New Roman" w:hAnsi="Times New Roman" w:cs="Times New Roman"/>
                <w:color w:val="auto"/>
                <w:sz w:val="22"/>
                <w:szCs w:val="22"/>
                <w:highlight w:val="none"/>
              </w:rPr>
              <w:t>约7km</w:t>
            </w:r>
            <w:r>
              <w:rPr>
                <w:rFonts w:hint="eastAsia" w:cs="Times New Roman"/>
                <w:color w:val="auto"/>
                <w:sz w:val="22"/>
                <w:szCs w:val="22"/>
                <w:highlight w:val="none"/>
                <w:lang w:eastAsia="zh-CN"/>
              </w:rPr>
              <w:t>，</w:t>
            </w:r>
            <w:r>
              <w:rPr>
                <w:rFonts w:hint="default" w:ascii="Times New Roman" w:hAnsi="Times New Roman" w:cs="Times New Roman"/>
                <w:color w:val="auto"/>
                <w:sz w:val="22"/>
                <w:szCs w:val="22"/>
                <w:highlight w:val="none"/>
                <w:lang w:val="sq-AL"/>
              </w:rPr>
              <w:t>容量约</w:t>
            </w:r>
            <w:r>
              <w:rPr>
                <w:rFonts w:hint="eastAsia" w:cs="Times New Roman"/>
                <w:color w:val="auto"/>
                <w:sz w:val="22"/>
                <w:szCs w:val="22"/>
                <w:highlight w:val="none"/>
                <w:lang w:val="en-US" w:eastAsia="zh-CN"/>
              </w:rPr>
              <w:t>163</w:t>
            </w:r>
            <w:r>
              <w:rPr>
                <w:rFonts w:hint="default" w:ascii="Times New Roman" w:hAnsi="Times New Roman" w:cs="Times New Roman"/>
                <w:color w:val="auto"/>
                <w:sz w:val="22"/>
                <w:szCs w:val="22"/>
                <w:highlight w:val="none"/>
                <w:lang w:val="sq-AL"/>
              </w:rPr>
              <w:t>万</w:t>
            </w:r>
            <w:r>
              <w:rPr>
                <w:rFonts w:hint="default" w:ascii="Times New Roman" w:hAnsi="Times New Roman" w:cs="Times New Roman"/>
                <w:color w:val="auto"/>
                <w:sz w:val="22"/>
                <w:szCs w:val="22"/>
                <w:highlight w:val="none"/>
              </w:rPr>
              <w:t>m³</w:t>
            </w:r>
            <w:r>
              <w:rPr>
                <w:rFonts w:hint="default" w:ascii="Times New Roman" w:hAnsi="Times New Roman" w:cs="Times New Roman"/>
                <w:color w:val="auto"/>
                <w:sz w:val="22"/>
                <w:szCs w:val="22"/>
                <w:highlight w:val="none"/>
                <w:lang w:val="sq-AL"/>
              </w:rPr>
              <w:t>。</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restart"/>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lang w:val="sq-AL"/>
              </w:rPr>
              <w:t>环保工程</w:t>
            </w:r>
          </w:p>
        </w:tc>
        <w:tc>
          <w:tcPr>
            <w:tcW w:w="2024" w:type="dxa"/>
            <w:gridSpan w:val="2"/>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废水治理</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eastAsia" w:cs="Times New Roman"/>
                <w:color w:val="auto"/>
                <w:sz w:val="22"/>
                <w:szCs w:val="22"/>
                <w:highlight w:val="none"/>
                <w:lang w:val="sq-AL" w:eastAsia="zh-CN"/>
              </w:rPr>
              <w:t>过闸</w:t>
            </w:r>
            <w:r>
              <w:rPr>
                <w:rFonts w:hint="default" w:ascii="Times New Roman" w:hAnsi="Times New Roman" w:cs="Times New Roman"/>
                <w:color w:val="auto"/>
                <w:sz w:val="22"/>
                <w:szCs w:val="22"/>
                <w:highlight w:val="none"/>
                <w:lang w:val="sq-AL"/>
              </w:rPr>
              <w:t>船舶机舱含油污水、生活污水需向有资质的污染物接收的单位申请有偿接收处理，本项目船闸区不提供接收服务，不允许在船闸区排放。</w:t>
            </w:r>
          </w:p>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在闸管区内部主体建筑附近设置污水处理站，</w:t>
            </w:r>
            <w:r>
              <w:rPr>
                <w:rFonts w:hint="default" w:ascii="Times New Roman" w:hAnsi="Times New Roman" w:cs="Times New Roman"/>
                <w:color w:val="auto"/>
                <w:sz w:val="22"/>
                <w:szCs w:val="22"/>
                <w:highlight w:val="none"/>
              </w:rPr>
              <w:t>处理规模为</w:t>
            </w:r>
            <w:r>
              <w:rPr>
                <w:rFonts w:hint="eastAsia" w:cs="Times New Roman"/>
                <w:color w:val="auto"/>
                <w:sz w:val="22"/>
                <w:szCs w:val="22"/>
                <w:highlight w:val="none"/>
                <w:lang w:val="en-US" w:eastAsia="zh-CN"/>
              </w:rPr>
              <w:t>3</w:t>
            </w:r>
            <w:r>
              <w:rPr>
                <w:rFonts w:hint="default" w:ascii="Times New Roman" w:hAnsi="Times New Roman" w:cs="Times New Roman"/>
                <w:color w:val="auto"/>
                <w:sz w:val="22"/>
                <w:szCs w:val="22"/>
                <w:highlight w:val="none"/>
              </w:rPr>
              <w:t>m³/</w:t>
            </w:r>
            <w:r>
              <w:rPr>
                <w:rFonts w:hint="eastAsia" w:cs="Times New Roman"/>
                <w:color w:val="auto"/>
                <w:sz w:val="22"/>
                <w:szCs w:val="22"/>
                <w:highlight w:val="none"/>
                <w:lang w:val="en-US" w:eastAsia="zh-CN"/>
              </w:rPr>
              <w:t>h</w:t>
            </w:r>
            <w:r>
              <w:rPr>
                <w:rFonts w:hint="default" w:ascii="Times New Roman" w:hAnsi="Times New Roman" w:cs="Times New Roman"/>
                <w:color w:val="auto"/>
                <w:sz w:val="22"/>
                <w:szCs w:val="22"/>
                <w:highlight w:val="none"/>
              </w:rPr>
              <w:t>，</w:t>
            </w:r>
            <w:r>
              <w:rPr>
                <w:rFonts w:hint="default" w:ascii="Times New Roman" w:hAnsi="Times New Roman" w:cs="Times New Roman"/>
                <w:color w:val="auto"/>
                <w:sz w:val="22"/>
                <w:szCs w:val="22"/>
                <w:highlight w:val="none"/>
                <w:lang w:val="sq-AL"/>
              </w:rPr>
              <w:t>食堂含油废水经收集至隔油池内预处理后排入污水站，闸管区工作人员生活污水经化粪池排入生活污水处理站，食堂含油废水及生活污水经污水处理站一体化污水处理装置处理</w:t>
            </w:r>
            <w:r>
              <w:rPr>
                <w:rFonts w:hint="default" w:ascii="Times New Roman" w:hAnsi="Times New Roman" w:cs="Times New Roman"/>
                <w:color w:val="auto"/>
                <w:sz w:val="22"/>
                <w:szCs w:val="22"/>
                <w:highlight w:val="none"/>
                <w:shd w:val="clear" w:fill="FFFFFF"/>
                <w:lang w:val="sq-AL"/>
              </w:rPr>
              <w:t>达</w:t>
            </w:r>
            <w:r>
              <w:rPr>
                <w:rFonts w:hint="default" w:ascii="Times New Roman" w:hAnsi="Times New Roman" w:cs="Times New Roman"/>
                <w:color w:val="auto"/>
                <w:sz w:val="22"/>
                <w:szCs w:val="22"/>
                <w:highlight w:val="none"/>
                <w:lang w:val="sq-AL"/>
              </w:rPr>
              <w:t>《城市污水再生利用城市杂用水水质》(GB/T18920-2020)相应标准后回用于绿化。</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废气治理</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闸管区食堂安装</w:t>
            </w:r>
            <w:r>
              <w:rPr>
                <w:rFonts w:hint="default" w:ascii="Times New Roman" w:hAnsi="Times New Roman" w:cs="Times New Roman"/>
                <w:color w:val="auto"/>
                <w:sz w:val="22"/>
                <w:szCs w:val="22"/>
                <w:highlight w:val="none"/>
              </w:rPr>
              <w:t>1套</w:t>
            </w:r>
            <w:r>
              <w:rPr>
                <w:rFonts w:hint="default" w:ascii="Times New Roman" w:hAnsi="Times New Roman" w:cs="Times New Roman"/>
                <w:color w:val="auto"/>
                <w:sz w:val="22"/>
                <w:szCs w:val="22"/>
                <w:highlight w:val="none"/>
                <w:lang w:val="sq-AL"/>
              </w:rPr>
              <w:t>油烟净化装置。</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固废治理</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施工期工程开挖土石方和施工建筑垃圾可利用部分尽可能回用于工程建设，不能利用的及时送至弃渣场堆置，夯实压实，采取植被防护措施，避免扬尘和水土流失。</w:t>
            </w:r>
          </w:p>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运营</w:t>
            </w:r>
            <w:r>
              <w:rPr>
                <w:rFonts w:hint="default" w:ascii="Times New Roman" w:hAnsi="Times New Roman" w:cs="Times New Roman"/>
                <w:color w:val="auto"/>
                <w:sz w:val="22"/>
                <w:szCs w:val="22"/>
                <w:highlight w:val="none"/>
                <w:shd w:val="clear" w:fill="FFFFFF"/>
                <w:lang w:val="sq-AL"/>
              </w:rPr>
              <w:t>期</w:t>
            </w:r>
            <w:r>
              <w:rPr>
                <w:rFonts w:hint="default" w:ascii="Times New Roman" w:hAnsi="Times New Roman" w:cs="Times New Roman"/>
                <w:color w:val="auto"/>
                <w:sz w:val="22"/>
                <w:szCs w:val="22"/>
                <w:highlight w:val="none"/>
                <w:lang w:val="sq-AL"/>
              </w:rPr>
              <w:t>在</w:t>
            </w:r>
            <w:r>
              <w:rPr>
                <w:rFonts w:hint="eastAsia" w:cs="Times New Roman"/>
                <w:color w:val="auto"/>
                <w:sz w:val="22"/>
                <w:szCs w:val="22"/>
                <w:highlight w:val="none"/>
                <w:lang w:val="sq-AL" w:eastAsia="zh-CN"/>
              </w:rPr>
              <w:t>管理区</w:t>
            </w:r>
            <w:r>
              <w:rPr>
                <w:rFonts w:hint="default" w:ascii="Times New Roman" w:hAnsi="Times New Roman" w:cs="Times New Roman"/>
                <w:color w:val="auto"/>
                <w:sz w:val="22"/>
                <w:szCs w:val="22"/>
                <w:highlight w:val="none"/>
                <w:lang w:val="sq-AL"/>
              </w:rPr>
              <w:t>设垃圾桶收集工作人员的生活垃圾并委托环卫部门定期清运；在</w:t>
            </w:r>
            <w:r>
              <w:rPr>
                <w:rFonts w:hint="eastAsia" w:cs="Times New Roman"/>
                <w:color w:val="auto"/>
                <w:sz w:val="22"/>
                <w:szCs w:val="22"/>
                <w:highlight w:val="none"/>
                <w:lang w:val="sq-AL" w:eastAsia="zh-CN"/>
              </w:rPr>
              <w:t>管理区</w:t>
            </w:r>
            <w:r>
              <w:rPr>
                <w:rFonts w:hint="default" w:ascii="Times New Roman" w:hAnsi="Times New Roman" w:cs="Times New Roman"/>
                <w:color w:val="auto"/>
                <w:sz w:val="22"/>
                <w:szCs w:val="22"/>
                <w:highlight w:val="none"/>
                <w:lang w:val="sq-AL"/>
              </w:rPr>
              <w:t>设置危废贮存点</w:t>
            </w:r>
            <w:r>
              <w:rPr>
                <w:rFonts w:hint="default" w:ascii="Times New Roman" w:hAnsi="Times New Roman" w:cs="Times New Roman"/>
                <w:color w:val="auto"/>
                <w:sz w:val="22"/>
                <w:szCs w:val="22"/>
                <w:highlight w:val="none"/>
              </w:rPr>
              <w:t>1处（10m</w:t>
            </w:r>
            <w:r>
              <w:rPr>
                <w:rFonts w:hint="default" w:ascii="Times New Roman" w:hAnsi="Times New Roman" w:cs="Times New Roman"/>
                <w:color w:val="auto"/>
                <w:sz w:val="22"/>
                <w:szCs w:val="22"/>
                <w:highlight w:val="none"/>
                <w:vertAlign w:val="superscript"/>
              </w:rPr>
              <w:t>2</w:t>
            </w:r>
            <w:r>
              <w:rPr>
                <w:rFonts w:hint="default" w:ascii="Times New Roman" w:hAnsi="Times New Roman" w:cs="Times New Roman"/>
                <w:color w:val="auto"/>
                <w:sz w:val="22"/>
                <w:szCs w:val="22"/>
                <w:highlight w:val="none"/>
              </w:rPr>
              <w:t>）</w:t>
            </w:r>
            <w:r>
              <w:rPr>
                <w:rFonts w:hint="default" w:ascii="Times New Roman" w:hAnsi="Times New Roman" w:cs="Times New Roman"/>
                <w:color w:val="auto"/>
                <w:sz w:val="22"/>
                <w:szCs w:val="22"/>
                <w:highlight w:val="none"/>
                <w:lang w:val="sq-AL"/>
              </w:rPr>
              <w:t>，船闸检修废油应采用储油桶暂存于危废贮存点内，定期</w:t>
            </w:r>
            <w:r>
              <w:rPr>
                <w:rFonts w:hint="default" w:ascii="Times New Roman" w:hAnsi="Times New Roman" w:cs="Times New Roman"/>
                <w:color w:val="auto"/>
                <w:sz w:val="22"/>
                <w:szCs w:val="22"/>
                <w:highlight w:val="none"/>
                <w:shd w:val="clear" w:fill="FFFFFF"/>
                <w:lang w:val="sq-AL"/>
              </w:rPr>
              <w:t>交有</w:t>
            </w:r>
            <w:r>
              <w:rPr>
                <w:rFonts w:hint="default" w:ascii="Times New Roman" w:hAnsi="Times New Roman" w:cs="Times New Roman"/>
                <w:color w:val="auto"/>
                <w:sz w:val="22"/>
                <w:szCs w:val="22"/>
                <w:highlight w:val="none"/>
                <w:lang w:val="sq-AL"/>
              </w:rPr>
              <w:t>危废处理资质单位处置。</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sq-AL"/>
              </w:rPr>
            </w:pPr>
          </w:p>
        </w:tc>
        <w:tc>
          <w:tcPr>
            <w:tcW w:w="2024" w:type="dxa"/>
            <w:gridSpan w:val="2"/>
            <w:vAlign w:val="center"/>
          </w:tcPr>
          <w:p>
            <w:pPr>
              <w:pStyle w:val="224"/>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sq-AL"/>
              </w:rPr>
            </w:pPr>
            <w:r>
              <w:rPr>
                <w:rFonts w:hint="default" w:ascii="Times New Roman" w:hAnsi="Times New Roman" w:cs="Times New Roman"/>
                <w:color w:val="auto"/>
                <w:sz w:val="22"/>
                <w:szCs w:val="22"/>
                <w:highlight w:val="none"/>
                <w:lang w:val="sq-AL"/>
              </w:rPr>
              <w:t>生态补偿</w:t>
            </w:r>
          </w:p>
        </w:tc>
        <w:tc>
          <w:tcPr>
            <w:tcW w:w="9930" w:type="dxa"/>
            <w:vAlign w:val="center"/>
          </w:tcPr>
          <w:p>
            <w:pPr>
              <w:pStyle w:val="223"/>
              <w:snapToGrid w:val="0"/>
              <w:spacing w:before="0" w:line="240" w:lineRule="auto"/>
              <w:ind w:firstLine="0" w:firstLineChars="0"/>
              <w:rPr>
                <w:rFonts w:hint="default" w:ascii="Times New Roman" w:hAnsi="Times New Roman" w:cs="Times New Roman"/>
                <w:color w:val="auto"/>
                <w:sz w:val="22"/>
                <w:szCs w:val="22"/>
                <w:highlight w:val="none"/>
                <w:lang w:val="sq-AL"/>
              </w:rPr>
            </w:pPr>
            <w:r>
              <w:rPr>
                <w:rFonts w:hint="eastAsia" w:cs="Times New Roman"/>
                <w:color w:val="auto"/>
                <w:sz w:val="22"/>
                <w:szCs w:val="22"/>
                <w:highlight w:val="none"/>
                <w:lang w:eastAsia="zh-CN"/>
              </w:rPr>
              <w:t>及时对施工迹地进行生态恢复，加强闸管区绿化；</w:t>
            </w:r>
            <w:r>
              <w:rPr>
                <w:rFonts w:hint="default" w:ascii="Times New Roman" w:hAnsi="Times New Roman" w:cs="Times New Roman"/>
                <w:color w:val="auto"/>
                <w:sz w:val="22"/>
                <w:szCs w:val="22"/>
                <w:highlight w:val="none"/>
              </w:rPr>
              <w:t>建设鱼道，</w:t>
            </w:r>
            <w:r>
              <w:rPr>
                <w:rFonts w:hint="eastAsia" w:cs="Times New Roman"/>
                <w:color w:val="auto"/>
                <w:sz w:val="22"/>
                <w:szCs w:val="22"/>
                <w:highlight w:val="none"/>
                <w:lang w:eastAsia="zh-CN"/>
              </w:rPr>
              <w:t>开展</w:t>
            </w:r>
            <w:r>
              <w:rPr>
                <w:rFonts w:hint="eastAsia" w:ascii="Times New Roman" w:hAnsi="Times New Roman" w:eastAsia="宋体" w:cs="Times New Roman"/>
                <w:color w:val="auto"/>
                <w:sz w:val="22"/>
                <w:szCs w:val="22"/>
                <w:highlight w:val="none"/>
                <w:lang w:eastAsia="zh-CN"/>
              </w:rPr>
              <w:t>水生生物监测、鱼类资源监测</w:t>
            </w:r>
            <w:r>
              <w:rPr>
                <w:rFonts w:hint="default" w:ascii="Times New Roman" w:hAnsi="Times New Roman" w:cs="Times New Roman"/>
                <w:color w:val="auto"/>
                <w:sz w:val="22"/>
                <w:szCs w:val="22"/>
                <w:highlight w:val="none"/>
              </w:rPr>
              <w:t>。</w:t>
            </w:r>
          </w:p>
        </w:tc>
        <w:tc>
          <w:tcPr>
            <w:tcW w:w="1230" w:type="dxa"/>
            <w:vAlign w:val="center"/>
          </w:tcPr>
          <w:p>
            <w:pPr>
              <w:pStyle w:val="223"/>
              <w:snapToGrid w:val="0"/>
              <w:spacing w:before="0"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新建</w:t>
            </w:r>
          </w:p>
        </w:tc>
      </w:tr>
    </w:tbl>
    <w:p>
      <w:pPr>
        <w:pStyle w:val="36"/>
        <w:spacing w:line="240" w:lineRule="auto"/>
        <w:ind w:firstLine="0" w:firstLineChars="0"/>
        <w:jc w:val="center"/>
        <w:rPr>
          <w:rFonts w:ascii="Times New Roman" w:cs="Times New Roman"/>
          <w:color w:val="auto"/>
          <w:sz w:val="26"/>
          <w:szCs w:val="26"/>
          <w:highlight w:val="none"/>
        </w:rPr>
      </w:pPr>
    </w:p>
    <w:p>
      <w:pPr>
        <w:pStyle w:val="36"/>
        <w:spacing w:line="240" w:lineRule="auto"/>
        <w:ind w:firstLine="0" w:firstLineChars="0"/>
        <w:jc w:val="center"/>
        <w:rPr>
          <w:rFonts w:ascii="Times New Roman" w:cs="Times New Roman"/>
          <w:color w:val="auto"/>
          <w:sz w:val="26"/>
          <w:szCs w:val="26"/>
          <w:highlight w:val="none"/>
        </w:rPr>
        <w:sectPr>
          <w:pgSz w:w="16838" w:h="11906" w:orient="landscape"/>
          <w:pgMar w:top="1701" w:right="1588" w:bottom="1588" w:left="1588" w:header="1304" w:footer="1247" w:gutter="0"/>
          <w:cols w:space="425" w:num="1"/>
          <w:docGrid w:linePitch="312" w:charSpace="0"/>
        </w:sectPr>
      </w:pPr>
    </w:p>
    <w:p>
      <w:pPr>
        <w:pStyle w:val="5"/>
        <w:ind w:firstLine="522"/>
        <w:rPr>
          <w:rFonts w:hint="eastAsia"/>
          <w:color w:val="auto"/>
          <w:highlight w:val="none"/>
        </w:rPr>
      </w:pPr>
      <w:r>
        <w:rPr>
          <w:rFonts w:hint="eastAsia"/>
          <w:color w:val="auto"/>
          <w:highlight w:val="none"/>
        </w:rPr>
        <w:t>设计水位及组合</w:t>
      </w:r>
    </w:p>
    <w:p>
      <w:pPr>
        <w:ind w:firstLine="520"/>
        <w:rPr>
          <w:rFonts w:hint="eastAsia"/>
          <w:color w:val="auto"/>
          <w:highlight w:val="none"/>
        </w:rPr>
      </w:pPr>
      <w:r>
        <w:rPr>
          <w:rFonts w:hint="eastAsia"/>
          <w:color w:val="auto"/>
          <w:highlight w:val="none"/>
        </w:rPr>
        <w:t>渭沱船闸为Ⅲ级船闸，上、下游设计最高通航水位采用</w:t>
      </w:r>
      <w:r>
        <w:rPr>
          <w:rFonts w:hint="eastAsia"/>
          <w:color w:val="auto"/>
          <w:highlight w:val="none"/>
          <w:lang w:val="en-US" w:eastAsia="zh-CN"/>
        </w:rPr>
        <w:t>5000</w:t>
      </w:r>
      <w:r>
        <w:rPr>
          <w:rFonts w:hint="eastAsia"/>
          <w:color w:val="auto"/>
          <w:highlight w:val="none"/>
        </w:rPr>
        <w:t>m</w:t>
      </w:r>
      <w:r>
        <w:rPr>
          <w:rFonts w:hint="eastAsia"/>
          <w:color w:val="auto"/>
          <w:highlight w:val="none"/>
          <w:vertAlign w:val="superscript"/>
        </w:rPr>
        <w:t>3</w:t>
      </w:r>
      <w:r>
        <w:rPr>
          <w:rFonts w:hint="eastAsia"/>
          <w:color w:val="auto"/>
          <w:highlight w:val="none"/>
        </w:rPr>
        <w:t>/s流量时上下游水位，上游设计最低通航水位采用渭沱枢纽死水位，下游设计最低通航水位采用草街上游最低通航水位时回水位。设计水位见下表：</w:t>
      </w:r>
    </w:p>
    <w:p>
      <w:pPr>
        <w:spacing w:line="240" w:lineRule="auto"/>
        <w:ind w:firstLine="197" w:firstLineChars="76"/>
        <w:jc w:val="center"/>
        <w:rPr>
          <w:rFonts w:hint="eastAsia"/>
          <w:color w:val="auto"/>
          <w:highlight w:val="none"/>
        </w:rPr>
      </w:pPr>
      <w:bookmarkStart w:id="74" w:name="OLE_LINK2"/>
    </w:p>
    <w:p>
      <w:pPr>
        <w:spacing w:line="240" w:lineRule="auto"/>
        <w:ind w:firstLine="197" w:firstLineChars="76"/>
        <w:jc w:val="center"/>
        <w:rPr>
          <w:color w:val="auto"/>
          <w:highlight w:val="none"/>
        </w:rPr>
      </w:pPr>
      <w:r>
        <w:rPr>
          <w:rFonts w:hint="eastAsia"/>
          <w:color w:val="auto"/>
          <w:highlight w:val="none"/>
        </w:rPr>
        <w:t>表2.</w:t>
      </w:r>
      <w:r>
        <w:rPr>
          <w:rFonts w:hint="eastAsia"/>
          <w:color w:val="auto"/>
          <w:highlight w:val="none"/>
          <w:lang w:val="en-US" w:eastAsia="zh-CN"/>
        </w:rPr>
        <w:t>5</w:t>
      </w:r>
      <w:r>
        <w:rPr>
          <w:rFonts w:hint="eastAsia"/>
          <w:color w:val="auto"/>
          <w:highlight w:val="none"/>
        </w:rPr>
        <w:t>.3-1  项目特征水位汇总表</w:t>
      </w:r>
    </w:p>
    <w:tbl>
      <w:tblPr>
        <w:tblStyle w:val="209"/>
        <w:tblW w:w="486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02"/>
        <w:gridCol w:w="1894"/>
        <w:gridCol w:w="951"/>
        <w:gridCol w:w="40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92" w:type="dxa"/>
            <w:gridSpan w:val="2"/>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1"/>
                <w:sz w:val="22"/>
                <w:szCs w:val="22"/>
                <w:highlight w:val="none"/>
              </w:rPr>
              <w:t>项目</w:t>
            </w:r>
          </w:p>
        </w:tc>
        <w:tc>
          <w:tcPr>
            <w:tcW w:w="95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3"/>
                <w:sz w:val="22"/>
                <w:szCs w:val="22"/>
                <w:highlight w:val="none"/>
              </w:rPr>
              <w:t>水位（</w:t>
            </w:r>
            <w:r>
              <w:rPr>
                <w:rFonts w:ascii="Times New Roman" w:hAnsi="Times New Roman" w:eastAsia="Times New Roman" w:cs="Times New Roman"/>
                <w:color w:val="auto"/>
                <w:spacing w:val="3"/>
                <w:sz w:val="22"/>
                <w:szCs w:val="22"/>
                <w:highlight w:val="none"/>
              </w:rPr>
              <w:t>m</w:t>
            </w:r>
            <w:r>
              <w:rPr>
                <w:color w:val="auto"/>
                <w:spacing w:val="3"/>
                <w:sz w:val="22"/>
                <w:szCs w:val="22"/>
                <w:highlight w:val="none"/>
              </w:rPr>
              <w:t>）</w:t>
            </w:r>
          </w:p>
        </w:tc>
        <w:tc>
          <w:tcPr>
            <w:tcW w:w="40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restart"/>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5"/>
                <w:sz w:val="22"/>
                <w:szCs w:val="22"/>
                <w:highlight w:val="none"/>
              </w:rPr>
              <w:t>校核洪水位</w:t>
            </w: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上游</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223.25</w:t>
            </w:r>
          </w:p>
        </w:tc>
        <w:tc>
          <w:tcPr>
            <w:tcW w:w="4045" w:type="dxa"/>
            <w:vMerge w:val="restart"/>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P=0.5%</w:t>
            </w:r>
            <w:r>
              <w:rPr>
                <w:rFonts w:ascii="Times New Roman" w:hAnsi="Times New Roman" w:eastAsia="Times New Roman" w:cs="Times New Roman"/>
                <w:color w:val="auto"/>
                <w:spacing w:val="-11"/>
                <w:sz w:val="22"/>
                <w:szCs w:val="22"/>
                <w:highlight w:val="none"/>
              </w:rPr>
              <w:t xml:space="preserve"> </w:t>
            </w:r>
            <w:r>
              <w:rPr>
                <w:color w:val="auto"/>
                <w:spacing w:val="2"/>
                <w:sz w:val="22"/>
                <w:szCs w:val="22"/>
                <w:highlight w:val="none"/>
              </w:rPr>
              <w:t>，</w:t>
            </w:r>
            <w:r>
              <w:rPr>
                <w:rFonts w:ascii="Times New Roman" w:hAnsi="Times New Roman" w:eastAsia="Times New Roman" w:cs="Times New Roman"/>
                <w:color w:val="auto"/>
                <w:spacing w:val="2"/>
                <w:sz w:val="22"/>
                <w:szCs w:val="22"/>
                <w:highlight w:val="none"/>
              </w:rPr>
              <w:t>Q=34500</w:t>
            </w:r>
            <w:r>
              <w:rPr>
                <w:rFonts w:hint="eastAsia" w:ascii="Times New Roman" w:hAnsi="Times New Roman" w:eastAsia="宋体" w:cs="Times New Roman"/>
                <w:color w:val="auto"/>
                <w:spacing w:val="2"/>
                <w:sz w:val="22"/>
                <w:szCs w:val="22"/>
                <w:highlight w:val="none"/>
                <w:lang w:val="en-US" w:eastAsia="zh-CN"/>
              </w:rPr>
              <w:t>m³</w:t>
            </w:r>
            <w:r>
              <w:rPr>
                <w:rFonts w:ascii="Times New Roman" w:hAnsi="Times New Roman" w:eastAsia="Times New Roman" w:cs="Times New Roman"/>
                <w:color w:val="auto"/>
                <w:spacing w:val="2"/>
                <w:sz w:val="22"/>
                <w:szCs w:val="22"/>
                <w:highlight w:val="none"/>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1"/>
                <w:sz w:val="22"/>
                <w:szCs w:val="22"/>
                <w:highlight w:val="none"/>
              </w:rPr>
              <w:t>下游</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223.01</w:t>
            </w:r>
          </w:p>
        </w:tc>
        <w:tc>
          <w:tcPr>
            <w:tcW w:w="404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restart"/>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4"/>
                <w:sz w:val="22"/>
                <w:szCs w:val="22"/>
                <w:highlight w:val="none"/>
              </w:rPr>
              <w:t>设计洪水位</w:t>
            </w: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上游</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220.16</w:t>
            </w:r>
          </w:p>
        </w:tc>
        <w:tc>
          <w:tcPr>
            <w:tcW w:w="4045" w:type="dxa"/>
            <w:vMerge w:val="restart"/>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P=2%</w:t>
            </w:r>
            <w:r>
              <w:rPr>
                <w:rFonts w:ascii="Times New Roman" w:hAnsi="Times New Roman" w:eastAsia="Times New Roman" w:cs="Times New Roman"/>
                <w:color w:val="auto"/>
                <w:spacing w:val="-14"/>
                <w:sz w:val="22"/>
                <w:szCs w:val="22"/>
                <w:highlight w:val="none"/>
              </w:rPr>
              <w:t xml:space="preserve"> </w:t>
            </w:r>
            <w:r>
              <w:rPr>
                <w:color w:val="auto"/>
                <w:spacing w:val="2"/>
                <w:sz w:val="22"/>
                <w:szCs w:val="22"/>
                <w:highlight w:val="none"/>
              </w:rPr>
              <w:t>，</w:t>
            </w:r>
            <w:r>
              <w:rPr>
                <w:rFonts w:ascii="Times New Roman" w:hAnsi="Times New Roman" w:eastAsia="Times New Roman" w:cs="Times New Roman"/>
                <w:color w:val="auto"/>
                <w:spacing w:val="2"/>
                <w:sz w:val="22"/>
                <w:szCs w:val="22"/>
                <w:highlight w:val="none"/>
              </w:rPr>
              <w:t>Q=26300</w:t>
            </w:r>
            <w:r>
              <w:rPr>
                <w:rFonts w:hint="eastAsia" w:ascii="Times New Roman" w:hAnsi="Times New Roman" w:eastAsia="宋体" w:cs="Times New Roman"/>
                <w:color w:val="auto"/>
                <w:spacing w:val="2"/>
                <w:sz w:val="22"/>
                <w:szCs w:val="22"/>
                <w:highlight w:val="none"/>
                <w:lang w:val="en-US" w:eastAsia="zh-CN"/>
              </w:rPr>
              <w:t>m³</w:t>
            </w:r>
            <w:r>
              <w:rPr>
                <w:rFonts w:ascii="Times New Roman" w:hAnsi="Times New Roman" w:eastAsia="Times New Roman" w:cs="Times New Roman"/>
                <w:color w:val="auto"/>
                <w:spacing w:val="2"/>
                <w:sz w:val="22"/>
                <w:szCs w:val="22"/>
                <w:highlight w:val="none"/>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1"/>
                <w:sz w:val="22"/>
                <w:szCs w:val="22"/>
                <w:highlight w:val="none"/>
              </w:rPr>
              <w:t>下游</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219.73</w:t>
            </w:r>
          </w:p>
        </w:tc>
        <w:tc>
          <w:tcPr>
            <w:tcW w:w="404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4"/>
                <w:sz w:val="22"/>
                <w:szCs w:val="22"/>
                <w:highlight w:val="none"/>
              </w:rPr>
              <w:t>通航水位</w:t>
            </w: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5"/>
                <w:sz w:val="22"/>
                <w:szCs w:val="22"/>
                <w:highlight w:val="none"/>
              </w:rPr>
              <w:t>上游最高通航水位</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208.45</w:t>
            </w:r>
          </w:p>
        </w:tc>
        <w:tc>
          <w:tcPr>
            <w:tcW w:w="40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4"/>
                <w:sz w:val="22"/>
                <w:szCs w:val="22"/>
                <w:highlight w:val="none"/>
              </w:rPr>
              <w:t>最大通航流量</w:t>
            </w:r>
            <w:r>
              <w:rPr>
                <w:rFonts w:ascii="Times New Roman" w:hAnsi="Times New Roman" w:eastAsia="Times New Roman" w:cs="Times New Roman"/>
                <w:color w:val="auto"/>
                <w:spacing w:val="4"/>
                <w:sz w:val="22"/>
                <w:szCs w:val="22"/>
                <w:highlight w:val="none"/>
              </w:rPr>
              <w:t>5000</w:t>
            </w:r>
            <w:r>
              <w:rPr>
                <w:rFonts w:hint="eastAsia" w:ascii="Times New Roman" w:hAnsi="Times New Roman" w:eastAsia="宋体" w:cs="Times New Roman"/>
                <w:color w:val="auto"/>
                <w:spacing w:val="2"/>
                <w:sz w:val="22"/>
                <w:szCs w:val="22"/>
                <w:highlight w:val="none"/>
                <w:lang w:val="en-US" w:eastAsia="zh-CN"/>
              </w:rPr>
              <w:t>m³</w:t>
            </w:r>
            <w:r>
              <w:rPr>
                <w:rFonts w:ascii="Times New Roman" w:hAnsi="Times New Roman" w:eastAsia="Times New Roman" w:cs="Times New Roman"/>
                <w:color w:val="auto"/>
                <w:spacing w:val="4"/>
                <w:sz w:val="22"/>
                <w:szCs w:val="22"/>
                <w:highlight w:val="none"/>
              </w:rPr>
              <w:t>/s</w:t>
            </w:r>
            <w:r>
              <w:rPr>
                <w:color w:val="auto"/>
                <w:spacing w:val="4"/>
                <w:sz w:val="22"/>
                <w:szCs w:val="22"/>
                <w:highlight w:val="none"/>
              </w:rPr>
              <w:t>对应上游水位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5"/>
                <w:sz w:val="22"/>
                <w:szCs w:val="22"/>
                <w:highlight w:val="none"/>
              </w:rPr>
              <w:t>上游最低通航水位</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205.00</w:t>
            </w:r>
          </w:p>
        </w:tc>
        <w:tc>
          <w:tcPr>
            <w:tcW w:w="40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电站死水位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5"/>
                <w:sz w:val="22"/>
                <w:szCs w:val="22"/>
                <w:highlight w:val="none"/>
              </w:rPr>
              <w:t>下游最高通航水位</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207.73</w:t>
            </w:r>
          </w:p>
        </w:tc>
        <w:tc>
          <w:tcPr>
            <w:tcW w:w="40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4"/>
                <w:sz w:val="22"/>
                <w:szCs w:val="22"/>
                <w:highlight w:val="none"/>
              </w:rPr>
              <w:t>最大通航流量</w:t>
            </w:r>
            <w:r>
              <w:rPr>
                <w:rFonts w:ascii="Times New Roman" w:hAnsi="Times New Roman" w:eastAsia="Times New Roman" w:cs="Times New Roman"/>
                <w:color w:val="auto"/>
                <w:spacing w:val="4"/>
                <w:sz w:val="22"/>
                <w:szCs w:val="22"/>
                <w:highlight w:val="none"/>
              </w:rPr>
              <w:t>5000</w:t>
            </w:r>
            <w:r>
              <w:rPr>
                <w:rFonts w:hint="eastAsia" w:ascii="Times New Roman" w:hAnsi="Times New Roman" w:eastAsia="宋体" w:cs="Times New Roman"/>
                <w:color w:val="auto"/>
                <w:spacing w:val="2"/>
                <w:sz w:val="22"/>
                <w:szCs w:val="22"/>
                <w:highlight w:val="none"/>
                <w:lang w:val="en-US" w:eastAsia="zh-CN"/>
              </w:rPr>
              <w:t>m³</w:t>
            </w:r>
            <w:r>
              <w:rPr>
                <w:rFonts w:ascii="Times New Roman" w:hAnsi="Times New Roman" w:eastAsia="Times New Roman" w:cs="Times New Roman"/>
                <w:color w:val="auto"/>
                <w:spacing w:val="4"/>
                <w:sz w:val="22"/>
                <w:szCs w:val="22"/>
                <w:highlight w:val="none"/>
              </w:rPr>
              <w:t>/s</w:t>
            </w:r>
            <w:r>
              <w:rPr>
                <w:color w:val="auto"/>
                <w:spacing w:val="4"/>
                <w:sz w:val="22"/>
                <w:szCs w:val="22"/>
                <w:highlight w:val="none"/>
              </w:rPr>
              <w:t>对应下游水位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5"/>
                <w:sz w:val="22"/>
                <w:szCs w:val="22"/>
                <w:highlight w:val="none"/>
              </w:rPr>
              <w:t>下游最低通航水位</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199.40</w:t>
            </w:r>
          </w:p>
        </w:tc>
        <w:tc>
          <w:tcPr>
            <w:tcW w:w="40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6"/>
                <w:sz w:val="22"/>
                <w:szCs w:val="22"/>
                <w:highlight w:val="none"/>
              </w:rPr>
              <w:t>下游航道设计最低通航水位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restart"/>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4"/>
                <w:sz w:val="22"/>
                <w:szCs w:val="22"/>
                <w:highlight w:val="none"/>
              </w:rPr>
              <w:t>检修水位</w:t>
            </w: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上游</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206.00</w:t>
            </w:r>
          </w:p>
        </w:tc>
        <w:tc>
          <w:tcPr>
            <w:tcW w:w="40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3"/>
                <w:sz w:val="22"/>
                <w:szCs w:val="22"/>
                <w:highlight w:val="none"/>
              </w:rPr>
              <w:t>电站正常蓄水水位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1"/>
                <w:sz w:val="22"/>
                <w:szCs w:val="22"/>
                <w:highlight w:val="none"/>
              </w:rPr>
              <w:t>下游</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203.69</w:t>
            </w:r>
          </w:p>
        </w:tc>
        <w:tc>
          <w:tcPr>
            <w:tcW w:w="40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color w:val="auto"/>
                <w:spacing w:val="4"/>
                <w:sz w:val="22"/>
                <w:szCs w:val="22"/>
                <w:highlight w:val="none"/>
              </w:rPr>
              <w:t>枯水期，</w:t>
            </w:r>
            <w:r>
              <w:rPr>
                <w:rFonts w:ascii="Times New Roman" w:hAnsi="Times New Roman" w:eastAsia="Times New Roman" w:cs="Times New Roman"/>
                <w:color w:val="auto"/>
                <w:spacing w:val="2"/>
                <w:sz w:val="22"/>
                <w:szCs w:val="22"/>
                <w:highlight w:val="none"/>
              </w:rPr>
              <w:t>P</w:t>
            </w:r>
            <w:r>
              <w:rPr>
                <w:rFonts w:ascii="Times New Roman" w:hAnsi="Times New Roman" w:eastAsia="Times New Roman" w:cs="Times New Roman"/>
                <w:color w:val="auto"/>
                <w:spacing w:val="4"/>
                <w:sz w:val="22"/>
                <w:szCs w:val="22"/>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restart"/>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4"/>
                <w:sz w:val="22"/>
                <w:szCs w:val="22"/>
                <w:highlight w:val="none"/>
              </w:rPr>
              <w:t>施工水位</w:t>
            </w: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3"/>
                <w:sz w:val="22"/>
                <w:szCs w:val="22"/>
                <w:highlight w:val="none"/>
              </w:rPr>
              <w:t>（枯水围堰）</w:t>
            </w: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上游</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206.00</w:t>
            </w:r>
          </w:p>
        </w:tc>
        <w:tc>
          <w:tcPr>
            <w:tcW w:w="40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3"/>
                <w:sz w:val="22"/>
                <w:szCs w:val="22"/>
                <w:highlight w:val="none"/>
              </w:rPr>
              <w:t>电站正常蓄水水位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1"/>
                <w:sz w:val="22"/>
                <w:szCs w:val="22"/>
                <w:highlight w:val="none"/>
              </w:rPr>
              <w:t>下游</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203.43</w:t>
            </w:r>
          </w:p>
        </w:tc>
        <w:tc>
          <w:tcPr>
            <w:tcW w:w="40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color w:val="auto"/>
                <w:spacing w:val="-2"/>
                <w:sz w:val="22"/>
                <w:szCs w:val="22"/>
                <w:highlight w:val="none"/>
              </w:rPr>
              <w:t>枯水期</w:t>
            </w:r>
            <w:r>
              <w:rPr>
                <w:rFonts w:ascii="Times New Roman" w:hAnsi="Times New Roman" w:eastAsia="Times New Roman" w:cs="Times New Roman"/>
                <w:color w:val="auto"/>
                <w:spacing w:val="-2"/>
                <w:sz w:val="22"/>
                <w:szCs w:val="22"/>
                <w:highlight w:val="none"/>
              </w:rPr>
              <w:t>11</w:t>
            </w:r>
            <w:r>
              <w:rPr>
                <w:color w:val="auto"/>
                <w:spacing w:val="-2"/>
                <w:sz w:val="22"/>
                <w:szCs w:val="22"/>
                <w:highlight w:val="none"/>
              </w:rPr>
              <w:t>月—次年</w:t>
            </w:r>
            <w:r>
              <w:rPr>
                <w:rFonts w:ascii="Times New Roman" w:hAnsi="Times New Roman" w:eastAsia="Times New Roman" w:cs="Times New Roman"/>
                <w:color w:val="auto"/>
                <w:spacing w:val="-2"/>
                <w:sz w:val="22"/>
                <w:szCs w:val="22"/>
                <w:highlight w:val="none"/>
              </w:rPr>
              <w:t>3</w:t>
            </w:r>
            <w:r>
              <w:rPr>
                <w:color w:val="auto"/>
                <w:spacing w:val="-2"/>
                <w:sz w:val="22"/>
                <w:szCs w:val="22"/>
                <w:highlight w:val="none"/>
              </w:rPr>
              <w:t>月</w:t>
            </w:r>
            <w:r>
              <w:rPr>
                <w:rFonts w:ascii="Times New Roman" w:hAnsi="Times New Roman" w:eastAsia="Times New Roman" w:cs="Times New Roman"/>
                <w:color w:val="auto"/>
                <w:spacing w:val="2"/>
                <w:sz w:val="22"/>
                <w:szCs w:val="22"/>
                <w:highlight w:val="none"/>
              </w:rPr>
              <w:t>P=20%</w:t>
            </w:r>
            <w:r>
              <w:rPr>
                <w:color w:val="auto"/>
                <w:spacing w:val="2"/>
                <w:sz w:val="22"/>
                <w:szCs w:val="22"/>
                <w:highlight w:val="none"/>
              </w:rPr>
              <w:t>，</w:t>
            </w:r>
            <w:r>
              <w:rPr>
                <w:rFonts w:ascii="Times New Roman" w:hAnsi="Times New Roman" w:eastAsia="Times New Roman" w:cs="Times New Roman"/>
                <w:color w:val="auto"/>
                <w:spacing w:val="2"/>
                <w:sz w:val="22"/>
                <w:szCs w:val="22"/>
                <w:highlight w:val="none"/>
              </w:rPr>
              <w:t>856</w:t>
            </w:r>
            <w:r>
              <w:rPr>
                <w:rFonts w:hint="eastAsia" w:ascii="Times New Roman" w:hAnsi="Times New Roman" w:eastAsia="宋体" w:cs="Times New Roman"/>
                <w:color w:val="auto"/>
                <w:spacing w:val="2"/>
                <w:sz w:val="22"/>
                <w:szCs w:val="22"/>
                <w:highlight w:val="none"/>
                <w:lang w:val="en-US" w:eastAsia="zh-CN"/>
              </w:rPr>
              <w:t>m³</w:t>
            </w:r>
            <w:r>
              <w:rPr>
                <w:rFonts w:ascii="Times New Roman" w:hAnsi="Times New Roman" w:eastAsia="Times New Roman" w:cs="Times New Roman"/>
                <w:color w:val="auto"/>
                <w:spacing w:val="2"/>
                <w:sz w:val="22"/>
                <w:szCs w:val="22"/>
                <w:highlight w:val="none"/>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restart"/>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5"/>
                <w:sz w:val="22"/>
                <w:szCs w:val="22"/>
                <w:highlight w:val="none"/>
              </w:rPr>
              <w:t>施工围堰挡水</w:t>
            </w: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上游</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223.25</w:t>
            </w:r>
          </w:p>
        </w:tc>
        <w:tc>
          <w:tcPr>
            <w:tcW w:w="40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5"/>
                <w:sz w:val="22"/>
                <w:szCs w:val="22"/>
                <w:highlight w:val="none"/>
              </w:rPr>
              <w:t>上游校核洪水位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1"/>
                <w:sz w:val="22"/>
                <w:szCs w:val="22"/>
                <w:highlight w:val="none"/>
              </w:rPr>
              <w:t>下游</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215.49</w:t>
            </w:r>
          </w:p>
        </w:tc>
        <w:tc>
          <w:tcPr>
            <w:tcW w:w="40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P=10%</w:t>
            </w:r>
            <w:r>
              <w:rPr>
                <w:color w:val="auto"/>
                <w:spacing w:val="2"/>
                <w:sz w:val="22"/>
                <w:szCs w:val="22"/>
                <w:highlight w:val="none"/>
              </w:rPr>
              <w:t>，</w:t>
            </w:r>
            <w:r>
              <w:rPr>
                <w:rFonts w:ascii="Times New Roman" w:hAnsi="Times New Roman" w:eastAsia="Times New Roman" w:cs="Times New Roman"/>
                <w:color w:val="auto"/>
                <w:spacing w:val="2"/>
                <w:sz w:val="22"/>
                <w:szCs w:val="22"/>
                <w:highlight w:val="none"/>
              </w:rPr>
              <w:t>16900</w:t>
            </w:r>
            <w:r>
              <w:rPr>
                <w:rFonts w:hint="eastAsia" w:ascii="Times New Roman" w:hAnsi="Times New Roman" w:eastAsia="宋体" w:cs="Times New Roman"/>
                <w:color w:val="auto"/>
                <w:spacing w:val="2"/>
                <w:sz w:val="22"/>
                <w:szCs w:val="22"/>
                <w:highlight w:val="none"/>
                <w:lang w:val="en-US" w:eastAsia="zh-CN"/>
              </w:rPr>
              <w:t>m³</w:t>
            </w:r>
            <w:r>
              <w:rPr>
                <w:rFonts w:ascii="Times New Roman" w:hAnsi="Times New Roman" w:eastAsia="Times New Roman" w:cs="Times New Roman"/>
                <w:color w:val="auto"/>
                <w:spacing w:val="2"/>
                <w:sz w:val="22"/>
                <w:szCs w:val="22"/>
                <w:highlight w:val="none"/>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restart"/>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2"/>
                <w:sz w:val="22"/>
                <w:szCs w:val="22"/>
                <w:highlight w:val="none"/>
              </w:rPr>
              <w:t>重现期</w:t>
            </w:r>
            <w:r>
              <w:rPr>
                <w:rFonts w:ascii="Times New Roman" w:hAnsi="Times New Roman" w:eastAsia="Times New Roman" w:cs="Times New Roman"/>
                <w:color w:val="auto"/>
                <w:spacing w:val="-2"/>
                <w:sz w:val="22"/>
                <w:szCs w:val="22"/>
                <w:highlight w:val="none"/>
              </w:rPr>
              <w:t>10</w:t>
            </w:r>
            <w:r>
              <w:rPr>
                <w:color w:val="auto"/>
                <w:spacing w:val="-2"/>
                <w:sz w:val="22"/>
                <w:szCs w:val="22"/>
                <w:highlight w:val="none"/>
              </w:rPr>
              <w:t>年水</w:t>
            </w:r>
            <w:r>
              <w:rPr>
                <w:color w:val="auto"/>
                <w:sz w:val="22"/>
                <w:szCs w:val="22"/>
                <w:highlight w:val="none"/>
              </w:rPr>
              <w:t>位</w:t>
            </w: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上游</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216.23</w:t>
            </w:r>
          </w:p>
        </w:tc>
        <w:tc>
          <w:tcPr>
            <w:tcW w:w="404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1"/>
                <w:sz w:val="22"/>
                <w:szCs w:val="22"/>
                <w:highlight w:val="none"/>
              </w:rPr>
              <w:t>下游</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215.49</w:t>
            </w:r>
          </w:p>
        </w:tc>
        <w:tc>
          <w:tcPr>
            <w:tcW w:w="404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restart"/>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4"/>
                <w:sz w:val="22"/>
                <w:szCs w:val="22"/>
                <w:highlight w:val="none"/>
              </w:rPr>
              <w:t>设计最大水头</w:t>
            </w: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上游</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206.00</w:t>
            </w:r>
          </w:p>
        </w:tc>
        <w:tc>
          <w:tcPr>
            <w:tcW w:w="40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4"/>
                <w:sz w:val="22"/>
                <w:szCs w:val="22"/>
                <w:highlight w:val="none"/>
              </w:rPr>
              <w:t>正常蓄水位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1"/>
                <w:sz w:val="22"/>
                <w:szCs w:val="22"/>
                <w:highlight w:val="none"/>
              </w:rPr>
              <w:t>下游</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199.40</w:t>
            </w:r>
          </w:p>
        </w:tc>
        <w:tc>
          <w:tcPr>
            <w:tcW w:w="40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5"/>
                <w:sz w:val="22"/>
                <w:szCs w:val="22"/>
                <w:highlight w:val="none"/>
              </w:rPr>
              <w:t>设计最低通航水位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restart"/>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1"/>
                <w:sz w:val="22"/>
                <w:szCs w:val="22"/>
                <w:highlight w:val="none"/>
              </w:rPr>
              <w:t>常水头</w:t>
            </w: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上游</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206.00</w:t>
            </w:r>
          </w:p>
        </w:tc>
        <w:tc>
          <w:tcPr>
            <w:tcW w:w="40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4"/>
                <w:sz w:val="22"/>
                <w:szCs w:val="22"/>
                <w:highlight w:val="none"/>
              </w:rPr>
              <w:t>正常蓄水位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00"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c>
          <w:tcPr>
            <w:tcW w:w="189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1"/>
                <w:sz w:val="22"/>
                <w:szCs w:val="22"/>
                <w:highlight w:val="none"/>
              </w:rPr>
              <w:t>下游</w:t>
            </w:r>
          </w:p>
        </w:tc>
        <w:tc>
          <w:tcPr>
            <w:tcW w:w="9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203.00</w:t>
            </w:r>
          </w:p>
        </w:tc>
        <w:tc>
          <w:tcPr>
            <w:tcW w:w="40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6"/>
                <w:sz w:val="22"/>
                <w:szCs w:val="22"/>
                <w:highlight w:val="none"/>
              </w:rPr>
              <w:t>草街枢纽正常蓄水位</w:t>
            </w:r>
          </w:p>
        </w:tc>
      </w:tr>
    </w:tbl>
    <w:p>
      <w:pPr>
        <w:pStyle w:val="2"/>
        <w:rPr>
          <w:rFonts w:hint="eastAsia"/>
          <w:color w:val="auto"/>
          <w:highlight w:val="none"/>
          <w:lang w:val="en-US"/>
        </w:rPr>
      </w:pPr>
    </w:p>
    <w:bookmarkEnd w:id="74"/>
    <w:p>
      <w:pPr>
        <w:pStyle w:val="5"/>
        <w:ind w:firstLine="522"/>
        <w:rPr>
          <w:color w:val="auto"/>
          <w:highlight w:val="none"/>
        </w:rPr>
      </w:pPr>
      <w:r>
        <w:rPr>
          <w:rFonts w:hint="eastAsia"/>
          <w:color w:val="auto"/>
          <w:highlight w:val="none"/>
        </w:rPr>
        <w:t>工程布置及主要构筑物</w:t>
      </w:r>
    </w:p>
    <w:p>
      <w:pPr>
        <w:pStyle w:val="6"/>
        <w:bidi w:val="0"/>
        <w:rPr>
          <w:color w:val="auto"/>
          <w:highlight w:val="none"/>
        </w:rPr>
      </w:pPr>
      <w:r>
        <w:rPr>
          <w:rFonts w:hint="eastAsia"/>
          <w:color w:val="auto"/>
          <w:highlight w:val="none"/>
          <w:lang w:eastAsia="zh-CN"/>
        </w:rPr>
        <w:t>工程总平面布置</w:t>
      </w:r>
    </w:p>
    <w:p>
      <w:pPr>
        <w:pStyle w:val="7"/>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本工程主体建设内容包括船闸工程、</w:t>
      </w:r>
      <w:r>
        <w:rPr>
          <w:rFonts w:hint="eastAsia" w:cs="Times New Roman"/>
          <w:color w:val="auto"/>
          <w:highlight w:val="none"/>
          <w:lang w:eastAsia="zh-CN"/>
        </w:rPr>
        <w:t>疏浚工程（坝轴线上下游3km范围内）</w:t>
      </w:r>
      <w:r>
        <w:rPr>
          <w:rFonts w:hint="eastAsia" w:ascii="Times New Roman" w:hAnsi="Times New Roman" w:cs="Times New Roman"/>
          <w:color w:val="auto"/>
          <w:highlight w:val="none"/>
          <w:lang w:eastAsia="zh-CN"/>
        </w:rPr>
        <w:t>、鱼道工程及</w:t>
      </w:r>
      <w:r>
        <w:rPr>
          <w:rFonts w:hint="eastAsia" w:cs="Times New Roman"/>
          <w:color w:val="auto"/>
          <w:highlight w:val="none"/>
          <w:lang w:eastAsia="zh-CN"/>
        </w:rPr>
        <w:t>其他</w:t>
      </w:r>
      <w:r>
        <w:rPr>
          <w:rFonts w:hint="eastAsia" w:ascii="Times New Roman" w:hAnsi="Times New Roman" w:cs="Times New Roman"/>
          <w:color w:val="auto"/>
          <w:highlight w:val="none"/>
          <w:lang w:eastAsia="zh-CN"/>
        </w:rPr>
        <w:t>配套工程等。</w:t>
      </w:r>
    </w:p>
    <w:p>
      <w:pPr>
        <w:pStyle w:val="7"/>
        <w:spacing w:line="240" w:lineRule="auto"/>
        <w:ind w:left="0" w:leftChars="0" w:firstLine="0" w:firstLineChars="0"/>
        <w:jc w:val="center"/>
        <w:rPr>
          <w:color w:val="auto"/>
          <w:highlight w:val="none"/>
        </w:rPr>
      </w:pPr>
      <w:r>
        <w:rPr>
          <w:color w:val="auto"/>
          <w:highlight w:val="none"/>
        </w:rPr>
        <w:drawing>
          <wp:inline distT="0" distB="0" distL="114300" distR="114300">
            <wp:extent cx="5537200" cy="3075305"/>
            <wp:effectExtent l="0" t="0" r="6350" b="10795"/>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pic:cNvPicPr>
                      <a:picLocks noChangeAspect="1"/>
                    </pic:cNvPicPr>
                  </pic:nvPicPr>
                  <pic:blipFill>
                    <a:blip r:embed="rId38"/>
                    <a:stretch>
                      <a:fillRect/>
                    </a:stretch>
                  </pic:blipFill>
                  <pic:spPr>
                    <a:xfrm>
                      <a:off x="0" y="0"/>
                      <a:ext cx="5537200" cy="3075305"/>
                    </a:xfrm>
                    <a:prstGeom prst="rect">
                      <a:avLst/>
                    </a:prstGeom>
                    <a:noFill/>
                    <a:ln>
                      <a:noFill/>
                    </a:ln>
                  </pic:spPr>
                </pic:pic>
              </a:graphicData>
            </a:graphic>
          </wp:inline>
        </w:drawing>
      </w:r>
    </w:p>
    <w:p>
      <w:pPr>
        <w:pStyle w:val="7"/>
        <w:spacing w:line="240" w:lineRule="auto"/>
        <w:ind w:left="0" w:leftChars="0" w:firstLine="0" w:firstLineChars="0"/>
        <w:jc w:val="center"/>
        <w:rPr>
          <w:rFonts w:hint="eastAsia"/>
          <w:color w:val="auto"/>
          <w:highlight w:val="none"/>
          <w:lang w:eastAsia="zh-CN"/>
        </w:rPr>
      </w:pPr>
      <w:r>
        <w:rPr>
          <w:rFonts w:hint="eastAsia"/>
          <w:color w:val="auto"/>
          <w:highlight w:val="none"/>
          <w:lang w:eastAsia="zh-CN"/>
        </w:rPr>
        <w:t>图</w:t>
      </w:r>
      <w:r>
        <w:rPr>
          <w:rFonts w:hint="eastAsia"/>
          <w:color w:val="auto"/>
          <w:highlight w:val="none"/>
          <w:lang w:val="en-US" w:eastAsia="zh-CN"/>
        </w:rPr>
        <w:t>2.5.4.1-1  渭沱</w:t>
      </w:r>
      <w:r>
        <w:rPr>
          <w:rFonts w:hint="eastAsia"/>
          <w:color w:val="auto"/>
          <w:highlight w:val="none"/>
          <w:lang w:eastAsia="zh-CN"/>
        </w:rPr>
        <w:t>船闸总体布置图</w:t>
      </w:r>
    </w:p>
    <w:p>
      <w:pPr>
        <w:pStyle w:val="7"/>
        <w:snapToGrid w:val="0"/>
        <w:spacing w:line="240" w:lineRule="auto"/>
        <w:rPr>
          <w:rFonts w:hint="eastAsia" w:ascii="Times New Roman" w:hAnsi="Times New Roman" w:cs="Times New Roman"/>
          <w:color w:val="auto"/>
          <w:highlight w:val="none"/>
          <w:lang w:eastAsia="zh-CN"/>
        </w:rPr>
      </w:pPr>
    </w:p>
    <w:p>
      <w:pPr>
        <w:pStyle w:val="7"/>
        <w:rPr>
          <w:rFonts w:hint="default"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1</w:t>
      </w:r>
      <w:r>
        <w:rPr>
          <w:rFonts w:hint="eastAsia" w:ascii="Times New Roman" w:hAnsi="Times New Roman" w:cs="Times New Roman"/>
          <w:color w:val="auto"/>
          <w:highlight w:val="none"/>
          <w:lang w:eastAsia="zh-CN"/>
        </w:rPr>
        <w:t>）船闸工程</w:t>
      </w:r>
    </w:p>
    <w:p>
      <w:pPr>
        <w:pStyle w:val="7"/>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本次拟建船闸位于电站右岸，紧邻电站厂房布置，与现有一线船闸呈</w:t>
      </w:r>
      <w:r>
        <w:rPr>
          <w:rFonts w:hint="eastAsia" w:cs="Times New Roman"/>
          <w:color w:val="auto"/>
          <w:highlight w:val="none"/>
          <w:lang w:val="en-US" w:eastAsia="zh-CN"/>
        </w:rPr>
        <w:t>2.5</w:t>
      </w:r>
      <w:r>
        <w:rPr>
          <w:rFonts w:hint="default" w:ascii="Times New Roman" w:hAnsi="Times New Roman" w:cs="Times New Roman"/>
          <w:color w:val="auto"/>
          <w:highlight w:val="none"/>
          <w:lang w:eastAsia="zh-CN"/>
        </w:rPr>
        <w:t>度夹角，两闸间距约65m。下闸首与枢纽平齐，闸室、上闸首位于库区。船舶上行、下行过闸方式均为曲进曲出，上、下游引航道采用折线型布置。上闸首平面尺度为39×45m，闸室长190m，下闸首平面尺度为37×45m，口门宽23m。上游引航道总长</w:t>
      </w:r>
      <w:r>
        <w:rPr>
          <w:rFonts w:hint="eastAsia" w:cs="Times New Roman"/>
          <w:color w:val="auto"/>
          <w:highlight w:val="none"/>
          <w:lang w:val="en-US" w:eastAsia="zh-CN"/>
        </w:rPr>
        <w:t>525</w:t>
      </w:r>
      <w:r>
        <w:rPr>
          <w:rFonts w:hint="default" w:ascii="Times New Roman" w:hAnsi="Times New Roman" w:cs="Times New Roman"/>
          <w:color w:val="auto"/>
          <w:highlight w:val="none"/>
          <w:lang w:eastAsia="zh-CN"/>
        </w:rPr>
        <w:t>m，下游引航道总长</w:t>
      </w:r>
      <w:r>
        <w:rPr>
          <w:rFonts w:hint="eastAsia" w:cs="Times New Roman"/>
          <w:color w:val="auto"/>
          <w:highlight w:val="none"/>
          <w:lang w:val="en-US" w:eastAsia="zh-CN"/>
        </w:rPr>
        <w:t>399</w:t>
      </w:r>
      <w:r>
        <w:rPr>
          <w:rFonts w:hint="default" w:ascii="Times New Roman" w:hAnsi="Times New Roman" w:cs="Times New Roman"/>
          <w:color w:val="auto"/>
          <w:highlight w:val="none"/>
          <w:lang w:eastAsia="zh-CN"/>
        </w:rPr>
        <w:t>m，转弯半径315m</w:t>
      </w:r>
      <w:r>
        <w:rPr>
          <w:rFonts w:hint="eastAsia" w:cs="Times New Roman"/>
          <w:color w:val="auto"/>
          <w:highlight w:val="none"/>
          <w:lang w:eastAsia="zh-CN"/>
        </w:rPr>
        <w:t>，均由导航调顺段、停泊段和制动段组成</w:t>
      </w:r>
      <w:r>
        <w:rPr>
          <w:rFonts w:hint="default" w:ascii="Times New Roman" w:hAnsi="Times New Roman" w:cs="Times New Roman"/>
          <w:color w:val="auto"/>
          <w:highlight w:val="none"/>
          <w:lang w:eastAsia="zh-CN"/>
        </w:rPr>
        <w:t>。</w:t>
      </w:r>
    </w:p>
    <w:p>
      <w:pPr>
        <w:pStyle w:val="7"/>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2</w:t>
      </w:r>
      <w:r>
        <w:rPr>
          <w:rFonts w:hint="eastAsia" w:ascii="Times New Roman" w:hAnsi="Times New Roman" w:cs="Times New Roman"/>
          <w:color w:val="auto"/>
          <w:highlight w:val="none"/>
          <w:lang w:eastAsia="zh-CN"/>
        </w:rPr>
        <w:t>）</w:t>
      </w:r>
      <w:r>
        <w:rPr>
          <w:rFonts w:hint="eastAsia" w:cs="Times New Roman"/>
          <w:color w:val="auto"/>
          <w:highlight w:val="none"/>
          <w:lang w:eastAsia="zh-CN"/>
        </w:rPr>
        <w:t>配套疏浚工程</w:t>
      </w:r>
    </w:p>
    <w:p>
      <w:pPr>
        <w:pStyle w:val="7"/>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航道等级为</w:t>
      </w:r>
      <w:r>
        <w:rPr>
          <w:rFonts w:hint="default" w:ascii="Times New Roman" w:hAnsi="Times New Roman" w:cs="Times New Roman"/>
          <w:color w:val="auto"/>
          <w:highlight w:val="none"/>
          <w:lang w:eastAsia="zh-CN"/>
        </w:rPr>
        <w:fldChar w:fldCharType="begin"/>
      </w:r>
      <w:r>
        <w:rPr>
          <w:rFonts w:hint="default" w:ascii="Times New Roman" w:hAnsi="Times New Roman" w:cs="Times New Roman"/>
          <w:color w:val="auto"/>
          <w:highlight w:val="none"/>
          <w:lang w:eastAsia="zh-CN"/>
        </w:rPr>
        <w:instrText xml:space="preserve"> = 3 \* ROMAN \* MERGEFORMAT </w:instrText>
      </w:r>
      <w:r>
        <w:rPr>
          <w:rFonts w:hint="default" w:ascii="Times New Roman" w:hAnsi="Times New Roman" w:cs="Times New Roman"/>
          <w:color w:val="auto"/>
          <w:highlight w:val="none"/>
          <w:lang w:eastAsia="zh-CN"/>
        </w:rPr>
        <w:fldChar w:fldCharType="separate"/>
      </w:r>
      <w:r>
        <w:rPr>
          <w:color w:val="auto"/>
          <w:highlight w:val="none"/>
        </w:rPr>
        <w:t>III</w:t>
      </w:r>
      <w:r>
        <w:rPr>
          <w:rFonts w:hint="default" w:ascii="Times New Roman" w:hAnsi="Times New Roman" w:cs="Times New Roman"/>
          <w:color w:val="auto"/>
          <w:highlight w:val="none"/>
          <w:lang w:eastAsia="zh-CN"/>
        </w:rPr>
        <w:fldChar w:fldCharType="end"/>
      </w:r>
      <w:r>
        <w:rPr>
          <w:rFonts w:hint="default" w:ascii="Times New Roman" w:hAnsi="Times New Roman" w:cs="Times New Roman"/>
          <w:color w:val="auto"/>
          <w:highlight w:val="none"/>
          <w:lang w:eastAsia="zh-CN"/>
        </w:rPr>
        <w:t>级，</w:t>
      </w:r>
      <w:r>
        <w:rPr>
          <w:rFonts w:hint="default" w:ascii="Times New Roman" w:hAnsi="Times New Roman" w:cs="Times New Roman"/>
          <w:color w:val="auto"/>
          <w:sz w:val="26"/>
          <w:szCs w:val="26"/>
          <w:highlight w:val="none"/>
          <w:lang w:eastAsia="zh-CN"/>
        </w:rPr>
        <w:t>航道尺度为2.8×60×480m，通航保证率为98%。为使工程河段满足最小通航水深要求，本次在</w:t>
      </w:r>
      <w:r>
        <w:rPr>
          <w:rFonts w:hint="eastAsia" w:ascii="Times New Roman" w:hAnsi="Times New Roman" w:cs="Times New Roman"/>
          <w:color w:val="auto"/>
          <w:sz w:val="26"/>
          <w:szCs w:val="26"/>
          <w:highlight w:val="none"/>
          <w:lang w:eastAsia="zh-CN"/>
        </w:rPr>
        <w:t>渭沱枢纽</w:t>
      </w:r>
      <w:r>
        <w:rPr>
          <w:rFonts w:hint="default" w:ascii="Times New Roman" w:hAnsi="Times New Roman" w:cs="Times New Roman"/>
          <w:color w:val="auto"/>
          <w:sz w:val="26"/>
          <w:szCs w:val="26"/>
          <w:highlight w:val="none"/>
          <w:lang w:eastAsia="zh-CN"/>
        </w:rPr>
        <w:t>上游</w:t>
      </w:r>
      <w:r>
        <w:rPr>
          <w:rFonts w:hint="eastAsia" w:ascii="Times New Roman" w:hAnsi="Times New Roman" w:cs="Times New Roman"/>
          <w:color w:val="auto"/>
          <w:sz w:val="26"/>
          <w:szCs w:val="26"/>
          <w:highlight w:val="none"/>
          <w:lang w:eastAsia="zh-CN"/>
        </w:rPr>
        <w:t>、下游</w:t>
      </w:r>
      <w:r>
        <w:rPr>
          <w:rFonts w:hint="default" w:ascii="Times New Roman" w:hAnsi="Times New Roman" w:cs="Times New Roman"/>
          <w:color w:val="auto"/>
          <w:sz w:val="26"/>
          <w:szCs w:val="26"/>
          <w:highlight w:val="none"/>
          <w:lang w:eastAsia="zh-CN"/>
        </w:rPr>
        <w:t>航道</w:t>
      </w:r>
      <w:r>
        <w:rPr>
          <w:rFonts w:hint="eastAsia" w:cs="Times New Roman"/>
          <w:color w:val="auto"/>
          <w:sz w:val="26"/>
          <w:szCs w:val="26"/>
          <w:highlight w:val="none"/>
          <w:lang w:eastAsia="zh-CN"/>
        </w:rPr>
        <w:t>共</w:t>
      </w:r>
      <w:r>
        <w:rPr>
          <w:rFonts w:hint="default" w:ascii="Times New Roman" w:hAnsi="Times New Roman" w:cs="Times New Roman"/>
          <w:color w:val="auto"/>
          <w:sz w:val="26"/>
          <w:szCs w:val="26"/>
          <w:highlight w:val="none"/>
          <w:lang w:eastAsia="zh-CN"/>
        </w:rPr>
        <w:t>布置</w:t>
      </w:r>
      <w:r>
        <w:rPr>
          <w:rFonts w:hint="eastAsia" w:cs="Times New Roman"/>
          <w:color w:val="auto"/>
          <w:sz w:val="26"/>
          <w:szCs w:val="26"/>
          <w:highlight w:val="none"/>
          <w:lang w:eastAsia="zh-CN"/>
        </w:rPr>
        <w:t>配套</w:t>
      </w:r>
      <w:r>
        <w:rPr>
          <w:rFonts w:hint="default" w:ascii="Times New Roman" w:hAnsi="Times New Roman" w:cs="Times New Roman"/>
          <w:color w:val="auto"/>
          <w:sz w:val="26"/>
          <w:szCs w:val="26"/>
          <w:highlight w:val="none"/>
          <w:lang w:eastAsia="zh-CN"/>
        </w:rPr>
        <w:t>疏浚工程</w:t>
      </w:r>
      <w:r>
        <w:rPr>
          <w:rFonts w:hint="eastAsia" w:cs="Times New Roman"/>
          <w:color w:val="auto"/>
          <w:sz w:val="26"/>
          <w:szCs w:val="26"/>
          <w:highlight w:val="none"/>
          <w:lang w:val="en-US" w:eastAsia="zh-CN"/>
        </w:rPr>
        <w:t>3</w:t>
      </w:r>
      <w:r>
        <w:rPr>
          <w:rFonts w:hint="default" w:ascii="Times New Roman" w:hAnsi="Times New Roman" w:cs="Times New Roman"/>
          <w:color w:val="auto"/>
          <w:sz w:val="26"/>
          <w:szCs w:val="26"/>
          <w:highlight w:val="none"/>
          <w:lang w:eastAsia="zh-CN"/>
        </w:rPr>
        <w:t>处。</w:t>
      </w:r>
      <w:r>
        <w:rPr>
          <w:rFonts w:hint="eastAsia" w:cs="Times New Roman"/>
          <w:color w:val="auto"/>
          <w:sz w:val="26"/>
          <w:szCs w:val="26"/>
          <w:highlight w:val="none"/>
          <w:lang w:eastAsia="zh-CN"/>
        </w:rPr>
        <w:t>分别为：</w:t>
      </w:r>
      <w:r>
        <w:rPr>
          <w:rFonts w:hint="eastAsia"/>
          <w:color w:val="auto"/>
          <w:highlight w:val="none"/>
          <w:lang w:eastAsia="zh-CN"/>
        </w:rPr>
        <w:t>位于上游导航段左侧，由上游停泊段上游160m处至船闸上闸首段范围内的上游疏浚区（1），疏浚长度约810m；位于上游导航段右侧，位于上游口门区上游340m处的上游疏浚区（2），疏浚长度约137m；位于下游导航段右侧，由下游制动区下游76m处至下游口门区下游900m处范围内的下游疏浚区，疏浚长度约730m</w:t>
      </w:r>
      <w:r>
        <w:rPr>
          <w:rFonts w:hint="eastAsia" w:cs="Times New Roman"/>
          <w:color w:val="auto"/>
          <w:sz w:val="26"/>
          <w:szCs w:val="26"/>
          <w:highlight w:val="none"/>
          <w:lang w:eastAsia="zh-CN"/>
        </w:rPr>
        <w:t>。同时，在距离渭沱船闸坝轴线上游右岸约1.2km处横河向布置潜丁坝。</w:t>
      </w:r>
    </w:p>
    <w:p>
      <w:pPr>
        <w:pStyle w:val="7"/>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3</w:t>
      </w:r>
      <w:r>
        <w:rPr>
          <w:rFonts w:hint="eastAsia" w:ascii="Times New Roman" w:hAnsi="Times New Roman" w:cs="Times New Roman"/>
          <w:color w:val="auto"/>
          <w:highlight w:val="none"/>
          <w:lang w:eastAsia="zh-CN"/>
        </w:rPr>
        <w:t>）鱼道工程</w:t>
      </w:r>
    </w:p>
    <w:p>
      <w:pPr>
        <w:pStyle w:val="7"/>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鱼道布置于现状船闸处，采用竖缝横隔板式</w:t>
      </w:r>
      <w:r>
        <w:rPr>
          <w:rFonts w:hint="eastAsia" w:cs="Times New Roman"/>
          <w:color w:val="auto"/>
          <w:highlight w:val="none"/>
          <w:lang w:eastAsia="zh-CN"/>
        </w:rPr>
        <w:t>鱼道，全程约</w:t>
      </w:r>
      <w:r>
        <w:rPr>
          <w:rFonts w:hint="eastAsia" w:cs="Times New Roman"/>
          <w:color w:val="auto"/>
          <w:highlight w:val="none"/>
          <w:lang w:val="en-US" w:eastAsia="zh-CN"/>
        </w:rPr>
        <w:t>705m</w:t>
      </w:r>
      <w:r>
        <w:rPr>
          <w:rFonts w:hint="default" w:ascii="Times New Roman" w:hAnsi="Times New Roman" w:cs="Times New Roman"/>
          <w:color w:val="auto"/>
          <w:highlight w:val="none"/>
          <w:lang w:eastAsia="zh-CN"/>
        </w:rPr>
        <w:t>。</w:t>
      </w:r>
    </w:p>
    <w:p>
      <w:pPr>
        <w:pStyle w:val="7"/>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4</w:t>
      </w:r>
      <w:r>
        <w:rPr>
          <w:rFonts w:hint="eastAsia" w:ascii="Times New Roman" w:hAnsi="Times New Roman" w:cs="Times New Roman"/>
          <w:color w:val="auto"/>
          <w:highlight w:val="none"/>
          <w:lang w:eastAsia="zh-CN"/>
        </w:rPr>
        <w:t>）配套工程</w:t>
      </w:r>
    </w:p>
    <w:p>
      <w:pPr>
        <w:pStyle w:val="7"/>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配套工程包括闸管区、上下游锚地、跨闸桥、航标工程等。</w:t>
      </w:r>
    </w:p>
    <w:p>
      <w:pPr>
        <w:pStyle w:val="7"/>
        <w:rPr>
          <w:rFonts w:hint="eastAsia"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闸管区位于右岸</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t>闸管区根据地形分为三个高程平台，低平台高程为 234m，主要布置有污水处理站、库房和预留场地。中平台高程为 238m，主要布置有综合楼、航道维护办公用房、停车场和景观绿化等。高平台高程为 248m，主要布置有宿舍、消防设施、停车场和景观绿化等。闸管区通过8%的外接道路衔接现有村道</w:t>
      </w:r>
      <w:r>
        <w:rPr>
          <w:rFonts w:hint="eastAsia" w:ascii="Times New Roman" w:hAnsi="Times New Roman" w:cs="Times New Roman"/>
          <w:color w:val="auto"/>
          <w:highlight w:val="none"/>
          <w:lang w:eastAsia="zh-CN"/>
        </w:rPr>
        <w:t>。</w:t>
      </w:r>
    </w:p>
    <w:p>
      <w:pPr>
        <w:pStyle w:val="7"/>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上游待闸锚地距船闸上游停泊段约</w:t>
      </w:r>
      <w:r>
        <w:rPr>
          <w:rFonts w:hint="eastAsia" w:cs="Times New Roman"/>
          <w:color w:val="auto"/>
          <w:highlight w:val="none"/>
          <w:lang w:val="en-US" w:eastAsia="zh-CN"/>
        </w:rPr>
        <w:t>1228</w:t>
      </w:r>
      <w:r>
        <w:rPr>
          <w:rFonts w:hint="default" w:ascii="Times New Roman" w:hAnsi="Times New Roman" w:cs="Times New Roman"/>
          <w:color w:val="auto"/>
          <w:highlight w:val="none"/>
          <w:lang w:eastAsia="zh-CN"/>
        </w:rPr>
        <w:t>m，布设于航道</w:t>
      </w:r>
      <w:r>
        <w:rPr>
          <w:rFonts w:hint="eastAsia" w:cs="Times New Roman"/>
          <w:color w:val="auto"/>
          <w:highlight w:val="none"/>
          <w:lang w:eastAsia="zh-CN"/>
        </w:rPr>
        <w:t>左岸；</w:t>
      </w:r>
      <w:r>
        <w:rPr>
          <w:rFonts w:hint="default" w:ascii="Times New Roman" w:hAnsi="Times New Roman" w:cs="Times New Roman"/>
          <w:color w:val="auto"/>
          <w:highlight w:val="none"/>
          <w:lang w:eastAsia="zh-CN"/>
        </w:rPr>
        <w:t>下游待闸锚地布置于下游弯道末端直线段，距下游停泊段约</w:t>
      </w:r>
      <w:r>
        <w:rPr>
          <w:rFonts w:hint="eastAsia" w:cs="Times New Roman"/>
          <w:color w:val="auto"/>
          <w:highlight w:val="none"/>
          <w:lang w:val="en-US" w:eastAsia="zh-CN"/>
        </w:rPr>
        <w:t>1232</w:t>
      </w:r>
      <w:r>
        <w:rPr>
          <w:rFonts w:hint="default" w:ascii="Times New Roman" w:hAnsi="Times New Roman" w:cs="Times New Roman"/>
          <w:color w:val="auto"/>
          <w:highlight w:val="none"/>
          <w:lang w:eastAsia="zh-CN"/>
        </w:rPr>
        <w:t>m，布设在航道右岸。</w:t>
      </w:r>
    </w:p>
    <w:p>
      <w:pPr>
        <w:pStyle w:val="7"/>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设置</w:t>
      </w:r>
      <w:r>
        <w:rPr>
          <w:rFonts w:hint="eastAsia" w:cs="Times New Roman"/>
          <w:color w:val="auto"/>
          <w:highlight w:val="none"/>
          <w:lang w:val="en-US" w:eastAsia="zh-CN"/>
        </w:rPr>
        <w:t>1</w:t>
      </w:r>
      <w:r>
        <w:rPr>
          <w:rFonts w:hint="default" w:ascii="Times New Roman" w:hAnsi="Times New Roman" w:cs="Times New Roman"/>
          <w:color w:val="auto"/>
          <w:highlight w:val="none"/>
          <w:lang w:eastAsia="zh-CN"/>
        </w:rPr>
        <w:t>座跨闸桥与船闸内部道路连接</w:t>
      </w:r>
      <w:r>
        <w:rPr>
          <w:rFonts w:hint="eastAsia" w:ascii="Times New Roman" w:hAnsi="Times New Roman" w:cs="Times New Roman"/>
          <w:color w:val="auto"/>
          <w:highlight w:val="none"/>
          <w:lang w:eastAsia="zh-CN"/>
        </w:rPr>
        <w:t>，跨越船闸闸室，连接船闸右岸及全年围堰229m平台，再分别通过9%的坡道至厂房门口220m平台，8%的坡道至枢纽顶224m平台</w:t>
      </w:r>
      <w:r>
        <w:rPr>
          <w:rFonts w:hint="default" w:ascii="Times New Roman" w:hAnsi="Times New Roman" w:cs="Times New Roman"/>
          <w:color w:val="auto"/>
          <w:highlight w:val="none"/>
          <w:lang w:eastAsia="zh-CN"/>
        </w:rPr>
        <w:t>。</w:t>
      </w:r>
    </w:p>
    <w:p>
      <w:pPr>
        <w:pStyle w:val="7"/>
        <w:rPr>
          <w:rFonts w:hint="default"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航标工程布设在</w:t>
      </w:r>
      <w:r>
        <w:rPr>
          <w:rFonts w:hint="default" w:ascii="Times New Roman" w:hAnsi="Times New Roman" w:cs="Times New Roman"/>
          <w:color w:val="auto"/>
          <w:highlight w:val="none"/>
          <w:lang w:eastAsia="zh-CN"/>
        </w:rPr>
        <w:t>涪江干流渭沱电厂船闸主体、上下游引航道及连接段航道</w:t>
      </w:r>
      <w:r>
        <w:rPr>
          <w:rFonts w:hint="eastAsia" w:ascii="Times New Roman" w:hAnsi="Times New Roman" w:cs="Times New Roman"/>
          <w:color w:val="auto"/>
          <w:highlight w:val="none"/>
          <w:lang w:eastAsia="zh-CN"/>
        </w:rPr>
        <w:t>，按一类航标配布，包括侧面标、界限标、桥涵标、距离确认标志、防止夹挡标志、禁止僭越标志、系好缆绳标志、慢行标志、宣传标志等。</w:t>
      </w:r>
    </w:p>
    <w:p>
      <w:pPr>
        <w:pStyle w:val="6"/>
        <w:bidi w:val="0"/>
        <w:rPr>
          <w:rFonts w:hint="eastAsia"/>
          <w:color w:val="auto"/>
          <w:highlight w:val="none"/>
          <w:lang w:eastAsia="zh-CN"/>
        </w:rPr>
      </w:pPr>
      <w:r>
        <w:rPr>
          <w:rFonts w:hint="eastAsia"/>
          <w:color w:val="auto"/>
          <w:highlight w:val="none"/>
          <w:lang w:eastAsia="zh-CN"/>
        </w:rPr>
        <w:t>船闸工程</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）闸首</w:t>
      </w:r>
    </w:p>
    <w:p>
      <w:pPr>
        <w:bidi w:val="0"/>
        <w:ind w:left="0" w:leftChars="0" w:firstLine="520" w:firstLineChars="200"/>
        <w:rPr>
          <w:rFonts w:hint="default"/>
          <w:color w:val="auto"/>
          <w:highlight w:val="none"/>
          <w:lang w:val="en-US" w:eastAsia="zh-CN"/>
        </w:rPr>
      </w:pPr>
      <w:r>
        <w:rPr>
          <w:rFonts w:hint="eastAsia"/>
          <w:color w:val="auto"/>
          <w:highlight w:val="none"/>
          <w:lang w:eastAsia="zh-CN"/>
        </w:rPr>
        <w:t>上闸首为钢筋砼整体结构，采用空箱边墩</w:t>
      </w:r>
      <w:r>
        <w:rPr>
          <w:rFonts w:hint="eastAsia"/>
          <w:color w:val="auto"/>
          <w:highlight w:val="none"/>
          <w:shd w:val="clear" w:fill="FFFFFF"/>
          <w:lang w:eastAsia="zh-CN"/>
        </w:rPr>
        <w:t>型式</w:t>
      </w:r>
      <w:r>
        <w:rPr>
          <w:rFonts w:hint="eastAsia"/>
          <w:color w:val="auto"/>
          <w:highlight w:val="none"/>
          <w:lang w:eastAsia="zh-CN"/>
        </w:rPr>
        <w:t>，外轮廓平面尺寸为39</w:t>
      </w:r>
      <w:r>
        <w:rPr>
          <w:color w:val="auto"/>
          <w:highlight w:val="none"/>
        </w:rPr>
        <w:t>×</w:t>
      </w:r>
      <w:r>
        <w:rPr>
          <w:rFonts w:hint="eastAsia"/>
          <w:color w:val="auto"/>
          <w:highlight w:val="none"/>
          <w:lang w:eastAsia="zh-CN"/>
        </w:rPr>
        <w:t>45m（顺水流方向</w:t>
      </w:r>
      <w:r>
        <w:rPr>
          <w:color w:val="auto"/>
          <w:highlight w:val="none"/>
        </w:rPr>
        <w:t>×</w:t>
      </w:r>
      <w:r>
        <w:rPr>
          <w:rFonts w:hint="eastAsia"/>
          <w:color w:val="auto"/>
          <w:highlight w:val="none"/>
          <w:lang w:eastAsia="zh-CN"/>
        </w:rPr>
        <w:t>垂直水流方向），通航孔口净宽为23m。两侧边墩门龛段宽8.3m，其他部分边墩宽11.0m；边墩底高程191.4m，墩顶高程为220.0m；门槛高程为200.8m，底板底高程为191.4m。每侧边墩内设输水廊道、1个工作阀门井和1个检修阀门井、闸门启闭机室、空箱、门楣通气装置等；工作、检修阀门井内设带护笼的钢直梯一道，供检修人员上下。工作阀门处输水廊道断面尺寸为3.0</w:t>
      </w:r>
      <w:r>
        <w:rPr>
          <w:color w:val="auto"/>
          <w:highlight w:val="none"/>
        </w:rPr>
        <w:t>×</w:t>
      </w:r>
      <w:r>
        <w:rPr>
          <w:rFonts w:hint="eastAsia"/>
          <w:color w:val="auto"/>
          <w:highlight w:val="none"/>
          <w:lang w:eastAsia="zh-CN"/>
        </w:rPr>
        <w:t>3.0m（宽</w:t>
      </w:r>
      <w:r>
        <w:rPr>
          <w:color w:val="auto"/>
          <w:highlight w:val="none"/>
        </w:rPr>
        <w:t>×</w:t>
      </w:r>
      <w:r>
        <w:rPr>
          <w:rFonts w:hint="eastAsia"/>
          <w:color w:val="auto"/>
          <w:highlight w:val="none"/>
          <w:lang w:eastAsia="zh-CN"/>
        </w:rPr>
        <w:t>高），该处输水廊道顶高程为196.4m，底高程为193.4m；检修阀门处输水廊道断面尺寸为3.0</w:t>
      </w:r>
      <w:r>
        <w:rPr>
          <w:color w:val="auto"/>
          <w:highlight w:val="none"/>
        </w:rPr>
        <w:t>×</w:t>
      </w:r>
      <w:r>
        <w:rPr>
          <w:rFonts w:hint="eastAsia"/>
          <w:color w:val="auto"/>
          <w:highlight w:val="none"/>
          <w:lang w:eastAsia="zh-CN"/>
        </w:rPr>
        <w:t>3.5m（宽</w:t>
      </w:r>
      <w:r>
        <w:rPr>
          <w:color w:val="auto"/>
          <w:highlight w:val="none"/>
        </w:rPr>
        <w:t>×</w:t>
      </w:r>
      <w:r>
        <w:rPr>
          <w:rFonts w:hint="eastAsia"/>
          <w:color w:val="auto"/>
          <w:highlight w:val="none"/>
          <w:lang w:eastAsia="zh-CN"/>
        </w:rPr>
        <w:t>高），该处输水廊道顶高程为200.2m，底高程为196.7m。为减少底板砼工程量，防止</w:t>
      </w:r>
      <w:r>
        <w:rPr>
          <w:rFonts w:hint="eastAsia"/>
          <w:color w:val="auto"/>
          <w:highlight w:val="none"/>
          <w:shd w:val="clear" w:fill="FFFFFF"/>
          <w:lang w:eastAsia="zh-CN"/>
        </w:rPr>
        <w:t>砼裂缝</w:t>
      </w:r>
      <w:r>
        <w:rPr>
          <w:rFonts w:hint="eastAsia"/>
          <w:color w:val="auto"/>
          <w:highlight w:val="none"/>
          <w:lang w:eastAsia="zh-CN"/>
        </w:rPr>
        <w:t>的产生，底板内设置空箱，空箱顶、底高程为197.8m、193.4m。闸首边墩顶布置启闭机房，启闭机房内设电动葫芦，用于阀门及工作闸门启闭设备的检修。边墩顶四周设钢栏杆，门前段和支持段迎水面设钢板护面，门槛部分位置采用钢包角，工作闸门门前、门后边墩上分别设水尺以观测水位，上闸首与上游进水段导航墙和首段闸室间设双道止水。</w:t>
      </w:r>
    </w:p>
    <w:p>
      <w:pPr>
        <w:bidi w:val="0"/>
        <w:ind w:left="0" w:leftChars="0" w:firstLine="520" w:firstLineChars="200"/>
        <w:rPr>
          <w:rFonts w:hint="eastAsia"/>
          <w:color w:val="auto"/>
          <w:highlight w:val="none"/>
          <w:lang w:eastAsia="zh-CN"/>
        </w:rPr>
      </w:pPr>
      <w:r>
        <w:rPr>
          <w:rFonts w:hint="eastAsia"/>
          <w:color w:val="auto"/>
          <w:highlight w:val="none"/>
          <w:lang w:eastAsia="zh-CN"/>
        </w:rPr>
        <w:t>下闸首采用钢筋砼整体坞式结构，平底板，空箱边墩，工作闸门采用人字门，输水系统采用闸墙长廊道侧支孔分散输水系统，边墩内布置廊道，廊道出口位于下闸首支持墙段底板。下闸首平面尺度45（横河向宽度）</w:t>
      </w:r>
      <w:r>
        <w:rPr>
          <w:color w:val="auto"/>
          <w:highlight w:val="none"/>
        </w:rPr>
        <w:t>×</w:t>
      </w:r>
      <w:r>
        <w:rPr>
          <w:rFonts w:hint="eastAsia"/>
          <w:color w:val="auto"/>
          <w:highlight w:val="none"/>
          <w:lang w:eastAsia="zh-CN"/>
        </w:rPr>
        <w:t>37m（顺水向长度），通航孔口净宽为23m，门前段长2m，门库段长18m、支持墙段长17m。两侧边墩</w:t>
      </w:r>
      <w:r>
        <w:rPr>
          <w:rFonts w:hint="eastAsia"/>
          <w:color w:val="auto"/>
          <w:highlight w:val="none"/>
          <w:shd w:val="clear" w:fill="FFFFFF"/>
          <w:lang w:eastAsia="zh-CN"/>
        </w:rPr>
        <w:t>门库</w:t>
      </w:r>
      <w:r>
        <w:rPr>
          <w:rFonts w:hint="eastAsia"/>
          <w:color w:val="auto"/>
          <w:highlight w:val="none"/>
          <w:lang w:eastAsia="zh-CN"/>
        </w:rPr>
        <w:t>段宽8.3m，其他部分边墩宽11m，门槛顶高程195.2m，底板底高程187.6m，边墩顶高程225.0m。为减少下闸首底板砼工程量，防止</w:t>
      </w:r>
      <w:r>
        <w:rPr>
          <w:rFonts w:hint="eastAsia"/>
          <w:color w:val="auto"/>
          <w:highlight w:val="none"/>
          <w:shd w:val="clear" w:fill="FFFFFF"/>
          <w:lang w:eastAsia="zh-CN"/>
        </w:rPr>
        <w:t>砼裂缝</w:t>
      </w:r>
      <w:r>
        <w:rPr>
          <w:rFonts w:hint="eastAsia"/>
          <w:color w:val="auto"/>
          <w:highlight w:val="none"/>
          <w:lang w:eastAsia="zh-CN"/>
        </w:rPr>
        <w:t>的产生，下闸首底板内设置空箱。下闸首输水廊道布置在闸首两侧边墩内，廊道进口接上游末端闸室廊道，进口段为阀门段廊道，廊道在工作阀门处断面尺寸为3.0×3.0m，其余处断面尺寸为3.0</w:t>
      </w:r>
      <w:r>
        <w:rPr>
          <w:color w:val="auto"/>
          <w:highlight w:val="none"/>
        </w:rPr>
        <w:t>×</w:t>
      </w:r>
      <w:r>
        <w:rPr>
          <w:rFonts w:hint="eastAsia"/>
          <w:color w:val="auto"/>
          <w:highlight w:val="none"/>
          <w:lang w:eastAsia="zh-CN"/>
        </w:rPr>
        <w:t>3.5m，两侧控制过水断面面积ω=21.0m</w:t>
      </w:r>
      <w:r>
        <w:rPr>
          <w:rFonts w:hint="eastAsia"/>
          <w:color w:val="auto"/>
          <w:highlight w:val="none"/>
          <w:vertAlign w:val="superscript"/>
          <w:lang w:val="en-US" w:eastAsia="zh-CN"/>
        </w:rPr>
        <w:t>2</w:t>
      </w:r>
      <w:r>
        <w:rPr>
          <w:rFonts w:hint="eastAsia"/>
          <w:color w:val="auto"/>
          <w:highlight w:val="none"/>
          <w:lang w:eastAsia="zh-CN"/>
        </w:rPr>
        <w:t>，底高程190.6m，顶高程194.1m。廊道经检修阀门后断面局部扩大，并以90</w:t>
      </w:r>
      <w:r>
        <w:rPr>
          <w:rFonts w:hint="default" w:ascii="Times New Roman" w:hAnsi="Times New Roman" w:cs="Times New Roman"/>
          <w:color w:val="auto"/>
          <w:highlight w:val="none"/>
          <w:lang w:eastAsia="zh-CN"/>
        </w:rPr>
        <w:t>°</w:t>
      </w:r>
      <w:r>
        <w:rPr>
          <w:rFonts w:hint="eastAsia"/>
          <w:color w:val="auto"/>
          <w:highlight w:val="none"/>
          <w:lang w:eastAsia="zh-CN"/>
        </w:rPr>
        <w:t>水平转弯接出水口，出口廊道断面为两孔，尺寸分别为3.5</w:t>
      </w:r>
      <w:r>
        <w:rPr>
          <w:color w:val="auto"/>
          <w:highlight w:val="none"/>
        </w:rPr>
        <w:t>×</w:t>
      </w:r>
      <w:r>
        <w:rPr>
          <w:rFonts w:hint="eastAsia"/>
          <w:color w:val="auto"/>
          <w:highlight w:val="none"/>
          <w:lang w:eastAsia="zh-CN"/>
        </w:rPr>
        <w:t>3.5m、3.0</w:t>
      </w:r>
      <w:r>
        <w:rPr>
          <w:color w:val="auto"/>
          <w:highlight w:val="none"/>
        </w:rPr>
        <w:t>×</w:t>
      </w:r>
      <w:r>
        <w:rPr>
          <w:rFonts w:hint="eastAsia"/>
          <w:color w:val="auto"/>
          <w:highlight w:val="none"/>
          <w:lang w:eastAsia="zh-CN"/>
        </w:rPr>
        <w:t>3.5m；中墩厚0.6m，出口位于下闸首支持墙段底板，采用对冲及格栅消能，设消能室、顶部出水格栅及下游侧出水孔。启闭机房布置于下闸首两侧边墩顶面；工作闸门启闭机布置于边墩空箱内，工作闸门启闭机平台高程223.2m；工作阀门门槽布置于下闸首门库段，工作阀门启闭机布置于边墩空箱内，启闭机平台高程220.0m，检修平台高程210.6m，相应下游检修水位203.0m；检修阀门位于工作阀门下游，门槽布置于下闸首边墩支持墙段，检修阀门启闭机布置于边墩上部，启闭机平台高程226.3m；下游检修闸门布置于下游导航墙直线段，在主辅导航墙上设置检修门槽，平面尺寸0.5</w:t>
      </w:r>
      <w:r>
        <w:rPr>
          <w:color w:val="auto"/>
          <w:highlight w:val="none"/>
        </w:rPr>
        <w:t>×</w:t>
      </w:r>
      <w:r>
        <w:rPr>
          <w:rFonts w:hint="eastAsia"/>
          <w:color w:val="auto"/>
          <w:highlight w:val="none"/>
          <w:lang w:eastAsia="zh-CN"/>
        </w:rPr>
        <w:t>1.16m（宽</w:t>
      </w:r>
      <w:r>
        <w:rPr>
          <w:color w:val="auto"/>
          <w:highlight w:val="none"/>
        </w:rPr>
        <w:t>×</w:t>
      </w:r>
      <w:r>
        <w:rPr>
          <w:rFonts w:hint="eastAsia"/>
          <w:color w:val="auto"/>
          <w:highlight w:val="none"/>
          <w:lang w:eastAsia="zh-CN"/>
        </w:rPr>
        <w:t>长）。</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）闸室</w:t>
      </w:r>
    </w:p>
    <w:p>
      <w:pPr>
        <w:bidi w:val="0"/>
        <w:ind w:left="0" w:leftChars="0" w:firstLine="520" w:firstLineChars="200"/>
        <w:rPr>
          <w:color w:val="auto"/>
          <w:highlight w:val="none"/>
        </w:rPr>
      </w:pPr>
      <w:r>
        <w:rPr>
          <w:color w:val="auto"/>
          <w:highlight w:val="none"/>
        </w:rPr>
        <w:t>闸室采用分离式</w:t>
      </w:r>
      <w:r>
        <w:rPr>
          <w:rFonts w:hint="eastAsia"/>
          <w:color w:val="auto"/>
          <w:highlight w:val="none"/>
          <w:lang w:val="en-US" w:eastAsia="zh-CN"/>
        </w:rPr>
        <w:t>(</w:t>
      </w:r>
      <w:r>
        <w:rPr>
          <w:color w:val="auto"/>
          <w:highlight w:val="none"/>
        </w:rPr>
        <w:t>重力式闸墙+透水底板</w:t>
      </w:r>
      <w:r>
        <w:rPr>
          <w:rFonts w:hint="eastAsia"/>
          <w:color w:val="auto"/>
          <w:highlight w:val="none"/>
          <w:lang w:val="en-US" w:eastAsia="zh-CN"/>
        </w:rPr>
        <w:t>)</w:t>
      </w:r>
      <w:r>
        <w:rPr>
          <w:color w:val="auto"/>
          <w:highlight w:val="none"/>
        </w:rPr>
        <w:t>钢筋砼结构，口门宽23.2m(净宽23m)，总长190m，沿水流方向共设为12个结构段。其中上游首端闸室长25.5m，中间标准段闸室分9段，单段长14.5m，下游末端闸室分2段，单段长17.0m。</w:t>
      </w:r>
    </w:p>
    <w:p>
      <w:pPr>
        <w:bidi w:val="0"/>
        <w:rPr>
          <w:color w:val="auto"/>
          <w:highlight w:val="none"/>
        </w:rPr>
      </w:pPr>
      <w:r>
        <w:rPr>
          <w:color w:val="auto"/>
          <w:highlight w:val="none"/>
        </w:rPr>
        <w:t>上游首端、下游末端闸室结构总宽41.0m，闸墙底宽12.9m，顶宽2.5m。上游首端闸室闸墙底高程192.80m，顶高程217.0m，下游首端闸室闸墙底高程189.60m，顶高程217.0m。标准段闸室结构总宽37.2m，闸墙底宽11.0m，顶宽3.0m，闸墙底高程193.80m，顶高程217.0m。</w:t>
      </w:r>
    </w:p>
    <w:p>
      <w:pPr>
        <w:bidi w:val="0"/>
        <w:rPr>
          <w:color w:val="auto"/>
          <w:highlight w:val="none"/>
        </w:rPr>
      </w:pPr>
      <w:r>
        <w:rPr>
          <w:color w:val="auto"/>
          <w:highlight w:val="none"/>
        </w:rPr>
        <w:t>闸室透水底板总宽15.2m，厚1m，底板顶高程195.20m。底板按间隔2m 梅花状布置直径100mm的PVC排水管，底部设450mm厚的倒滤层。</w:t>
      </w:r>
    </w:p>
    <w:p>
      <w:pPr>
        <w:bidi w:val="0"/>
        <w:rPr>
          <w:color w:val="auto"/>
          <w:highlight w:val="none"/>
        </w:rPr>
      </w:pPr>
      <w:r>
        <w:rPr>
          <w:color w:val="auto"/>
          <w:highlight w:val="none"/>
        </w:rPr>
        <w:t>闸室两侧闸墙内布置有输水廊道，单侧廊道尺寸为3.0×3.5m（宽×高），标准段闸室的9个结构段的每侧墙面底部共布置22个出水支孔，孔间距为5.8m，两侧出水支孔非对称布置；闸室闸墙出水支孔处外设一道明沟消能，明沟尺寸1.5×0.4m（宽×高），高程为194.80m。</w:t>
      </w:r>
    </w:p>
    <w:p>
      <w:pPr>
        <w:bidi w:val="0"/>
        <w:rPr>
          <w:color w:val="auto"/>
          <w:highlight w:val="none"/>
        </w:rPr>
      </w:pPr>
      <w:r>
        <w:rPr>
          <w:color w:val="auto"/>
          <w:highlight w:val="none"/>
        </w:rPr>
        <w:t>闸室每个结构段两侧闸墙均设1座浮式系船柱，共24个，对称布置，浮式系 船柱顶高程218.5m；闸室内共设12座铁爬梯，每侧布置6座。闸室上、下游侧分别设置1个水位计用以观测室内水位，水位计布置在闸室闸管区侧紧邻上、下闸首的浮式系船柱槽内。闸室两侧闸墙顶设1.2m高不锈钢栏杆。为增加闸墙防撞能力，在临水面设置钢护木。</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）输水系统</w:t>
      </w:r>
    </w:p>
    <w:p>
      <w:pPr>
        <w:bidi w:val="0"/>
        <w:rPr>
          <w:color w:val="auto"/>
          <w:highlight w:val="none"/>
        </w:rPr>
      </w:pPr>
      <w:r>
        <w:rPr>
          <w:color w:val="auto"/>
          <w:highlight w:val="none"/>
        </w:rPr>
        <w:t>根据输水系统模型试验，推荐方案采用闸墙长廊道侧支孔分散输水系统。</w:t>
      </w:r>
    </w:p>
    <w:p>
      <w:pPr>
        <w:bidi w:val="0"/>
        <w:rPr>
          <w:color w:val="auto"/>
          <w:highlight w:val="none"/>
        </w:rPr>
      </w:pPr>
      <w:r>
        <w:rPr>
          <w:color w:val="auto"/>
          <w:highlight w:val="none"/>
        </w:rPr>
        <w:t>上游廊道进水口采用直线型导航墙垂直多支孔布置，支孔喉部面积顺水流方向逐渐缩小。左、右侧进水口均从引航道取水，每侧进水口设4个尺寸为 3.0×3.5m（宽×高，下同）的进水孔，进水口总面积84</w:t>
      </w:r>
      <w:r>
        <w:rPr>
          <w:rFonts w:hint="eastAsia"/>
          <w:color w:val="auto"/>
          <w:highlight w:val="none"/>
          <w:lang w:val="en-US" w:eastAsia="zh-CN"/>
        </w:rPr>
        <w:t>m</w:t>
      </w:r>
      <w:r>
        <w:rPr>
          <w:rFonts w:hint="eastAsia"/>
          <w:color w:val="auto"/>
          <w:highlight w:val="none"/>
          <w:vertAlign w:val="superscript"/>
          <w:lang w:val="en-US" w:eastAsia="zh-CN"/>
        </w:rPr>
        <w:t>2</w:t>
      </w:r>
      <w:r>
        <w:rPr>
          <w:color w:val="auto"/>
          <w:highlight w:val="none"/>
        </w:rPr>
        <w:t>，进水口设置拦污栅。</w:t>
      </w:r>
    </w:p>
    <w:p>
      <w:pPr>
        <w:bidi w:val="0"/>
        <w:rPr>
          <w:color w:val="auto"/>
          <w:highlight w:val="none"/>
        </w:rPr>
      </w:pPr>
      <w:r>
        <w:rPr>
          <w:color w:val="auto"/>
          <w:highlight w:val="none"/>
        </w:rPr>
        <w:t>检修阀门处输水廊道断面尺寸为3.0×3.5m，工作阀门处输水廊道断面尺寸为3.0×3.0m；工作阀门后的廊道采用过渡衔接的型式，廊道高度由3.0m增加至3.5m。</w:t>
      </w:r>
    </w:p>
    <w:p>
      <w:pPr>
        <w:bidi w:val="0"/>
        <w:ind w:left="0" w:leftChars="0" w:firstLine="520" w:firstLineChars="200"/>
        <w:rPr>
          <w:color w:val="auto"/>
          <w:highlight w:val="none"/>
        </w:rPr>
      </w:pPr>
      <w:r>
        <w:rPr>
          <w:color w:val="auto"/>
          <w:highlight w:val="none"/>
        </w:rPr>
        <w:t>船闸闸室段输水主廊道采用对称布置，两侧闸墙内各设一条主廊道，断面尺寸为3.0×3.5m。廊道两侧各布置22孔出水支孔，分为3组（各组分别为7个、8个、7个），由上游至下游支孔喉部断面尺寸（宽×高）分别为0.65×0.8m</w:t>
      </w:r>
      <w:r>
        <w:rPr>
          <w:rFonts w:hint="eastAsia"/>
          <w:color w:val="auto"/>
          <w:highlight w:val="none"/>
          <w:lang w:eastAsia="zh-CN"/>
        </w:rPr>
        <w:t>、</w:t>
      </w:r>
      <w:r>
        <w:rPr>
          <w:color w:val="auto"/>
          <w:highlight w:val="none"/>
        </w:rPr>
        <w:t>0.6×0.8m</w:t>
      </w:r>
      <w:r>
        <w:rPr>
          <w:rFonts w:hint="eastAsia"/>
          <w:color w:val="auto"/>
          <w:highlight w:val="none"/>
          <w:lang w:eastAsia="zh-CN"/>
        </w:rPr>
        <w:t>、</w:t>
      </w:r>
      <w:r>
        <w:rPr>
          <w:color w:val="auto"/>
          <w:highlight w:val="none"/>
        </w:rPr>
        <w:t>0.55×0.8m，两侧出水支孔为交错布置。为减小支孔段的水头损失，将孔口进出边界三面以0.3m半径的圆弧修圆，支孔平面扩散角取为2°。闸室支孔出口消能</w:t>
      </w:r>
      <w:r>
        <w:rPr>
          <w:color w:val="auto"/>
          <w:highlight w:val="none"/>
          <w:shd w:val="clear" w:fill="FFFFFF"/>
        </w:rPr>
        <w:t>型式</w:t>
      </w:r>
      <w:r>
        <w:rPr>
          <w:color w:val="auto"/>
          <w:highlight w:val="none"/>
        </w:rPr>
        <w:t>采用消能明沟消能。</w:t>
      </w:r>
    </w:p>
    <w:p>
      <w:pPr>
        <w:bidi w:val="0"/>
        <w:rPr>
          <w:rFonts w:hint="eastAsia"/>
          <w:color w:val="auto"/>
          <w:highlight w:val="none"/>
          <w:lang w:eastAsia="zh-CN"/>
        </w:rPr>
      </w:pPr>
      <w:r>
        <w:rPr>
          <w:color w:val="auto"/>
          <w:highlight w:val="none"/>
        </w:rPr>
        <w:t>输水系统下游廊道出口布置在下闸首，采用双廊道布置，廊道尺寸分别为 3.5×3.5m、3.0×3.5m，中间为0.6m厚分隔导流墙，检修阀门处输水廊道断面尺寸为3.0×3.5m，工作阀门处输水廊道断面尺寸为3.0×3.0m；工作阀门后的廊道采用过渡衔接的型式，廊道高度由3.0m增加至3.5m。下游出水口采用顶部出水的格栅式消能室及侧面消能池布置</w:t>
      </w:r>
      <w:r>
        <w:rPr>
          <w:color w:val="auto"/>
          <w:highlight w:val="none"/>
          <w:shd w:val="clear" w:fill="FFFFFF"/>
        </w:rPr>
        <w:t>型式</w:t>
      </w:r>
      <w:r>
        <w:rPr>
          <w:color w:val="auto"/>
          <w:highlight w:val="none"/>
        </w:rPr>
        <w:t>。</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eastAsia="zh-CN"/>
        </w:rPr>
        <w:t>）导航墙</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①上游普通段主、辅导航墙</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上游主导航墙采用C25素砼衬砌式挡墙结构，底板厚1m。衬砌墙墙顶</w:t>
      </w:r>
      <w:r>
        <w:rPr>
          <w:rFonts w:hint="eastAsia" w:cs="Times New Roman"/>
          <w:color w:val="auto"/>
          <w:highlight w:val="none"/>
          <w:shd w:val="clear" w:fill="FFFFFF"/>
          <w:lang w:eastAsia="zh-CN"/>
        </w:rPr>
        <w:t>高程</w:t>
      </w:r>
      <w:r>
        <w:rPr>
          <w:rFonts w:hint="default" w:ascii="Times New Roman" w:hAnsi="Times New Roman" w:cs="Times New Roman"/>
          <w:color w:val="auto"/>
          <w:highlight w:val="none"/>
          <w:lang w:eastAsia="zh-CN"/>
        </w:rPr>
        <w:t>217.0m，墙高21.8m，墙顶宽16.2m，墙后采用阶梯式开挖，从下至上阶梯高度分别为5.0m、5.0m、5.0m、2.2m，阶梯宽度分别为1.0m、2.0m、2.0m，墙厚设Ф25mm锚杆，水平间距1.5m，竖向间距1.5m，锚深6m，锚杆倾角15 °。</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上游辅</w:t>
      </w:r>
      <w:r>
        <w:rPr>
          <w:rFonts w:hint="default" w:ascii="Times New Roman" w:hAnsi="Times New Roman" w:cs="Times New Roman"/>
          <w:color w:val="auto"/>
          <w:highlight w:val="none"/>
          <w:shd w:val="clear" w:fill="FFFFFF"/>
          <w:lang w:eastAsia="zh-CN"/>
        </w:rPr>
        <w:t>导航</w:t>
      </w:r>
      <w:r>
        <w:rPr>
          <w:rFonts w:hint="default" w:ascii="Times New Roman" w:hAnsi="Times New Roman" w:cs="Times New Roman"/>
          <w:color w:val="auto"/>
          <w:highlight w:val="none"/>
          <w:lang w:eastAsia="zh-CN"/>
        </w:rPr>
        <w:t>墙采用现浇C25素砼重力式挡墙结构，底板厚1m。墙顶高程为217.00m，墙高16.20m，墙顶宽度1.2m，墙背坡度为1：0.5，上墙身高7.0m，在210.0m高程设置4.0m宽平台，下墙身反坡坡比取1：0.3。</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上游辅导航</w:t>
      </w:r>
      <w:r>
        <w:rPr>
          <w:rFonts w:hint="default" w:ascii="Times New Roman" w:hAnsi="Times New Roman" w:cs="Times New Roman"/>
          <w:color w:val="auto"/>
          <w:highlight w:val="none"/>
          <w:shd w:val="clear" w:fill="FFFFFF"/>
          <w:lang w:eastAsia="zh-CN"/>
        </w:rPr>
        <w:t>墙墙</w:t>
      </w:r>
      <w:r>
        <w:rPr>
          <w:rFonts w:hint="default" w:ascii="Times New Roman" w:hAnsi="Times New Roman" w:cs="Times New Roman"/>
          <w:color w:val="auto"/>
          <w:highlight w:val="none"/>
          <w:lang w:eastAsia="zh-CN"/>
        </w:rPr>
        <w:t>后回填开挖料，为减少墙后剩余水压力，设Ф1100PVC  排水管，水平间距2.0m，竖向间距2.0~2.5m，墙后排水管端部设倒滤包。</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上游辅导航墙前趾处设灌砌块石护底，底宽1.0m，厚1.1m。</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②上游进水段导航墙</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进水段导航墙为钢筋砼整体坞式结构，结构段长25.0m，通航孔口净宽 23m，墙顶高程217.0m，顶宽3.0m。进水段导航墙上下游端部底板顶高程 200.8m，进水口处底板底高程194.7m、进水口之间底板顶高程199.2m，底板底高程为194.7m，最小底板厚度2.0m。</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进水段导航墙上游侧设置检修闸门槽，两侧闸墙检修门槽平面尺寸1.16 × 0.55m，顶高程217.0m，底高程200.8m。</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边墙迎水面布置4个进水口并设有拦污栅插槽，单个进水口尺寸3.0×3.5m（宽×高），进水口顶高程200.2m，底高程196.7m，进水口插槽内设拦污栅。</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③下游主、辅导航墙</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下游主导航墙采用C25素砼混合式挡墙结构，底板厚1m。上部为重力式结构，墙顶高程224.0m，墙高8.0m，墙顶宽2.0m，上墙背垂直，高4.0m，下墙背倾斜，坡度1:0.5；下部为衬砌式结构，墙顶</w:t>
      </w:r>
      <w:r>
        <w:rPr>
          <w:rFonts w:hint="default" w:ascii="Times New Roman" w:hAnsi="Times New Roman" w:cs="Times New Roman"/>
          <w:color w:val="auto"/>
          <w:highlight w:val="none"/>
          <w:shd w:val="clear" w:fill="FFFFFF"/>
          <w:lang w:eastAsia="zh-CN"/>
        </w:rPr>
        <w:t>高程墙</w:t>
      </w:r>
      <w:r>
        <w:rPr>
          <w:rFonts w:hint="default" w:ascii="Times New Roman" w:hAnsi="Times New Roman" w:cs="Times New Roman"/>
          <w:color w:val="auto"/>
          <w:highlight w:val="none"/>
          <w:lang w:eastAsia="zh-CN"/>
        </w:rPr>
        <w:t>216.0m，墙高21.8m，墙顶宽10.8m</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t>墙后采用阶梯式开挖，从下至上阶梯高度分别为5.0m、5.0m、5.0m、4.0m，阶梯宽度分别为1.0m、1.0m、2.0m、2.0m，墙后设Ф25mm锚杆，水平间距1.5m，竖向间距1.5m，锚深6m，锚杆倾角15°。</w:t>
      </w:r>
    </w:p>
    <w:p>
      <w:pPr>
        <w:bidi w:val="0"/>
        <w:ind w:left="0" w:leftChars="0" w:firstLine="52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下游辅</w:t>
      </w:r>
      <w:r>
        <w:rPr>
          <w:rFonts w:hint="default" w:ascii="Times New Roman" w:hAnsi="Times New Roman" w:cs="Times New Roman"/>
          <w:color w:val="auto"/>
          <w:highlight w:val="none"/>
          <w:shd w:val="clear" w:fill="FFFFFF"/>
          <w:lang w:eastAsia="zh-CN"/>
        </w:rPr>
        <w:t>导航</w:t>
      </w:r>
      <w:r>
        <w:rPr>
          <w:rFonts w:hint="default" w:ascii="Times New Roman" w:hAnsi="Times New Roman" w:cs="Times New Roman"/>
          <w:color w:val="auto"/>
          <w:highlight w:val="none"/>
          <w:lang w:eastAsia="zh-CN"/>
        </w:rPr>
        <w:t>墙采用C25素砼衬砌式挡墙结构，底板厚1m。衬砌墙墙顶高程216.0m，墙高21.8m，墙顶宽10.8m，墙后采用阶梯式开挖，从下至上阶梯高度分别为5m、5m、5m、4m，阶梯宽度分别为1.0m、1.0m、2.0m、2.0m，墙后设Ф25mm锚杆，水平间距1.5m，竖向间距1.5m，锚深6m，锚杆倾角15 °。</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eastAsia="zh-CN"/>
        </w:rPr>
        <w:t>）靠船墩</w:t>
      </w:r>
    </w:p>
    <w:p>
      <w:pPr>
        <w:bidi w:val="0"/>
        <w:rPr>
          <w:color w:val="auto"/>
          <w:highlight w:val="none"/>
        </w:rPr>
      </w:pPr>
      <w:r>
        <w:rPr>
          <w:color w:val="auto"/>
          <w:highlight w:val="none"/>
        </w:rPr>
        <w:t>上游靠船墩位于引航道岸侧，采用独立靠船墩作为系靠船设施，共布置9个靠船墩，采用重力式结构，靠船墩间距为20m，船舶采用双排停靠，最多同时靠泊4艘1000t级船舶</w:t>
      </w:r>
      <w:r>
        <w:rPr>
          <w:rFonts w:hint="eastAsia"/>
          <w:color w:val="auto"/>
          <w:highlight w:val="none"/>
          <w:lang w:eastAsia="zh-CN"/>
        </w:rPr>
        <w:t>、</w:t>
      </w:r>
      <w:r>
        <w:rPr>
          <w:color w:val="auto"/>
          <w:highlight w:val="none"/>
        </w:rPr>
        <w:t>2艘500t级船舶。上游靠船墩墩顶高程211.5m，底高程199.6m，平面尺寸为5.5×6.5m（顺水方向×垂直水流方向）。靠船墩顶部设1个200kN系船柱，迎水面设置3个200kN系船柱，系船柱底高程分别为206.0~210.0m，靠船墩迎水面采用钢板护面防护，钢板护面范围为204.0~212.3m，靠船墩下游侧设垂直爬梯，供人员上下通行，靠船墩之间通过宽度为1.2m的人行桥连接。另外在SK09靠船墩通过宽度为1.2m的人行桥与马道连接。</w:t>
      </w:r>
    </w:p>
    <w:p>
      <w:pPr>
        <w:bidi w:val="0"/>
        <w:ind w:left="0" w:leftChars="0" w:firstLine="520" w:firstLineChars="200"/>
        <w:rPr>
          <w:color w:val="auto"/>
          <w:highlight w:val="none"/>
        </w:rPr>
      </w:pPr>
      <w:r>
        <w:rPr>
          <w:color w:val="auto"/>
          <w:highlight w:val="none"/>
        </w:rPr>
        <w:t>下游靠船墩位于引航道岸侧，采用独立靠船墩作为系靠船设施，共布置9个靠船墩，采用重力式结构，间距20m，船舶采用双排停靠，最多同时靠泊4艘1000t级船舶，2艘500t级船舶。下游靠船墩墩顶高程210.8m，底高程194.0m，平面尺寸为5.5×6.5m（顺水流方向×垂直水流方向）。靠船墩顶部设1个200kN系船柱，迎水面设置6个200kN系船柱，系船柱底高程分别为200.4~209.3m，靠船墩迎水面采用钢板护面防护，钢板护面范围为198.4~210.8m，靠船墩下游侧设垂直爬梯，供人员上下通行，靠船墩之间，以及靠船墩与马道之间通过宽度为1.2m的人行桥连接，桩基采用直径0.8m的灌注桩。</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6</w:t>
      </w:r>
      <w:r>
        <w:rPr>
          <w:rFonts w:hint="eastAsia"/>
          <w:color w:val="auto"/>
          <w:highlight w:val="none"/>
          <w:lang w:eastAsia="zh-CN"/>
        </w:rPr>
        <w:t>）隔离墙</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上游隔</w:t>
      </w:r>
      <w:r>
        <w:rPr>
          <w:rFonts w:hint="default" w:ascii="Times New Roman" w:hAnsi="Times New Roman" w:cs="Times New Roman"/>
          <w:color w:val="auto"/>
          <w:highlight w:val="none"/>
          <w:shd w:val="clear" w:fill="FFFFFF"/>
          <w:lang w:eastAsia="zh-CN"/>
        </w:rPr>
        <w:t>流墙</w:t>
      </w:r>
      <w:r>
        <w:rPr>
          <w:rFonts w:hint="default" w:ascii="Times New Roman" w:hAnsi="Times New Roman" w:cs="Times New Roman"/>
          <w:color w:val="auto"/>
          <w:highlight w:val="none"/>
          <w:lang w:eastAsia="zh-CN"/>
        </w:rPr>
        <w:t>布置在左岸，隔</w:t>
      </w:r>
      <w:r>
        <w:rPr>
          <w:rFonts w:hint="default" w:ascii="Times New Roman" w:hAnsi="Times New Roman" w:cs="Times New Roman"/>
          <w:color w:val="auto"/>
          <w:highlight w:val="none"/>
          <w:shd w:val="clear" w:fill="FFFFFF"/>
          <w:lang w:eastAsia="zh-CN"/>
        </w:rPr>
        <w:t>流墙</w:t>
      </w:r>
      <w:r>
        <w:rPr>
          <w:rFonts w:hint="default" w:ascii="Times New Roman" w:hAnsi="Times New Roman" w:cs="Times New Roman"/>
          <w:color w:val="auto"/>
          <w:highlight w:val="none"/>
          <w:lang w:eastAsia="zh-CN"/>
        </w:rPr>
        <w:t>结构为桩基插板式隔</w:t>
      </w:r>
      <w:r>
        <w:rPr>
          <w:rFonts w:hint="default" w:ascii="Times New Roman" w:hAnsi="Times New Roman" w:cs="Times New Roman"/>
          <w:color w:val="auto"/>
          <w:highlight w:val="none"/>
          <w:shd w:val="clear" w:fill="FFFFFF"/>
          <w:lang w:eastAsia="zh-CN"/>
        </w:rPr>
        <w:t>流墙</w:t>
      </w:r>
      <w:r>
        <w:rPr>
          <w:rFonts w:hint="eastAsia" w:cs="Times New Roman"/>
          <w:color w:val="auto"/>
          <w:highlight w:val="none"/>
          <w:lang w:eastAsia="zh-CN"/>
        </w:rPr>
        <w:t>，</w:t>
      </w:r>
      <w:r>
        <w:rPr>
          <w:rFonts w:hint="default" w:ascii="Times New Roman" w:hAnsi="Times New Roman" w:cs="Times New Roman"/>
          <w:color w:val="auto"/>
          <w:highlight w:val="none"/>
          <w:lang w:eastAsia="zh-CN"/>
        </w:rPr>
        <w:t>上游隔</w:t>
      </w:r>
      <w:r>
        <w:rPr>
          <w:rFonts w:hint="default" w:ascii="Times New Roman" w:hAnsi="Times New Roman" w:cs="Times New Roman"/>
          <w:color w:val="auto"/>
          <w:highlight w:val="none"/>
          <w:shd w:val="clear" w:fill="FFFFFF"/>
          <w:lang w:eastAsia="zh-CN"/>
        </w:rPr>
        <w:t>流墙</w:t>
      </w:r>
      <w:r>
        <w:rPr>
          <w:rFonts w:hint="default" w:ascii="Times New Roman" w:hAnsi="Times New Roman" w:cs="Times New Roman"/>
          <w:color w:val="auto"/>
          <w:highlight w:val="none"/>
          <w:lang w:eastAsia="zh-CN"/>
        </w:rPr>
        <w:t>由56.2m长弧线段及275m长直线段组成，墙顶高程209.5m。下游隔</w:t>
      </w:r>
      <w:r>
        <w:rPr>
          <w:rFonts w:hint="default" w:ascii="Times New Roman" w:hAnsi="Times New Roman" w:cs="Times New Roman"/>
          <w:color w:val="auto"/>
          <w:highlight w:val="none"/>
          <w:shd w:val="clear" w:fill="FFFFFF"/>
          <w:lang w:eastAsia="zh-CN"/>
        </w:rPr>
        <w:t>流墙</w:t>
      </w:r>
      <w:r>
        <w:rPr>
          <w:rFonts w:hint="default" w:ascii="Times New Roman" w:hAnsi="Times New Roman" w:cs="Times New Roman"/>
          <w:color w:val="auto"/>
          <w:highlight w:val="none"/>
          <w:lang w:eastAsia="zh-CN"/>
        </w:rPr>
        <w:t>布置在左岸，由78.5m长弧线段、267.4m长折线段组成，墙顶高程208.8m。</w:t>
      </w:r>
    </w:p>
    <w:p>
      <w:pPr>
        <w:bidi w:val="0"/>
        <w:ind w:left="0" w:leftChars="0" w:firstLine="52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隔</w:t>
      </w:r>
      <w:r>
        <w:rPr>
          <w:rFonts w:hint="default" w:ascii="Times New Roman" w:hAnsi="Times New Roman" w:cs="Times New Roman"/>
          <w:color w:val="auto"/>
          <w:highlight w:val="none"/>
          <w:shd w:val="clear" w:fill="FFFFFF"/>
          <w:lang w:eastAsia="zh-CN"/>
        </w:rPr>
        <w:t>流墙</w:t>
      </w:r>
      <w:r>
        <w:rPr>
          <w:rFonts w:hint="default" w:ascii="Times New Roman" w:hAnsi="Times New Roman" w:cs="Times New Roman"/>
          <w:color w:val="auto"/>
          <w:highlight w:val="none"/>
          <w:lang w:eastAsia="zh-CN"/>
        </w:rPr>
        <w:t>采用桩基插板式结构，桩基采用带插槽的Ф2000mm灌注型嵌岩桩，灌注桩间距15.0m，嵌岩桩入中风化岩深度不小于3m。插板采用1000mm厚预制钢筋混凝土板。</w:t>
      </w:r>
    </w:p>
    <w:p>
      <w:pPr>
        <w:bidi w:val="0"/>
        <w:rPr>
          <w:rFonts w:hint="default"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7</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t>上下游</w:t>
      </w:r>
      <w:r>
        <w:rPr>
          <w:rFonts w:hint="default" w:ascii="Times New Roman" w:hAnsi="Times New Roman" w:cs="Times New Roman"/>
          <w:color w:val="auto"/>
          <w:highlight w:val="none"/>
          <w:shd w:val="clear" w:fill="FFFFFF"/>
          <w:lang w:eastAsia="zh-CN"/>
        </w:rPr>
        <w:t>护坦</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上游引航道设置纵向长度为30.0m的护坦与进水段导航墙相衔接。护坦结构顶高程为200.8m，采用钢筋混凝土结构，自下而上为100mm厚C20素混凝土垫层+400mm厚C25钢筋砼，护坦上间距1m布置Ф50的冒水孔（采用PVC透水管，管的两端用土工布包裹，管内填充碎石）。钢筋砼板标准分块尺寸为9.98m×9.98m，护坦板间设伸缩结构缝，变形缝内填充聚乙烯泡沫板。</w:t>
      </w:r>
    </w:p>
    <w:p>
      <w:pPr>
        <w:bidi w:val="0"/>
        <w:rPr>
          <w:rFonts w:hint="eastAsia"/>
          <w:color w:val="auto"/>
          <w:highlight w:val="none"/>
          <w:lang w:eastAsia="zh-CN"/>
        </w:rPr>
      </w:pPr>
      <w:r>
        <w:rPr>
          <w:rFonts w:hint="eastAsia"/>
          <w:color w:val="auto"/>
          <w:highlight w:val="none"/>
          <w:lang w:eastAsia="zh-CN"/>
        </w:rPr>
        <w:t>下游引航道设置纵向长度为40m的护坦与下闸首相衔接。护坦结构顶高程为195.2m，采用钢筋混凝土结构，自下而上为100mm厚C20素混凝土垫层+400mm厚C25钢筋砼，其他结构设置与上游护坦相同。</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8</w:t>
      </w:r>
      <w:r>
        <w:rPr>
          <w:rFonts w:hint="eastAsia"/>
          <w:color w:val="auto"/>
          <w:highlight w:val="none"/>
          <w:lang w:eastAsia="zh-CN"/>
        </w:rPr>
        <w:t>）引航道边坡</w:t>
      </w:r>
    </w:p>
    <w:p>
      <w:pPr>
        <w:bidi w:val="0"/>
        <w:rPr>
          <w:rFonts w:hint="eastAsia"/>
          <w:color w:val="auto"/>
          <w:highlight w:val="none"/>
          <w:lang w:eastAsia="zh-CN"/>
        </w:rPr>
      </w:pPr>
      <w:r>
        <w:rPr>
          <w:rFonts w:hint="eastAsia"/>
          <w:color w:val="auto"/>
          <w:highlight w:val="none"/>
          <w:lang w:eastAsia="zh-CN"/>
        </w:rPr>
        <w:t>下游引</w:t>
      </w:r>
      <w:r>
        <w:rPr>
          <w:rFonts w:hint="eastAsia"/>
          <w:color w:val="auto"/>
          <w:highlight w:val="none"/>
          <w:shd w:val="clear" w:fill="FFFFFF"/>
          <w:lang w:eastAsia="zh-CN"/>
        </w:rPr>
        <w:t>航道</w:t>
      </w:r>
      <w:r>
        <w:rPr>
          <w:rFonts w:hint="eastAsia"/>
          <w:color w:val="auto"/>
          <w:highlight w:val="none"/>
          <w:lang w:eastAsia="zh-CN"/>
        </w:rPr>
        <w:t>底宽60.0m，设计河底高程为195.20~195.50m。下游引航道边坡为挖方边坡，航道左岸疏浚开挖形成 1:2自然边坡。</w:t>
      </w:r>
    </w:p>
    <w:p>
      <w:pPr>
        <w:pStyle w:val="6"/>
        <w:bidi w:val="0"/>
        <w:rPr>
          <w:rFonts w:hint="eastAsia"/>
          <w:color w:val="auto"/>
          <w:highlight w:val="none"/>
          <w:lang w:eastAsia="zh-CN"/>
        </w:rPr>
      </w:pPr>
      <w:r>
        <w:rPr>
          <w:rFonts w:hint="eastAsia"/>
          <w:color w:val="auto"/>
          <w:highlight w:val="none"/>
          <w:lang w:eastAsia="zh-CN"/>
        </w:rPr>
        <w:t>配套疏浚工程</w:t>
      </w:r>
    </w:p>
    <w:p>
      <w:pPr>
        <w:pStyle w:val="7"/>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）航道尺度</w:t>
      </w:r>
    </w:p>
    <w:p>
      <w:pPr>
        <w:pStyle w:val="7"/>
        <w:rPr>
          <w:rFonts w:hint="eastAsia"/>
          <w:color w:val="auto"/>
          <w:highlight w:val="none"/>
          <w:lang w:eastAsia="zh-CN"/>
        </w:rPr>
      </w:pPr>
      <w:r>
        <w:rPr>
          <w:rFonts w:hint="eastAsia"/>
          <w:color w:val="auto"/>
          <w:highlight w:val="none"/>
          <w:lang w:eastAsia="zh-CN"/>
        </w:rPr>
        <w:t>航道等级为Ⅲ级，航道尺度为2.8×60×480m，通航保证率为98%。</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）配套疏浚方案</w:t>
      </w:r>
    </w:p>
    <w:p>
      <w:pPr>
        <w:keepNext w:val="0"/>
        <w:keepLines w:val="0"/>
        <w:pageBreakBefore w:val="0"/>
        <w:widowControl w:val="0"/>
        <w:kinsoku/>
        <w:wordWrap/>
        <w:overflowPunct/>
        <w:topLinePunct w:val="0"/>
        <w:autoSpaceDE/>
        <w:autoSpaceDN/>
        <w:bidi w:val="0"/>
        <w:adjustRightInd/>
        <w:snapToGrid w:val="0"/>
        <w:textAlignment w:val="auto"/>
        <w:rPr>
          <w:rFonts w:hint="eastAsia"/>
          <w:color w:val="auto"/>
          <w:highlight w:val="none"/>
          <w:lang w:eastAsia="zh-CN"/>
        </w:rPr>
      </w:pPr>
      <w:r>
        <w:rPr>
          <w:rFonts w:hint="eastAsia"/>
          <w:color w:val="auto"/>
          <w:highlight w:val="none"/>
          <w:lang w:eastAsia="zh-CN"/>
        </w:rPr>
        <w:t>目前涪江重庆段航道整治工程已开工建设，考虑到与船闸工程现有航道整治工程进行衔接，本次对坝轴线上下游3km范围内的航道进行整治。</w:t>
      </w:r>
    </w:p>
    <w:p>
      <w:pPr>
        <w:keepNext w:val="0"/>
        <w:keepLines w:val="0"/>
        <w:pageBreakBefore w:val="0"/>
        <w:widowControl w:val="0"/>
        <w:kinsoku/>
        <w:wordWrap/>
        <w:overflowPunct/>
        <w:topLinePunct w:val="0"/>
        <w:autoSpaceDE/>
        <w:autoSpaceDN/>
        <w:bidi w:val="0"/>
        <w:adjustRightInd/>
        <w:snapToGrid w:val="0"/>
        <w:textAlignment w:val="auto"/>
        <w:rPr>
          <w:rFonts w:hint="eastAsia"/>
          <w:color w:val="auto"/>
          <w:highlight w:val="none"/>
          <w:lang w:eastAsia="zh-CN"/>
        </w:rPr>
      </w:pPr>
      <w:r>
        <w:rPr>
          <w:rFonts w:hint="eastAsia"/>
          <w:color w:val="auto"/>
          <w:highlight w:val="none"/>
          <w:lang w:eastAsia="zh-CN"/>
        </w:rPr>
        <w:t>本工程在</w:t>
      </w:r>
      <w:r>
        <w:rPr>
          <w:rFonts w:hint="eastAsia"/>
          <w:color w:val="auto"/>
          <w:highlight w:val="none"/>
          <w:lang w:val="en-US" w:eastAsia="zh-CN"/>
        </w:rPr>
        <w:t>3</w:t>
      </w:r>
      <w:r>
        <w:rPr>
          <w:rFonts w:hint="eastAsia"/>
          <w:color w:val="auto"/>
          <w:highlight w:val="none"/>
          <w:lang w:eastAsia="zh-CN"/>
        </w:rPr>
        <w:t>处区域需要进行水上疏浚，分别为：位于上游导航段左侧，由上游停泊段上游160m处至船闸上闸首段范围内的上游疏浚区（1），疏浚长度约810m，疏浚最大宽度130m，疏浚底高程196m，边坡坡比1:3，疏浚工程量</w:t>
      </w:r>
      <w:r>
        <w:rPr>
          <w:rFonts w:hint="eastAsia"/>
          <w:color w:val="auto"/>
          <w:highlight w:val="none"/>
          <w:lang w:val="en-US" w:eastAsia="zh-CN"/>
        </w:rPr>
        <w:t>202020.22m³</w:t>
      </w:r>
      <w:r>
        <w:rPr>
          <w:rFonts w:hint="eastAsia"/>
          <w:color w:val="auto"/>
          <w:highlight w:val="none"/>
          <w:lang w:eastAsia="zh-CN"/>
        </w:rPr>
        <w:t>；位于上游导航段右侧，位于上游口门区上游340m处的上游疏浚区（2），疏浚长度约137m，疏浚最大宽度50m，疏浚底高程202m，边坡坡比1:1.5，疏浚工程量</w:t>
      </w:r>
      <w:r>
        <w:rPr>
          <w:rFonts w:hint="eastAsia"/>
          <w:color w:val="auto"/>
          <w:highlight w:val="none"/>
          <w:lang w:val="en-US" w:eastAsia="zh-CN"/>
        </w:rPr>
        <w:t>17735.33m³</w:t>
      </w:r>
      <w:r>
        <w:rPr>
          <w:rFonts w:hint="eastAsia"/>
          <w:color w:val="auto"/>
          <w:highlight w:val="none"/>
          <w:lang w:eastAsia="zh-CN"/>
        </w:rPr>
        <w:t>；位于下游导航段右侧，由下游制动区下游76m处至下游口门区下游900m处范围内的下游疏浚区，疏浚长度约730m，疏浚最大宽度60m，疏浚底高程195m，边坡坡比1:1.5，疏浚工程量</w:t>
      </w:r>
      <w:r>
        <w:rPr>
          <w:rFonts w:hint="eastAsia"/>
          <w:color w:val="auto"/>
          <w:highlight w:val="none"/>
          <w:lang w:val="en-US" w:eastAsia="zh-CN"/>
        </w:rPr>
        <w:t>80304.72m³</w:t>
      </w:r>
      <w:r>
        <w:rPr>
          <w:rFonts w:hint="eastAsia"/>
          <w:color w:val="auto"/>
          <w:highlight w:val="none"/>
          <w:lang w:eastAsia="zh-CN"/>
        </w:rPr>
        <w:t>。</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）上游潜丁坝</w:t>
      </w:r>
    </w:p>
    <w:p>
      <w:pPr>
        <w:bidi w:val="0"/>
        <w:rPr>
          <w:rFonts w:hint="eastAsia"/>
          <w:color w:val="auto"/>
          <w:highlight w:val="none"/>
          <w:lang w:eastAsia="zh-CN"/>
        </w:rPr>
      </w:pPr>
      <w:r>
        <w:rPr>
          <w:rFonts w:hint="eastAsia"/>
          <w:color w:val="auto"/>
          <w:highlight w:val="none"/>
          <w:lang w:eastAsia="zh-CN"/>
        </w:rPr>
        <w:t>潜丁坝距离渭沱船闸坝轴线上游右岸约1.2km，横河向布置，坝顶宽度为3m， 坝顶高程为204m，坝顶长度为135.2m。坡面采用抛石筑坝（65~710kg），坡比为1：3，坡脚采用抛石护脚。</w:t>
      </w:r>
    </w:p>
    <w:p>
      <w:pPr>
        <w:pStyle w:val="6"/>
        <w:bidi w:val="0"/>
        <w:rPr>
          <w:rFonts w:hint="eastAsia"/>
          <w:color w:val="auto"/>
          <w:highlight w:val="none"/>
          <w:lang w:eastAsia="zh-CN"/>
        </w:rPr>
      </w:pPr>
      <w:r>
        <w:rPr>
          <w:rFonts w:hint="eastAsia"/>
          <w:color w:val="auto"/>
          <w:highlight w:val="none"/>
          <w:lang w:eastAsia="zh-CN"/>
        </w:rPr>
        <w:t>鱼道工程</w:t>
      </w:r>
    </w:p>
    <w:p>
      <w:pPr>
        <w:bidi w:val="0"/>
        <w:rPr>
          <w:rFonts w:hint="eastAsia"/>
          <w:color w:val="auto"/>
          <w:highlight w:val="none"/>
          <w:lang w:eastAsia="zh-CN"/>
        </w:rPr>
      </w:pPr>
      <w:r>
        <w:rPr>
          <w:rFonts w:hint="eastAsia"/>
          <w:color w:val="auto"/>
          <w:highlight w:val="none"/>
          <w:lang w:eastAsia="zh-CN"/>
        </w:rPr>
        <w:t>鱼道布置在枢纽右岸，利用现有一线船闸，位于新建船闸及泄洪闸之间。本工程委托重庆交通大学进行了涪江干流渭沱电厂船闸扩能升级改造工程鱼道模型试验研究，采用物理模型并结合</w:t>
      </w:r>
      <w:r>
        <w:rPr>
          <w:rFonts w:hint="eastAsia"/>
          <w:color w:val="auto"/>
          <w:highlight w:val="none"/>
          <w:shd w:val="clear" w:fill="FFFFFF"/>
          <w:lang w:eastAsia="zh-CN"/>
        </w:rPr>
        <w:t>三维数学模型</w:t>
      </w:r>
      <w:r>
        <w:rPr>
          <w:rFonts w:hint="eastAsia"/>
          <w:color w:val="auto"/>
          <w:highlight w:val="none"/>
          <w:lang w:eastAsia="zh-CN"/>
        </w:rPr>
        <w:t>，对渭沱电厂鱼道进出口位置选择、鱼道进口水流条件及补水方案、鱼道池室局部及整体水力学特性等关键技术问题进行详细的研究，确保鱼道工程的有效性。</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）过鱼对象</w:t>
      </w:r>
    </w:p>
    <w:p>
      <w:pPr>
        <w:bidi w:val="0"/>
        <w:rPr>
          <w:rFonts w:hint="eastAsia"/>
          <w:color w:val="auto"/>
          <w:highlight w:val="none"/>
          <w:lang w:eastAsia="zh-CN"/>
        </w:rPr>
      </w:pPr>
      <w:r>
        <w:rPr>
          <w:rFonts w:hint="eastAsia"/>
          <w:color w:val="auto"/>
          <w:highlight w:val="none"/>
          <w:lang w:eastAsia="zh-CN"/>
        </w:rPr>
        <w:t>根据《嘉陵江航运开发草街航电枢纽环境影响报告书》，参考《嘉陵江利泽航运枢纽工程水生生态影响专题评价报告</w:t>
      </w:r>
      <w:r>
        <w:rPr>
          <w:rFonts w:hint="eastAsia"/>
          <w:color w:val="auto"/>
          <w:highlight w:val="none"/>
          <w:shd w:val="clear" w:fill="FFFFFF"/>
          <w:lang w:eastAsia="zh-CN"/>
        </w:rPr>
        <w:t>》、《</w:t>
      </w:r>
      <w:r>
        <w:rPr>
          <w:rFonts w:hint="eastAsia"/>
          <w:color w:val="auto"/>
          <w:highlight w:val="none"/>
          <w:lang w:eastAsia="zh-CN"/>
        </w:rPr>
        <w:t>嘉陵江利泽航运枢纽工程对合川区大口鲶自然保护影响专题评价报告》，渭沱枢纽所在嘉陵江流域历史调查和文献记载共有鱼类145种，鱼类资源丰富。因此，根据过鱼设施过鱼对象选取原则，同时结合嘉陵江流域鱼道过鱼目标统一考虑，拟定鱼道</w:t>
      </w:r>
      <w:r>
        <w:rPr>
          <w:rFonts w:hint="eastAsia"/>
          <w:color w:val="auto"/>
          <w:highlight w:val="none"/>
          <w:shd w:val="clear" w:fill="FFFFFF"/>
          <w:lang w:eastAsia="zh-CN"/>
        </w:rPr>
        <w:t>的过</w:t>
      </w:r>
      <w:r>
        <w:rPr>
          <w:rFonts w:hint="eastAsia"/>
          <w:color w:val="auto"/>
          <w:highlight w:val="none"/>
          <w:lang w:eastAsia="zh-CN"/>
        </w:rPr>
        <w:t>鱼对象有花斑副沙鳅、华鲮、中华倒刺鲃、翘嘴鲌、鳜、鳙、草鱼7种鱼类。考虑到受工程建成等各种因素的影响，鱼类种类组成及资源量会一定程度上发生变化，建议鱼道建成后根据鱼类种群的演替规律对过鱼对象进行进一步复核和优化。</w:t>
      </w:r>
    </w:p>
    <w:p>
      <w:pPr>
        <w:pStyle w:val="7"/>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）过鱼季节</w:t>
      </w:r>
    </w:p>
    <w:p>
      <w:pPr>
        <w:bidi w:val="0"/>
        <w:rPr>
          <w:rFonts w:hint="eastAsia"/>
          <w:color w:val="auto"/>
          <w:highlight w:val="none"/>
          <w:lang w:eastAsia="zh-CN"/>
        </w:rPr>
      </w:pPr>
      <w:r>
        <w:rPr>
          <w:rFonts w:hint="eastAsia"/>
          <w:color w:val="auto"/>
          <w:highlight w:val="none"/>
          <w:lang w:eastAsia="zh-CN"/>
        </w:rPr>
        <w:t>鱼道工程主要为鱼类提供索饵和产卵的洄游通道，过鱼时间选择在鱼类的生长、繁殖季节，重点为鱼类的产卵季节。</w:t>
      </w:r>
    </w:p>
    <w:p>
      <w:pPr>
        <w:bidi w:val="0"/>
        <w:rPr>
          <w:rFonts w:hint="eastAsia"/>
          <w:color w:val="auto"/>
          <w:highlight w:val="none"/>
          <w:lang w:eastAsia="zh-CN"/>
        </w:rPr>
      </w:pPr>
      <w:r>
        <w:rPr>
          <w:rFonts w:hint="eastAsia"/>
          <w:color w:val="auto"/>
          <w:highlight w:val="none"/>
          <w:lang w:eastAsia="zh-CN"/>
        </w:rPr>
        <w:t>涪江鱼类的产卵期为3月~7月，主要繁殖季节多为4月~6月。因此，本工程过鱼设施的运行时段在3月~7月，主要运行时段为4月~6月。</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）设计流速</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1 \* GB3 \* MERGEFORMAT </w:instrText>
      </w:r>
      <w:r>
        <w:rPr>
          <w:rFonts w:hint="eastAsia"/>
          <w:color w:val="auto"/>
          <w:highlight w:val="none"/>
          <w:lang w:eastAsia="zh-CN"/>
        </w:rPr>
        <w:fldChar w:fldCharType="separate"/>
      </w:r>
      <w:r>
        <w:rPr>
          <w:color w:val="auto"/>
          <w:highlight w:val="none"/>
        </w:rPr>
        <w:t>①</w:t>
      </w:r>
      <w:r>
        <w:rPr>
          <w:rFonts w:hint="eastAsia"/>
          <w:color w:val="auto"/>
          <w:highlight w:val="none"/>
          <w:lang w:eastAsia="zh-CN"/>
        </w:rPr>
        <w:fldChar w:fldCharType="end"/>
      </w:r>
      <w:r>
        <w:rPr>
          <w:rFonts w:hint="eastAsia"/>
          <w:color w:val="auto"/>
          <w:highlight w:val="none"/>
          <w:lang w:eastAsia="zh-CN"/>
        </w:rPr>
        <w:t>过鱼孔流速</w:t>
      </w:r>
    </w:p>
    <w:p>
      <w:pPr>
        <w:bidi w:val="0"/>
        <w:rPr>
          <w:rFonts w:hint="eastAsia"/>
          <w:color w:val="auto"/>
          <w:highlight w:val="none"/>
          <w:lang w:eastAsia="zh-CN"/>
        </w:rPr>
      </w:pPr>
      <w:r>
        <w:rPr>
          <w:rFonts w:hint="eastAsia"/>
          <w:color w:val="auto"/>
          <w:highlight w:val="none"/>
          <w:lang w:eastAsia="zh-CN"/>
        </w:rPr>
        <w:t>鱼道主要参考鱼类突进游泳速度，主要设计目标为帮助坝址附近</w:t>
      </w:r>
      <w:r>
        <w:rPr>
          <w:rFonts w:hint="eastAsia"/>
          <w:color w:val="auto"/>
          <w:highlight w:val="none"/>
          <w:shd w:val="clear" w:fill="FFFFFF"/>
          <w:lang w:eastAsia="zh-CN"/>
        </w:rPr>
        <w:t>的过</w:t>
      </w:r>
      <w:r>
        <w:rPr>
          <w:rFonts w:hint="eastAsia"/>
          <w:color w:val="auto"/>
          <w:highlight w:val="none"/>
          <w:lang w:eastAsia="zh-CN"/>
        </w:rPr>
        <w:t>鱼目标过坝，同时</w:t>
      </w:r>
      <w:r>
        <w:rPr>
          <w:rFonts w:hint="eastAsia"/>
          <w:color w:val="auto"/>
          <w:highlight w:val="none"/>
          <w:shd w:val="clear" w:fill="FFFFFF"/>
          <w:lang w:eastAsia="zh-CN"/>
        </w:rPr>
        <w:t>兼顾其他</w:t>
      </w:r>
      <w:r>
        <w:rPr>
          <w:rFonts w:hint="eastAsia"/>
          <w:color w:val="auto"/>
          <w:highlight w:val="none"/>
          <w:lang w:eastAsia="zh-CN"/>
        </w:rPr>
        <w:t>鱼类的上下游交流。根据测试结果分析，鱼道过鱼孔最大流速建议为0.888m/s。</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2 \* GB3 \* MERGEFORMAT </w:instrText>
      </w:r>
      <w:r>
        <w:rPr>
          <w:rFonts w:hint="eastAsia"/>
          <w:color w:val="auto"/>
          <w:highlight w:val="none"/>
          <w:lang w:eastAsia="zh-CN"/>
        </w:rPr>
        <w:fldChar w:fldCharType="separate"/>
      </w:r>
      <w:r>
        <w:rPr>
          <w:rFonts w:hint="eastAsia"/>
          <w:color w:val="auto"/>
          <w:highlight w:val="none"/>
          <w:lang w:eastAsia="zh-CN"/>
        </w:rPr>
        <w:t>②</w:t>
      </w:r>
      <w:r>
        <w:rPr>
          <w:rFonts w:hint="eastAsia"/>
          <w:color w:val="auto"/>
          <w:highlight w:val="none"/>
          <w:lang w:eastAsia="zh-CN"/>
        </w:rPr>
        <w:fldChar w:fldCharType="end"/>
      </w:r>
      <w:r>
        <w:rPr>
          <w:rFonts w:hint="eastAsia"/>
          <w:color w:val="auto"/>
          <w:highlight w:val="none"/>
          <w:lang w:eastAsia="zh-CN"/>
        </w:rPr>
        <w:t>进口流速</w:t>
      </w:r>
    </w:p>
    <w:p>
      <w:pPr>
        <w:bidi w:val="0"/>
        <w:rPr>
          <w:rFonts w:hint="eastAsia"/>
          <w:color w:val="auto"/>
          <w:highlight w:val="none"/>
          <w:lang w:eastAsia="zh-CN"/>
        </w:rPr>
      </w:pPr>
      <w:r>
        <w:rPr>
          <w:rFonts w:hint="eastAsia"/>
          <w:color w:val="auto"/>
          <w:highlight w:val="none"/>
          <w:lang w:eastAsia="zh-CN"/>
        </w:rPr>
        <w:t>鱼道进口通常采用较大的流速以吸引鱼类，但鱼道进口流速需要在鱼类的耐受范围之内，一般应大于主要过鱼的感应流速，小于突进游泳速度。由于本工程过鱼对象游泳能力比较接近，没有特别低游泳能力的鱼类。因此本工程进鱼口最佳诱鱼流速的最小值取主要过鱼对象最小的临界游泳速度（鳜，0.615m/s）的0.6倍，即0.615×0.6=0.369m/s；最佳诱鱼流速的最大值取主要过鱼对象最大的临界游泳速度（中华沙鳅，1.195m/s）的0.8倍，即1.195×0.8=0.956m/s。因此，最佳诱鱼流速的范围为0.369 ~0.956m/s。</w:t>
      </w:r>
    </w:p>
    <w:p>
      <w:pPr>
        <w:pStyle w:val="7"/>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）鱼道进出口高程及选址</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1 \* GB3 \* MERGEFORMAT </w:instrText>
      </w:r>
      <w:r>
        <w:rPr>
          <w:rFonts w:hint="eastAsia"/>
          <w:color w:val="auto"/>
          <w:highlight w:val="none"/>
          <w:lang w:eastAsia="zh-CN"/>
        </w:rPr>
        <w:fldChar w:fldCharType="separate"/>
      </w:r>
      <w:r>
        <w:rPr>
          <w:color w:val="auto"/>
          <w:highlight w:val="none"/>
        </w:rPr>
        <w:t>①</w:t>
      </w:r>
      <w:r>
        <w:rPr>
          <w:rFonts w:hint="eastAsia"/>
          <w:color w:val="auto"/>
          <w:highlight w:val="none"/>
          <w:lang w:eastAsia="zh-CN"/>
        </w:rPr>
        <w:fldChar w:fldCharType="end"/>
      </w:r>
      <w:r>
        <w:rPr>
          <w:rFonts w:hint="eastAsia"/>
          <w:color w:val="auto"/>
          <w:highlight w:val="none"/>
          <w:lang w:eastAsia="zh-CN"/>
        </w:rPr>
        <w:t>鱼道进口</w:t>
      </w:r>
    </w:p>
    <w:p>
      <w:pPr>
        <w:bidi w:val="0"/>
        <w:rPr>
          <w:rFonts w:hint="eastAsia"/>
          <w:color w:val="auto"/>
          <w:highlight w:val="none"/>
          <w:lang w:eastAsia="zh-CN"/>
        </w:rPr>
      </w:pPr>
      <w:r>
        <w:rPr>
          <w:rFonts w:hint="eastAsia"/>
          <w:color w:val="auto"/>
          <w:highlight w:val="none"/>
          <w:lang w:eastAsia="zh-CN"/>
        </w:rPr>
        <w:t>本工程鱼道进口选址在厂房尾水渠右侧隔</w:t>
      </w:r>
      <w:r>
        <w:rPr>
          <w:rFonts w:hint="eastAsia"/>
          <w:color w:val="auto"/>
          <w:highlight w:val="none"/>
          <w:shd w:val="clear" w:fill="FFFFFF"/>
          <w:lang w:eastAsia="zh-CN"/>
        </w:rPr>
        <w:t>流墙</w:t>
      </w:r>
      <w:r>
        <w:rPr>
          <w:rFonts w:hint="eastAsia"/>
          <w:color w:val="auto"/>
          <w:highlight w:val="none"/>
          <w:lang w:eastAsia="zh-CN"/>
        </w:rPr>
        <w:t>附近，布置两个鱼道进口，进口1位于隔</w:t>
      </w:r>
      <w:r>
        <w:rPr>
          <w:rFonts w:hint="eastAsia"/>
          <w:color w:val="auto"/>
          <w:highlight w:val="none"/>
          <w:shd w:val="clear" w:fill="FFFFFF"/>
          <w:lang w:eastAsia="zh-CN"/>
        </w:rPr>
        <w:t>流墙</w:t>
      </w:r>
      <w:r>
        <w:rPr>
          <w:rFonts w:hint="eastAsia"/>
          <w:color w:val="auto"/>
          <w:highlight w:val="none"/>
          <w:lang w:eastAsia="zh-CN"/>
        </w:rPr>
        <w:t>端头，进口2位于隔</w:t>
      </w:r>
      <w:r>
        <w:rPr>
          <w:rFonts w:hint="eastAsia"/>
          <w:color w:val="auto"/>
          <w:highlight w:val="none"/>
          <w:shd w:val="clear" w:fill="FFFFFF"/>
          <w:lang w:eastAsia="zh-CN"/>
        </w:rPr>
        <w:t>流墙</w:t>
      </w:r>
      <w:r>
        <w:rPr>
          <w:rFonts w:hint="eastAsia"/>
          <w:color w:val="auto"/>
          <w:highlight w:val="none"/>
          <w:lang w:eastAsia="zh-CN"/>
        </w:rPr>
        <w:t>中部，当下游水位低于202.00m时，采用进口1，底高程为198.50m；当下游水位高于或等于202.00m时，采用进口2，底高程为200.50m。</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2 \* GB3 \* MERGEFORMAT </w:instrText>
      </w:r>
      <w:r>
        <w:rPr>
          <w:rFonts w:hint="eastAsia"/>
          <w:color w:val="auto"/>
          <w:highlight w:val="none"/>
          <w:lang w:eastAsia="zh-CN"/>
        </w:rPr>
        <w:fldChar w:fldCharType="separate"/>
      </w:r>
      <w:r>
        <w:rPr>
          <w:color w:val="auto"/>
          <w:highlight w:val="none"/>
        </w:rPr>
        <w:t>②</w:t>
      </w:r>
      <w:r>
        <w:rPr>
          <w:rFonts w:hint="eastAsia"/>
          <w:color w:val="auto"/>
          <w:highlight w:val="none"/>
          <w:lang w:eastAsia="zh-CN"/>
        </w:rPr>
        <w:fldChar w:fldCharType="end"/>
      </w:r>
      <w:r>
        <w:rPr>
          <w:rFonts w:hint="eastAsia"/>
          <w:color w:val="auto"/>
          <w:highlight w:val="none"/>
          <w:lang w:eastAsia="zh-CN"/>
        </w:rPr>
        <w:t>鱼道出口</w:t>
      </w:r>
    </w:p>
    <w:p>
      <w:pPr>
        <w:bidi w:val="0"/>
        <w:rPr>
          <w:rFonts w:hint="eastAsia"/>
          <w:color w:val="auto"/>
          <w:highlight w:val="none"/>
          <w:lang w:eastAsia="zh-CN"/>
        </w:rPr>
      </w:pPr>
      <w:r>
        <w:rPr>
          <w:rFonts w:hint="eastAsia"/>
          <w:color w:val="auto"/>
          <w:highlight w:val="none"/>
          <w:lang w:eastAsia="zh-CN"/>
        </w:rPr>
        <w:t>鱼道出口选址在上游厂房尾水渠右侧老船闸引航道内，底高程为204.50m。</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）鱼道设计</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鱼道采用竖缝横隔板式鱼道，全长约705m</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t>鱼池纵坡为1:100，池室净宽为2.0m，池室壁厚0.5m，单个池室净长为2.70m</w:t>
      </w:r>
      <w:r>
        <w:rPr>
          <w:rFonts w:hint="eastAsia" w:cs="Times New Roman"/>
          <w:color w:val="auto"/>
          <w:highlight w:val="none"/>
          <w:lang w:eastAsia="zh-CN"/>
        </w:rPr>
        <w:t>，鱼道池室设计深度2.5~4.0m，设计水深为0.5~3.5m</w:t>
      </w:r>
      <w:r>
        <w:rPr>
          <w:rFonts w:hint="default" w:ascii="Times New Roman" w:hAnsi="Times New Roman" w:cs="Times New Roman"/>
          <w:color w:val="auto"/>
          <w:highlight w:val="none"/>
          <w:lang w:eastAsia="zh-CN"/>
        </w:rPr>
        <w:t>。</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横隔板长肢采用圆端</w:t>
      </w:r>
      <w:r>
        <w:rPr>
          <w:rFonts w:hint="default" w:ascii="Times New Roman" w:hAnsi="Times New Roman" w:cs="Times New Roman"/>
          <w:color w:val="auto"/>
          <w:highlight w:val="none"/>
          <w:shd w:val="clear" w:fill="FFFFFF"/>
          <w:lang w:eastAsia="zh-CN"/>
        </w:rPr>
        <w:t>“L”型</w:t>
      </w:r>
      <w:r>
        <w:rPr>
          <w:rFonts w:hint="default" w:ascii="Times New Roman" w:hAnsi="Times New Roman" w:cs="Times New Roman"/>
          <w:color w:val="auto"/>
          <w:highlight w:val="none"/>
          <w:lang w:eastAsia="zh-CN"/>
        </w:rPr>
        <w:t>结构，长肢总长1.27m，上游内侧直线段长1.00m，下游外侧直线段长1.17m，头部采用75°的折线折向上游，折线内侧直线段长为0.5m，折线上游端头宽0.1m；横隔板短肢布置于长肢对岸下游侧，短肢总长0.54m，上游侧</w:t>
      </w:r>
      <w:r>
        <w:rPr>
          <w:rFonts w:hint="eastAsia" w:cs="Times New Roman"/>
          <w:color w:val="auto"/>
          <w:highlight w:val="none"/>
          <w:shd w:val="clear" w:fill="FFFFFF"/>
          <w:lang w:eastAsia="zh-CN"/>
        </w:rPr>
        <w:t>直线段</w:t>
      </w:r>
      <w:r>
        <w:rPr>
          <w:rFonts w:hint="default" w:ascii="Times New Roman" w:hAnsi="Times New Roman" w:cs="Times New Roman"/>
          <w:color w:val="auto"/>
          <w:highlight w:val="none"/>
          <w:lang w:eastAsia="zh-CN"/>
        </w:rPr>
        <w:t>长0.44m，下游侧直线段长0.46m，下游侧折线角度为60°。横隔板长肢与短肢间通过55°的直线段形成斜向过鱼竖缝，竖缝宽度为0.35m。按照鱼道每间隔9~11个池室或水流转角处设一个休息池，休息池底坡为0，净长为4.7m</w:t>
      </w:r>
      <w:r>
        <w:rPr>
          <w:rFonts w:hint="eastAsia" w:cs="Times New Roman"/>
          <w:color w:val="auto"/>
          <w:highlight w:val="none"/>
          <w:lang w:eastAsia="zh-CN"/>
        </w:rPr>
        <w:t>。</w:t>
      </w:r>
      <w:r>
        <w:rPr>
          <w:rFonts w:hint="default" w:ascii="Times New Roman" w:hAnsi="Times New Roman" w:cs="Times New Roman"/>
          <w:color w:val="auto"/>
          <w:highlight w:val="none"/>
          <w:lang w:eastAsia="zh-CN"/>
        </w:rPr>
        <w:t>为进一步增强消能，减缓通过竖缝的最大流速，在鱼道陡坡设立台阶，台阶高度0.05m，使竖缝位于平段上。鱼道槽身段底板满铺0.05m厚卵石层</w:t>
      </w:r>
      <w:r>
        <w:rPr>
          <w:rFonts w:hint="default" w:ascii="Times New Roman" w:hAnsi="Times New Roman" w:cs="Times New Roman"/>
          <w:color w:val="auto"/>
          <w:highlight w:val="none"/>
        </w:rPr>
        <w:t>。</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6</w:t>
      </w:r>
      <w:r>
        <w:rPr>
          <w:rFonts w:hint="eastAsia"/>
          <w:color w:val="auto"/>
          <w:highlight w:val="none"/>
          <w:lang w:eastAsia="zh-CN"/>
        </w:rPr>
        <w:t>）鱼道设施设备</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1 \* GB3 \* MERGEFORMAT </w:instrText>
      </w:r>
      <w:r>
        <w:rPr>
          <w:rFonts w:hint="eastAsia"/>
          <w:color w:val="auto"/>
          <w:highlight w:val="none"/>
          <w:lang w:eastAsia="zh-CN"/>
        </w:rPr>
        <w:fldChar w:fldCharType="separate"/>
      </w:r>
      <w:r>
        <w:rPr>
          <w:color w:val="auto"/>
          <w:highlight w:val="none"/>
        </w:rPr>
        <w:t>①</w:t>
      </w:r>
      <w:r>
        <w:rPr>
          <w:rFonts w:hint="eastAsia"/>
          <w:color w:val="auto"/>
          <w:highlight w:val="none"/>
          <w:lang w:eastAsia="zh-CN"/>
        </w:rPr>
        <w:fldChar w:fldCharType="end"/>
      </w:r>
      <w:r>
        <w:rPr>
          <w:rFonts w:hint="eastAsia"/>
          <w:color w:val="auto"/>
          <w:highlight w:val="none"/>
          <w:lang w:eastAsia="zh-CN"/>
        </w:rPr>
        <w:t>闸门控制系统</w:t>
      </w:r>
    </w:p>
    <w:p>
      <w:pPr>
        <w:bidi w:val="0"/>
        <w:rPr>
          <w:rFonts w:hint="eastAsia"/>
          <w:color w:val="auto"/>
          <w:highlight w:val="none"/>
          <w:lang w:eastAsia="zh-CN"/>
        </w:rPr>
      </w:pPr>
      <w:r>
        <w:rPr>
          <w:rFonts w:hint="eastAsia"/>
          <w:color w:val="auto"/>
          <w:highlight w:val="none"/>
          <w:lang w:eastAsia="zh-CN"/>
        </w:rPr>
        <w:t>在鱼道进、出口各设置1套工作闸门及手电两用螺杆启闭机，便于鱼道检修，需现地和远程控制。</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2 \* GB3 \* MERGEFORMAT </w:instrText>
      </w:r>
      <w:r>
        <w:rPr>
          <w:rFonts w:hint="eastAsia"/>
          <w:color w:val="auto"/>
          <w:highlight w:val="none"/>
          <w:lang w:eastAsia="zh-CN"/>
        </w:rPr>
        <w:fldChar w:fldCharType="separate"/>
      </w:r>
      <w:r>
        <w:rPr>
          <w:color w:val="auto"/>
          <w:highlight w:val="none"/>
        </w:rPr>
        <w:t>②</w:t>
      </w:r>
      <w:r>
        <w:rPr>
          <w:rFonts w:hint="eastAsia"/>
          <w:color w:val="auto"/>
          <w:highlight w:val="none"/>
          <w:lang w:eastAsia="zh-CN"/>
        </w:rPr>
        <w:fldChar w:fldCharType="end"/>
      </w:r>
      <w:r>
        <w:rPr>
          <w:rFonts w:hint="eastAsia"/>
          <w:color w:val="auto"/>
          <w:highlight w:val="none"/>
          <w:lang w:eastAsia="zh-CN"/>
        </w:rPr>
        <w:t>拦鱼电栅</w:t>
      </w:r>
    </w:p>
    <w:p>
      <w:pPr>
        <w:bidi w:val="0"/>
        <w:rPr>
          <w:rFonts w:hint="eastAsia"/>
          <w:color w:val="auto"/>
          <w:highlight w:val="none"/>
          <w:lang w:eastAsia="zh-CN"/>
        </w:rPr>
      </w:pPr>
      <w:r>
        <w:rPr>
          <w:rFonts w:hint="eastAsia"/>
          <w:color w:val="auto"/>
          <w:highlight w:val="none"/>
          <w:lang w:eastAsia="zh-CN"/>
        </w:rPr>
        <w:t>为防止鱼类随着厂房尾水而上聚集在厂房尾水渠内，而不进入鱼道中，在鱼道进口处向左岸布设1套约35m的拦鱼电栅；在鱼道进鱼口处向右岸分别布设1套约159m的拦鱼电栅。</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3 \* GB3 \* MERGEFORMAT </w:instrText>
      </w:r>
      <w:r>
        <w:rPr>
          <w:rFonts w:hint="eastAsia"/>
          <w:color w:val="auto"/>
          <w:highlight w:val="none"/>
          <w:lang w:eastAsia="zh-CN"/>
        </w:rPr>
        <w:fldChar w:fldCharType="separate"/>
      </w:r>
      <w:r>
        <w:rPr>
          <w:color w:val="auto"/>
          <w:highlight w:val="none"/>
        </w:rPr>
        <w:t>③</w:t>
      </w:r>
      <w:r>
        <w:rPr>
          <w:rFonts w:hint="eastAsia"/>
          <w:color w:val="auto"/>
          <w:highlight w:val="none"/>
          <w:lang w:eastAsia="zh-CN"/>
        </w:rPr>
        <w:fldChar w:fldCharType="end"/>
      </w:r>
      <w:r>
        <w:rPr>
          <w:rFonts w:hint="eastAsia"/>
          <w:color w:val="auto"/>
          <w:highlight w:val="none"/>
          <w:lang w:eastAsia="zh-CN"/>
        </w:rPr>
        <w:t>灯光诱鱼系统</w:t>
      </w:r>
    </w:p>
    <w:p>
      <w:pPr>
        <w:bidi w:val="0"/>
        <w:rPr>
          <w:rFonts w:hint="eastAsia"/>
          <w:color w:val="auto"/>
          <w:highlight w:val="none"/>
          <w:lang w:eastAsia="zh-CN"/>
        </w:rPr>
      </w:pPr>
      <w:r>
        <w:rPr>
          <w:rFonts w:hint="eastAsia"/>
          <w:color w:val="auto"/>
          <w:highlight w:val="none"/>
          <w:lang w:eastAsia="zh-CN"/>
        </w:rPr>
        <w:t>鱼道进口处安装灯光诱鱼设备 1 套。灯光诱鱼设备主要由 LED 灯带、控制系统、电源系统组成，通过发出吸引鱼类的光信号，吸引鱼类进入鱼道。</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4 \* GB3 \* MERGEFORMAT </w:instrText>
      </w:r>
      <w:r>
        <w:rPr>
          <w:rFonts w:hint="eastAsia"/>
          <w:color w:val="auto"/>
          <w:highlight w:val="none"/>
          <w:lang w:eastAsia="zh-CN"/>
        </w:rPr>
        <w:fldChar w:fldCharType="separate"/>
      </w:r>
      <w:r>
        <w:rPr>
          <w:color w:val="auto"/>
          <w:highlight w:val="none"/>
        </w:rPr>
        <w:t>④</w:t>
      </w:r>
      <w:r>
        <w:rPr>
          <w:rFonts w:hint="eastAsia"/>
          <w:color w:val="auto"/>
          <w:highlight w:val="none"/>
          <w:lang w:eastAsia="zh-CN"/>
        </w:rPr>
        <w:fldChar w:fldCharType="end"/>
      </w:r>
      <w:r>
        <w:rPr>
          <w:rFonts w:hint="eastAsia"/>
          <w:color w:val="auto"/>
          <w:highlight w:val="none"/>
          <w:lang w:eastAsia="zh-CN"/>
        </w:rPr>
        <w:t>过鱼效果观测系统</w:t>
      </w:r>
    </w:p>
    <w:p>
      <w:pPr>
        <w:bidi w:val="0"/>
        <w:rPr>
          <w:rFonts w:hint="eastAsia"/>
          <w:color w:val="auto"/>
          <w:highlight w:val="none"/>
          <w:lang w:eastAsia="zh-CN"/>
        </w:rPr>
      </w:pPr>
      <w:r>
        <w:rPr>
          <w:rFonts w:hint="eastAsia"/>
          <w:color w:val="auto"/>
          <w:highlight w:val="none"/>
          <w:lang w:eastAsia="zh-CN"/>
        </w:rPr>
        <w:t>鱼道过鱼效果观测专用设备1套，主要包括：水下摄像系统、流速流量监测单元、水质监测单元、多波束成像声呐系统、捕鱼装置、PIT设备、鱼道LCU监控单元、集成与数据处理单元、系统软件平台、附属设施。该系统主要是将鱼道中采集</w:t>
      </w:r>
      <w:r>
        <w:rPr>
          <w:rFonts w:hint="eastAsia"/>
          <w:color w:val="auto"/>
          <w:highlight w:val="none"/>
          <w:shd w:val="clear" w:fill="FFFFFF"/>
          <w:lang w:eastAsia="zh-CN"/>
        </w:rPr>
        <w:t>的过</w:t>
      </w:r>
      <w:r>
        <w:rPr>
          <w:rFonts w:hint="eastAsia"/>
          <w:color w:val="auto"/>
          <w:highlight w:val="none"/>
          <w:lang w:eastAsia="zh-CN"/>
        </w:rPr>
        <w:t>鱼图像、视频等过鱼信息进行分析、存储与统计。通过图片，得出</w:t>
      </w:r>
      <w:r>
        <w:rPr>
          <w:rFonts w:hint="eastAsia"/>
          <w:color w:val="auto"/>
          <w:highlight w:val="none"/>
          <w:shd w:val="clear" w:fill="FFFFFF"/>
          <w:lang w:eastAsia="zh-CN"/>
        </w:rPr>
        <w:t>鱼的长度</w:t>
      </w:r>
      <w:r>
        <w:rPr>
          <w:rFonts w:hint="eastAsia"/>
          <w:color w:val="auto"/>
          <w:highlight w:val="none"/>
          <w:lang w:eastAsia="zh-CN"/>
        </w:rPr>
        <w:t>与宽度，并结合智能分析辨别出鱼的种类，保存流速、位置、鱼游方向、鱼游的速度、鱼的视频等各类过鱼信息，可远程监控鱼道的实时过鱼情况，统计鱼道过鱼数量等信息，并提供过鱼信息报表的下载。旨在提高水电站鱼道监测的信息化水平，实时监测鱼道过鱼效果，收集过鱼相关数据。</w:t>
      </w:r>
    </w:p>
    <w:p>
      <w:pPr>
        <w:pStyle w:val="6"/>
        <w:bidi w:val="0"/>
        <w:rPr>
          <w:rFonts w:hint="eastAsia"/>
          <w:color w:val="auto"/>
          <w:highlight w:val="none"/>
          <w:lang w:eastAsia="zh-CN"/>
        </w:rPr>
      </w:pPr>
      <w:r>
        <w:rPr>
          <w:rFonts w:hint="eastAsia"/>
          <w:color w:val="auto"/>
          <w:highlight w:val="none"/>
          <w:lang w:eastAsia="zh-CN"/>
        </w:rPr>
        <w:t>配套工程</w:t>
      </w:r>
    </w:p>
    <w:p>
      <w:pPr>
        <w:pStyle w:val="7"/>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）闸管区</w:t>
      </w:r>
    </w:p>
    <w:p>
      <w:pPr>
        <w:pStyle w:val="7"/>
        <w:rPr>
          <w:rFonts w:hint="eastAsia"/>
          <w:color w:val="auto"/>
          <w:highlight w:val="none"/>
          <w:lang w:eastAsia="zh-CN"/>
        </w:rPr>
      </w:pPr>
      <w:r>
        <w:rPr>
          <w:rFonts w:hint="eastAsia"/>
          <w:color w:val="auto"/>
          <w:highlight w:val="none"/>
          <w:lang w:eastAsia="zh-CN"/>
        </w:rPr>
        <w:t>受本次船闸施工影响，本次对现有管理区进行拆除。同时在现有管理区东侧新建闸管区，管理区包括生产和生活辅助建筑，主要有综合楼、门卫、设备用房(变电所和消防泵房)、启闭机房等建筑。</w:t>
      </w:r>
    </w:p>
    <w:p>
      <w:pPr>
        <w:pStyle w:val="7"/>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）锚地</w:t>
      </w:r>
    </w:p>
    <w:p>
      <w:pPr>
        <w:bidi w:val="0"/>
        <w:rPr>
          <w:color w:val="auto"/>
          <w:highlight w:val="none"/>
        </w:rPr>
      </w:pPr>
      <w:r>
        <w:rPr>
          <w:color w:val="auto"/>
          <w:highlight w:val="none"/>
        </w:rPr>
        <w:fldChar w:fldCharType="begin"/>
      </w:r>
      <w:r>
        <w:rPr>
          <w:color w:val="auto"/>
          <w:highlight w:val="none"/>
        </w:rPr>
        <w:instrText xml:space="preserve"> = 1 \* GB3 \* MERGEFORMAT </w:instrText>
      </w:r>
      <w:r>
        <w:rPr>
          <w:color w:val="auto"/>
          <w:highlight w:val="none"/>
        </w:rPr>
        <w:fldChar w:fldCharType="separate"/>
      </w:r>
      <w:r>
        <w:rPr>
          <w:color w:val="auto"/>
          <w:highlight w:val="none"/>
        </w:rPr>
        <w:t>①</w:t>
      </w:r>
      <w:r>
        <w:rPr>
          <w:color w:val="auto"/>
          <w:highlight w:val="none"/>
        </w:rPr>
        <w:fldChar w:fldCharType="end"/>
      </w:r>
      <w:r>
        <w:rPr>
          <w:color w:val="auto"/>
          <w:highlight w:val="none"/>
        </w:rPr>
        <w:t>上游锚地</w:t>
      </w:r>
    </w:p>
    <w:p>
      <w:pPr>
        <w:bidi w:val="0"/>
        <w:rPr>
          <w:color w:val="auto"/>
          <w:highlight w:val="none"/>
        </w:rPr>
      </w:pPr>
      <w:r>
        <w:rPr>
          <w:color w:val="auto"/>
          <w:highlight w:val="none"/>
        </w:rPr>
        <w:t>上游锚地位于引航道左侧，系船设施采用地牛，共布置3个地牛，地牛顶部设置2</w:t>
      </w:r>
      <w:r>
        <w:rPr>
          <w:rFonts w:hint="eastAsia"/>
          <w:color w:val="auto"/>
          <w:highlight w:val="none"/>
          <w:lang w:val="en-US" w:eastAsia="zh-CN"/>
        </w:rPr>
        <w:t>5</w:t>
      </w:r>
      <w:r>
        <w:rPr>
          <w:color w:val="auto"/>
          <w:highlight w:val="none"/>
        </w:rPr>
        <w:t>0kN系船柱，方便船舶系缆，相邻地牛间距为24m，船舶采用丁</w:t>
      </w:r>
      <w:r>
        <w:rPr>
          <w:color w:val="auto"/>
          <w:highlight w:val="none"/>
          <w:shd w:val="clear" w:fill="FFFFFF"/>
        </w:rPr>
        <w:t>靠靠</w:t>
      </w:r>
      <w:r>
        <w:rPr>
          <w:color w:val="auto"/>
          <w:highlight w:val="none"/>
        </w:rPr>
        <w:t>泊，最多同时靠泊6艘1000t级船舶。地牛采用</w:t>
      </w:r>
      <w:r>
        <w:rPr>
          <w:rFonts w:hint="eastAsia" w:ascii="宋体" w:hAnsi="宋体" w:eastAsia="宋体" w:cs="宋体"/>
          <w:color w:val="auto"/>
          <w:highlight w:val="none"/>
        </w:rPr>
        <w:t>“现浇混凝土块”</w:t>
      </w:r>
      <w:r>
        <w:rPr>
          <w:color w:val="auto"/>
          <w:highlight w:val="none"/>
        </w:rPr>
        <w:t>结构，尺度为4.5×4.5×3m，地牛顶高程为209.00m。</w:t>
      </w:r>
    </w:p>
    <w:p>
      <w:pPr>
        <w:bidi w:val="0"/>
        <w:rPr>
          <w:color w:val="auto"/>
          <w:highlight w:val="none"/>
        </w:rPr>
      </w:pPr>
      <w:r>
        <w:rPr>
          <w:color w:val="auto"/>
          <w:highlight w:val="none"/>
        </w:rPr>
        <w:t>斜坡面采用格构梁护坡结构，单个地牛护坡宽10m、坡比为1:5~1:7.14，范围从高程205.00m至209.00m，护坡边侧设1.2m宽的下河坡道。其中，现浇钢筋砼格构梁截面尺度为1.0×0.5m，格构梁间满布现浇钢筋砼护面锚板，护面板厚300mm、面板底部采用直径为25mm、长度为4.0m的锚杆与岸坡连接，锚杆按纵横向2.5m的间距均匀布置。</w:t>
      </w:r>
    </w:p>
    <w:p>
      <w:pPr>
        <w:bidi w:val="0"/>
        <w:rPr>
          <w:color w:val="auto"/>
          <w:highlight w:val="none"/>
        </w:rPr>
      </w:pPr>
      <w:r>
        <w:rPr>
          <w:color w:val="auto"/>
          <w:highlight w:val="none"/>
        </w:rPr>
        <w:fldChar w:fldCharType="begin"/>
      </w:r>
      <w:r>
        <w:rPr>
          <w:color w:val="auto"/>
          <w:highlight w:val="none"/>
        </w:rPr>
        <w:instrText xml:space="preserve"> = 2 \* GB3 \* MERGEFORMAT </w:instrText>
      </w:r>
      <w:r>
        <w:rPr>
          <w:color w:val="auto"/>
          <w:highlight w:val="none"/>
        </w:rPr>
        <w:fldChar w:fldCharType="separate"/>
      </w:r>
      <w:r>
        <w:rPr>
          <w:color w:val="auto"/>
          <w:highlight w:val="none"/>
        </w:rPr>
        <w:t>②</w:t>
      </w:r>
      <w:r>
        <w:rPr>
          <w:color w:val="auto"/>
          <w:highlight w:val="none"/>
        </w:rPr>
        <w:fldChar w:fldCharType="end"/>
      </w:r>
      <w:r>
        <w:rPr>
          <w:color w:val="auto"/>
          <w:highlight w:val="none"/>
        </w:rPr>
        <w:t>下游锚地</w:t>
      </w:r>
    </w:p>
    <w:p>
      <w:pPr>
        <w:bidi w:val="0"/>
        <w:rPr>
          <w:color w:val="auto"/>
          <w:highlight w:val="none"/>
        </w:rPr>
      </w:pPr>
      <w:r>
        <w:rPr>
          <w:color w:val="auto"/>
          <w:highlight w:val="none"/>
        </w:rPr>
        <w:t>下游锚地位于引航道右侧，系船设施采用地牛，共布置6个地牛（单个锚泊区布置2个），地牛顶部设置2</w:t>
      </w:r>
      <w:r>
        <w:rPr>
          <w:rFonts w:hint="eastAsia"/>
          <w:color w:val="auto"/>
          <w:highlight w:val="none"/>
          <w:lang w:val="en-US" w:eastAsia="zh-CN"/>
        </w:rPr>
        <w:t>5</w:t>
      </w:r>
      <w:r>
        <w:rPr>
          <w:color w:val="auto"/>
          <w:highlight w:val="none"/>
        </w:rPr>
        <w:t>0kN系船柱，方便船舶系缆，相邻地牛间距为24m，船舶采用丁</w:t>
      </w:r>
      <w:r>
        <w:rPr>
          <w:color w:val="auto"/>
          <w:highlight w:val="none"/>
          <w:shd w:val="clear" w:fill="FFFFFF"/>
        </w:rPr>
        <w:t>靠靠</w:t>
      </w:r>
      <w:r>
        <w:rPr>
          <w:color w:val="auto"/>
          <w:highlight w:val="none"/>
        </w:rPr>
        <w:t>泊，最多同时靠泊6艘1000t 级船舶。地牛采用“下部独立单桩+上部钢筋砼桩帽”</w:t>
      </w:r>
      <w:r>
        <w:rPr>
          <w:color w:val="auto"/>
          <w:highlight w:val="none"/>
          <w:shd w:val="clear" w:fill="FFFFFF"/>
        </w:rPr>
        <w:t>结构型式</w:t>
      </w:r>
      <w:r>
        <w:rPr>
          <w:color w:val="auto"/>
          <w:highlight w:val="none"/>
        </w:rPr>
        <w:t>，桩基直径为1.0m，桩帽尺度为2.2×2.2×1.5m，单个锚泊区的2个地牛顶高程分别为208.30m、204.00m。</w:t>
      </w:r>
    </w:p>
    <w:p>
      <w:pPr>
        <w:bidi w:val="0"/>
        <w:rPr>
          <w:rFonts w:hint="eastAsia"/>
          <w:color w:val="auto"/>
          <w:highlight w:val="none"/>
          <w:lang w:eastAsia="zh-CN"/>
        </w:rPr>
      </w:pPr>
      <w:r>
        <w:rPr>
          <w:color w:val="auto"/>
          <w:highlight w:val="none"/>
        </w:rPr>
        <w:t>斜坡面采用格构梁护坡结构，单个地牛护坡宽10m、坡比为1:263~1:5，范围从高程199.40m至208.70m，护坡边侧设宽1.2m宽的下河坡道。其中，现浇钢筋砼格构梁截面尺度为1.0×0.5m，格构梁间满布现浇钢筋砼护面锚板，护面板厚300mm、面板底部采用直径为25mm、长度为4.0m的锚杆与岸坡连接，锚杆按纵横向2.5m的间距均匀布置</w:t>
      </w:r>
      <w:r>
        <w:rPr>
          <w:rFonts w:hint="eastAsia"/>
          <w:color w:val="auto"/>
          <w:highlight w:val="none"/>
          <w:lang w:eastAsia="zh-CN"/>
        </w:rPr>
        <w:t>。</w:t>
      </w:r>
    </w:p>
    <w:p>
      <w:pPr>
        <w:pStyle w:val="7"/>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）跨闸桥</w:t>
      </w:r>
    </w:p>
    <w:p>
      <w:pPr>
        <w:pStyle w:val="7"/>
        <w:rPr>
          <w:rFonts w:hint="eastAsia"/>
          <w:color w:val="auto"/>
          <w:highlight w:val="none"/>
          <w:lang w:eastAsia="zh-CN"/>
        </w:rPr>
      </w:pPr>
      <w:r>
        <w:rPr>
          <w:rFonts w:hint="eastAsia"/>
          <w:color w:val="auto"/>
          <w:highlight w:val="none"/>
          <w:lang w:eastAsia="zh-CN"/>
        </w:rPr>
        <w:t>设置跨闸桥</w:t>
      </w:r>
      <w:r>
        <w:rPr>
          <w:rFonts w:hint="eastAsia"/>
          <w:color w:val="auto"/>
          <w:highlight w:val="none"/>
          <w:lang w:val="en-US" w:eastAsia="zh-CN"/>
        </w:rPr>
        <w:t>1座，跨越船闸闸室，连接船闸右岸及全年围堰229m平台，再分别通过9%的坡道至厂房门口220m平台，8%的坡道至枢纽顶224m平台，全长69.8m</w:t>
      </w:r>
      <w:r>
        <w:rPr>
          <w:rFonts w:hint="eastAsia"/>
          <w:color w:val="auto"/>
          <w:highlight w:val="none"/>
          <w:lang w:eastAsia="zh-CN"/>
        </w:rPr>
        <w:t>，桥面全宽</w:t>
      </w:r>
      <w:r>
        <w:rPr>
          <w:rFonts w:hint="eastAsia"/>
          <w:color w:val="auto"/>
          <w:highlight w:val="none"/>
          <w:lang w:val="en-US" w:eastAsia="zh-CN"/>
        </w:rPr>
        <w:t>9.0</w:t>
      </w:r>
      <w:r>
        <w:rPr>
          <w:rFonts w:hint="eastAsia"/>
          <w:color w:val="auto"/>
          <w:highlight w:val="none"/>
          <w:lang w:eastAsia="zh-CN"/>
        </w:rPr>
        <w:t>m，桥梁横断面布置为：0.5m（护栏）+8.0m（行车道）+0.5m（护栏）。桥梁结构为简支预应力砼小箱梁，孔跨布置为1</w:t>
      </w:r>
      <w:r>
        <w:rPr>
          <w:color w:val="auto"/>
          <w:highlight w:val="none"/>
        </w:rPr>
        <w:t>×</w:t>
      </w:r>
      <w:r>
        <w:rPr>
          <w:rFonts w:hint="eastAsia"/>
          <w:color w:val="auto"/>
          <w:highlight w:val="none"/>
          <w:lang w:eastAsia="zh-CN"/>
        </w:rPr>
        <w:t>25.0m，桥梁上部结构置于船闸下闸首上。</w:t>
      </w:r>
    </w:p>
    <w:p>
      <w:pPr>
        <w:pStyle w:val="7"/>
        <w:rPr>
          <w:rFonts w:hint="eastAsia" w:cs="Times New Roman"/>
          <w:color w:val="auto"/>
          <w:highlight w:val="none"/>
          <w:lang w:eastAsia="zh-CN"/>
        </w:rPr>
      </w:pPr>
      <w:r>
        <w:rPr>
          <w:rFonts w:hint="eastAsia" w:cs="Times New Roman"/>
          <w:color w:val="auto"/>
          <w:highlight w:val="none"/>
          <w:lang w:eastAsia="zh-CN"/>
        </w:rPr>
        <w:t>（</w:t>
      </w:r>
      <w:r>
        <w:rPr>
          <w:rFonts w:hint="eastAsia" w:cs="Times New Roman"/>
          <w:color w:val="auto"/>
          <w:highlight w:val="none"/>
          <w:lang w:val="en-US" w:eastAsia="zh-CN"/>
        </w:rPr>
        <w:t>4</w:t>
      </w:r>
      <w:r>
        <w:rPr>
          <w:rFonts w:hint="eastAsia" w:cs="Times New Roman"/>
          <w:color w:val="auto"/>
          <w:highlight w:val="none"/>
          <w:lang w:eastAsia="zh-CN"/>
        </w:rPr>
        <w:t>）航标工程</w:t>
      </w:r>
    </w:p>
    <w:p>
      <w:pPr>
        <w:pStyle w:val="7"/>
        <w:rPr>
          <w:rFonts w:hint="eastAsia"/>
          <w:color w:val="auto"/>
          <w:highlight w:val="none"/>
          <w:lang w:eastAsia="zh-CN"/>
        </w:rPr>
      </w:pPr>
      <w:r>
        <w:rPr>
          <w:rFonts w:hint="eastAsia" w:cs="Times New Roman"/>
          <w:color w:val="auto"/>
          <w:highlight w:val="none"/>
          <w:lang w:eastAsia="zh-CN"/>
        </w:rPr>
        <w:t>船闸航标工程布设范围</w:t>
      </w:r>
      <w:r>
        <w:rPr>
          <w:rFonts w:hint="eastAsia" w:cs="Times New Roman"/>
          <w:color w:val="auto"/>
          <w:highlight w:val="none"/>
          <w:shd w:val="clear" w:fill="FFFFFF"/>
          <w:lang w:eastAsia="zh-CN"/>
        </w:rPr>
        <w:t>包括</w:t>
      </w:r>
      <w:r>
        <w:rPr>
          <w:rFonts w:hint="default" w:ascii="Times New Roman" w:hAnsi="Times New Roman" w:cs="Times New Roman"/>
          <w:color w:val="auto"/>
          <w:highlight w:val="none"/>
          <w:lang w:eastAsia="zh-CN"/>
        </w:rPr>
        <w:t>船闸主体、上下游引航道及连接段航道</w:t>
      </w:r>
      <w:r>
        <w:rPr>
          <w:rFonts w:hint="eastAsia" w:ascii="Times New Roman" w:hAnsi="Times New Roman" w:cs="Times New Roman"/>
          <w:color w:val="auto"/>
          <w:highlight w:val="none"/>
          <w:lang w:eastAsia="zh-CN"/>
        </w:rPr>
        <w:t>，按一类航标配布</w:t>
      </w:r>
      <w:r>
        <w:rPr>
          <w:rFonts w:hint="eastAsia"/>
          <w:color w:val="auto"/>
          <w:highlight w:val="none"/>
          <w:lang w:eastAsia="zh-CN"/>
        </w:rPr>
        <w:t>。本工程航行标志配布类型、数量与规格详见下表：</w:t>
      </w:r>
    </w:p>
    <w:p>
      <w:pPr>
        <w:pStyle w:val="7"/>
        <w:spacing w:line="240" w:lineRule="auto"/>
        <w:ind w:left="0" w:leftChars="0" w:firstLine="0" w:firstLineChars="0"/>
        <w:jc w:val="center"/>
        <w:rPr>
          <w:rFonts w:hint="eastAsia"/>
          <w:color w:val="auto"/>
          <w:highlight w:val="none"/>
          <w:lang w:eastAsia="zh-CN"/>
        </w:rPr>
      </w:pPr>
    </w:p>
    <w:p>
      <w:pPr>
        <w:pStyle w:val="7"/>
        <w:spacing w:line="240" w:lineRule="auto"/>
        <w:ind w:left="0" w:leftChars="0" w:firstLine="0" w:firstLineChars="0"/>
        <w:jc w:val="center"/>
        <w:rPr>
          <w:rFonts w:hint="eastAsia"/>
          <w:color w:val="auto"/>
          <w:highlight w:val="none"/>
          <w:lang w:eastAsia="zh-CN"/>
        </w:rPr>
      </w:pPr>
      <w:r>
        <w:rPr>
          <w:rFonts w:hint="eastAsia"/>
          <w:color w:val="auto"/>
          <w:highlight w:val="none"/>
          <w:lang w:eastAsia="zh-CN"/>
        </w:rPr>
        <w:t>表</w:t>
      </w:r>
      <w:r>
        <w:rPr>
          <w:rFonts w:hint="eastAsia"/>
          <w:color w:val="auto"/>
          <w:highlight w:val="none"/>
          <w:lang w:val="en-US" w:eastAsia="zh-CN"/>
        </w:rPr>
        <w:t xml:space="preserve">2.5.4.5-1  </w:t>
      </w:r>
      <w:r>
        <w:rPr>
          <w:rFonts w:hint="eastAsia"/>
          <w:color w:val="auto"/>
          <w:highlight w:val="none"/>
          <w:lang w:eastAsia="zh-CN"/>
        </w:rPr>
        <w:t>航标工程量统计一览表</w:t>
      </w:r>
    </w:p>
    <w:tbl>
      <w:tblPr>
        <w:tblStyle w:val="209"/>
        <w:tblW w:w="48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7"/>
        <w:gridCol w:w="1398"/>
        <w:gridCol w:w="1815"/>
        <w:gridCol w:w="645"/>
        <w:gridCol w:w="849"/>
        <w:gridCol w:w="3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7" w:type="dxa"/>
            <w:textDirection w:val="tbRlV"/>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26"/>
                <w:sz w:val="22"/>
                <w:szCs w:val="22"/>
                <w:highlight w:val="none"/>
              </w:rPr>
              <w:t>编号</w:t>
            </w:r>
          </w:p>
        </w:tc>
        <w:tc>
          <w:tcPr>
            <w:tcW w:w="139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3"/>
                <w:sz w:val="22"/>
                <w:szCs w:val="22"/>
                <w:highlight w:val="none"/>
              </w:rPr>
              <w:t>标志名称</w:t>
            </w:r>
          </w:p>
        </w:tc>
        <w:tc>
          <w:tcPr>
            <w:tcW w:w="181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6"/>
                <w:sz w:val="22"/>
                <w:szCs w:val="22"/>
                <w:highlight w:val="none"/>
                <w:shd w:val="clear" w:fill="FFFFFF"/>
              </w:rPr>
              <w:t>标体</w:t>
            </w:r>
            <w:r>
              <w:rPr>
                <w:rFonts w:ascii="Times New Roman" w:hAnsi="Times New Roman" w:eastAsia="Times New Roman" w:cs="Times New Roman"/>
                <w:color w:val="auto"/>
                <w:spacing w:val="6"/>
                <w:sz w:val="22"/>
                <w:szCs w:val="22"/>
                <w:highlight w:val="none"/>
              </w:rPr>
              <w:t>/</w:t>
            </w:r>
            <w:r>
              <w:rPr>
                <w:color w:val="auto"/>
                <w:spacing w:val="6"/>
                <w:sz w:val="22"/>
                <w:szCs w:val="22"/>
                <w:highlight w:val="none"/>
              </w:rPr>
              <w:t>板面（</w:t>
            </w:r>
            <w:r>
              <w:rPr>
                <w:rFonts w:ascii="Times New Roman" w:hAnsi="Times New Roman" w:eastAsia="Times New Roman" w:cs="Times New Roman"/>
                <w:color w:val="auto"/>
                <w:sz w:val="22"/>
                <w:szCs w:val="22"/>
                <w:highlight w:val="none"/>
              </w:rPr>
              <w:t>mm</w:t>
            </w:r>
            <w:r>
              <w:rPr>
                <w:color w:val="auto"/>
                <w:spacing w:val="6"/>
                <w:sz w:val="22"/>
                <w:szCs w:val="22"/>
                <w:highlight w:val="none"/>
              </w:rPr>
              <w:t>）</w:t>
            </w:r>
          </w:p>
        </w:tc>
        <w:tc>
          <w:tcPr>
            <w:tcW w:w="64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支承</w:t>
            </w: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方式</w:t>
            </w:r>
          </w:p>
        </w:tc>
        <w:tc>
          <w:tcPr>
            <w:tcW w:w="84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数量</w:t>
            </w: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eastAsia="宋体"/>
                <w:color w:val="auto"/>
                <w:sz w:val="22"/>
                <w:szCs w:val="22"/>
                <w:highlight w:val="none"/>
                <w:lang w:val="en-US" w:eastAsia="zh-CN"/>
              </w:rPr>
            </w:pPr>
            <w:r>
              <w:rPr>
                <w:rFonts w:hint="eastAsia"/>
                <w:color w:val="auto"/>
                <w:spacing w:val="1"/>
                <w:sz w:val="22"/>
                <w:szCs w:val="22"/>
                <w:highlight w:val="none"/>
                <w:lang w:val="en-US" w:eastAsia="zh-CN"/>
              </w:rPr>
              <w:t>(</w:t>
            </w:r>
            <w:r>
              <w:rPr>
                <w:color w:val="auto"/>
                <w:spacing w:val="1"/>
                <w:sz w:val="22"/>
                <w:szCs w:val="22"/>
                <w:highlight w:val="none"/>
              </w:rPr>
              <w:t>座</w:t>
            </w:r>
            <w:r>
              <w:rPr>
                <w:rFonts w:ascii="Times New Roman" w:hAnsi="Times New Roman" w:eastAsia="Times New Roman" w:cs="Times New Roman"/>
                <w:color w:val="auto"/>
                <w:spacing w:val="1"/>
                <w:sz w:val="22"/>
                <w:szCs w:val="22"/>
                <w:highlight w:val="none"/>
              </w:rPr>
              <w:t>/</w:t>
            </w:r>
            <w:r>
              <w:rPr>
                <w:color w:val="auto"/>
                <w:spacing w:val="1"/>
                <w:sz w:val="22"/>
                <w:szCs w:val="22"/>
                <w:highlight w:val="none"/>
              </w:rPr>
              <w:t>块</w:t>
            </w:r>
            <w:r>
              <w:rPr>
                <w:rFonts w:hint="eastAsia"/>
                <w:color w:val="auto"/>
                <w:spacing w:val="1"/>
                <w:sz w:val="22"/>
                <w:szCs w:val="22"/>
                <w:highlight w:val="none"/>
                <w:lang w:val="en-US" w:eastAsia="zh-CN"/>
              </w:rPr>
              <w:t>)</w:t>
            </w:r>
          </w:p>
        </w:tc>
        <w:tc>
          <w:tcPr>
            <w:tcW w:w="33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5"/>
                <w:sz w:val="22"/>
                <w:szCs w:val="22"/>
                <w:highlight w:val="none"/>
              </w:rPr>
              <w:t>备</w:t>
            </w:r>
            <w:r>
              <w:rPr>
                <w:color w:val="auto"/>
                <w:spacing w:val="13"/>
                <w:sz w:val="22"/>
                <w:szCs w:val="22"/>
                <w:highlight w:val="none"/>
              </w:rPr>
              <w:t xml:space="preserve">   </w:t>
            </w:r>
            <w:r>
              <w:rPr>
                <w:color w:val="auto"/>
                <w:spacing w:val="-5"/>
                <w:sz w:val="22"/>
                <w:szCs w:val="22"/>
                <w:highlight w:val="none"/>
              </w:rPr>
              <w:t>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1</w:t>
            </w:r>
          </w:p>
        </w:tc>
        <w:tc>
          <w:tcPr>
            <w:tcW w:w="139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4"/>
                <w:sz w:val="22"/>
                <w:szCs w:val="22"/>
                <w:highlight w:val="none"/>
              </w:rPr>
              <w:t>侧面岸标</w:t>
            </w:r>
          </w:p>
        </w:tc>
        <w:tc>
          <w:tcPr>
            <w:tcW w:w="181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rFonts w:ascii="Times New Roman" w:hAnsi="Times New Roman" w:eastAsia="Times New Roman" w:cs="Times New Roman"/>
                <w:color w:val="auto"/>
                <w:spacing w:val="1"/>
                <w:sz w:val="22"/>
                <w:szCs w:val="22"/>
                <w:highlight w:val="none"/>
              </w:rPr>
              <w:t>H3.5m</w:t>
            </w:r>
            <w:r>
              <w:rPr>
                <w:color w:val="auto"/>
                <w:spacing w:val="1"/>
                <w:sz w:val="22"/>
                <w:szCs w:val="22"/>
                <w:highlight w:val="none"/>
              </w:rPr>
              <w:t>杆型</w:t>
            </w:r>
          </w:p>
        </w:tc>
        <w:tc>
          <w:tcPr>
            <w:tcW w:w="64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单柱</w:t>
            </w:r>
          </w:p>
        </w:tc>
        <w:tc>
          <w:tcPr>
            <w:tcW w:w="84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2</w:t>
            </w:r>
          </w:p>
        </w:tc>
        <w:tc>
          <w:tcPr>
            <w:tcW w:w="33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1"/>
                <w:sz w:val="22"/>
                <w:szCs w:val="22"/>
                <w:highlight w:val="none"/>
              </w:rPr>
              <w:t>柱形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2</w:t>
            </w:r>
          </w:p>
        </w:tc>
        <w:tc>
          <w:tcPr>
            <w:tcW w:w="139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4"/>
                <w:sz w:val="22"/>
                <w:szCs w:val="22"/>
                <w:highlight w:val="none"/>
              </w:rPr>
              <w:t>侧面浮标</w:t>
            </w:r>
          </w:p>
        </w:tc>
        <w:tc>
          <w:tcPr>
            <w:tcW w:w="181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rFonts w:hint="eastAsia" w:ascii="Times New Roman" w:hAnsi="Times New Roman" w:eastAsia="Times New Roman" w:cs="Times New Roman"/>
                <w:color w:val="auto"/>
                <w:sz w:val="22"/>
                <w:szCs w:val="22"/>
                <w:highlight w:val="none"/>
              </w:rPr>
              <w:t>HF 10-B 型灯艇</w:t>
            </w:r>
          </w:p>
        </w:tc>
        <w:tc>
          <w:tcPr>
            <w:tcW w:w="64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c>
          <w:tcPr>
            <w:tcW w:w="84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eastAsia" w:eastAsia="宋体" w:cs="Times New Roman"/>
                <w:color w:val="auto"/>
                <w:sz w:val="22"/>
                <w:szCs w:val="22"/>
                <w:highlight w:val="none"/>
                <w:lang w:val="en-US" w:eastAsia="zh-CN"/>
              </w:rPr>
              <w:t>5</w:t>
            </w:r>
          </w:p>
        </w:tc>
        <w:tc>
          <w:tcPr>
            <w:tcW w:w="33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6"/>
                <w:sz w:val="22"/>
                <w:szCs w:val="22"/>
                <w:highlight w:val="none"/>
              </w:rPr>
              <w:t>含太阳能电池箱、支架和系留</w:t>
            </w:r>
            <w:r>
              <w:rPr>
                <w:color w:val="auto"/>
                <w:spacing w:val="-1"/>
                <w:sz w:val="22"/>
                <w:szCs w:val="22"/>
                <w:highlight w:val="none"/>
              </w:rPr>
              <w:t>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3</w:t>
            </w:r>
          </w:p>
        </w:tc>
        <w:tc>
          <w:tcPr>
            <w:tcW w:w="139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5"/>
                <w:sz w:val="22"/>
                <w:szCs w:val="22"/>
                <w:highlight w:val="none"/>
              </w:rPr>
              <w:t>整治</w:t>
            </w:r>
            <w:r>
              <w:rPr>
                <w:color w:val="auto"/>
                <w:spacing w:val="5"/>
                <w:sz w:val="22"/>
                <w:szCs w:val="22"/>
                <w:highlight w:val="none"/>
                <w:shd w:val="clear" w:fill="FFFFFF"/>
              </w:rPr>
              <w:t>建筑物提</w:t>
            </w: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2"/>
                <w:sz w:val="22"/>
                <w:szCs w:val="22"/>
                <w:highlight w:val="none"/>
              </w:rPr>
              <w:t>示浮标</w:t>
            </w:r>
          </w:p>
        </w:tc>
        <w:tc>
          <w:tcPr>
            <w:tcW w:w="181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rFonts w:hint="eastAsia" w:ascii="Times New Roman" w:hAnsi="Times New Roman" w:eastAsia="Times New Roman" w:cs="Times New Roman"/>
                <w:color w:val="auto"/>
                <w:sz w:val="22"/>
                <w:szCs w:val="22"/>
                <w:highlight w:val="none"/>
              </w:rPr>
              <w:t>HF 10-B 型灯艇</w:t>
            </w:r>
          </w:p>
        </w:tc>
        <w:tc>
          <w:tcPr>
            <w:tcW w:w="64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c>
          <w:tcPr>
            <w:tcW w:w="84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1</w:t>
            </w:r>
          </w:p>
        </w:tc>
        <w:tc>
          <w:tcPr>
            <w:tcW w:w="33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6"/>
                <w:sz w:val="22"/>
                <w:szCs w:val="22"/>
                <w:highlight w:val="none"/>
              </w:rPr>
              <w:t>含太阳能电池箱、支架和系留</w:t>
            </w:r>
            <w:r>
              <w:rPr>
                <w:color w:val="auto"/>
                <w:spacing w:val="-1"/>
                <w:sz w:val="22"/>
                <w:szCs w:val="22"/>
                <w:highlight w:val="none"/>
              </w:rPr>
              <w:t>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ascii="Times New Roman" w:hAnsi="Times New Roman" w:eastAsia="Times New Roman" w:cs="Times New Roman"/>
                <w:color w:val="auto"/>
                <w:kern w:val="2"/>
                <w:sz w:val="22"/>
                <w:szCs w:val="22"/>
                <w:highlight w:val="none"/>
                <w:lang w:val="en-US" w:eastAsia="zh-CN" w:bidi="ar-SA"/>
              </w:rPr>
            </w:pPr>
            <w:r>
              <w:rPr>
                <w:rFonts w:ascii="Times New Roman" w:hAnsi="Times New Roman" w:eastAsia="Times New Roman" w:cs="Times New Roman"/>
                <w:color w:val="auto"/>
                <w:sz w:val="22"/>
                <w:szCs w:val="22"/>
                <w:highlight w:val="none"/>
              </w:rPr>
              <w:t>4</w:t>
            </w:r>
          </w:p>
        </w:tc>
        <w:tc>
          <w:tcPr>
            <w:tcW w:w="139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rFonts w:hint="eastAsia"/>
                <w:color w:val="auto"/>
                <w:sz w:val="22"/>
                <w:szCs w:val="22"/>
                <w:highlight w:val="none"/>
              </w:rPr>
              <w:t>锚地专用标</w:t>
            </w:r>
          </w:p>
        </w:tc>
        <w:tc>
          <w:tcPr>
            <w:tcW w:w="181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pacing w:val="1"/>
                <w:sz w:val="22"/>
                <w:szCs w:val="22"/>
                <w:highlight w:val="none"/>
              </w:rPr>
            </w:pPr>
            <w:r>
              <w:rPr>
                <w:rFonts w:hint="eastAsia" w:ascii="Times New Roman" w:hAnsi="Times New Roman" w:eastAsia="Times New Roman" w:cs="Times New Roman"/>
                <w:color w:val="auto"/>
                <w:sz w:val="22"/>
                <w:szCs w:val="22"/>
                <w:highlight w:val="none"/>
              </w:rPr>
              <w:t>HF 10-B 型灯艇</w:t>
            </w:r>
          </w:p>
        </w:tc>
        <w:tc>
          <w:tcPr>
            <w:tcW w:w="64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p>
        </w:tc>
        <w:tc>
          <w:tcPr>
            <w:tcW w:w="84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Times New Roman" w:hAnsi="Times New Roman" w:eastAsia="宋体" w:cs="Times New Roman"/>
                <w:color w:val="auto"/>
                <w:sz w:val="22"/>
                <w:szCs w:val="22"/>
                <w:highlight w:val="none"/>
                <w:lang w:val="en-US" w:eastAsia="zh-CN"/>
              </w:rPr>
            </w:pPr>
            <w:r>
              <w:rPr>
                <w:rFonts w:hint="eastAsia" w:eastAsia="宋体" w:cs="Times New Roman"/>
                <w:color w:val="auto"/>
                <w:sz w:val="22"/>
                <w:szCs w:val="22"/>
                <w:highlight w:val="none"/>
                <w:lang w:val="en-US" w:eastAsia="zh-CN"/>
              </w:rPr>
              <w:t>4</w:t>
            </w:r>
          </w:p>
        </w:tc>
        <w:tc>
          <w:tcPr>
            <w:tcW w:w="33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pacing w:val="1"/>
                <w:sz w:val="22"/>
                <w:szCs w:val="22"/>
                <w:highlight w:val="none"/>
              </w:rPr>
            </w:pPr>
            <w:r>
              <w:rPr>
                <w:color w:val="auto"/>
                <w:spacing w:val="6"/>
                <w:sz w:val="22"/>
                <w:szCs w:val="22"/>
                <w:highlight w:val="none"/>
              </w:rPr>
              <w:t>含太阳能电池箱、支架和系留</w:t>
            </w:r>
            <w:r>
              <w:rPr>
                <w:color w:val="auto"/>
                <w:spacing w:val="-1"/>
                <w:sz w:val="22"/>
                <w:szCs w:val="22"/>
                <w:highlight w:val="none"/>
              </w:rPr>
              <w:t>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ascii="Times New Roman" w:hAnsi="Times New Roman" w:eastAsia="Times New Roman" w:cs="Times New Roman"/>
                <w:color w:val="auto"/>
                <w:kern w:val="2"/>
                <w:sz w:val="22"/>
                <w:szCs w:val="22"/>
                <w:highlight w:val="none"/>
                <w:lang w:val="en-US" w:eastAsia="zh-CN" w:bidi="ar-SA"/>
              </w:rPr>
            </w:pPr>
            <w:r>
              <w:rPr>
                <w:rFonts w:ascii="Times New Roman" w:hAnsi="Times New Roman" w:eastAsia="Times New Roman" w:cs="Times New Roman"/>
                <w:color w:val="auto"/>
                <w:sz w:val="22"/>
                <w:szCs w:val="22"/>
                <w:highlight w:val="none"/>
              </w:rPr>
              <w:t>5</w:t>
            </w:r>
          </w:p>
        </w:tc>
        <w:tc>
          <w:tcPr>
            <w:tcW w:w="139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鸣笛标</w:t>
            </w:r>
          </w:p>
        </w:tc>
        <w:tc>
          <w:tcPr>
            <w:tcW w:w="181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rFonts w:ascii="Times New Roman" w:hAnsi="Times New Roman" w:eastAsia="Times New Roman" w:cs="Times New Roman"/>
                <w:color w:val="auto"/>
                <w:spacing w:val="1"/>
                <w:sz w:val="22"/>
                <w:szCs w:val="22"/>
                <w:highlight w:val="none"/>
              </w:rPr>
              <w:t>H7.5m</w:t>
            </w:r>
            <w:r>
              <w:rPr>
                <w:color w:val="auto"/>
                <w:spacing w:val="1"/>
                <w:sz w:val="22"/>
                <w:szCs w:val="22"/>
                <w:highlight w:val="none"/>
              </w:rPr>
              <w:t>杆型</w:t>
            </w:r>
          </w:p>
        </w:tc>
        <w:tc>
          <w:tcPr>
            <w:tcW w:w="64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单柱</w:t>
            </w:r>
          </w:p>
        </w:tc>
        <w:tc>
          <w:tcPr>
            <w:tcW w:w="84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2</w:t>
            </w:r>
          </w:p>
        </w:tc>
        <w:tc>
          <w:tcPr>
            <w:tcW w:w="33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1"/>
                <w:sz w:val="22"/>
                <w:szCs w:val="22"/>
                <w:highlight w:val="none"/>
              </w:rPr>
              <w:t>柱形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jc w:val="center"/>
        </w:trPr>
        <w:tc>
          <w:tcPr>
            <w:tcW w:w="4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ascii="Times New Roman" w:hAnsi="Times New Roman" w:eastAsia="Times New Roman" w:cs="Times New Roman"/>
                <w:color w:val="auto"/>
                <w:kern w:val="2"/>
                <w:sz w:val="22"/>
                <w:szCs w:val="22"/>
                <w:highlight w:val="none"/>
                <w:lang w:val="en-US" w:eastAsia="zh-CN" w:bidi="ar-SA"/>
              </w:rPr>
            </w:pPr>
            <w:r>
              <w:rPr>
                <w:rFonts w:ascii="Times New Roman" w:hAnsi="Times New Roman" w:eastAsia="Times New Roman" w:cs="Times New Roman"/>
                <w:color w:val="auto"/>
                <w:sz w:val="22"/>
                <w:szCs w:val="22"/>
                <w:highlight w:val="none"/>
              </w:rPr>
              <w:t>6</w:t>
            </w:r>
          </w:p>
        </w:tc>
        <w:tc>
          <w:tcPr>
            <w:tcW w:w="139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3"/>
                <w:sz w:val="22"/>
                <w:szCs w:val="22"/>
                <w:highlight w:val="none"/>
              </w:rPr>
              <w:t>桥涵标</w:t>
            </w:r>
          </w:p>
        </w:tc>
        <w:tc>
          <w:tcPr>
            <w:tcW w:w="181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color w:val="auto"/>
                <w:spacing w:val="1"/>
                <w:sz w:val="22"/>
                <w:szCs w:val="22"/>
                <w:highlight w:val="none"/>
              </w:rPr>
              <w:t>版面</w:t>
            </w:r>
            <w:r>
              <w:rPr>
                <w:rFonts w:ascii="Times New Roman" w:hAnsi="Times New Roman" w:eastAsia="Times New Roman" w:cs="Times New Roman"/>
                <w:color w:val="auto"/>
                <w:spacing w:val="1"/>
                <w:sz w:val="22"/>
                <w:szCs w:val="22"/>
                <w:highlight w:val="none"/>
              </w:rPr>
              <w:t>1000×1000</w:t>
            </w:r>
            <w:r>
              <w:rPr>
                <w:rFonts w:ascii="Times New Roman" w:hAnsi="Times New Roman" w:eastAsia="Times New Roman" w:cs="Times New Roman"/>
                <w:color w:val="auto"/>
                <w:sz w:val="22"/>
                <w:szCs w:val="22"/>
                <w:highlight w:val="none"/>
              </w:rPr>
              <w:t>mm</w:t>
            </w:r>
          </w:p>
        </w:tc>
        <w:tc>
          <w:tcPr>
            <w:tcW w:w="64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c>
          <w:tcPr>
            <w:tcW w:w="84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Times New Roman" w:hAnsi="Times New Roman" w:eastAsia="宋体" w:cs="Times New Roman"/>
                <w:color w:val="auto"/>
                <w:sz w:val="22"/>
                <w:szCs w:val="22"/>
                <w:highlight w:val="none"/>
                <w:lang w:eastAsia="zh-CN"/>
              </w:rPr>
            </w:pPr>
            <w:r>
              <w:rPr>
                <w:rFonts w:hint="eastAsia" w:eastAsia="宋体" w:cs="Times New Roman"/>
                <w:color w:val="auto"/>
                <w:sz w:val="22"/>
                <w:szCs w:val="22"/>
                <w:highlight w:val="none"/>
                <w:lang w:val="en-US" w:eastAsia="zh-CN"/>
              </w:rPr>
              <w:t>2</w:t>
            </w:r>
          </w:p>
        </w:tc>
        <w:tc>
          <w:tcPr>
            <w:tcW w:w="33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3"/>
                <w:sz w:val="22"/>
                <w:szCs w:val="22"/>
                <w:highlight w:val="none"/>
              </w:rPr>
              <w:t>挂靠桥梁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ascii="Times New Roman" w:hAnsi="Times New Roman" w:eastAsia="Times New Roman" w:cs="Times New Roman"/>
                <w:color w:val="auto"/>
                <w:kern w:val="2"/>
                <w:sz w:val="22"/>
                <w:szCs w:val="22"/>
                <w:highlight w:val="none"/>
                <w:lang w:val="en-US" w:eastAsia="zh-CN" w:bidi="ar-SA"/>
              </w:rPr>
            </w:pPr>
            <w:r>
              <w:rPr>
                <w:rFonts w:ascii="Times New Roman" w:hAnsi="Times New Roman" w:eastAsia="Times New Roman" w:cs="Times New Roman"/>
                <w:color w:val="auto"/>
                <w:sz w:val="22"/>
                <w:szCs w:val="22"/>
                <w:highlight w:val="none"/>
              </w:rPr>
              <w:t>7</w:t>
            </w:r>
          </w:p>
        </w:tc>
        <w:tc>
          <w:tcPr>
            <w:tcW w:w="139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pacing w:val="1"/>
                <w:sz w:val="22"/>
                <w:szCs w:val="22"/>
                <w:highlight w:val="none"/>
              </w:rPr>
            </w:pPr>
            <w:r>
              <w:rPr>
                <w:rFonts w:hint="eastAsia"/>
                <w:color w:val="auto"/>
                <w:spacing w:val="1"/>
                <w:sz w:val="22"/>
                <w:szCs w:val="22"/>
                <w:highlight w:val="none"/>
              </w:rPr>
              <w:t xml:space="preserve">节制闸 </w:t>
            </w:r>
          </w:p>
        </w:tc>
        <w:tc>
          <w:tcPr>
            <w:tcW w:w="181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pacing w:val="1"/>
                <w:sz w:val="22"/>
                <w:szCs w:val="22"/>
                <w:highlight w:val="none"/>
              </w:rPr>
            </w:pPr>
            <w:r>
              <w:rPr>
                <w:rFonts w:hint="eastAsia" w:ascii="Times New Roman" w:hAnsi="Times New Roman" w:eastAsia="Times New Roman" w:cs="Times New Roman"/>
                <w:color w:val="auto"/>
                <w:spacing w:val="1"/>
                <w:sz w:val="22"/>
                <w:szCs w:val="22"/>
                <w:highlight w:val="none"/>
              </w:rPr>
              <w:t>H7.5m 杆型</w:t>
            </w:r>
          </w:p>
        </w:tc>
        <w:tc>
          <w:tcPr>
            <w:tcW w:w="64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单柱</w:t>
            </w:r>
          </w:p>
        </w:tc>
        <w:tc>
          <w:tcPr>
            <w:tcW w:w="84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Times New Roman" w:hAnsi="Times New Roman" w:eastAsia="宋体" w:cs="Times New Roman"/>
                <w:color w:val="auto"/>
                <w:sz w:val="22"/>
                <w:szCs w:val="22"/>
                <w:highlight w:val="none"/>
                <w:lang w:val="en-US" w:eastAsia="zh-CN"/>
              </w:rPr>
            </w:pPr>
            <w:r>
              <w:rPr>
                <w:rFonts w:hint="eastAsia" w:eastAsia="宋体" w:cs="Times New Roman"/>
                <w:color w:val="auto"/>
                <w:sz w:val="22"/>
                <w:szCs w:val="22"/>
                <w:highlight w:val="none"/>
                <w:lang w:val="en-US" w:eastAsia="zh-CN"/>
              </w:rPr>
              <w:t>2</w:t>
            </w:r>
          </w:p>
        </w:tc>
        <w:tc>
          <w:tcPr>
            <w:tcW w:w="33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pacing w:val="5"/>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ascii="Times New Roman" w:hAnsi="Times New Roman" w:eastAsia="Times New Roman" w:cs="Times New Roman"/>
                <w:color w:val="auto"/>
                <w:kern w:val="2"/>
                <w:sz w:val="22"/>
                <w:szCs w:val="22"/>
                <w:highlight w:val="none"/>
                <w:lang w:val="en-US" w:eastAsia="zh-CN" w:bidi="ar-SA"/>
              </w:rPr>
            </w:pPr>
            <w:r>
              <w:rPr>
                <w:rFonts w:ascii="Times New Roman" w:hAnsi="Times New Roman" w:eastAsia="Times New Roman" w:cs="Times New Roman"/>
                <w:color w:val="auto"/>
                <w:sz w:val="22"/>
                <w:szCs w:val="22"/>
                <w:highlight w:val="none"/>
              </w:rPr>
              <w:t>8</w:t>
            </w:r>
          </w:p>
        </w:tc>
        <w:tc>
          <w:tcPr>
            <w:tcW w:w="139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1"/>
                <w:sz w:val="22"/>
                <w:szCs w:val="22"/>
                <w:highlight w:val="none"/>
              </w:rPr>
              <w:t>界限标</w:t>
            </w:r>
          </w:p>
        </w:tc>
        <w:tc>
          <w:tcPr>
            <w:tcW w:w="181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rFonts w:ascii="Times New Roman" w:hAnsi="Times New Roman" w:eastAsia="Times New Roman" w:cs="Times New Roman"/>
                <w:color w:val="auto"/>
                <w:spacing w:val="1"/>
                <w:sz w:val="22"/>
                <w:szCs w:val="22"/>
                <w:highlight w:val="none"/>
              </w:rPr>
              <w:t>H4.0m</w:t>
            </w:r>
            <w:r>
              <w:rPr>
                <w:color w:val="auto"/>
                <w:spacing w:val="1"/>
                <w:sz w:val="22"/>
                <w:szCs w:val="22"/>
                <w:highlight w:val="none"/>
              </w:rPr>
              <w:t>杆型</w:t>
            </w:r>
          </w:p>
        </w:tc>
        <w:tc>
          <w:tcPr>
            <w:tcW w:w="64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单柱</w:t>
            </w:r>
          </w:p>
        </w:tc>
        <w:tc>
          <w:tcPr>
            <w:tcW w:w="84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8</w:t>
            </w:r>
          </w:p>
        </w:tc>
        <w:tc>
          <w:tcPr>
            <w:tcW w:w="33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5"/>
                <w:sz w:val="22"/>
                <w:szCs w:val="22"/>
                <w:highlight w:val="none"/>
              </w:rPr>
              <w:t>闸室内标牌绘制于闸墙上，杆</w:t>
            </w:r>
            <w:r>
              <w:rPr>
                <w:color w:val="auto"/>
                <w:spacing w:val="4"/>
                <w:sz w:val="22"/>
                <w:szCs w:val="22"/>
                <w:highlight w:val="none"/>
              </w:rPr>
              <w:t xml:space="preserve"> </w:t>
            </w:r>
            <w:r>
              <w:rPr>
                <w:color w:val="auto"/>
                <w:spacing w:val="6"/>
                <w:sz w:val="22"/>
                <w:szCs w:val="22"/>
                <w:highlight w:val="none"/>
              </w:rPr>
              <w:t>型界限标设置于闸墙。靠泊区</w:t>
            </w:r>
            <w:r>
              <w:rPr>
                <w:color w:val="auto"/>
                <w:spacing w:val="3"/>
                <w:sz w:val="22"/>
                <w:szCs w:val="22"/>
                <w:highlight w:val="none"/>
              </w:rPr>
              <w:t xml:space="preserve"> </w:t>
            </w:r>
            <w:r>
              <w:rPr>
                <w:color w:val="auto"/>
                <w:spacing w:val="5"/>
                <w:sz w:val="22"/>
                <w:szCs w:val="22"/>
                <w:highlight w:val="none"/>
              </w:rPr>
              <w:t>界限标设置在靠泊区域两端。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22"/>
                <w:szCs w:val="22"/>
                <w:highlight w:val="none"/>
                <w:lang w:val="en-US" w:eastAsia="zh-CN" w:bidi="ar-SA"/>
              </w:rPr>
            </w:pPr>
            <w:r>
              <w:rPr>
                <w:rFonts w:hint="eastAsia" w:eastAsia="Times New Roman" w:cs="Times New Roman"/>
                <w:color w:val="auto"/>
                <w:kern w:val="2"/>
                <w:sz w:val="22"/>
                <w:szCs w:val="22"/>
                <w:highlight w:val="none"/>
                <w:lang w:val="en-US" w:eastAsia="zh-CN" w:bidi="ar-SA"/>
              </w:rPr>
              <w:t>9</w:t>
            </w:r>
          </w:p>
        </w:tc>
        <w:tc>
          <w:tcPr>
            <w:tcW w:w="139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3"/>
                <w:sz w:val="22"/>
                <w:szCs w:val="22"/>
                <w:highlight w:val="none"/>
              </w:rPr>
              <w:t>慢行标志</w:t>
            </w:r>
          </w:p>
        </w:tc>
        <w:tc>
          <w:tcPr>
            <w:tcW w:w="18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1500*1500</w:t>
            </w:r>
          </w:p>
        </w:tc>
        <w:tc>
          <w:tcPr>
            <w:tcW w:w="64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单柱</w:t>
            </w:r>
          </w:p>
        </w:tc>
        <w:tc>
          <w:tcPr>
            <w:tcW w:w="84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2</w:t>
            </w:r>
          </w:p>
        </w:tc>
        <w:tc>
          <w:tcPr>
            <w:tcW w:w="338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ascii="Times New Roman" w:hAnsi="Times New Roman" w:eastAsia="Times New Roman" w:cs="Times New Roman"/>
                <w:color w:val="auto"/>
                <w:kern w:val="2"/>
                <w:sz w:val="22"/>
                <w:szCs w:val="22"/>
                <w:highlight w:val="none"/>
                <w:lang w:val="en-US" w:eastAsia="zh-CN" w:bidi="ar-SA"/>
              </w:rPr>
            </w:pPr>
            <w:r>
              <w:rPr>
                <w:rFonts w:ascii="Times New Roman" w:hAnsi="Times New Roman" w:eastAsia="Times New Roman" w:cs="Times New Roman"/>
                <w:color w:val="auto"/>
                <w:spacing w:val="-5"/>
                <w:sz w:val="22"/>
                <w:szCs w:val="22"/>
                <w:highlight w:val="none"/>
              </w:rPr>
              <w:t>10</w:t>
            </w:r>
          </w:p>
        </w:tc>
        <w:tc>
          <w:tcPr>
            <w:tcW w:w="139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3"/>
                <w:sz w:val="22"/>
                <w:szCs w:val="22"/>
                <w:highlight w:val="none"/>
              </w:rPr>
              <w:t>防止夹档标志</w:t>
            </w:r>
          </w:p>
        </w:tc>
        <w:tc>
          <w:tcPr>
            <w:tcW w:w="18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600*600</w:t>
            </w:r>
          </w:p>
        </w:tc>
        <w:tc>
          <w:tcPr>
            <w:tcW w:w="64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单柱</w:t>
            </w:r>
          </w:p>
        </w:tc>
        <w:tc>
          <w:tcPr>
            <w:tcW w:w="84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2</w:t>
            </w:r>
          </w:p>
        </w:tc>
        <w:tc>
          <w:tcPr>
            <w:tcW w:w="33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5"/>
                <w:sz w:val="22"/>
                <w:szCs w:val="22"/>
                <w:highlight w:val="none"/>
              </w:rPr>
              <w:t>挂靠闸室栏杆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ascii="Times New Roman" w:hAnsi="Times New Roman" w:eastAsia="Times New Roman" w:cs="Times New Roman"/>
                <w:color w:val="auto"/>
                <w:kern w:val="2"/>
                <w:sz w:val="22"/>
                <w:szCs w:val="22"/>
                <w:highlight w:val="none"/>
                <w:lang w:val="en-US" w:eastAsia="zh-CN" w:bidi="ar-SA"/>
              </w:rPr>
            </w:pPr>
            <w:r>
              <w:rPr>
                <w:rFonts w:ascii="Times New Roman" w:hAnsi="Times New Roman" w:eastAsia="Times New Roman" w:cs="Times New Roman"/>
                <w:color w:val="auto"/>
                <w:spacing w:val="-5"/>
                <w:sz w:val="22"/>
                <w:szCs w:val="22"/>
                <w:highlight w:val="none"/>
              </w:rPr>
              <w:t>11</w:t>
            </w:r>
          </w:p>
        </w:tc>
        <w:tc>
          <w:tcPr>
            <w:tcW w:w="139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5"/>
                <w:sz w:val="22"/>
                <w:szCs w:val="22"/>
                <w:highlight w:val="none"/>
              </w:rPr>
              <w:t>禁止僭越标志</w:t>
            </w:r>
          </w:p>
        </w:tc>
        <w:tc>
          <w:tcPr>
            <w:tcW w:w="18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600*600</w:t>
            </w:r>
          </w:p>
        </w:tc>
        <w:tc>
          <w:tcPr>
            <w:tcW w:w="64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单柱</w:t>
            </w:r>
          </w:p>
        </w:tc>
        <w:tc>
          <w:tcPr>
            <w:tcW w:w="84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2</w:t>
            </w:r>
          </w:p>
        </w:tc>
        <w:tc>
          <w:tcPr>
            <w:tcW w:w="33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5"/>
                <w:sz w:val="22"/>
                <w:szCs w:val="22"/>
                <w:highlight w:val="none"/>
              </w:rPr>
              <w:t>挂靠闸室栏杆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ascii="Times New Roman" w:hAnsi="Times New Roman" w:eastAsia="Times New Roman" w:cs="Times New Roman"/>
                <w:color w:val="auto"/>
                <w:kern w:val="2"/>
                <w:sz w:val="22"/>
                <w:szCs w:val="22"/>
                <w:highlight w:val="none"/>
                <w:lang w:val="en-US" w:eastAsia="zh-CN" w:bidi="ar-SA"/>
              </w:rPr>
            </w:pPr>
            <w:r>
              <w:rPr>
                <w:rFonts w:ascii="Times New Roman" w:hAnsi="Times New Roman" w:eastAsia="Times New Roman" w:cs="Times New Roman"/>
                <w:color w:val="auto"/>
                <w:spacing w:val="-5"/>
                <w:sz w:val="22"/>
                <w:szCs w:val="22"/>
                <w:highlight w:val="none"/>
              </w:rPr>
              <w:t>12</w:t>
            </w:r>
          </w:p>
        </w:tc>
        <w:tc>
          <w:tcPr>
            <w:tcW w:w="139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4"/>
                <w:sz w:val="22"/>
                <w:szCs w:val="22"/>
                <w:highlight w:val="none"/>
              </w:rPr>
              <w:t>系好缆绳标志</w:t>
            </w:r>
          </w:p>
        </w:tc>
        <w:tc>
          <w:tcPr>
            <w:tcW w:w="18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600*600</w:t>
            </w:r>
          </w:p>
        </w:tc>
        <w:tc>
          <w:tcPr>
            <w:tcW w:w="64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z w:val="22"/>
                <w:szCs w:val="22"/>
                <w:highlight w:val="none"/>
              </w:rPr>
              <w:t>单柱</w:t>
            </w:r>
          </w:p>
        </w:tc>
        <w:tc>
          <w:tcPr>
            <w:tcW w:w="84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2</w:t>
            </w:r>
          </w:p>
        </w:tc>
        <w:tc>
          <w:tcPr>
            <w:tcW w:w="33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5"/>
                <w:sz w:val="22"/>
                <w:szCs w:val="22"/>
                <w:highlight w:val="none"/>
              </w:rPr>
              <w:t>挂靠闸室栏杆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22"/>
                <w:szCs w:val="22"/>
                <w:highlight w:val="none"/>
                <w:lang w:val="en-US" w:eastAsia="zh-CN" w:bidi="ar-SA"/>
              </w:rPr>
            </w:pPr>
            <w:r>
              <w:rPr>
                <w:rFonts w:hint="eastAsia" w:eastAsia="Times New Roman" w:cs="Times New Roman"/>
                <w:color w:val="auto"/>
                <w:kern w:val="2"/>
                <w:sz w:val="22"/>
                <w:szCs w:val="22"/>
                <w:highlight w:val="none"/>
                <w:lang w:val="en-US" w:eastAsia="zh-CN" w:bidi="ar-SA"/>
              </w:rPr>
              <w:t>13</w:t>
            </w:r>
          </w:p>
        </w:tc>
        <w:tc>
          <w:tcPr>
            <w:tcW w:w="139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3"/>
                <w:sz w:val="22"/>
                <w:szCs w:val="22"/>
                <w:highlight w:val="none"/>
              </w:rPr>
              <w:t>宣传标志</w:t>
            </w:r>
          </w:p>
        </w:tc>
        <w:tc>
          <w:tcPr>
            <w:tcW w:w="18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3"/>
                <w:sz w:val="22"/>
                <w:szCs w:val="22"/>
                <w:highlight w:val="none"/>
              </w:rPr>
              <w:t>4560*2480</w:t>
            </w:r>
          </w:p>
        </w:tc>
        <w:tc>
          <w:tcPr>
            <w:tcW w:w="64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2"/>
                <w:szCs w:val="22"/>
                <w:highlight w:val="none"/>
              </w:rPr>
            </w:pPr>
            <w:r>
              <w:rPr>
                <w:color w:val="auto"/>
                <w:spacing w:val="1"/>
                <w:sz w:val="22"/>
                <w:szCs w:val="22"/>
                <w:highlight w:val="none"/>
              </w:rPr>
              <w:t>双柱</w:t>
            </w:r>
          </w:p>
        </w:tc>
        <w:tc>
          <w:tcPr>
            <w:tcW w:w="84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z w:val="22"/>
                <w:szCs w:val="22"/>
                <w:highlight w:val="none"/>
              </w:rPr>
              <w:t>2</w:t>
            </w:r>
          </w:p>
        </w:tc>
        <w:tc>
          <w:tcPr>
            <w:tcW w:w="338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2"/>
                <w:szCs w:val="22"/>
                <w:highlight w:val="none"/>
              </w:rPr>
            </w:pPr>
          </w:p>
        </w:tc>
      </w:tr>
    </w:tbl>
    <w:p>
      <w:pPr>
        <w:pStyle w:val="7"/>
        <w:spacing w:line="240" w:lineRule="auto"/>
        <w:ind w:left="0" w:leftChars="0" w:firstLine="0" w:firstLineChars="0"/>
        <w:rPr>
          <w:rFonts w:hint="eastAsia"/>
          <w:color w:val="auto"/>
          <w:highlight w:val="none"/>
          <w:lang w:eastAsia="zh-CN"/>
        </w:rPr>
      </w:pPr>
    </w:p>
    <w:p>
      <w:pPr>
        <w:pStyle w:val="5"/>
        <w:ind w:firstLine="522"/>
        <w:rPr>
          <w:color w:val="auto"/>
          <w:highlight w:val="none"/>
        </w:rPr>
      </w:pPr>
      <w:r>
        <w:rPr>
          <w:rFonts w:hint="eastAsia"/>
          <w:color w:val="auto"/>
          <w:highlight w:val="none"/>
        </w:rPr>
        <w:t>施工</w:t>
      </w:r>
      <w:r>
        <w:rPr>
          <w:color w:val="auto"/>
          <w:highlight w:val="none"/>
        </w:rPr>
        <w:t>方案及施工组织</w:t>
      </w:r>
    </w:p>
    <w:p>
      <w:pPr>
        <w:pStyle w:val="6"/>
        <w:bidi w:val="0"/>
        <w:rPr>
          <w:color w:val="auto"/>
          <w:highlight w:val="none"/>
        </w:rPr>
      </w:pPr>
      <w:r>
        <w:rPr>
          <w:rFonts w:hint="eastAsia"/>
          <w:color w:val="auto"/>
          <w:highlight w:val="none"/>
          <w:lang w:eastAsia="zh-CN"/>
        </w:rPr>
        <w:t>施工布置</w:t>
      </w:r>
    </w:p>
    <w:p>
      <w:pPr>
        <w:pStyle w:val="7"/>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）施工场地</w:t>
      </w:r>
    </w:p>
    <w:p>
      <w:pPr>
        <w:pStyle w:val="7"/>
        <w:rPr>
          <w:rFonts w:hint="eastAsia"/>
          <w:color w:val="auto"/>
          <w:highlight w:val="none"/>
          <w:lang w:eastAsia="zh-CN"/>
        </w:rPr>
      </w:pPr>
      <w:r>
        <w:rPr>
          <w:rFonts w:hint="eastAsia"/>
          <w:color w:val="auto"/>
          <w:highlight w:val="none"/>
          <w:lang w:eastAsia="zh-CN"/>
        </w:rPr>
        <w:t>船闸施工场地分为3块区域，均位于船闸主体工程右侧和下游侧，利用现状枢纽生产管理区办公场地及预留场地和下游的引航道占地布置。其中：</w:t>
      </w:r>
    </w:p>
    <w:p>
      <w:pPr>
        <w:bidi w:val="0"/>
        <w:rPr>
          <w:color w:val="auto"/>
          <w:highlight w:val="none"/>
        </w:rPr>
      </w:pPr>
      <w:r>
        <w:rPr>
          <w:rFonts w:hint="eastAsia"/>
          <w:color w:val="auto"/>
          <w:highlight w:val="none"/>
          <w:lang w:eastAsia="zh-CN"/>
        </w:rPr>
        <w:t>项目经理部及监理</w:t>
      </w:r>
      <w:r>
        <w:rPr>
          <w:color w:val="auto"/>
          <w:highlight w:val="none"/>
        </w:rPr>
        <w:t>驻地利用已建枢纽生产管理区办公楼及楼前广场布置，场地面积2300m</w:t>
      </w:r>
      <w:r>
        <w:rPr>
          <w:color w:val="auto"/>
          <w:highlight w:val="none"/>
          <w:vertAlign w:val="superscript"/>
        </w:rPr>
        <w:t>2</w:t>
      </w:r>
      <w:r>
        <w:rPr>
          <w:color w:val="auto"/>
          <w:highlight w:val="none"/>
        </w:rPr>
        <w:t>，布置临时办公楼、施工办公区、施工生活区等</w:t>
      </w:r>
      <w:r>
        <w:rPr>
          <w:rFonts w:hint="eastAsia"/>
          <w:color w:val="auto"/>
          <w:highlight w:val="none"/>
          <w:lang w:eastAsia="zh-CN"/>
        </w:rPr>
        <w:t>；</w:t>
      </w:r>
      <w:r>
        <w:rPr>
          <w:color w:val="auto"/>
          <w:highlight w:val="none"/>
        </w:rPr>
        <w:t>施工配套场地利用现状枢纽生产管理区预留场地布置，场地面积6450m</w:t>
      </w:r>
      <w:r>
        <w:rPr>
          <w:color w:val="auto"/>
          <w:highlight w:val="none"/>
          <w:vertAlign w:val="superscript"/>
        </w:rPr>
        <w:t>2</w:t>
      </w:r>
      <w:r>
        <w:rPr>
          <w:color w:val="auto"/>
          <w:highlight w:val="none"/>
        </w:rPr>
        <w:t>，场地布置有机械停放场地、模板加工场地、钢筋加工场地、料场、搅拌站场地、变压器等</w:t>
      </w:r>
      <w:r>
        <w:rPr>
          <w:rFonts w:hint="eastAsia"/>
          <w:color w:val="auto"/>
          <w:highlight w:val="none"/>
          <w:lang w:eastAsia="zh-CN"/>
        </w:rPr>
        <w:t>；</w:t>
      </w:r>
      <w:r>
        <w:rPr>
          <w:rFonts w:hint="eastAsia"/>
          <w:color w:val="auto"/>
          <w:highlight w:val="none"/>
        </w:rPr>
        <w:t>主基坑下游布置有料场、临时堆土区，面积约为15250</w:t>
      </w:r>
      <w:r>
        <w:rPr>
          <w:rFonts w:hint="eastAsia"/>
          <w:color w:val="auto"/>
          <w:highlight w:val="none"/>
          <w:lang w:val="en-US" w:eastAsia="zh-CN"/>
        </w:rPr>
        <w:t>m</w:t>
      </w:r>
      <w:r>
        <w:rPr>
          <w:rFonts w:hint="eastAsia"/>
          <w:color w:val="auto"/>
          <w:highlight w:val="none"/>
          <w:vertAlign w:val="superscript"/>
          <w:lang w:val="en-US" w:eastAsia="zh-CN"/>
        </w:rPr>
        <w:t>2</w:t>
      </w:r>
      <w:r>
        <w:rPr>
          <w:rFonts w:hint="eastAsia"/>
          <w:color w:val="auto"/>
          <w:highlight w:val="none"/>
        </w:rPr>
        <w:t>，用于堆放施工材料和临时开挖</w:t>
      </w:r>
      <w:r>
        <w:rPr>
          <w:rFonts w:hint="eastAsia"/>
          <w:color w:val="auto"/>
          <w:highlight w:val="none"/>
          <w:lang w:eastAsia="zh-CN"/>
        </w:rPr>
        <w:t>土石方、疏浚渣</w:t>
      </w:r>
      <w:r>
        <w:rPr>
          <w:rFonts w:hint="eastAsia"/>
          <w:color w:val="auto"/>
          <w:highlight w:val="none"/>
        </w:rPr>
        <w:t>。</w:t>
      </w:r>
    </w:p>
    <w:p>
      <w:pPr>
        <w:pStyle w:val="7"/>
        <w:ind w:left="0" w:leftChars="0" w:firstLine="520" w:firstLineChars="200"/>
        <w:rPr>
          <w:rFonts w:hint="eastAsia"/>
          <w:color w:val="auto"/>
          <w:highlight w:val="none"/>
          <w:lang w:eastAsia="zh-CN"/>
        </w:rPr>
      </w:pPr>
      <w:r>
        <w:rPr>
          <w:rFonts w:hint="eastAsia"/>
          <w:color w:val="auto"/>
          <w:highlight w:val="none"/>
          <w:lang w:eastAsia="zh-CN"/>
        </w:rPr>
        <w:t>项目具体施工场地布置方案详见下表：</w:t>
      </w:r>
    </w:p>
    <w:p>
      <w:pPr>
        <w:pStyle w:val="7"/>
        <w:spacing w:line="240" w:lineRule="auto"/>
        <w:ind w:left="0" w:leftChars="0" w:firstLine="0" w:firstLineChars="0"/>
        <w:jc w:val="center"/>
        <w:rPr>
          <w:rFonts w:hint="eastAsia"/>
          <w:color w:val="auto"/>
          <w:highlight w:val="none"/>
          <w:lang w:eastAsia="zh-CN"/>
        </w:rPr>
      </w:pPr>
    </w:p>
    <w:p>
      <w:pPr>
        <w:pStyle w:val="7"/>
        <w:spacing w:line="240" w:lineRule="auto"/>
        <w:ind w:left="0" w:leftChars="0" w:firstLine="0" w:firstLineChars="0"/>
        <w:jc w:val="center"/>
        <w:rPr>
          <w:rFonts w:hint="eastAsia"/>
          <w:color w:val="auto"/>
          <w:highlight w:val="none"/>
          <w:lang w:eastAsia="zh-CN"/>
        </w:rPr>
      </w:pPr>
      <w:r>
        <w:rPr>
          <w:rFonts w:hint="eastAsia"/>
          <w:color w:val="auto"/>
          <w:highlight w:val="none"/>
          <w:lang w:eastAsia="zh-CN"/>
        </w:rPr>
        <w:t>表</w:t>
      </w:r>
      <w:r>
        <w:rPr>
          <w:rFonts w:hint="eastAsia"/>
          <w:color w:val="auto"/>
          <w:highlight w:val="none"/>
          <w:lang w:val="en-US" w:eastAsia="zh-CN"/>
        </w:rPr>
        <w:t xml:space="preserve">2.5.5.1-1  </w:t>
      </w:r>
      <w:r>
        <w:rPr>
          <w:rFonts w:hint="eastAsia"/>
          <w:color w:val="auto"/>
          <w:highlight w:val="none"/>
          <w:lang w:eastAsia="zh-CN"/>
        </w:rPr>
        <w:t>项目施工场地布置一览表</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87"/>
        <w:gridCol w:w="2887"/>
        <w:gridCol w:w="29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87"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编号</w:t>
            </w:r>
          </w:p>
        </w:tc>
        <w:tc>
          <w:tcPr>
            <w:tcW w:w="2887"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w:t>
            </w:r>
          </w:p>
        </w:tc>
        <w:tc>
          <w:tcPr>
            <w:tcW w:w="2904"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占地面积（</w:t>
            </w:r>
            <w:r>
              <w:rPr>
                <w:rFonts w:hint="eastAsia"/>
                <w:color w:val="auto"/>
                <w:sz w:val="22"/>
                <w:szCs w:val="22"/>
                <w:highlight w:val="none"/>
                <w:vertAlign w:val="baseline"/>
                <w:lang w:val="en-US" w:eastAsia="zh-CN"/>
              </w:rPr>
              <w:t>m</w:t>
            </w:r>
            <w:r>
              <w:rPr>
                <w:rFonts w:hint="eastAsia"/>
                <w:color w:val="auto"/>
                <w:sz w:val="22"/>
                <w:szCs w:val="22"/>
                <w:highlight w:val="none"/>
                <w:vertAlign w:val="superscript"/>
                <w:lang w:val="en-US" w:eastAsia="zh-CN"/>
              </w:rPr>
              <w:t>2</w:t>
            </w:r>
            <w:r>
              <w:rPr>
                <w:rFonts w:hint="eastAsia"/>
                <w:color w:val="auto"/>
                <w:sz w:val="22"/>
                <w:szCs w:val="22"/>
                <w:highlight w:val="none"/>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87" w:type="dxa"/>
            <w:vMerge w:val="restart"/>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项目经理部及监理驻地</w:t>
            </w:r>
          </w:p>
        </w:tc>
        <w:tc>
          <w:tcPr>
            <w:tcW w:w="2887"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 xml:space="preserve">临时办公区  </w:t>
            </w:r>
          </w:p>
        </w:tc>
        <w:tc>
          <w:tcPr>
            <w:tcW w:w="2904"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87" w:type="dxa"/>
            <w:vMerge w:val="continue"/>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2887"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 xml:space="preserve">施工办公区  </w:t>
            </w:r>
          </w:p>
        </w:tc>
        <w:tc>
          <w:tcPr>
            <w:tcW w:w="2904"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87" w:type="dxa"/>
            <w:vMerge w:val="continue"/>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2887"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 xml:space="preserve">施工生活区  </w:t>
            </w:r>
          </w:p>
        </w:tc>
        <w:tc>
          <w:tcPr>
            <w:tcW w:w="2904"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87" w:type="dxa"/>
            <w:vMerge w:val="restart"/>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施工配套场地</w:t>
            </w:r>
          </w:p>
        </w:tc>
        <w:tc>
          <w:tcPr>
            <w:tcW w:w="2887"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机械停放场地</w:t>
            </w:r>
          </w:p>
        </w:tc>
        <w:tc>
          <w:tcPr>
            <w:tcW w:w="2904"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87" w:type="dxa"/>
            <w:vMerge w:val="continue"/>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2887"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钢筋加工场地</w:t>
            </w:r>
          </w:p>
        </w:tc>
        <w:tc>
          <w:tcPr>
            <w:tcW w:w="2904"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1225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87" w:type="dxa"/>
            <w:vMerge w:val="continue"/>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2887"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模板加工场地</w:t>
            </w:r>
          </w:p>
        </w:tc>
        <w:tc>
          <w:tcPr>
            <w:tcW w:w="2904"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1225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87" w:type="dxa"/>
            <w:vMerge w:val="continue"/>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2887"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料场</w:t>
            </w:r>
          </w:p>
        </w:tc>
        <w:tc>
          <w:tcPr>
            <w:tcW w:w="2904"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1235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87" w:type="dxa"/>
            <w:vMerge w:val="continue"/>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2887"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 xml:space="preserve">搅拌站场地  </w:t>
            </w:r>
          </w:p>
        </w:tc>
        <w:tc>
          <w:tcPr>
            <w:tcW w:w="2904"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610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87" w:type="dxa"/>
            <w:vMerge w:val="continue"/>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2887"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变压器</w:t>
            </w:r>
          </w:p>
        </w:tc>
        <w:tc>
          <w:tcPr>
            <w:tcW w:w="2904"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87"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料场、临时堆土区</w:t>
            </w:r>
          </w:p>
        </w:tc>
        <w:tc>
          <w:tcPr>
            <w:tcW w:w="2887"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料场、临时堆土区</w:t>
            </w:r>
          </w:p>
        </w:tc>
        <w:tc>
          <w:tcPr>
            <w:tcW w:w="2904" w:type="dxa"/>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r>
              <w:rPr>
                <w:rFonts w:hint="eastAsia"/>
                <w:color w:val="auto"/>
                <w:sz w:val="22"/>
                <w:szCs w:val="22"/>
                <w:highlight w:val="none"/>
                <w:vertAlign w:val="baseline"/>
                <w:lang w:val="en-US" w:eastAsia="zh-CN"/>
              </w:rPr>
              <w:t>15250</w:t>
            </w:r>
          </w:p>
        </w:tc>
      </w:tr>
    </w:tbl>
    <w:p>
      <w:pPr>
        <w:pStyle w:val="7"/>
        <w:spacing w:line="240" w:lineRule="auto"/>
        <w:ind w:left="0" w:leftChars="0" w:firstLine="0" w:firstLineChars="0"/>
        <w:jc w:val="center"/>
        <w:rPr>
          <w:rFonts w:hint="eastAsia"/>
          <w:color w:val="auto"/>
          <w:highlight w:val="none"/>
          <w:lang w:eastAsia="zh-CN"/>
        </w:rPr>
      </w:pPr>
    </w:p>
    <w:p>
      <w:pPr>
        <w:pStyle w:val="7"/>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）弃渣场</w:t>
      </w:r>
    </w:p>
    <w:p>
      <w:pPr>
        <w:pStyle w:val="7"/>
        <w:rPr>
          <w:rFonts w:hint="eastAsia"/>
          <w:color w:val="auto"/>
          <w:highlight w:val="none"/>
          <w:lang w:eastAsia="zh-CN"/>
        </w:rPr>
      </w:pPr>
      <w:r>
        <w:rPr>
          <w:rFonts w:hint="eastAsia"/>
          <w:color w:val="auto"/>
          <w:highlight w:val="none"/>
          <w:lang w:eastAsia="zh-CN"/>
        </w:rPr>
        <w:t>本项目弃渣量172.20万</w:t>
      </w:r>
      <w:r>
        <w:rPr>
          <w:rFonts w:hint="eastAsia"/>
          <w:color w:val="auto"/>
          <w:highlight w:val="none"/>
          <w:lang w:val="en-US" w:eastAsia="zh-CN"/>
        </w:rPr>
        <w:t>m³</w:t>
      </w:r>
      <w:r>
        <w:rPr>
          <w:rFonts w:hint="eastAsia"/>
          <w:color w:val="auto"/>
          <w:highlight w:val="none"/>
          <w:lang w:eastAsia="zh-CN"/>
        </w:rPr>
        <w:t>，共设置2个弃渣场，1#弃渣场位于渭沱枢纽东南侧约300m山沟处，容量约22万m³；2#弃渣场位于铜溪镇熊家岩坪南侧、省道S451北侧，运距约7km，容量约163万m³，现状部分为林地，丘陵地貌，两处渣场可满足本工程弃渣需求。</w:t>
      </w:r>
    </w:p>
    <w:p>
      <w:pPr>
        <w:pStyle w:val="6"/>
        <w:bidi w:val="0"/>
        <w:rPr>
          <w:rFonts w:hint="eastAsia"/>
          <w:color w:val="auto"/>
          <w:highlight w:val="none"/>
          <w:lang w:eastAsia="zh-CN"/>
        </w:rPr>
      </w:pPr>
      <w:r>
        <w:rPr>
          <w:rFonts w:hint="eastAsia"/>
          <w:color w:val="auto"/>
          <w:highlight w:val="none"/>
          <w:lang w:eastAsia="zh-CN"/>
        </w:rPr>
        <w:t>施工交通</w:t>
      </w:r>
    </w:p>
    <w:p>
      <w:pPr>
        <w:pStyle w:val="7"/>
        <w:rPr>
          <w:rFonts w:hint="eastAsia"/>
          <w:color w:val="auto"/>
          <w:highlight w:val="none"/>
          <w:lang w:eastAsia="zh-CN"/>
        </w:rPr>
      </w:pPr>
      <w:r>
        <w:rPr>
          <w:rFonts w:hint="eastAsia"/>
          <w:color w:val="auto"/>
          <w:highlight w:val="none"/>
          <w:lang w:eastAsia="zh-CN"/>
        </w:rPr>
        <w:t>本工程位于重庆市合川区铜溪镇、渭沱镇，距重庆市区约90km，距合川区约26km。周边交通较为便捷，公路有G75、S204、X617等通过</w:t>
      </w:r>
      <w:r>
        <w:rPr>
          <w:rFonts w:hint="eastAsia"/>
          <w:color w:val="auto"/>
          <w:highlight w:val="none"/>
          <w:shd w:val="clear" w:fill="FFFFFF"/>
          <w:lang w:eastAsia="zh-CN"/>
        </w:rPr>
        <w:t>，至</w:t>
      </w:r>
      <w:r>
        <w:rPr>
          <w:rFonts w:hint="eastAsia"/>
          <w:color w:val="auto"/>
          <w:highlight w:val="none"/>
          <w:lang w:eastAsia="zh-CN"/>
        </w:rPr>
        <w:t>现场有乡道通过，施工</w:t>
      </w:r>
      <w:r>
        <w:rPr>
          <w:rFonts w:hint="eastAsia"/>
          <w:color w:val="auto"/>
          <w:highlight w:val="none"/>
          <w:shd w:val="clear" w:fill="FFFFFF"/>
          <w:lang w:eastAsia="zh-CN"/>
        </w:rPr>
        <w:t>期</w:t>
      </w:r>
      <w:r>
        <w:rPr>
          <w:rFonts w:hint="eastAsia"/>
          <w:color w:val="auto"/>
          <w:highlight w:val="none"/>
          <w:lang w:eastAsia="zh-CN"/>
        </w:rPr>
        <w:t>需对乡道路宽做定调整扩宽后，可满足材料进出场的运输要求。需要在施工占地范围内修筑简易施工道路通往施工各作业面，采取临时+永久相结合的方式，修筑进出场道路，使其达到一定的运输能力，满足施工需要。在施工场地内新建施工临时道路长约1351m，宽8m。</w:t>
      </w:r>
    </w:p>
    <w:p>
      <w:pPr>
        <w:pStyle w:val="6"/>
        <w:bidi w:val="0"/>
        <w:rPr>
          <w:color w:val="auto"/>
          <w:highlight w:val="none"/>
        </w:rPr>
      </w:pPr>
      <w:r>
        <w:rPr>
          <w:rFonts w:hint="eastAsia"/>
          <w:color w:val="auto"/>
          <w:highlight w:val="none"/>
          <w:lang w:eastAsia="zh-CN"/>
        </w:rPr>
        <w:t>施工导流</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）施工导流标准</w:t>
      </w:r>
    </w:p>
    <w:p>
      <w:pPr>
        <w:bidi w:val="0"/>
        <w:rPr>
          <w:rFonts w:hint="eastAsia"/>
          <w:color w:val="auto"/>
          <w:highlight w:val="none"/>
          <w:lang w:eastAsia="zh-CN"/>
        </w:rPr>
      </w:pPr>
      <w:r>
        <w:rPr>
          <w:rFonts w:hint="eastAsia"/>
          <w:color w:val="auto"/>
          <w:highlight w:val="none"/>
          <w:lang w:eastAsia="zh-CN"/>
        </w:rPr>
        <w:t>渭沱船闸等级为Ⅲ级，船闸闸首及闸室建筑物级别为2级，上下游导航墙、靠船墩、引航道护岸建筑物级别为3级。施工导流标准按《水利水电工程等级划分及 洪水标准》（SL252-2017）规定选取。船闸围堰包括全年围堰及枯水围堰，施工导流标准见下表：</w:t>
      </w:r>
    </w:p>
    <w:p>
      <w:pPr>
        <w:bidi w:val="0"/>
        <w:spacing w:line="240" w:lineRule="auto"/>
        <w:ind w:left="0" w:leftChars="0" w:firstLine="0" w:firstLineChars="0"/>
        <w:jc w:val="center"/>
        <w:rPr>
          <w:rFonts w:hint="eastAsia"/>
          <w:color w:val="auto"/>
          <w:highlight w:val="none"/>
          <w:lang w:eastAsia="zh-CN"/>
        </w:rPr>
      </w:pPr>
    </w:p>
    <w:p>
      <w:pPr>
        <w:bidi w:val="0"/>
        <w:spacing w:line="240" w:lineRule="auto"/>
        <w:ind w:left="0" w:leftChars="0" w:firstLine="0" w:firstLineChars="0"/>
        <w:jc w:val="center"/>
        <w:rPr>
          <w:rFonts w:hint="eastAsia"/>
          <w:color w:val="auto"/>
          <w:highlight w:val="none"/>
          <w:lang w:eastAsia="zh-CN"/>
        </w:rPr>
      </w:pPr>
      <w:r>
        <w:rPr>
          <w:rFonts w:hint="eastAsia"/>
          <w:color w:val="auto"/>
          <w:highlight w:val="none"/>
          <w:lang w:eastAsia="zh-CN"/>
        </w:rPr>
        <w:t>表</w:t>
      </w:r>
      <w:r>
        <w:rPr>
          <w:rFonts w:hint="eastAsia"/>
          <w:color w:val="auto"/>
          <w:highlight w:val="none"/>
          <w:lang w:val="en-US" w:eastAsia="zh-CN"/>
        </w:rPr>
        <w:t xml:space="preserve">2.5.5.3-1  </w:t>
      </w:r>
      <w:r>
        <w:rPr>
          <w:rFonts w:hint="eastAsia"/>
          <w:color w:val="auto"/>
          <w:highlight w:val="none"/>
          <w:lang w:eastAsia="zh-CN"/>
        </w:rPr>
        <w:t>渭沱船闸施工导流围堰特征值表</w:t>
      </w:r>
    </w:p>
    <w:tbl>
      <w:tblPr>
        <w:tblStyle w:val="20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85"/>
        <w:gridCol w:w="420"/>
        <w:gridCol w:w="1214"/>
        <w:gridCol w:w="1600"/>
        <w:gridCol w:w="851"/>
        <w:gridCol w:w="1105"/>
        <w:gridCol w:w="1026"/>
        <w:gridCol w:w="7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部位</w:t>
            </w:r>
          </w:p>
        </w:tc>
        <w:tc>
          <w:tcPr>
            <w:tcW w:w="42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级别</w:t>
            </w:r>
          </w:p>
        </w:tc>
        <w:tc>
          <w:tcPr>
            <w:tcW w:w="122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洪水标准</w:t>
            </w: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重现期</w:t>
            </w:r>
          </w:p>
        </w:tc>
        <w:tc>
          <w:tcPr>
            <w:tcW w:w="161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时段</w:t>
            </w:r>
          </w:p>
        </w:tc>
        <w:tc>
          <w:tcPr>
            <w:tcW w:w="86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流量</w:t>
            </w: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w:t>
            </w:r>
            <w:r>
              <w:rPr>
                <w:rFonts w:hint="eastAsia" w:ascii="Times New Roman" w:hAnsi="Times New Roman" w:cs="Times New Roman"/>
                <w:color w:val="auto"/>
                <w:spacing w:val="5"/>
                <w:sz w:val="22"/>
                <w:szCs w:val="22"/>
                <w:highlight w:val="none"/>
                <w:lang w:val="en-US" w:eastAsia="zh-CN"/>
              </w:rPr>
              <w:t>m³</w:t>
            </w:r>
            <w:r>
              <w:rPr>
                <w:rFonts w:hint="default" w:ascii="Times New Roman" w:hAnsi="Times New Roman" w:cs="Times New Roman"/>
                <w:color w:val="auto"/>
                <w:spacing w:val="5"/>
                <w:sz w:val="22"/>
                <w:szCs w:val="22"/>
                <w:highlight w:val="none"/>
              </w:rPr>
              <w:t>/s）</w:t>
            </w:r>
          </w:p>
        </w:tc>
        <w:tc>
          <w:tcPr>
            <w:tcW w:w="111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堰前水位</w:t>
            </w: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(m)</w:t>
            </w:r>
          </w:p>
        </w:tc>
        <w:tc>
          <w:tcPr>
            <w:tcW w:w="103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堰顶高程（m）</w:t>
            </w:r>
          </w:p>
        </w:tc>
        <w:tc>
          <w:tcPr>
            <w:tcW w:w="78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上游全年围堰</w:t>
            </w:r>
          </w:p>
        </w:tc>
        <w:tc>
          <w:tcPr>
            <w:tcW w:w="42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4</w:t>
            </w:r>
          </w:p>
        </w:tc>
        <w:tc>
          <w:tcPr>
            <w:tcW w:w="122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10（年）</w:t>
            </w:r>
          </w:p>
        </w:tc>
        <w:tc>
          <w:tcPr>
            <w:tcW w:w="161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全年</w:t>
            </w:r>
          </w:p>
        </w:tc>
        <w:tc>
          <w:tcPr>
            <w:tcW w:w="86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16900</w:t>
            </w:r>
          </w:p>
        </w:tc>
        <w:tc>
          <w:tcPr>
            <w:tcW w:w="111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216.23</w:t>
            </w:r>
          </w:p>
        </w:tc>
        <w:tc>
          <w:tcPr>
            <w:tcW w:w="103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217.00</w:t>
            </w:r>
          </w:p>
        </w:tc>
        <w:tc>
          <w:tcPr>
            <w:tcW w:w="78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下游全年围堰</w:t>
            </w:r>
          </w:p>
        </w:tc>
        <w:tc>
          <w:tcPr>
            <w:tcW w:w="42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4</w:t>
            </w:r>
          </w:p>
        </w:tc>
        <w:tc>
          <w:tcPr>
            <w:tcW w:w="122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200（年）</w:t>
            </w:r>
          </w:p>
        </w:tc>
        <w:tc>
          <w:tcPr>
            <w:tcW w:w="161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全年</w:t>
            </w:r>
          </w:p>
        </w:tc>
        <w:tc>
          <w:tcPr>
            <w:tcW w:w="86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34500</w:t>
            </w:r>
          </w:p>
        </w:tc>
        <w:tc>
          <w:tcPr>
            <w:tcW w:w="111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223.25</w:t>
            </w:r>
          </w:p>
        </w:tc>
        <w:tc>
          <w:tcPr>
            <w:tcW w:w="103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224.00</w:t>
            </w:r>
          </w:p>
        </w:tc>
        <w:tc>
          <w:tcPr>
            <w:tcW w:w="78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围堰挡洪线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上游枯水围堰</w:t>
            </w:r>
          </w:p>
        </w:tc>
        <w:tc>
          <w:tcPr>
            <w:tcW w:w="42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5</w:t>
            </w:r>
          </w:p>
        </w:tc>
        <w:tc>
          <w:tcPr>
            <w:tcW w:w="122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5（年）</w:t>
            </w:r>
          </w:p>
        </w:tc>
        <w:tc>
          <w:tcPr>
            <w:tcW w:w="161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11月~次年 3月</w:t>
            </w:r>
          </w:p>
        </w:tc>
        <w:tc>
          <w:tcPr>
            <w:tcW w:w="86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856</w:t>
            </w:r>
          </w:p>
        </w:tc>
        <w:tc>
          <w:tcPr>
            <w:tcW w:w="111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206.00</w:t>
            </w:r>
          </w:p>
        </w:tc>
        <w:tc>
          <w:tcPr>
            <w:tcW w:w="103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207.00</w:t>
            </w:r>
          </w:p>
        </w:tc>
        <w:tc>
          <w:tcPr>
            <w:tcW w:w="78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下游枯水围堰</w:t>
            </w:r>
          </w:p>
        </w:tc>
        <w:tc>
          <w:tcPr>
            <w:tcW w:w="42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5</w:t>
            </w:r>
          </w:p>
        </w:tc>
        <w:tc>
          <w:tcPr>
            <w:tcW w:w="122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5（年）</w:t>
            </w:r>
          </w:p>
        </w:tc>
        <w:tc>
          <w:tcPr>
            <w:tcW w:w="161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11月~次年 3月</w:t>
            </w:r>
          </w:p>
        </w:tc>
        <w:tc>
          <w:tcPr>
            <w:tcW w:w="86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856</w:t>
            </w:r>
          </w:p>
        </w:tc>
        <w:tc>
          <w:tcPr>
            <w:tcW w:w="111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203.43</w:t>
            </w:r>
          </w:p>
        </w:tc>
        <w:tc>
          <w:tcPr>
            <w:tcW w:w="103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r>
              <w:rPr>
                <w:rFonts w:hint="default" w:ascii="Times New Roman" w:hAnsi="Times New Roman" w:cs="Times New Roman"/>
                <w:color w:val="auto"/>
                <w:spacing w:val="5"/>
                <w:sz w:val="22"/>
                <w:szCs w:val="22"/>
                <w:highlight w:val="none"/>
              </w:rPr>
              <w:t>204.00</w:t>
            </w:r>
          </w:p>
        </w:tc>
        <w:tc>
          <w:tcPr>
            <w:tcW w:w="78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cs="Times New Roman"/>
                <w:color w:val="auto"/>
                <w:spacing w:val="5"/>
                <w:sz w:val="22"/>
                <w:szCs w:val="22"/>
                <w:highlight w:val="none"/>
              </w:rPr>
            </w:pPr>
          </w:p>
        </w:tc>
      </w:tr>
    </w:tbl>
    <w:p>
      <w:pPr>
        <w:bidi w:val="0"/>
        <w:spacing w:line="240" w:lineRule="auto"/>
        <w:ind w:left="0" w:leftChars="0" w:firstLine="0" w:firstLineChars="0"/>
        <w:jc w:val="center"/>
        <w:rPr>
          <w:rFonts w:hint="eastAsia"/>
          <w:color w:val="auto"/>
          <w:highlight w:val="none"/>
          <w:lang w:eastAsia="zh-CN"/>
        </w:rPr>
      </w:pPr>
    </w:p>
    <w:p>
      <w:pPr>
        <w:bidi w:val="0"/>
        <w:rPr>
          <w:rFonts w:hint="eastAsia"/>
          <w:color w:val="auto"/>
          <w:highlight w:val="none"/>
          <w:lang w:eastAsia="zh-CN"/>
        </w:rPr>
      </w:pPr>
      <w:r>
        <w:rPr>
          <w:rFonts w:hint="eastAsia"/>
          <w:color w:val="auto"/>
          <w:highlight w:val="none"/>
          <w:lang w:eastAsia="zh-CN"/>
        </w:rPr>
        <w:t>船闸采用下闸</w:t>
      </w:r>
      <w:r>
        <w:rPr>
          <w:rFonts w:hint="eastAsia"/>
          <w:color w:val="auto"/>
          <w:highlight w:val="none"/>
          <w:shd w:val="clear" w:fill="FFFFFF"/>
          <w:lang w:eastAsia="zh-CN"/>
        </w:rPr>
        <w:t>首挡</w:t>
      </w:r>
      <w:r>
        <w:rPr>
          <w:rFonts w:hint="eastAsia"/>
          <w:color w:val="auto"/>
          <w:highlight w:val="none"/>
          <w:lang w:eastAsia="zh-CN"/>
        </w:rPr>
        <w:t>洪，全年围堰保护范围为闸首、闸室及上游导航墙，保护对象建筑物级别为2~3级，相应全年围堰级别取4级。采用下游全年围堰作为挡洪线，防洪标准同现状枢纽（重现期200年校核洪水），堰顶高程同枢纽坝顶高程224.00m，上游防洪标准取重现期10年设计洪水。</w:t>
      </w:r>
    </w:p>
    <w:p>
      <w:pPr>
        <w:bidi w:val="0"/>
        <w:rPr>
          <w:rFonts w:hint="eastAsia"/>
          <w:color w:val="auto"/>
          <w:highlight w:val="none"/>
          <w:lang w:eastAsia="zh-CN"/>
        </w:rPr>
      </w:pPr>
      <w:r>
        <w:rPr>
          <w:rFonts w:hint="eastAsia"/>
          <w:color w:val="auto"/>
          <w:highlight w:val="none"/>
          <w:lang w:eastAsia="zh-CN"/>
        </w:rPr>
        <w:t>上下游枯水围堰保护对象建筑物级别为3级，相应枯水围堰级别取5级，上游枯水围堰防洪水位取枯水期重现期5年设计水位（206.00m）。下游枯水围堰防洪标准取枯水期重现期5年设计水位。</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）施工导流程序</w:t>
      </w:r>
    </w:p>
    <w:p>
      <w:pPr>
        <w:bidi w:val="0"/>
        <w:rPr>
          <w:rFonts w:hint="eastAsia"/>
          <w:color w:val="auto"/>
          <w:highlight w:val="none"/>
          <w:lang w:eastAsia="zh-CN"/>
        </w:rPr>
      </w:pPr>
      <w:r>
        <w:rPr>
          <w:rFonts w:hint="eastAsia"/>
          <w:color w:val="auto"/>
          <w:highlight w:val="none"/>
          <w:lang w:eastAsia="zh-CN"/>
        </w:rPr>
        <w:t>船闸施工总工期为48个月，其中施工准备期3个月，主体工程施工期为42个月，建完验收期为3个月。施工期间利用现有的枢纽泄水闸泄洪，枢纽运行调度方式不变。</w:t>
      </w:r>
    </w:p>
    <w:p>
      <w:pPr>
        <w:bidi w:val="0"/>
        <w:rPr>
          <w:rFonts w:hint="eastAsia"/>
          <w:color w:val="auto"/>
          <w:highlight w:val="none"/>
          <w:lang w:eastAsia="zh-CN"/>
        </w:rPr>
      </w:pPr>
      <w:r>
        <w:rPr>
          <w:rFonts w:hint="eastAsia"/>
          <w:color w:val="auto"/>
          <w:highlight w:val="none"/>
          <w:lang w:eastAsia="zh-CN"/>
        </w:rPr>
        <w:t>围堰施工分两部分：第一部分为全年围堰，由全年围堰形成主基坑，主要保证上下闸首、闸室、上游导航墙、过闸桥梁等建筑物的干地施工条件；在全年围堰施工完成后基坑开挖前，应对维持电站施工期正常运行的道路、水电信等必要外部条件予以保障，相关工作完成后方可开展基坑开挖工作。第二部分为枯水围堰，主要保证船闸上下游航道右岸高边坡、靠船设施及下游导航墙的干地施工条件。枯水围堰的实施需在全年围堰形成并投入运行后实施。</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）导流建筑物设计</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1 \* GB3 \* MERGEFORMAT </w:instrText>
      </w:r>
      <w:r>
        <w:rPr>
          <w:rFonts w:hint="eastAsia"/>
          <w:color w:val="auto"/>
          <w:highlight w:val="none"/>
          <w:lang w:eastAsia="zh-CN"/>
        </w:rPr>
        <w:fldChar w:fldCharType="separate"/>
      </w:r>
      <w:r>
        <w:rPr>
          <w:color w:val="auto"/>
          <w:highlight w:val="none"/>
        </w:rPr>
        <w:t>①</w:t>
      </w:r>
      <w:r>
        <w:rPr>
          <w:rFonts w:hint="eastAsia"/>
          <w:color w:val="auto"/>
          <w:highlight w:val="none"/>
          <w:lang w:eastAsia="zh-CN"/>
        </w:rPr>
        <w:fldChar w:fldCharType="end"/>
      </w:r>
      <w:r>
        <w:rPr>
          <w:rFonts w:hint="eastAsia"/>
          <w:color w:val="auto"/>
          <w:highlight w:val="none"/>
          <w:lang w:eastAsia="zh-CN"/>
        </w:rPr>
        <w:t>全年围堰</w:t>
      </w:r>
    </w:p>
    <w:p>
      <w:pPr>
        <w:bidi w:val="0"/>
        <w:rPr>
          <w:rFonts w:hint="eastAsia"/>
          <w:color w:val="auto"/>
          <w:highlight w:val="none"/>
          <w:lang w:eastAsia="zh-CN"/>
        </w:rPr>
      </w:pPr>
      <w:r>
        <w:rPr>
          <w:rFonts w:hint="eastAsia"/>
          <w:color w:val="auto"/>
          <w:highlight w:val="none"/>
          <w:lang w:eastAsia="zh-CN"/>
        </w:rPr>
        <w:t>全年围堰由上游横向土石围堰、上游纵向土石围堰、上游纵向空箱围堰（兼</w:t>
      </w:r>
      <w:r>
        <w:rPr>
          <w:rFonts w:hint="eastAsia"/>
          <w:color w:val="auto"/>
          <w:highlight w:val="none"/>
          <w:shd w:val="clear" w:fill="FFFFFF"/>
          <w:lang w:eastAsia="zh-CN"/>
        </w:rPr>
        <w:t>做</w:t>
      </w:r>
      <w:r>
        <w:rPr>
          <w:rFonts w:hint="eastAsia"/>
          <w:color w:val="auto"/>
          <w:highlight w:val="none"/>
          <w:lang w:eastAsia="zh-CN"/>
        </w:rPr>
        <w:t>后期连接路）、下游纵向围堰和下游横向土石围堰组成。</w:t>
      </w:r>
    </w:p>
    <w:p>
      <w:pPr>
        <w:bidi w:val="0"/>
        <w:ind w:left="0" w:leftChars="0" w:firstLine="520" w:firstLineChars="200"/>
        <w:rPr>
          <w:rFonts w:hint="eastAsia"/>
          <w:color w:val="auto"/>
          <w:highlight w:val="none"/>
          <w:lang w:eastAsia="zh-CN"/>
        </w:rPr>
      </w:pPr>
      <w:r>
        <w:rPr>
          <w:rFonts w:hint="eastAsia"/>
          <w:color w:val="auto"/>
          <w:highlight w:val="none"/>
          <w:lang w:val="en-US" w:eastAsia="zh-CN"/>
        </w:rPr>
        <w:t>A</w:t>
      </w:r>
      <w:r>
        <w:rPr>
          <w:rFonts w:hint="eastAsia"/>
          <w:color w:val="auto"/>
          <w:highlight w:val="none"/>
          <w:shd w:val="clear" w:fill="FFFFFF"/>
          <w:lang w:val="en-US" w:eastAsia="zh-CN"/>
        </w:rPr>
        <w:t>、</w:t>
      </w:r>
      <w:r>
        <w:rPr>
          <w:rFonts w:hint="eastAsia"/>
          <w:color w:val="auto"/>
          <w:highlight w:val="none"/>
          <w:lang w:eastAsia="zh-CN"/>
        </w:rPr>
        <w:t>全年围堰采用下游全年围堰作为挡洪线，堰顶高程取枢纽坝顶高程224.00m。上游全年围堰按重现期10年设计洪水位设计，土石围堰堰顶高程取217.00m，考虑上游纵向空箱围堰需兼做电站作业平台连接道路，顶高程与作业平台高程224.00m保持一致。全年围堰堰顶布置双向施工道路，对内通过8.0m宽的下基坑道路与主基坑内部连通，对外与基坑外侧的施工道路连通，施工道路纵向坡比不陡于1:10。</w:t>
      </w:r>
    </w:p>
    <w:p>
      <w:pPr>
        <w:bidi w:val="0"/>
        <w:rPr>
          <w:rFonts w:hint="default"/>
          <w:color w:val="auto"/>
          <w:highlight w:val="none"/>
          <w:lang w:val="en-US" w:eastAsia="zh-CN"/>
        </w:rPr>
      </w:pPr>
      <w:r>
        <w:rPr>
          <w:rFonts w:hint="eastAsia"/>
          <w:color w:val="auto"/>
          <w:highlight w:val="none"/>
          <w:lang w:val="en-US" w:eastAsia="zh-CN"/>
        </w:rPr>
        <w:t>B</w:t>
      </w:r>
      <w:r>
        <w:rPr>
          <w:rFonts w:hint="eastAsia"/>
          <w:color w:val="auto"/>
          <w:highlight w:val="none"/>
          <w:shd w:val="clear" w:fill="FFFFFF"/>
          <w:lang w:val="en-US" w:eastAsia="zh-CN"/>
        </w:rPr>
        <w:t>、</w:t>
      </w:r>
      <w:r>
        <w:rPr>
          <w:rFonts w:hint="eastAsia"/>
          <w:color w:val="auto"/>
          <w:highlight w:val="none"/>
          <w:lang w:eastAsia="zh-CN"/>
        </w:rPr>
        <w:t>上游横向全年土石围堰轴线长133m，设计堰顶高程217.00m，岸侧接道路高程230.00m。基坑侧边坡坡比1:1.5，临江侧设坡比1:1.5的抛石戗堤，戗堤平台高程200.00m，戗堤以上边</w:t>
      </w:r>
      <w:r>
        <w:rPr>
          <w:rFonts w:hint="eastAsia"/>
          <w:color w:val="auto"/>
          <w:highlight w:val="none"/>
          <w:shd w:val="clear" w:fill="FFFFFF"/>
          <w:lang w:eastAsia="zh-CN"/>
        </w:rPr>
        <w:t>坡坡</w:t>
      </w:r>
      <w:r>
        <w:rPr>
          <w:rFonts w:hint="eastAsia"/>
          <w:color w:val="auto"/>
          <w:highlight w:val="none"/>
          <w:lang w:eastAsia="zh-CN"/>
        </w:rPr>
        <w:t>比1:2，堰顶设8.0m宽混凝土路面，堰身采用开山石回填，围堰面层均采用0.6m厚块石护砌。上游横向全年围堰防渗帷幕采用600mm厚素混凝土防渗墙，防渗结构进入中风化岩部分采用帷幕灌浆，入岩深度不小于3m。上游横向全年围堰施工完成后拆除。</w:t>
      </w:r>
    </w:p>
    <w:p>
      <w:pPr>
        <w:bidi w:val="0"/>
        <w:rPr>
          <w:rFonts w:hint="eastAsia"/>
          <w:color w:val="auto"/>
          <w:highlight w:val="none"/>
          <w:lang w:eastAsia="zh-CN"/>
        </w:rPr>
      </w:pPr>
      <w:r>
        <w:rPr>
          <w:rFonts w:hint="eastAsia"/>
          <w:color w:val="auto"/>
          <w:highlight w:val="none"/>
          <w:lang w:val="en-US" w:eastAsia="zh-CN"/>
        </w:rPr>
        <w:t>C</w:t>
      </w:r>
      <w:r>
        <w:rPr>
          <w:rFonts w:hint="eastAsia"/>
          <w:color w:val="auto"/>
          <w:highlight w:val="none"/>
          <w:shd w:val="clear" w:fill="FFFFFF"/>
          <w:lang w:val="en-US" w:eastAsia="zh-CN"/>
        </w:rPr>
        <w:t>、</w:t>
      </w:r>
      <w:r>
        <w:rPr>
          <w:rFonts w:hint="eastAsia"/>
          <w:color w:val="auto"/>
          <w:highlight w:val="none"/>
          <w:lang w:eastAsia="zh-CN"/>
        </w:rPr>
        <w:t>上游纵向全年围堰轴向长度399.5m，由两部分组成。第一部分为纵向土石围堰堰身与横向土石围堰衔接，轴线长134.50m，堰顶高程217.00m，基坑侧边坡坡比1:1.5，临江侧坡比1:2，坡脚采用格宾石笼挡墙防护，堰顶设8.00m宽混凝土路面。第二部分为直立式空箱结构（兼做后期连接道路），轴线长158.00m，顶高程217.00~224.00m，底高程210.00m，箱底持力层为中风化岩层或为块石基床，箱内采用开挖料回填。箱顶高程217.00和224.00 位置分别设10.00m和6.00m宽路面结构。</w:t>
      </w:r>
    </w:p>
    <w:p>
      <w:pPr>
        <w:bidi w:val="0"/>
        <w:rPr>
          <w:rFonts w:hint="eastAsia"/>
          <w:color w:val="auto"/>
          <w:highlight w:val="none"/>
          <w:lang w:eastAsia="zh-CN"/>
        </w:rPr>
      </w:pPr>
      <w:r>
        <w:rPr>
          <w:rFonts w:hint="eastAsia"/>
          <w:color w:val="auto"/>
          <w:highlight w:val="none"/>
          <w:lang w:val="en-US" w:eastAsia="zh-CN"/>
        </w:rPr>
        <w:t>D</w:t>
      </w:r>
      <w:r>
        <w:rPr>
          <w:rFonts w:hint="eastAsia"/>
          <w:color w:val="auto"/>
          <w:highlight w:val="none"/>
          <w:shd w:val="clear" w:fill="FFFFFF"/>
          <w:lang w:val="en-US" w:eastAsia="zh-CN"/>
        </w:rPr>
        <w:t>、</w:t>
      </w:r>
      <w:r>
        <w:rPr>
          <w:rFonts w:hint="eastAsia"/>
          <w:color w:val="auto"/>
          <w:highlight w:val="none"/>
          <w:lang w:eastAsia="zh-CN"/>
        </w:rPr>
        <w:t>下游横向全年土石围堰轴线长38.00m，顶高程224.00~226.00m，基坑侧边坡坡比1:1.5，下游侧坡比1:2，堰顶设8.0m宽混凝土路面，堰身采用开山石回填，围堰面层均采用0.6m厚块石护砌。围堰防渗帷幕采用600mm厚素混凝土防渗墙，防渗结构进入中风化岩部分采用帷幕灌浆，入岩深度不小于3m。下游横向全年围堰施工完成后拆除。</w:t>
      </w:r>
    </w:p>
    <w:p>
      <w:pPr>
        <w:bidi w:val="0"/>
        <w:ind w:left="0" w:leftChars="0" w:firstLine="520" w:firstLineChars="200"/>
        <w:rPr>
          <w:rFonts w:hint="eastAsia"/>
          <w:color w:val="auto"/>
          <w:highlight w:val="none"/>
          <w:lang w:eastAsia="zh-CN"/>
        </w:rPr>
      </w:pPr>
      <w:r>
        <w:rPr>
          <w:rFonts w:hint="eastAsia"/>
          <w:color w:val="auto"/>
          <w:highlight w:val="none"/>
          <w:lang w:val="en-US" w:eastAsia="zh-CN"/>
        </w:rPr>
        <w:t>E</w:t>
      </w:r>
      <w:r>
        <w:rPr>
          <w:rFonts w:hint="eastAsia"/>
          <w:color w:val="auto"/>
          <w:highlight w:val="none"/>
          <w:shd w:val="clear" w:fill="FFFFFF"/>
          <w:lang w:val="en-US" w:eastAsia="zh-CN"/>
        </w:rPr>
        <w:t>、</w:t>
      </w:r>
      <w:r>
        <w:rPr>
          <w:rFonts w:hint="eastAsia"/>
          <w:color w:val="auto"/>
          <w:highlight w:val="none"/>
          <w:lang w:val="en-US" w:eastAsia="zh-CN"/>
        </w:rPr>
        <w:t>下游纵向全年围堰轴线长107.00m，由两部分组成。第一部分位于现状电站厂房区域，考虑电站厂房220.00m高程道路有保通需求，设计采用现浇挡墙+搭板+临时子堤进行汛期挡水，非汛期临时子堤可拆除，车辆通过搭板区域进出，子堤顶高程224.00m，堤身两侧坡比1:1，为袋装砂结构。第二部分为下游升压站墩台（兼做下游纵向围堰），位于电站现状升压站位置，围堰轴线长38m，宽20m，采用桩基墩台+现浇挡墙结构，墩台顶高程224.00m。根据电站运营要求，施工期需保证电站在224m高程位置道路畅通，设计拟在上游空箱围堰与升压站墩台间搭设临时钢便桥用于车辆通行</w:t>
      </w:r>
      <w:r>
        <w:rPr>
          <w:rFonts w:hint="eastAsia"/>
          <w:color w:val="auto"/>
          <w:highlight w:val="none"/>
          <w:lang w:eastAsia="zh-CN"/>
        </w:rPr>
        <w:t>。</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2 \* GB3 \* MERGEFORMAT </w:instrText>
      </w:r>
      <w:r>
        <w:rPr>
          <w:rFonts w:hint="eastAsia"/>
          <w:color w:val="auto"/>
          <w:highlight w:val="none"/>
          <w:lang w:eastAsia="zh-CN"/>
        </w:rPr>
        <w:fldChar w:fldCharType="separate"/>
      </w:r>
      <w:r>
        <w:rPr>
          <w:color w:val="auto"/>
          <w:highlight w:val="none"/>
        </w:rPr>
        <w:t>②</w:t>
      </w:r>
      <w:r>
        <w:rPr>
          <w:rFonts w:hint="eastAsia"/>
          <w:color w:val="auto"/>
          <w:highlight w:val="none"/>
          <w:lang w:eastAsia="zh-CN"/>
        </w:rPr>
        <w:fldChar w:fldCharType="end"/>
      </w:r>
      <w:r>
        <w:rPr>
          <w:rFonts w:hint="eastAsia"/>
          <w:color w:val="auto"/>
          <w:highlight w:val="none"/>
          <w:lang w:eastAsia="zh-CN"/>
        </w:rPr>
        <w:t>枯水围堰</w:t>
      </w:r>
    </w:p>
    <w:p>
      <w:pPr>
        <w:bidi w:val="0"/>
        <w:rPr>
          <w:rFonts w:hint="eastAsia"/>
          <w:color w:val="auto"/>
          <w:highlight w:val="none"/>
          <w:lang w:eastAsia="zh-CN"/>
        </w:rPr>
      </w:pPr>
      <w:r>
        <w:rPr>
          <w:rFonts w:hint="eastAsia"/>
          <w:color w:val="auto"/>
          <w:highlight w:val="none"/>
          <w:lang w:eastAsia="zh-CN"/>
        </w:rPr>
        <w:t>上游枯水围堰保护范围为上游右岸引航道高边坡段，上游靠船墩施工作业。围堰轴线长约336m，顶高程207.00m，顶宽6.0m，基坑侧边坡坡比1:1.5，临江侧设坡比1:1.5的抛石戗堤，戗堤平台高程200.00m，戗堤以上边</w:t>
      </w:r>
      <w:r>
        <w:rPr>
          <w:rFonts w:hint="eastAsia"/>
          <w:color w:val="auto"/>
          <w:highlight w:val="none"/>
          <w:shd w:val="clear" w:fill="FFFFFF"/>
          <w:lang w:eastAsia="zh-CN"/>
        </w:rPr>
        <w:t>坡坡</w:t>
      </w:r>
      <w:r>
        <w:rPr>
          <w:rFonts w:hint="eastAsia"/>
          <w:color w:val="auto"/>
          <w:highlight w:val="none"/>
          <w:lang w:eastAsia="zh-CN"/>
        </w:rPr>
        <w:t>比1:2，堰顶设6.0m宽路面结构，堰身采用开山石回填，围堰临江侧面层均采用0.6m 厚块石护砌，围堰临基坑侧开挖面采用挂网喷砼护坡。围堰防渗帷幕采用 600mm厚素混凝土防渗墙，防渗结构进入中风化岩部分采用帷幕灌浆，入岩深度不小于3m。围堰施工完成后拆除。</w:t>
      </w:r>
    </w:p>
    <w:p>
      <w:pPr>
        <w:bidi w:val="0"/>
        <w:ind w:left="0" w:leftChars="0" w:firstLine="520" w:firstLineChars="200"/>
        <w:rPr>
          <w:rFonts w:hint="eastAsia"/>
          <w:color w:val="auto"/>
          <w:highlight w:val="none"/>
          <w:lang w:eastAsia="zh-CN"/>
        </w:rPr>
      </w:pPr>
      <w:r>
        <w:rPr>
          <w:rFonts w:hint="eastAsia"/>
          <w:color w:val="auto"/>
          <w:highlight w:val="none"/>
          <w:lang w:eastAsia="zh-CN"/>
        </w:rPr>
        <w:t>下游枯水围堰保护范围为下游右岸引航道高边坡段、下游导航墙及靠船墩施工作业。下游枯水围堰顶高程204.00m，围堰轴线长215m，顶宽 6.0m，围堰结构及防渗设置同上游枯水围堰。围堰施工完成后拆除。</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3 \* GB3 \* MERGEFORMAT </w:instrText>
      </w:r>
      <w:r>
        <w:rPr>
          <w:rFonts w:hint="eastAsia"/>
          <w:color w:val="auto"/>
          <w:highlight w:val="none"/>
          <w:lang w:eastAsia="zh-CN"/>
        </w:rPr>
        <w:fldChar w:fldCharType="separate"/>
      </w:r>
      <w:r>
        <w:rPr>
          <w:color w:val="auto"/>
          <w:highlight w:val="none"/>
        </w:rPr>
        <w:t>③</w:t>
      </w:r>
      <w:r>
        <w:rPr>
          <w:rFonts w:hint="eastAsia"/>
          <w:color w:val="auto"/>
          <w:highlight w:val="none"/>
          <w:lang w:eastAsia="zh-CN"/>
        </w:rPr>
        <w:fldChar w:fldCharType="end"/>
      </w:r>
      <w:r>
        <w:rPr>
          <w:rFonts w:hint="eastAsia"/>
          <w:color w:val="auto"/>
          <w:highlight w:val="none"/>
          <w:lang w:eastAsia="zh-CN"/>
        </w:rPr>
        <w:t>防渗帷幕设计</w:t>
      </w:r>
    </w:p>
    <w:p>
      <w:pPr>
        <w:bidi w:val="0"/>
        <w:rPr>
          <w:rFonts w:hint="eastAsia"/>
          <w:color w:val="auto"/>
          <w:highlight w:val="none"/>
          <w:lang w:eastAsia="zh-CN"/>
        </w:rPr>
      </w:pPr>
      <w:r>
        <w:rPr>
          <w:rFonts w:hint="eastAsia"/>
          <w:color w:val="auto"/>
          <w:highlight w:val="none"/>
          <w:lang w:eastAsia="zh-CN"/>
        </w:rPr>
        <w:t>全年围堰及枯水围堰基坑防渗系统均由围堰段防渗帷幕组成。全年围堰基坑的围堰段防渗帷幕由纵向全年围堰的咬合式排桩墙、高压灌浆止水帷幕和横向土石围堰的600mm素混凝土防渗墙组成。</w:t>
      </w:r>
    </w:p>
    <w:p>
      <w:pPr>
        <w:bidi w:val="0"/>
        <w:rPr>
          <w:rFonts w:hint="eastAsia"/>
          <w:color w:val="auto"/>
          <w:highlight w:val="none"/>
          <w:lang w:eastAsia="zh-CN"/>
        </w:rPr>
      </w:pPr>
      <w:r>
        <w:rPr>
          <w:rFonts w:hint="eastAsia"/>
          <w:color w:val="auto"/>
          <w:highlight w:val="none"/>
          <w:lang w:eastAsia="zh-CN"/>
        </w:rPr>
        <w:t>枯水围堰基坑的围堰段防渗帷幕及岸侧防渗帷幕均采用600mm厚素混凝土防 渗墙和高压灌浆止水帷幕组成，防渗墙底进入中风化不小于3m。</w:t>
      </w:r>
    </w:p>
    <w:p>
      <w:pPr>
        <w:pStyle w:val="6"/>
        <w:bidi w:val="0"/>
        <w:rPr>
          <w:rFonts w:hint="eastAsia"/>
          <w:color w:val="auto"/>
          <w:highlight w:val="none"/>
          <w:lang w:eastAsia="zh-CN"/>
        </w:rPr>
      </w:pPr>
      <w:r>
        <w:rPr>
          <w:rFonts w:hint="eastAsia"/>
          <w:color w:val="auto"/>
          <w:highlight w:val="none"/>
          <w:lang w:eastAsia="zh-CN"/>
        </w:rPr>
        <w:t>施工期通航</w:t>
      </w:r>
    </w:p>
    <w:p>
      <w:pPr>
        <w:pStyle w:val="7"/>
        <w:rPr>
          <w:rFonts w:hint="eastAsia"/>
          <w:color w:val="auto"/>
          <w:highlight w:val="none"/>
          <w:lang w:eastAsia="zh-CN"/>
        </w:rPr>
      </w:pPr>
      <w:r>
        <w:rPr>
          <w:rFonts w:hint="eastAsia"/>
          <w:color w:val="auto"/>
          <w:highlight w:val="none"/>
          <w:lang w:eastAsia="zh-CN"/>
        </w:rPr>
        <w:t>本工程船闸地处涪江通航河段的下游，下游与草街枢纽衔接，工程河段通航船舶多为100t～300t级散货船，目前可正常通过右岸已建船闸通航，船闸施工期间，过坝船只可通过旧船闸通航，工程建设不影响工程河段船舶通航。临时围堰紧邻现状船闸，特别是上游纵向全年围堰部分采用土石围堰结构，施工期需占用部分现状引航道，对现有船闸通航造成一定影响。为避免施工对现有船闸通航的影响，设计拟拆除部分现状隔</w:t>
      </w:r>
      <w:r>
        <w:rPr>
          <w:rFonts w:hint="eastAsia"/>
          <w:color w:val="auto"/>
          <w:highlight w:val="none"/>
          <w:shd w:val="clear" w:fill="FFFFFF"/>
          <w:lang w:eastAsia="zh-CN"/>
        </w:rPr>
        <w:t>流墙</w:t>
      </w:r>
      <w:r>
        <w:rPr>
          <w:rFonts w:hint="eastAsia"/>
          <w:color w:val="auto"/>
          <w:highlight w:val="none"/>
          <w:lang w:eastAsia="zh-CN"/>
        </w:rPr>
        <w:t>，通航船舶可通过临时开口进行通航，通航期间辅以临时通航管控措施以保障船闸通航安全。</w:t>
      </w:r>
    </w:p>
    <w:p>
      <w:pPr>
        <w:pStyle w:val="6"/>
        <w:bidi w:val="0"/>
        <w:rPr>
          <w:rFonts w:hint="eastAsia"/>
          <w:color w:val="auto"/>
          <w:highlight w:val="none"/>
          <w:lang w:eastAsia="zh-CN"/>
        </w:rPr>
      </w:pPr>
      <w:r>
        <w:rPr>
          <w:rFonts w:hint="eastAsia"/>
          <w:color w:val="auto"/>
          <w:highlight w:val="none"/>
          <w:lang w:eastAsia="zh-CN"/>
        </w:rPr>
        <w:t>土石方平衡</w:t>
      </w:r>
    </w:p>
    <w:p>
      <w:pPr>
        <w:pStyle w:val="7"/>
        <w:rPr>
          <w:rFonts w:hint="eastAsia"/>
          <w:color w:val="auto"/>
          <w:highlight w:val="none"/>
          <w:lang w:eastAsia="zh-CN"/>
        </w:rPr>
        <w:sectPr>
          <w:pgSz w:w="11906" w:h="16838"/>
          <w:pgMar w:top="1701" w:right="1588" w:bottom="1588" w:left="1588" w:header="1304" w:footer="1247" w:gutter="0"/>
          <w:cols w:space="425" w:num="1"/>
          <w:docGrid w:linePitch="312" w:charSpace="0"/>
        </w:sectPr>
      </w:pPr>
      <w:r>
        <w:rPr>
          <w:rFonts w:hint="eastAsia"/>
          <w:color w:val="auto"/>
          <w:highlight w:val="none"/>
          <w:lang w:eastAsia="zh-CN"/>
        </w:rPr>
        <w:t>渭沱船闸工程按自然方计，开挖195.47万</w:t>
      </w:r>
      <w:r>
        <w:rPr>
          <w:rFonts w:hint="eastAsia"/>
          <w:color w:val="auto"/>
          <w:highlight w:val="none"/>
          <w:lang w:val="en-US" w:eastAsia="zh-CN"/>
        </w:rPr>
        <w:t>m³</w:t>
      </w:r>
      <w:r>
        <w:rPr>
          <w:rFonts w:hint="eastAsia"/>
          <w:color w:val="auto"/>
          <w:highlight w:val="none"/>
          <w:lang w:eastAsia="zh-CN"/>
        </w:rPr>
        <w:t>。按部位分：船闸工程开挖 139.79万</w:t>
      </w:r>
      <w:r>
        <w:rPr>
          <w:rFonts w:hint="eastAsia"/>
          <w:color w:val="auto"/>
          <w:highlight w:val="none"/>
          <w:lang w:val="en-US" w:eastAsia="zh-CN"/>
        </w:rPr>
        <w:t>m³</w:t>
      </w:r>
      <w:r>
        <w:rPr>
          <w:rFonts w:hint="eastAsia"/>
          <w:color w:val="auto"/>
          <w:highlight w:val="none"/>
          <w:lang w:eastAsia="zh-CN"/>
        </w:rPr>
        <w:t>，上下游疏浚区开挖30.00万</w:t>
      </w:r>
      <w:r>
        <w:rPr>
          <w:rFonts w:hint="eastAsia"/>
          <w:color w:val="auto"/>
          <w:highlight w:val="none"/>
          <w:lang w:val="en-US" w:eastAsia="zh-CN"/>
        </w:rPr>
        <w:t>m³</w:t>
      </w:r>
      <w:r>
        <w:rPr>
          <w:rFonts w:hint="eastAsia"/>
          <w:color w:val="auto"/>
          <w:highlight w:val="none"/>
          <w:lang w:eastAsia="zh-CN"/>
        </w:rPr>
        <w:t>，围堰填筑后开挖25.68万</w:t>
      </w:r>
      <w:r>
        <w:rPr>
          <w:rFonts w:hint="eastAsia"/>
          <w:color w:val="auto"/>
          <w:highlight w:val="none"/>
          <w:lang w:val="en-US" w:eastAsia="zh-CN"/>
        </w:rPr>
        <w:t>m³</w:t>
      </w:r>
      <w:r>
        <w:rPr>
          <w:rFonts w:hint="eastAsia"/>
          <w:color w:val="auto"/>
          <w:highlight w:val="none"/>
          <w:lang w:eastAsia="zh-CN"/>
        </w:rPr>
        <w:t>；按类别分：土方43.32万</w:t>
      </w:r>
      <w:r>
        <w:rPr>
          <w:rFonts w:hint="eastAsia"/>
          <w:color w:val="auto"/>
          <w:highlight w:val="none"/>
          <w:lang w:val="en-US" w:eastAsia="zh-CN"/>
        </w:rPr>
        <w:t>m³</w:t>
      </w:r>
      <w:r>
        <w:rPr>
          <w:rFonts w:hint="eastAsia"/>
          <w:color w:val="auto"/>
          <w:highlight w:val="none"/>
          <w:lang w:eastAsia="zh-CN"/>
        </w:rPr>
        <w:t>，石方152.15万</w:t>
      </w:r>
      <w:r>
        <w:rPr>
          <w:rFonts w:hint="eastAsia"/>
          <w:color w:val="auto"/>
          <w:highlight w:val="none"/>
          <w:lang w:val="en-US" w:eastAsia="zh-CN"/>
        </w:rPr>
        <w:t>m³</w:t>
      </w:r>
      <w:r>
        <w:rPr>
          <w:rFonts w:hint="eastAsia"/>
          <w:color w:val="auto"/>
          <w:highlight w:val="none"/>
          <w:lang w:eastAsia="zh-CN"/>
        </w:rPr>
        <w:t>。开挖料回填利用44.61万</w:t>
      </w:r>
      <w:r>
        <w:rPr>
          <w:rFonts w:hint="eastAsia"/>
          <w:color w:val="auto"/>
          <w:highlight w:val="none"/>
          <w:lang w:val="en-US" w:eastAsia="zh-CN"/>
        </w:rPr>
        <w:t>m³</w:t>
      </w:r>
      <w:r>
        <w:rPr>
          <w:rFonts w:hint="eastAsia"/>
          <w:color w:val="auto"/>
          <w:highlight w:val="none"/>
          <w:lang w:eastAsia="zh-CN"/>
        </w:rPr>
        <w:t>（实方），弃渣 172.20万</w:t>
      </w:r>
      <w:r>
        <w:rPr>
          <w:rFonts w:hint="eastAsia"/>
          <w:color w:val="auto"/>
          <w:highlight w:val="none"/>
          <w:lang w:val="en-US" w:eastAsia="zh-CN"/>
        </w:rPr>
        <w:t>m³（</w:t>
      </w:r>
      <w:r>
        <w:rPr>
          <w:rFonts w:hint="eastAsia"/>
          <w:color w:val="auto"/>
          <w:highlight w:val="none"/>
          <w:lang w:eastAsia="zh-CN"/>
        </w:rPr>
        <w:t>实方）至弃渣场。土石方平衡详见下表：</w:t>
      </w:r>
    </w:p>
    <w:p>
      <w:pPr>
        <w:pStyle w:val="7"/>
        <w:spacing w:line="240" w:lineRule="auto"/>
        <w:ind w:left="0" w:leftChars="0" w:firstLine="0" w:firstLineChars="0"/>
        <w:jc w:val="center"/>
        <w:rPr>
          <w:rFonts w:hint="default" w:ascii="Times New Roman" w:hAnsi="Times New Roman" w:eastAsia="宋体" w:cs="Times New Roman"/>
          <w:b/>
          <w:bCs/>
          <w:color w:val="auto"/>
          <w:spacing w:val="4"/>
          <w:sz w:val="26"/>
          <w:szCs w:val="26"/>
          <w:highlight w:val="none"/>
        </w:rPr>
      </w:pPr>
      <w:r>
        <w:rPr>
          <w:rFonts w:hint="default" w:ascii="Times New Roman" w:hAnsi="Times New Roman" w:eastAsia="宋体" w:cs="Times New Roman"/>
          <w:b/>
          <w:bCs/>
          <w:color w:val="auto"/>
          <w:spacing w:val="4"/>
          <w:sz w:val="26"/>
          <w:szCs w:val="26"/>
          <w:highlight w:val="none"/>
          <w:lang w:eastAsia="zh-CN"/>
        </w:rPr>
        <w:t>表</w:t>
      </w:r>
      <w:r>
        <w:rPr>
          <w:rFonts w:hint="default" w:ascii="Times New Roman" w:hAnsi="Times New Roman" w:eastAsia="宋体" w:cs="Times New Roman"/>
          <w:b/>
          <w:bCs/>
          <w:color w:val="auto"/>
          <w:spacing w:val="4"/>
          <w:sz w:val="26"/>
          <w:szCs w:val="26"/>
          <w:highlight w:val="none"/>
          <w:lang w:val="en-US" w:eastAsia="zh-CN"/>
        </w:rPr>
        <w:t>2.</w:t>
      </w:r>
      <w:r>
        <w:rPr>
          <w:rFonts w:hint="eastAsia" w:cs="Times New Roman"/>
          <w:b/>
          <w:bCs/>
          <w:color w:val="auto"/>
          <w:spacing w:val="4"/>
          <w:sz w:val="26"/>
          <w:szCs w:val="26"/>
          <w:highlight w:val="none"/>
          <w:lang w:val="en-US" w:eastAsia="zh-CN"/>
        </w:rPr>
        <w:t>5</w:t>
      </w:r>
      <w:r>
        <w:rPr>
          <w:rFonts w:hint="default" w:ascii="Times New Roman" w:hAnsi="Times New Roman" w:eastAsia="宋体" w:cs="Times New Roman"/>
          <w:b/>
          <w:bCs/>
          <w:color w:val="auto"/>
          <w:spacing w:val="4"/>
          <w:sz w:val="26"/>
          <w:szCs w:val="26"/>
          <w:highlight w:val="none"/>
          <w:lang w:val="en-US" w:eastAsia="zh-CN"/>
        </w:rPr>
        <w:t xml:space="preserve">.5.5-1  </w:t>
      </w:r>
      <w:r>
        <w:rPr>
          <w:rFonts w:hint="default" w:ascii="Times New Roman" w:hAnsi="Times New Roman" w:eastAsia="宋体" w:cs="Times New Roman"/>
          <w:b/>
          <w:bCs/>
          <w:color w:val="auto"/>
          <w:spacing w:val="4"/>
          <w:sz w:val="26"/>
          <w:szCs w:val="26"/>
          <w:highlight w:val="none"/>
        </w:rPr>
        <w:t>渭沱船闸土方平衡表</w:t>
      </w:r>
    </w:p>
    <w:tbl>
      <w:tblPr>
        <w:tblStyle w:val="209"/>
        <w:tblW w:w="526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04"/>
        <w:gridCol w:w="1536"/>
        <w:gridCol w:w="1063"/>
        <w:gridCol w:w="1078"/>
        <w:gridCol w:w="1143"/>
        <w:gridCol w:w="1057"/>
        <w:gridCol w:w="1067"/>
        <w:gridCol w:w="915"/>
        <w:gridCol w:w="847"/>
        <w:gridCol w:w="919"/>
        <w:gridCol w:w="839"/>
        <w:gridCol w:w="907"/>
        <w:gridCol w:w="907"/>
        <w:gridCol w:w="9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700"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土石方开挖（自然方，</w:t>
            </w:r>
            <w:r>
              <w:rPr>
                <w:rFonts w:hint="eastAsia" w:ascii="Times New Roman" w:hAnsi="Times New Roman" w:eastAsia="宋体" w:cs="Times New Roman"/>
                <w:color w:val="auto"/>
                <w:spacing w:val="5"/>
                <w:sz w:val="20"/>
                <w:szCs w:val="20"/>
                <w:highlight w:val="none"/>
                <w:lang w:val="en-US" w:eastAsia="zh-CN"/>
              </w:rPr>
              <w:t>m³</w:t>
            </w:r>
            <w:r>
              <w:rPr>
                <w:color w:val="auto"/>
                <w:spacing w:val="5"/>
                <w:sz w:val="20"/>
                <w:szCs w:val="20"/>
                <w:highlight w:val="none"/>
              </w:rPr>
              <w:t>）</w:t>
            </w:r>
          </w:p>
        </w:tc>
        <w:tc>
          <w:tcPr>
            <w:tcW w:w="2219" w:type="dxa"/>
            <w:gridSpan w:val="2"/>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pacing w:val="5"/>
                <w:sz w:val="20"/>
                <w:szCs w:val="20"/>
                <w:highlight w:val="none"/>
              </w:rPr>
            </w:pPr>
            <w:r>
              <w:rPr>
                <w:color w:val="auto"/>
                <w:spacing w:val="5"/>
                <w:sz w:val="20"/>
                <w:szCs w:val="20"/>
                <w:highlight w:val="none"/>
              </w:rPr>
              <w:t>土石方流向</w:t>
            </w: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（自然方，</w:t>
            </w:r>
            <w:r>
              <w:rPr>
                <w:rFonts w:hint="eastAsia" w:ascii="Times New Roman" w:hAnsi="Times New Roman" w:eastAsia="宋体" w:cs="Times New Roman"/>
                <w:color w:val="auto"/>
                <w:spacing w:val="5"/>
                <w:sz w:val="20"/>
                <w:szCs w:val="20"/>
                <w:highlight w:val="none"/>
                <w:lang w:val="en-US" w:eastAsia="zh-CN"/>
              </w:rPr>
              <w:t>m³</w:t>
            </w:r>
            <w:r>
              <w:rPr>
                <w:color w:val="auto"/>
                <w:spacing w:val="5"/>
                <w:sz w:val="20"/>
                <w:szCs w:val="20"/>
                <w:highlight w:val="none"/>
              </w:rPr>
              <w:t>）</w:t>
            </w:r>
          </w:p>
        </w:tc>
        <w:tc>
          <w:tcPr>
            <w:tcW w:w="105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pacing w:val="4"/>
                <w:sz w:val="20"/>
                <w:szCs w:val="20"/>
                <w:highlight w:val="none"/>
              </w:rPr>
            </w:pPr>
            <w:r>
              <w:rPr>
                <w:color w:val="auto"/>
                <w:spacing w:val="4"/>
                <w:sz w:val="20"/>
                <w:szCs w:val="20"/>
                <w:highlight w:val="none"/>
              </w:rPr>
              <w:t>弃渣场</w:t>
            </w: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4"/>
                <w:sz w:val="20"/>
                <w:szCs w:val="20"/>
                <w:highlight w:val="none"/>
              </w:rPr>
              <w:t>（</w:t>
            </w:r>
            <w:r>
              <w:rPr>
                <w:rFonts w:hint="eastAsia" w:ascii="Times New Roman" w:hAnsi="Times New Roman" w:eastAsia="宋体" w:cs="Times New Roman"/>
                <w:color w:val="auto"/>
                <w:spacing w:val="5"/>
                <w:sz w:val="20"/>
                <w:szCs w:val="20"/>
                <w:highlight w:val="none"/>
                <w:lang w:val="en-US" w:eastAsia="zh-CN"/>
              </w:rPr>
              <w:t>m³</w:t>
            </w:r>
            <w:r>
              <w:rPr>
                <w:color w:val="auto"/>
                <w:spacing w:val="4"/>
                <w:sz w:val="20"/>
                <w:szCs w:val="20"/>
                <w:highlight w:val="none"/>
              </w:rPr>
              <w:t>）</w:t>
            </w:r>
          </w:p>
        </w:tc>
        <w:tc>
          <w:tcPr>
            <w:tcW w:w="7301" w:type="dxa"/>
            <w:gridSpan w:val="8"/>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土石方利用（堆实方，</w:t>
            </w:r>
            <w:r>
              <w:rPr>
                <w:rFonts w:hint="eastAsia" w:ascii="Times New Roman" w:hAnsi="Times New Roman" w:eastAsia="宋体" w:cs="Times New Roman"/>
                <w:color w:val="auto"/>
                <w:spacing w:val="5"/>
                <w:sz w:val="20"/>
                <w:szCs w:val="20"/>
                <w:highlight w:val="none"/>
                <w:lang w:val="en-US" w:eastAsia="zh-CN"/>
              </w:rPr>
              <w:t>m³</w:t>
            </w:r>
            <w:r>
              <w:rPr>
                <w:color w:val="auto"/>
                <w:spacing w:val="5"/>
                <w:sz w:val="20"/>
                <w:szCs w:val="2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z w:val="20"/>
                <w:szCs w:val="20"/>
                <w:highlight w:val="none"/>
              </w:rPr>
              <w:t>部位</w:t>
            </w: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1"/>
                <w:sz w:val="20"/>
                <w:szCs w:val="20"/>
                <w:highlight w:val="none"/>
              </w:rPr>
              <w:t>材料</w:t>
            </w:r>
          </w:p>
        </w:tc>
        <w:tc>
          <w:tcPr>
            <w:tcW w:w="106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2"/>
                <w:sz w:val="20"/>
                <w:szCs w:val="20"/>
                <w:highlight w:val="none"/>
              </w:rPr>
              <w:t>工程内</w:t>
            </w:r>
          </w:p>
        </w:tc>
        <w:tc>
          <w:tcPr>
            <w:tcW w:w="107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1"/>
                <w:sz w:val="20"/>
                <w:szCs w:val="20"/>
                <w:highlight w:val="none"/>
              </w:rPr>
              <w:t>弃渣</w:t>
            </w:r>
          </w:p>
        </w:tc>
        <w:tc>
          <w:tcPr>
            <w:tcW w:w="114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3"/>
                <w:sz w:val="20"/>
                <w:szCs w:val="20"/>
                <w:highlight w:val="none"/>
              </w:rPr>
              <w:t>利用填筑</w:t>
            </w:r>
          </w:p>
        </w:tc>
        <w:tc>
          <w:tcPr>
            <w:tcW w:w="105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2"/>
                <w:sz w:val="20"/>
                <w:szCs w:val="20"/>
                <w:highlight w:val="none"/>
              </w:rPr>
              <w:t>堆实方</w:t>
            </w:r>
          </w:p>
        </w:tc>
        <w:tc>
          <w:tcPr>
            <w:tcW w:w="10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3"/>
                <w:sz w:val="20"/>
                <w:szCs w:val="20"/>
                <w:highlight w:val="none"/>
              </w:rPr>
              <w:t>主基坑及</w:t>
            </w:r>
            <w:r>
              <w:rPr>
                <w:color w:val="auto"/>
                <w:sz w:val="20"/>
                <w:szCs w:val="20"/>
                <w:highlight w:val="none"/>
              </w:rPr>
              <w:t xml:space="preserve">  </w:t>
            </w:r>
            <w:r>
              <w:rPr>
                <w:color w:val="auto"/>
                <w:spacing w:val="1"/>
                <w:sz w:val="20"/>
                <w:szCs w:val="20"/>
                <w:highlight w:val="none"/>
              </w:rPr>
              <w:t>闸管区填筑</w:t>
            </w:r>
          </w:p>
        </w:tc>
        <w:tc>
          <w:tcPr>
            <w:tcW w:w="91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全年围堰填筑</w:t>
            </w:r>
          </w:p>
        </w:tc>
        <w:tc>
          <w:tcPr>
            <w:tcW w:w="84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枯水围堰填筑</w:t>
            </w:r>
          </w:p>
        </w:tc>
        <w:tc>
          <w:tcPr>
            <w:tcW w:w="91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4"/>
                <w:sz w:val="20"/>
                <w:szCs w:val="20"/>
                <w:highlight w:val="none"/>
              </w:rPr>
              <w:t>碎石垫层</w:t>
            </w:r>
          </w:p>
        </w:tc>
        <w:tc>
          <w:tcPr>
            <w:tcW w:w="83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3"/>
                <w:sz w:val="20"/>
                <w:szCs w:val="20"/>
                <w:highlight w:val="none"/>
              </w:rPr>
              <w:t>二片石层</w:t>
            </w:r>
          </w:p>
        </w:tc>
        <w:tc>
          <w:tcPr>
            <w:tcW w:w="90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3"/>
                <w:sz w:val="20"/>
                <w:szCs w:val="20"/>
                <w:highlight w:val="none"/>
              </w:rPr>
              <w:t>护面块石</w:t>
            </w:r>
          </w:p>
        </w:tc>
        <w:tc>
          <w:tcPr>
            <w:tcW w:w="90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4"/>
                <w:sz w:val="20"/>
                <w:szCs w:val="20"/>
                <w:highlight w:val="none"/>
              </w:rPr>
              <w:t>块石压脚</w:t>
            </w:r>
          </w:p>
        </w:tc>
        <w:tc>
          <w:tcPr>
            <w:tcW w:w="90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格宾石笼挡墙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主基坑及闸管区</w:t>
            </w:r>
            <w:r>
              <w:rPr>
                <w:color w:val="auto"/>
                <w:spacing w:val="1"/>
                <w:sz w:val="20"/>
                <w:szCs w:val="20"/>
                <w:highlight w:val="none"/>
              </w:rPr>
              <w:t>（陆上）</w:t>
            </w: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3"/>
                <w:sz w:val="20"/>
                <w:szCs w:val="20"/>
                <w:highlight w:val="none"/>
              </w:rPr>
              <w:t>中风化砂岩开挖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166482.49</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42425.86</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124056.62</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55577.88</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95801.46</w:t>
            </w: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7041.57</w:t>
            </w: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4534.62</w:t>
            </w: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20261.47</w:t>
            </w: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22149.91</w:t>
            </w: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12725.14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3"/>
                <w:sz w:val="20"/>
                <w:szCs w:val="20"/>
                <w:highlight w:val="none"/>
              </w:rPr>
              <w:t>中风化泥岩开挖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287291.54</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287291.54</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376351.92</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强风化砂岩开挖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10128.73</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10128.73</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13268.63</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强风化泥岩开挖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91936.81</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91936.81</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120437.22</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2"/>
                <w:sz w:val="20"/>
                <w:szCs w:val="20"/>
                <w:highlight w:val="none"/>
              </w:rPr>
              <w:t>卵石开挖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93589.00</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56153.40</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37435.60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53345.73</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35563.82</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其他土方开挖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94935.13</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94935.13</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80694.86</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4"/>
                <w:sz w:val="20"/>
                <w:szCs w:val="20"/>
                <w:highlight w:val="none"/>
              </w:rPr>
              <w:t>上游引航道</w:t>
            </w: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1"/>
                <w:sz w:val="20"/>
                <w:szCs w:val="20"/>
                <w:highlight w:val="none"/>
              </w:rPr>
              <w:t>（陆上）</w:t>
            </w: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3"/>
                <w:sz w:val="20"/>
                <w:szCs w:val="20"/>
                <w:highlight w:val="none"/>
              </w:rPr>
              <w:t>中风化砂岩开挖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18258.15</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18258.15</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23918.18</w:t>
            </w: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3"/>
                <w:sz w:val="20"/>
                <w:szCs w:val="20"/>
                <w:highlight w:val="none"/>
              </w:rPr>
              <w:t>中风化泥岩开挖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17547.01</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17547.01</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22986.58</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强风化砂岩开挖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1214.13</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1214.13</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1590.51</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强风化泥岩开挖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37829.68</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37829.68</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49556.89</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2"/>
                <w:sz w:val="20"/>
                <w:szCs w:val="20"/>
                <w:highlight w:val="none"/>
              </w:rPr>
              <w:t>卵石开挖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29140.97</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29140.97</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27683.92</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其他土方开挖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6165.24</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6165.24</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5240.45</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4"/>
                <w:sz w:val="20"/>
                <w:szCs w:val="20"/>
                <w:highlight w:val="none"/>
              </w:rPr>
              <w:t>下游引航道</w:t>
            </w: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1"/>
                <w:sz w:val="20"/>
                <w:szCs w:val="20"/>
                <w:highlight w:val="none"/>
              </w:rPr>
              <w:t>（陆上）</w:t>
            </w: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3"/>
                <w:sz w:val="20"/>
                <w:szCs w:val="20"/>
                <w:highlight w:val="none"/>
              </w:rPr>
              <w:t>中风化砂岩开挖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212500.56</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113150.49</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99350.07</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148227.14</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130148.59</w:t>
            </w: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3"/>
                <w:sz w:val="20"/>
                <w:szCs w:val="20"/>
                <w:highlight w:val="none"/>
              </w:rPr>
              <w:t>中风化泥岩开挖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111984.14</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111984.14</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146699.22</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强风化砂岩开挖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1390.77</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1390.77</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1821.91</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强风化泥岩开挖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25796.95</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25796.95</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33794.01</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2"/>
                <w:sz w:val="20"/>
                <w:szCs w:val="20"/>
                <w:highlight w:val="none"/>
              </w:rPr>
              <w:t>卵石开挖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116340.27</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116340.27</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110523.26</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其他土方开挖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75312.10</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75312.10</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64015.28</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3"/>
                <w:sz w:val="20"/>
                <w:szCs w:val="20"/>
                <w:highlight w:val="none"/>
              </w:rPr>
              <w:t>围堰区</w:t>
            </w: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2"/>
                <w:sz w:val="20"/>
                <w:szCs w:val="20"/>
                <w:highlight w:val="none"/>
              </w:rPr>
              <w:t>围堰拆除开挖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256797.84</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256797.84</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218278.17</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上游疏浚区（水上）</w:t>
            </w: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2"/>
                <w:sz w:val="20"/>
                <w:szCs w:val="20"/>
                <w:highlight w:val="none"/>
              </w:rPr>
              <w:t>卵石开挖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202020.22</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96001.99</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106018.23</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91201.89</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100717.32</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3"/>
                <w:sz w:val="20"/>
                <w:szCs w:val="20"/>
                <w:highlight w:val="none"/>
              </w:rPr>
              <w:t>中风化砂岩开挖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8670.81</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8670.81</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11358.76</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5"/>
                <w:sz w:val="20"/>
                <w:szCs w:val="20"/>
                <w:highlight w:val="none"/>
              </w:rPr>
              <w:t>上游疏浚区（陆上）</w:t>
            </w: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3"/>
                <w:sz w:val="20"/>
                <w:szCs w:val="20"/>
                <w:highlight w:val="none"/>
              </w:rPr>
              <w:t>中风化砂岩开挖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9064.52</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9064.52</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11874.52</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4"/>
                <w:sz w:val="20"/>
                <w:szCs w:val="20"/>
                <w:highlight w:val="none"/>
              </w:rPr>
              <w:t>下游疏浚区（水上）</w:t>
            </w: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2"/>
                <w:sz w:val="20"/>
                <w:szCs w:val="20"/>
                <w:highlight w:val="none"/>
              </w:rPr>
              <w:t>卵石开挖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33675.94</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33675.94</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31992.14</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3"/>
                <w:sz w:val="20"/>
                <w:szCs w:val="20"/>
                <w:highlight w:val="none"/>
              </w:rPr>
              <w:t>中风化砂岩开挖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33675.94</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33675.94</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44115.47</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4"/>
                <w:sz w:val="20"/>
                <w:szCs w:val="20"/>
                <w:highlight w:val="none"/>
              </w:rPr>
              <w:t>下游疏浚区（陆上）</w:t>
            </w: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2"/>
                <w:sz w:val="20"/>
                <w:szCs w:val="20"/>
                <w:highlight w:val="none"/>
              </w:rPr>
              <w:t>卵石开挖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6476.43</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6476.43</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6152.60</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0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153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pacing w:val="3"/>
                <w:sz w:val="20"/>
                <w:szCs w:val="20"/>
                <w:highlight w:val="none"/>
              </w:rPr>
              <w:t>中风化砂岩开挖</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6476.43</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6476.43</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0.00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8484.12</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38" w:type="dxa"/>
            <w:gridSpan w:val="2"/>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auto"/>
                <w:sz w:val="20"/>
                <w:szCs w:val="20"/>
                <w:highlight w:val="none"/>
              </w:rPr>
            </w:pPr>
            <w:r>
              <w:rPr>
                <w:color w:val="auto"/>
                <w:sz w:val="20"/>
                <w:szCs w:val="20"/>
                <w:highlight w:val="none"/>
              </w:rPr>
              <w:t>合计</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1954701.78</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1559454.38</w:t>
            </w:r>
          </w:p>
        </w:tc>
        <w:tc>
          <w:tcPr>
            <w:tcW w:w="11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395247.40</w:t>
            </w:r>
          </w:p>
        </w:tc>
        <w:tc>
          <w:tcPr>
            <w:tcW w:w="105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1722004.45</w:t>
            </w:r>
          </w:p>
        </w:tc>
        <w:tc>
          <w:tcPr>
            <w:tcW w:w="106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154066.77</w:t>
            </w:r>
          </w:p>
        </w:tc>
        <w:tc>
          <w:tcPr>
            <w:tcW w:w="91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1"/>
                <w:sz w:val="20"/>
                <w:szCs w:val="20"/>
                <w:highlight w:val="none"/>
              </w:rPr>
              <w:t>149549.77</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95801.46</w:t>
            </w:r>
          </w:p>
        </w:tc>
        <w:tc>
          <w:tcPr>
            <w:tcW w:w="9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7041.57</w:t>
            </w: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2"/>
                <w:sz w:val="20"/>
                <w:szCs w:val="20"/>
                <w:highlight w:val="none"/>
              </w:rPr>
              <w:t>4534.62</w:t>
            </w: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20261.47</w:t>
            </w:r>
          </w:p>
        </w:tc>
        <w:tc>
          <w:tcPr>
            <w:tcW w:w="9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sz w:val="20"/>
                <w:szCs w:val="20"/>
                <w:highlight w:val="none"/>
              </w:rPr>
              <w:t>22149.91</w:t>
            </w:r>
          </w:p>
        </w:tc>
        <w:tc>
          <w:tcPr>
            <w:tcW w:w="90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12725.14</w:t>
            </w:r>
          </w:p>
        </w:tc>
      </w:tr>
    </w:tbl>
    <w:p>
      <w:pPr>
        <w:pStyle w:val="7"/>
        <w:ind w:left="0" w:leftChars="0" w:firstLine="0" w:firstLineChars="0"/>
        <w:jc w:val="center"/>
        <w:rPr>
          <w:rFonts w:hint="default" w:ascii="Times New Roman" w:hAnsi="Times New Roman" w:eastAsia="宋体" w:cs="Times New Roman"/>
          <w:b/>
          <w:bCs/>
          <w:color w:val="auto"/>
          <w:spacing w:val="4"/>
          <w:sz w:val="26"/>
          <w:szCs w:val="26"/>
          <w:highlight w:val="none"/>
        </w:rPr>
      </w:pPr>
    </w:p>
    <w:p>
      <w:pPr>
        <w:pStyle w:val="7"/>
        <w:ind w:left="0" w:leftChars="0" w:firstLine="0" w:firstLineChars="0"/>
        <w:jc w:val="center"/>
        <w:rPr>
          <w:rFonts w:hint="default" w:ascii="Times New Roman" w:hAnsi="Times New Roman" w:eastAsia="宋体" w:cs="Times New Roman"/>
          <w:b/>
          <w:bCs/>
          <w:color w:val="auto"/>
          <w:spacing w:val="4"/>
          <w:sz w:val="26"/>
          <w:szCs w:val="26"/>
          <w:highlight w:val="none"/>
          <w:lang w:eastAsia="zh-CN"/>
        </w:rPr>
        <w:sectPr>
          <w:pgSz w:w="16838" w:h="11906" w:orient="landscape"/>
          <w:pgMar w:top="1588" w:right="1701" w:bottom="1588" w:left="1588" w:header="1304" w:footer="1247" w:gutter="0"/>
          <w:cols w:space="425" w:num="1"/>
          <w:docGrid w:linePitch="312" w:charSpace="0"/>
        </w:sectPr>
      </w:pPr>
    </w:p>
    <w:p>
      <w:pPr>
        <w:pStyle w:val="6"/>
        <w:bidi w:val="0"/>
        <w:rPr>
          <w:rFonts w:hint="eastAsia"/>
          <w:color w:val="auto"/>
          <w:highlight w:val="none"/>
          <w:lang w:eastAsia="zh-CN"/>
        </w:rPr>
      </w:pPr>
      <w:r>
        <w:rPr>
          <w:rFonts w:hint="eastAsia"/>
          <w:color w:val="auto"/>
          <w:highlight w:val="none"/>
          <w:lang w:eastAsia="zh-CN"/>
        </w:rPr>
        <w:t>施工主要技术供应</w:t>
      </w:r>
    </w:p>
    <w:p>
      <w:pPr>
        <w:pStyle w:val="7"/>
        <w:rPr>
          <w:rFonts w:hint="eastAsia"/>
          <w:color w:val="auto"/>
          <w:highlight w:val="none"/>
          <w:lang w:eastAsia="zh-CN"/>
        </w:rPr>
      </w:pPr>
      <w:r>
        <w:rPr>
          <w:rFonts w:hint="eastAsia"/>
          <w:color w:val="auto"/>
          <w:highlight w:val="none"/>
          <w:lang w:eastAsia="zh-CN"/>
        </w:rPr>
        <w:t>本工程高峰施工人员750人。</w:t>
      </w:r>
    </w:p>
    <w:p>
      <w:pPr>
        <w:pStyle w:val="7"/>
        <w:rPr>
          <w:rFonts w:hint="eastAsia"/>
          <w:color w:val="auto"/>
          <w:highlight w:val="none"/>
          <w:lang w:eastAsia="zh-CN"/>
        </w:rPr>
      </w:pPr>
      <w:r>
        <w:rPr>
          <w:rFonts w:hint="eastAsia"/>
          <w:color w:val="auto"/>
          <w:highlight w:val="none"/>
          <w:lang w:eastAsia="zh-CN"/>
        </w:rPr>
        <w:t>高峰期日平均强度：土方开挖8000</w:t>
      </w:r>
      <w:r>
        <w:rPr>
          <w:rFonts w:hint="eastAsia"/>
          <w:color w:val="auto"/>
          <w:highlight w:val="none"/>
          <w:lang w:val="en-US" w:eastAsia="zh-CN"/>
        </w:rPr>
        <w:t>m³</w:t>
      </w:r>
      <w:r>
        <w:rPr>
          <w:rFonts w:hint="eastAsia"/>
          <w:color w:val="auto"/>
          <w:highlight w:val="none"/>
          <w:lang w:eastAsia="zh-CN"/>
        </w:rPr>
        <w:t>/d，石方开挖3500</w:t>
      </w:r>
      <w:r>
        <w:rPr>
          <w:rFonts w:hint="eastAsia"/>
          <w:color w:val="auto"/>
          <w:highlight w:val="none"/>
          <w:lang w:val="en-US" w:eastAsia="zh-CN"/>
        </w:rPr>
        <w:t>m³</w:t>
      </w:r>
      <w:r>
        <w:rPr>
          <w:rFonts w:hint="eastAsia"/>
          <w:color w:val="auto"/>
          <w:highlight w:val="none"/>
          <w:lang w:eastAsia="zh-CN"/>
        </w:rPr>
        <w:t>/d，土石方填筑9000</w:t>
      </w:r>
      <w:r>
        <w:rPr>
          <w:rFonts w:hint="eastAsia"/>
          <w:color w:val="auto"/>
          <w:highlight w:val="none"/>
          <w:lang w:val="en-US" w:eastAsia="zh-CN"/>
        </w:rPr>
        <w:t>m³</w:t>
      </w:r>
      <w:r>
        <w:rPr>
          <w:rFonts w:hint="eastAsia"/>
          <w:color w:val="auto"/>
          <w:highlight w:val="none"/>
          <w:lang w:eastAsia="zh-CN"/>
        </w:rPr>
        <w:t>/d，混凝土浇筑1500</w:t>
      </w:r>
      <w:r>
        <w:rPr>
          <w:rFonts w:hint="eastAsia"/>
          <w:color w:val="auto"/>
          <w:highlight w:val="none"/>
          <w:lang w:val="en-US" w:eastAsia="zh-CN"/>
        </w:rPr>
        <w:t>m³</w:t>
      </w:r>
      <w:r>
        <w:rPr>
          <w:rFonts w:hint="eastAsia"/>
          <w:color w:val="auto"/>
          <w:highlight w:val="none"/>
          <w:lang w:eastAsia="zh-CN"/>
        </w:rPr>
        <w:t>/d。</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color w:val="auto"/>
          <w:highlight w:val="none"/>
        </w:rPr>
        <w:t>主要建筑材料</w:t>
      </w:r>
    </w:p>
    <w:p>
      <w:pPr>
        <w:bidi w:val="0"/>
        <w:rPr>
          <w:color w:val="auto"/>
          <w:highlight w:val="none"/>
        </w:rPr>
      </w:pPr>
      <w:r>
        <w:rPr>
          <w:rFonts w:hint="eastAsia"/>
          <w:color w:val="auto"/>
          <w:highlight w:val="none"/>
        </w:rPr>
        <w:t>本工程</w:t>
      </w:r>
      <w:r>
        <w:rPr>
          <w:rFonts w:hint="eastAsia"/>
          <w:color w:val="auto"/>
          <w:highlight w:val="none"/>
          <w:lang w:eastAsia="zh-CN"/>
        </w:rPr>
        <w:t>不设置取料场，</w:t>
      </w:r>
      <w:r>
        <w:rPr>
          <w:rFonts w:hint="eastAsia"/>
          <w:color w:val="auto"/>
          <w:highlight w:val="none"/>
        </w:rPr>
        <w:t>永久及临时结构所需的土石料，主要来自船闸工程开挖料，而中粗砂、碎石及块石料需外购。工程所需砼骨料拟采用外购块石料方式，经对块石料加工而成。</w:t>
      </w:r>
      <w:r>
        <w:rPr>
          <w:color w:val="auto"/>
          <w:highlight w:val="none"/>
        </w:rPr>
        <w:t>本工程所需主要建筑材料及分年度供应量见</w:t>
      </w:r>
      <w:r>
        <w:rPr>
          <w:rFonts w:hint="eastAsia"/>
          <w:color w:val="auto"/>
          <w:highlight w:val="none"/>
          <w:lang w:eastAsia="zh-CN"/>
        </w:rPr>
        <w:t>下表：</w:t>
      </w:r>
    </w:p>
    <w:p>
      <w:pPr>
        <w:bidi w:val="0"/>
        <w:spacing w:line="240" w:lineRule="auto"/>
        <w:ind w:left="0" w:leftChars="0" w:firstLine="0" w:firstLineChars="0"/>
        <w:rPr>
          <w:rFonts w:hint="eastAsia"/>
          <w:color w:val="auto"/>
          <w:highlight w:val="none"/>
          <w:lang w:eastAsia="zh-CN"/>
        </w:rPr>
      </w:pPr>
    </w:p>
    <w:p>
      <w:pPr>
        <w:bidi w:val="0"/>
        <w:spacing w:line="240" w:lineRule="auto"/>
        <w:ind w:left="0" w:leftChars="0" w:firstLine="0" w:firstLineChars="0"/>
        <w:jc w:val="center"/>
        <w:rPr>
          <w:color w:val="auto"/>
          <w:highlight w:val="none"/>
        </w:rPr>
      </w:pPr>
      <w:r>
        <w:rPr>
          <w:rFonts w:hint="eastAsia"/>
          <w:color w:val="auto"/>
          <w:highlight w:val="none"/>
          <w:lang w:eastAsia="zh-CN"/>
        </w:rPr>
        <w:t>表</w:t>
      </w:r>
      <w:r>
        <w:rPr>
          <w:rFonts w:hint="eastAsia"/>
          <w:color w:val="auto"/>
          <w:highlight w:val="none"/>
          <w:lang w:val="en-US" w:eastAsia="zh-CN"/>
        </w:rPr>
        <w:t xml:space="preserve">2.5.5.6-1  </w:t>
      </w:r>
      <w:r>
        <w:rPr>
          <w:color w:val="auto"/>
          <w:highlight w:val="none"/>
        </w:rPr>
        <w:t>主要建筑材料分年度供应量表</w:t>
      </w:r>
    </w:p>
    <w:tbl>
      <w:tblPr>
        <w:tblStyle w:val="20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132"/>
        <w:gridCol w:w="851"/>
        <w:gridCol w:w="1165"/>
        <w:gridCol w:w="1167"/>
        <w:gridCol w:w="1165"/>
        <w:gridCol w:w="1165"/>
        <w:gridCol w:w="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0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2"/>
                <w:szCs w:val="22"/>
                <w:highlight w:val="none"/>
              </w:rPr>
            </w:pPr>
            <w:r>
              <w:rPr>
                <w:color w:val="auto"/>
                <w:spacing w:val="-2"/>
                <w:sz w:val="22"/>
                <w:szCs w:val="22"/>
                <w:highlight w:val="none"/>
              </w:rPr>
              <w:t>材料名称</w:t>
            </w:r>
          </w:p>
        </w:tc>
        <w:tc>
          <w:tcPr>
            <w:tcW w:w="88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2"/>
                <w:szCs w:val="22"/>
                <w:highlight w:val="none"/>
              </w:rPr>
            </w:pPr>
            <w:r>
              <w:rPr>
                <w:color w:val="auto"/>
                <w:spacing w:val="-2"/>
                <w:sz w:val="22"/>
                <w:szCs w:val="22"/>
                <w:highlight w:val="none"/>
              </w:rPr>
              <w:t>单位</w:t>
            </w:r>
          </w:p>
        </w:tc>
        <w:tc>
          <w:tcPr>
            <w:tcW w:w="120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2"/>
                <w:szCs w:val="22"/>
                <w:highlight w:val="none"/>
              </w:rPr>
            </w:pPr>
            <w:r>
              <w:rPr>
                <w:rFonts w:ascii="Times New Roman" w:hAnsi="Times New Roman" w:eastAsia="Times New Roman" w:cs="Times New Roman"/>
                <w:color w:val="auto"/>
                <w:spacing w:val="-1"/>
                <w:sz w:val="22"/>
                <w:szCs w:val="22"/>
                <w:highlight w:val="none"/>
              </w:rPr>
              <w:t>2025</w:t>
            </w:r>
            <w:r>
              <w:rPr>
                <w:color w:val="auto"/>
                <w:spacing w:val="-1"/>
                <w:sz w:val="22"/>
                <w:szCs w:val="22"/>
                <w:highlight w:val="none"/>
              </w:rPr>
              <w:t>年</w:t>
            </w:r>
          </w:p>
        </w:tc>
        <w:tc>
          <w:tcPr>
            <w:tcW w:w="120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2"/>
                <w:szCs w:val="22"/>
                <w:highlight w:val="none"/>
              </w:rPr>
            </w:pPr>
            <w:r>
              <w:rPr>
                <w:rFonts w:ascii="Times New Roman" w:hAnsi="Times New Roman" w:eastAsia="Times New Roman" w:cs="Times New Roman"/>
                <w:color w:val="auto"/>
                <w:spacing w:val="-1"/>
                <w:sz w:val="22"/>
                <w:szCs w:val="22"/>
                <w:highlight w:val="none"/>
              </w:rPr>
              <w:t>2026</w:t>
            </w:r>
            <w:r>
              <w:rPr>
                <w:color w:val="auto"/>
                <w:spacing w:val="-1"/>
                <w:sz w:val="22"/>
                <w:szCs w:val="22"/>
                <w:highlight w:val="none"/>
              </w:rPr>
              <w:t>年</w:t>
            </w:r>
          </w:p>
        </w:tc>
        <w:tc>
          <w:tcPr>
            <w:tcW w:w="120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2"/>
                <w:szCs w:val="22"/>
                <w:highlight w:val="none"/>
              </w:rPr>
            </w:pPr>
            <w:r>
              <w:rPr>
                <w:rFonts w:ascii="Times New Roman" w:hAnsi="Times New Roman" w:eastAsia="Times New Roman" w:cs="Times New Roman"/>
                <w:color w:val="auto"/>
                <w:spacing w:val="-1"/>
                <w:sz w:val="22"/>
                <w:szCs w:val="22"/>
                <w:highlight w:val="none"/>
              </w:rPr>
              <w:t>2027</w:t>
            </w:r>
            <w:r>
              <w:rPr>
                <w:color w:val="auto"/>
                <w:spacing w:val="-1"/>
                <w:sz w:val="22"/>
                <w:szCs w:val="22"/>
                <w:highlight w:val="none"/>
              </w:rPr>
              <w:t>年</w:t>
            </w:r>
          </w:p>
        </w:tc>
        <w:tc>
          <w:tcPr>
            <w:tcW w:w="120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2"/>
                <w:szCs w:val="22"/>
                <w:highlight w:val="none"/>
              </w:rPr>
            </w:pPr>
            <w:r>
              <w:rPr>
                <w:rFonts w:ascii="Times New Roman" w:hAnsi="Times New Roman" w:eastAsia="Times New Roman" w:cs="Times New Roman"/>
                <w:color w:val="auto"/>
                <w:spacing w:val="-1"/>
                <w:sz w:val="22"/>
                <w:szCs w:val="22"/>
                <w:highlight w:val="none"/>
              </w:rPr>
              <w:t>2028</w:t>
            </w:r>
            <w:r>
              <w:rPr>
                <w:color w:val="auto"/>
                <w:spacing w:val="-1"/>
                <w:sz w:val="22"/>
                <w:szCs w:val="22"/>
                <w:highlight w:val="none"/>
              </w:rPr>
              <w:t>年</w:t>
            </w:r>
          </w:p>
        </w:tc>
        <w:tc>
          <w:tcPr>
            <w:tcW w:w="85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2"/>
                <w:szCs w:val="22"/>
                <w:highlight w:val="none"/>
              </w:rPr>
            </w:pPr>
            <w:r>
              <w:rPr>
                <w:color w:val="auto"/>
                <w:spacing w:val="-2"/>
                <w:sz w:val="22"/>
                <w:szCs w:val="22"/>
                <w:highlight w:val="none"/>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0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2"/>
                <w:szCs w:val="22"/>
                <w:highlight w:val="none"/>
              </w:rPr>
            </w:pPr>
            <w:r>
              <w:rPr>
                <w:color w:val="auto"/>
                <w:spacing w:val="-3"/>
                <w:sz w:val="22"/>
                <w:szCs w:val="22"/>
                <w:highlight w:val="none"/>
              </w:rPr>
              <w:t>水泥</w:t>
            </w:r>
          </w:p>
        </w:tc>
        <w:tc>
          <w:tcPr>
            <w:tcW w:w="88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color w:val="auto"/>
                <w:spacing w:val="-7"/>
                <w:sz w:val="22"/>
                <w:szCs w:val="22"/>
                <w:highlight w:val="none"/>
              </w:rPr>
              <w:t>万</w:t>
            </w:r>
            <w:r>
              <w:rPr>
                <w:color w:val="auto"/>
                <w:spacing w:val="-50"/>
                <w:sz w:val="22"/>
                <w:szCs w:val="22"/>
                <w:highlight w:val="none"/>
              </w:rPr>
              <w:t xml:space="preserve"> </w:t>
            </w:r>
            <w:r>
              <w:rPr>
                <w:rFonts w:ascii="Times New Roman" w:hAnsi="Times New Roman" w:eastAsia="Times New Roman" w:cs="Times New Roman"/>
                <w:color w:val="auto"/>
                <w:spacing w:val="-7"/>
                <w:sz w:val="22"/>
                <w:szCs w:val="22"/>
                <w:highlight w:val="none"/>
              </w:rPr>
              <w:t>t</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3.75</w:t>
            </w:r>
          </w:p>
        </w:tc>
        <w:tc>
          <w:tcPr>
            <w:tcW w:w="12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9.00</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3.01</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0.00</w:t>
            </w:r>
          </w:p>
        </w:tc>
        <w:tc>
          <w:tcPr>
            <w:tcW w:w="85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4"/>
                <w:sz w:val="22"/>
                <w:szCs w:val="22"/>
                <w:highlight w:val="none"/>
              </w:rPr>
              <w:t>15.76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0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2"/>
                <w:szCs w:val="22"/>
                <w:highlight w:val="none"/>
              </w:rPr>
            </w:pPr>
            <w:r>
              <w:rPr>
                <w:color w:val="auto"/>
                <w:spacing w:val="-2"/>
                <w:sz w:val="22"/>
                <w:szCs w:val="22"/>
                <w:highlight w:val="none"/>
              </w:rPr>
              <w:t>木材</w:t>
            </w:r>
          </w:p>
        </w:tc>
        <w:tc>
          <w:tcPr>
            <w:tcW w:w="88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color w:val="auto"/>
                <w:spacing w:val="-4"/>
                <w:position w:val="-1"/>
                <w:sz w:val="22"/>
                <w:szCs w:val="22"/>
                <w:highlight w:val="none"/>
              </w:rPr>
              <w:t>万</w:t>
            </w:r>
            <w:r>
              <w:rPr>
                <w:color w:val="auto"/>
                <w:spacing w:val="-49"/>
                <w:position w:val="-1"/>
                <w:sz w:val="22"/>
                <w:szCs w:val="22"/>
                <w:highlight w:val="none"/>
              </w:rPr>
              <w:t xml:space="preserve"> </w:t>
            </w:r>
            <w:r>
              <w:rPr>
                <w:rFonts w:hint="eastAsia" w:ascii="Times New Roman" w:hAnsi="Times New Roman" w:eastAsia="宋体" w:cs="Times New Roman"/>
                <w:color w:val="auto"/>
                <w:spacing w:val="-4"/>
                <w:position w:val="-1"/>
                <w:sz w:val="22"/>
                <w:szCs w:val="22"/>
                <w:highlight w:val="none"/>
                <w:lang w:val="en-US" w:eastAsia="zh-CN"/>
              </w:rPr>
              <w:t>m³</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0.04</w:t>
            </w:r>
          </w:p>
        </w:tc>
        <w:tc>
          <w:tcPr>
            <w:tcW w:w="12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0.09</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0.03</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0.00</w:t>
            </w:r>
          </w:p>
        </w:tc>
        <w:tc>
          <w:tcPr>
            <w:tcW w:w="85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0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2"/>
                <w:szCs w:val="22"/>
                <w:highlight w:val="none"/>
              </w:rPr>
            </w:pPr>
            <w:r>
              <w:rPr>
                <w:color w:val="auto"/>
                <w:spacing w:val="-2"/>
                <w:sz w:val="22"/>
                <w:szCs w:val="22"/>
                <w:highlight w:val="none"/>
              </w:rPr>
              <w:t>钢筋</w:t>
            </w:r>
          </w:p>
        </w:tc>
        <w:tc>
          <w:tcPr>
            <w:tcW w:w="88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color w:val="auto"/>
                <w:spacing w:val="-7"/>
                <w:sz w:val="22"/>
                <w:szCs w:val="22"/>
                <w:highlight w:val="none"/>
              </w:rPr>
              <w:t>万</w:t>
            </w:r>
            <w:r>
              <w:rPr>
                <w:color w:val="auto"/>
                <w:spacing w:val="-50"/>
                <w:sz w:val="22"/>
                <w:szCs w:val="22"/>
                <w:highlight w:val="none"/>
              </w:rPr>
              <w:t xml:space="preserve"> </w:t>
            </w:r>
            <w:r>
              <w:rPr>
                <w:rFonts w:ascii="Times New Roman" w:hAnsi="Times New Roman" w:eastAsia="Times New Roman" w:cs="Times New Roman"/>
                <w:color w:val="auto"/>
                <w:spacing w:val="-7"/>
                <w:sz w:val="22"/>
                <w:szCs w:val="22"/>
                <w:highlight w:val="none"/>
              </w:rPr>
              <w:t>t</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0.74</w:t>
            </w:r>
          </w:p>
        </w:tc>
        <w:tc>
          <w:tcPr>
            <w:tcW w:w="12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1.26</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0.55</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0.00</w:t>
            </w:r>
          </w:p>
        </w:tc>
        <w:tc>
          <w:tcPr>
            <w:tcW w:w="85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0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2"/>
                <w:szCs w:val="22"/>
                <w:highlight w:val="none"/>
              </w:rPr>
            </w:pPr>
            <w:r>
              <w:rPr>
                <w:color w:val="auto"/>
                <w:spacing w:val="-2"/>
                <w:sz w:val="22"/>
                <w:szCs w:val="22"/>
                <w:highlight w:val="none"/>
              </w:rPr>
              <w:t>钢材</w:t>
            </w:r>
          </w:p>
        </w:tc>
        <w:tc>
          <w:tcPr>
            <w:tcW w:w="88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color w:val="auto"/>
                <w:spacing w:val="-7"/>
                <w:sz w:val="22"/>
                <w:szCs w:val="22"/>
                <w:highlight w:val="none"/>
              </w:rPr>
              <w:t>万</w:t>
            </w:r>
            <w:r>
              <w:rPr>
                <w:color w:val="auto"/>
                <w:spacing w:val="-50"/>
                <w:sz w:val="22"/>
                <w:szCs w:val="22"/>
                <w:highlight w:val="none"/>
              </w:rPr>
              <w:t xml:space="preserve"> </w:t>
            </w:r>
            <w:r>
              <w:rPr>
                <w:rFonts w:ascii="Times New Roman" w:hAnsi="Times New Roman" w:eastAsia="Times New Roman" w:cs="Times New Roman"/>
                <w:color w:val="auto"/>
                <w:spacing w:val="-7"/>
                <w:sz w:val="22"/>
                <w:szCs w:val="22"/>
                <w:highlight w:val="none"/>
              </w:rPr>
              <w:t>t</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0.10</w:t>
            </w:r>
          </w:p>
        </w:tc>
        <w:tc>
          <w:tcPr>
            <w:tcW w:w="12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0.10</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0.15</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0.00</w:t>
            </w:r>
          </w:p>
        </w:tc>
        <w:tc>
          <w:tcPr>
            <w:tcW w:w="85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0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2"/>
                <w:szCs w:val="22"/>
                <w:highlight w:val="none"/>
              </w:rPr>
            </w:pPr>
            <w:r>
              <w:rPr>
                <w:color w:val="auto"/>
                <w:spacing w:val="-3"/>
                <w:sz w:val="22"/>
                <w:szCs w:val="22"/>
                <w:highlight w:val="none"/>
              </w:rPr>
              <w:t>油料</w:t>
            </w:r>
          </w:p>
        </w:tc>
        <w:tc>
          <w:tcPr>
            <w:tcW w:w="88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color w:val="auto"/>
                <w:spacing w:val="-7"/>
                <w:sz w:val="22"/>
                <w:szCs w:val="22"/>
                <w:highlight w:val="none"/>
              </w:rPr>
              <w:t>万</w:t>
            </w:r>
            <w:r>
              <w:rPr>
                <w:color w:val="auto"/>
                <w:spacing w:val="-50"/>
                <w:sz w:val="22"/>
                <w:szCs w:val="22"/>
                <w:highlight w:val="none"/>
              </w:rPr>
              <w:t xml:space="preserve"> </w:t>
            </w:r>
            <w:r>
              <w:rPr>
                <w:rFonts w:ascii="Times New Roman" w:hAnsi="Times New Roman" w:eastAsia="Times New Roman" w:cs="Times New Roman"/>
                <w:color w:val="auto"/>
                <w:spacing w:val="-7"/>
                <w:sz w:val="22"/>
                <w:szCs w:val="22"/>
                <w:highlight w:val="none"/>
              </w:rPr>
              <w:t>t</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0.29</w:t>
            </w:r>
          </w:p>
        </w:tc>
        <w:tc>
          <w:tcPr>
            <w:tcW w:w="12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0.15</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0.29</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0.03</w:t>
            </w:r>
          </w:p>
        </w:tc>
        <w:tc>
          <w:tcPr>
            <w:tcW w:w="85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0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2"/>
                <w:szCs w:val="22"/>
                <w:highlight w:val="none"/>
              </w:rPr>
            </w:pPr>
            <w:r>
              <w:rPr>
                <w:color w:val="auto"/>
                <w:spacing w:val="-2"/>
                <w:sz w:val="22"/>
                <w:szCs w:val="22"/>
                <w:highlight w:val="none"/>
              </w:rPr>
              <w:t>块石</w:t>
            </w:r>
          </w:p>
        </w:tc>
        <w:tc>
          <w:tcPr>
            <w:tcW w:w="88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color w:val="auto"/>
                <w:spacing w:val="-4"/>
                <w:position w:val="-1"/>
                <w:sz w:val="22"/>
                <w:szCs w:val="22"/>
                <w:highlight w:val="none"/>
              </w:rPr>
              <w:t>万</w:t>
            </w:r>
            <w:r>
              <w:rPr>
                <w:color w:val="auto"/>
                <w:spacing w:val="-49"/>
                <w:position w:val="-1"/>
                <w:sz w:val="22"/>
                <w:szCs w:val="22"/>
                <w:highlight w:val="none"/>
              </w:rPr>
              <w:t xml:space="preserve"> </w:t>
            </w:r>
            <w:r>
              <w:rPr>
                <w:rFonts w:hint="eastAsia" w:ascii="Times New Roman" w:hAnsi="Times New Roman" w:eastAsia="宋体" w:cs="Times New Roman"/>
                <w:color w:val="auto"/>
                <w:spacing w:val="-4"/>
                <w:position w:val="-1"/>
                <w:sz w:val="22"/>
                <w:szCs w:val="22"/>
                <w:highlight w:val="none"/>
                <w:lang w:val="en-US" w:eastAsia="zh-CN"/>
              </w:rPr>
              <w:t>m³</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6"/>
                <w:sz w:val="22"/>
                <w:szCs w:val="22"/>
                <w:highlight w:val="none"/>
              </w:rPr>
              <w:t>11.68</w:t>
            </w:r>
          </w:p>
        </w:tc>
        <w:tc>
          <w:tcPr>
            <w:tcW w:w="12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9.66</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22.50</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0.00</w:t>
            </w:r>
          </w:p>
        </w:tc>
        <w:tc>
          <w:tcPr>
            <w:tcW w:w="85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43.84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0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2"/>
                <w:szCs w:val="22"/>
                <w:highlight w:val="none"/>
              </w:rPr>
            </w:pPr>
            <w:r>
              <w:rPr>
                <w:color w:val="auto"/>
                <w:spacing w:val="-2"/>
                <w:sz w:val="22"/>
                <w:szCs w:val="22"/>
                <w:highlight w:val="none"/>
              </w:rPr>
              <w:t>二片石、碎石</w:t>
            </w:r>
          </w:p>
        </w:tc>
        <w:tc>
          <w:tcPr>
            <w:tcW w:w="88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color w:val="auto"/>
                <w:spacing w:val="-4"/>
                <w:position w:val="-1"/>
                <w:sz w:val="22"/>
                <w:szCs w:val="22"/>
                <w:highlight w:val="none"/>
              </w:rPr>
              <w:t>万</w:t>
            </w:r>
            <w:r>
              <w:rPr>
                <w:color w:val="auto"/>
                <w:spacing w:val="-49"/>
                <w:position w:val="-1"/>
                <w:sz w:val="22"/>
                <w:szCs w:val="22"/>
                <w:highlight w:val="none"/>
              </w:rPr>
              <w:t xml:space="preserve"> </w:t>
            </w:r>
            <w:r>
              <w:rPr>
                <w:rFonts w:hint="eastAsia" w:ascii="Times New Roman" w:hAnsi="Times New Roman" w:eastAsia="宋体" w:cs="Times New Roman"/>
                <w:color w:val="auto"/>
                <w:spacing w:val="-4"/>
                <w:position w:val="-1"/>
                <w:sz w:val="22"/>
                <w:szCs w:val="22"/>
                <w:highlight w:val="none"/>
                <w:lang w:val="en-US" w:eastAsia="zh-CN"/>
              </w:rPr>
              <w:t>m³</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2.83</w:t>
            </w:r>
          </w:p>
        </w:tc>
        <w:tc>
          <w:tcPr>
            <w:tcW w:w="12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6.79</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2.27</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0.00</w:t>
            </w:r>
          </w:p>
        </w:tc>
        <w:tc>
          <w:tcPr>
            <w:tcW w:w="85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6"/>
                <w:sz w:val="22"/>
                <w:szCs w:val="22"/>
                <w:highlight w:val="none"/>
              </w:rPr>
              <w:t>11.89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0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2"/>
                <w:szCs w:val="22"/>
                <w:highlight w:val="none"/>
              </w:rPr>
            </w:pPr>
            <w:r>
              <w:rPr>
                <w:color w:val="auto"/>
                <w:sz w:val="22"/>
                <w:szCs w:val="22"/>
                <w:highlight w:val="none"/>
              </w:rPr>
              <w:t>砂</w:t>
            </w:r>
          </w:p>
        </w:tc>
        <w:tc>
          <w:tcPr>
            <w:tcW w:w="88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color w:val="auto"/>
                <w:spacing w:val="-4"/>
                <w:position w:val="-1"/>
                <w:sz w:val="22"/>
                <w:szCs w:val="22"/>
                <w:highlight w:val="none"/>
              </w:rPr>
              <w:t>万</w:t>
            </w:r>
            <w:r>
              <w:rPr>
                <w:color w:val="auto"/>
                <w:spacing w:val="-49"/>
                <w:position w:val="-1"/>
                <w:sz w:val="22"/>
                <w:szCs w:val="22"/>
                <w:highlight w:val="none"/>
              </w:rPr>
              <w:t xml:space="preserve"> </w:t>
            </w:r>
            <w:r>
              <w:rPr>
                <w:rFonts w:hint="eastAsia" w:ascii="Times New Roman" w:hAnsi="Times New Roman" w:eastAsia="宋体" w:cs="Times New Roman"/>
                <w:color w:val="auto"/>
                <w:spacing w:val="-4"/>
                <w:position w:val="-1"/>
                <w:sz w:val="22"/>
                <w:szCs w:val="22"/>
                <w:highlight w:val="none"/>
                <w:lang w:val="en-US" w:eastAsia="zh-CN"/>
              </w:rPr>
              <w:t>m³</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0.71</w:t>
            </w:r>
          </w:p>
        </w:tc>
        <w:tc>
          <w:tcPr>
            <w:tcW w:w="12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1.71</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0.57</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0.00</w:t>
            </w:r>
          </w:p>
        </w:tc>
        <w:tc>
          <w:tcPr>
            <w:tcW w:w="85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2"/>
                <w:sz w:val="22"/>
                <w:szCs w:val="22"/>
                <w:highlight w:val="none"/>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0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2"/>
                <w:szCs w:val="22"/>
                <w:highlight w:val="none"/>
              </w:rPr>
            </w:pPr>
            <w:r>
              <w:rPr>
                <w:color w:val="auto"/>
                <w:spacing w:val="-1"/>
                <w:sz w:val="22"/>
                <w:szCs w:val="22"/>
                <w:highlight w:val="none"/>
              </w:rPr>
              <w:t>粉煤灰</w:t>
            </w:r>
          </w:p>
        </w:tc>
        <w:tc>
          <w:tcPr>
            <w:tcW w:w="88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color w:val="auto"/>
                <w:spacing w:val="-4"/>
                <w:position w:val="-1"/>
                <w:sz w:val="22"/>
                <w:szCs w:val="22"/>
                <w:highlight w:val="none"/>
              </w:rPr>
              <w:t>万</w:t>
            </w:r>
            <w:r>
              <w:rPr>
                <w:color w:val="auto"/>
                <w:spacing w:val="-49"/>
                <w:position w:val="-1"/>
                <w:sz w:val="22"/>
                <w:szCs w:val="22"/>
                <w:highlight w:val="none"/>
              </w:rPr>
              <w:t xml:space="preserve"> </w:t>
            </w:r>
            <w:r>
              <w:rPr>
                <w:rFonts w:hint="eastAsia" w:ascii="Times New Roman" w:hAnsi="Times New Roman" w:eastAsia="宋体" w:cs="Times New Roman"/>
                <w:color w:val="auto"/>
                <w:spacing w:val="-4"/>
                <w:position w:val="-1"/>
                <w:sz w:val="22"/>
                <w:szCs w:val="22"/>
                <w:highlight w:val="none"/>
                <w:lang w:val="en-US" w:eastAsia="zh-CN"/>
              </w:rPr>
              <w:t>m³</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0.41</w:t>
            </w:r>
          </w:p>
        </w:tc>
        <w:tc>
          <w:tcPr>
            <w:tcW w:w="12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0.99</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0.33</w:t>
            </w:r>
          </w:p>
        </w:tc>
        <w:tc>
          <w:tcPr>
            <w:tcW w:w="12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1"/>
                <w:sz w:val="22"/>
                <w:szCs w:val="22"/>
                <w:highlight w:val="none"/>
              </w:rPr>
              <w:t>0.00</w:t>
            </w:r>
          </w:p>
        </w:tc>
        <w:tc>
          <w:tcPr>
            <w:tcW w:w="85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2"/>
                <w:szCs w:val="22"/>
                <w:highlight w:val="none"/>
              </w:rPr>
            </w:pPr>
            <w:r>
              <w:rPr>
                <w:rFonts w:ascii="Times New Roman" w:hAnsi="Times New Roman" w:eastAsia="Times New Roman" w:cs="Times New Roman"/>
                <w:color w:val="auto"/>
                <w:spacing w:val="-5"/>
                <w:sz w:val="22"/>
                <w:szCs w:val="22"/>
                <w:highlight w:val="none"/>
              </w:rPr>
              <w:t>1.72</w:t>
            </w:r>
          </w:p>
        </w:tc>
      </w:tr>
    </w:tbl>
    <w:p>
      <w:pPr>
        <w:pStyle w:val="7"/>
        <w:spacing w:line="240" w:lineRule="auto"/>
        <w:rPr>
          <w:rFonts w:hint="eastAsia"/>
          <w:color w:val="auto"/>
          <w:highlight w:val="none"/>
          <w:lang w:eastAsia="zh-CN"/>
        </w:rPr>
      </w:pP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）主要施工机械设备</w:t>
      </w:r>
    </w:p>
    <w:p>
      <w:pPr>
        <w:bidi w:val="0"/>
        <w:rPr>
          <w:rFonts w:hint="eastAsia"/>
          <w:color w:val="auto"/>
          <w:highlight w:val="none"/>
          <w:lang w:eastAsia="zh-CN"/>
        </w:rPr>
      </w:pPr>
      <w:r>
        <w:rPr>
          <w:rFonts w:hint="eastAsia"/>
          <w:color w:val="auto"/>
          <w:highlight w:val="none"/>
          <w:lang w:eastAsia="zh-CN"/>
        </w:rPr>
        <w:t>本工程所需主要施工机械设备见下表：</w:t>
      </w:r>
    </w:p>
    <w:p>
      <w:pPr>
        <w:bidi w:val="0"/>
        <w:spacing w:line="240" w:lineRule="auto"/>
        <w:rPr>
          <w:rFonts w:hint="eastAsia"/>
          <w:color w:val="auto"/>
          <w:highlight w:val="none"/>
          <w:lang w:eastAsia="zh-CN"/>
        </w:rPr>
      </w:pPr>
    </w:p>
    <w:p>
      <w:pPr>
        <w:bidi w:val="0"/>
        <w:spacing w:line="240" w:lineRule="auto"/>
        <w:ind w:left="0" w:leftChars="0" w:firstLine="0" w:firstLineChars="0"/>
        <w:jc w:val="center"/>
        <w:rPr>
          <w:rFonts w:hint="eastAsia"/>
          <w:color w:val="auto"/>
          <w:highlight w:val="none"/>
          <w:lang w:eastAsia="zh-CN"/>
        </w:rPr>
      </w:pPr>
      <w:r>
        <w:rPr>
          <w:rFonts w:hint="eastAsia"/>
          <w:color w:val="auto"/>
          <w:highlight w:val="none"/>
          <w:lang w:eastAsia="zh-CN"/>
        </w:rPr>
        <w:t>表</w:t>
      </w:r>
      <w:r>
        <w:rPr>
          <w:rFonts w:hint="eastAsia"/>
          <w:color w:val="auto"/>
          <w:highlight w:val="none"/>
          <w:lang w:val="en-US" w:eastAsia="zh-CN"/>
        </w:rPr>
        <w:t xml:space="preserve">2.5.5.6-2  </w:t>
      </w:r>
      <w:r>
        <w:rPr>
          <w:rFonts w:hint="eastAsia"/>
          <w:color w:val="auto"/>
          <w:highlight w:val="none"/>
          <w:lang w:eastAsia="zh-CN"/>
        </w:rPr>
        <w:t>土石方开挖、填筑主要施工设备表</w:t>
      </w:r>
    </w:p>
    <w:tbl>
      <w:tblPr>
        <w:tblStyle w:val="20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66"/>
        <w:gridCol w:w="1691"/>
        <w:gridCol w:w="4205"/>
        <w:gridCol w:w="851"/>
        <w:gridCol w:w="8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序号</w:t>
            </w:r>
          </w:p>
        </w:tc>
        <w:tc>
          <w:tcPr>
            <w:tcW w:w="169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名称</w:t>
            </w:r>
          </w:p>
        </w:tc>
        <w:tc>
          <w:tcPr>
            <w:tcW w:w="421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规格及型号</w:t>
            </w:r>
          </w:p>
        </w:tc>
        <w:tc>
          <w:tcPr>
            <w:tcW w:w="85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单位</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7"/>
                <w:sz w:val="22"/>
                <w:szCs w:val="22"/>
                <w:highlight w:val="none"/>
                <w:lang w:eastAsia="zh-CN"/>
              </w:rPr>
            </w:pPr>
            <w:r>
              <w:rPr>
                <w:rFonts w:hint="eastAsia" w:ascii="Times New Roman" w:hAnsi="Times New Roman" w:cs="Times New Roman"/>
                <w:color w:val="auto"/>
                <w:spacing w:val="-7"/>
                <w:sz w:val="22"/>
                <w:szCs w:val="22"/>
                <w:highlight w:val="none"/>
                <w:lang w:eastAsia="zh-CN"/>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w:t>
            </w:r>
          </w:p>
        </w:tc>
        <w:tc>
          <w:tcPr>
            <w:tcW w:w="169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挖掘机</w:t>
            </w:r>
          </w:p>
        </w:tc>
        <w:tc>
          <w:tcPr>
            <w:tcW w:w="421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7"/>
                <w:sz w:val="22"/>
                <w:szCs w:val="22"/>
                <w:highlight w:val="none"/>
                <w:lang w:val="en-US" w:eastAsia="zh-CN"/>
              </w:rPr>
            </w:pPr>
            <w:r>
              <w:rPr>
                <w:rFonts w:hint="default" w:ascii="Times New Roman" w:hAnsi="Times New Roman" w:cs="Times New Roman"/>
                <w:color w:val="auto"/>
                <w:spacing w:val="-7"/>
                <w:sz w:val="22"/>
                <w:szCs w:val="22"/>
                <w:highlight w:val="none"/>
              </w:rPr>
              <w:t>P220 1.0</w:t>
            </w:r>
            <w:r>
              <w:rPr>
                <w:rFonts w:hint="eastAsia" w:ascii="Times New Roman" w:hAnsi="Times New Roman" w:cs="Times New Roman"/>
                <w:color w:val="auto"/>
                <w:spacing w:val="-7"/>
                <w:sz w:val="22"/>
                <w:szCs w:val="22"/>
                <w:highlight w:val="none"/>
                <w:lang w:val="en-US" w:eastAsia="zh-CN"/>
              </w:rPr>
              <w:t>m³</w:t>
            </w:r>
          </w:p>
        </w:tc>
        <w:tc>
          <w:tcPr>
            <w:tcW w:w="85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c>
          <w:tcPr>
            <w:tcW w:w="169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挖掘机</w:t>
            </w:r>
          </w:p>
        </w:tc>
        <w:tc>
          <w:tcPr>
            <w:tcW w:w="421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EX350</w:t>
            </w:r>
          </w:p>
        </w:tc>
        <w:tc>
          <w:tcPr>
            <w:tcW w:w="85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3</w:t>
            </w:r>
          </w:p>
        </w:tc>
        <w:tc>
          <w:tcPr>
            <w:tcW w:w="169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挖掘机</w:t>
            </w:r>
          </w:p>
        </w:tc>
        <w:tc>
          <w:tcPr>
            <w:tcW w:w="421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PC200-5</w:t>
            </w:r>
            <w:r>
              <w:rPr>
                <w:rFonts w:hint="eastAsia" w:ascii="Times New Roman" w:hAnsi="Times New Roman" w:cs="Times New Roman"/>
                <w:color w:val="auto"/>
                <w:spacing w:val="-7"/>
                <w:sz w:val="22"/>
                <w:szCs w:val="22"/>
                <w:highlight w:val="none"/>
                <w:lang w:val="en-US" w:eastAsia="zh-CN"/>
              </w:rPr>
              <w:t xml:space="preserve"> </w:t>
            </w:r>
            <w:r>
              <w:rPr>
                <w:rFonts w:hint="default" w:ascii="Times New Roman" w:hAnsi="Times New Roman" w:cs="Times New Roman"/>
                <w:color w:val="auto"/>
                <w:spacing w:val="-7"/>
                <w:sz w:val="22"/>
                <w:szCs w:val="22"/>
                <w:highlight w:val="none"/>
              </w:rPr>
              <w:t>0.5</w:t>
            </w:r>
            <w:r>
              <w:rPr>
                <w:rFonts w:hint="eastAsia" w:ascii="Times New Roman" w:hAnsi="Times New Roman" w:cs="Times New Roman"/>
                <w:color w:val="auto"/>
                <w:spacing w:val="-7"/>
                <w:sz w:val="22"/>
                <w:szCs w:val="22"/>
                <w:highlight w:val="none"/>
                <w:lang w:val="en-US" w:eastAsia="zh-CN"/>
              </w:rPr>
              <w:t>m³</w:t>
            </w:r>
            <w:r>
              <w:rPr>
                <w:rFonts w:hint="default" w:ascii="Times New Roman" w:hAnsi="Times New Roman" w:cs="Times New Roman"/>
                <w:color w:val="auto"/>
                <w:spacing w:val="-7"/>
                <w:sz w:val="22"/>
                <w:szCs w:val="22"/>
                <w:highlight w:val="none"/>
              </w:rPr>
              <w:t>/155HP（长臂）</w:t>
            </w:r>
          </w:p>
        </w:tc>
        <w:tc>
          <w:tcPr>
            <w:tcW w:w="85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4</w:t>
            </w:r>
          </w:p>
        </w:tc>
        <w:tc>
          <w:tcPr>
            <w:tcW w:w="169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装载机</w:t>
            </w:r>
          </w:p>
        </w:tc>
        <w:tc>
          <w:tcPr>
            <w:tcW w:w="421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ZL50</w:t>
            </w:r>
          </w:p>
        </w:tc>
        <w:tc>
          <w:tcPr>
            <w:tcW w:w="85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5</w:t>
            </w:r>
          </w:p>
        </w:tc>
        <w:tc>
          <w:tcPr>
            <w:tcW w:w="169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推土机</w:t>
            </w:r>
          </w:p>
        </w:tc>
        <w:tc>
          <w:tcPr>
            <w:tcW w:w="421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7"/>
                <w:sz w:val="22"/>
                <w:szCs w:val="22"/>
                <w:highlight w:val="none"/>
                <w:lang w:eastAsia="zh-CN"/>
              </w:rPr>
            </w:pPr>
            <w:r>
              <w:rPr>
                <w:rFonts w:hint="default" w:ascii="Times New Roman" w:hAnsi="Times New Roman" w:cs="Times New Roman"/>
                <w:color w:val="auto"/>
                <w:spacing w:val="-7"/>
                <w:sz w:val="22"/>
                <w:szCs w:val="22"/>
                <w:highlight w:val="none"/>
              </w:rPr>
              <w:t>D60 155</w:t>
            </w:r>
            <w:r>
              <w:rPr>
                <w:rFonts w:hint="eastAsia" w:ascii="Times New Roman" w:hAnsi="Times New Roman" w:cs="Times New Roman"/>
                <w:color w:val="auto"/>
                <w:spacing w:val="-7"/>
                <w:sz w:val="22"/>
                <w:szCs w:val="22"/>
                <w:highlight w:val="none"/>
                <w:shd w:val="clear" w:fill="FFFFFF"/>
                <w:lang w:eastAsia="zh-CN"/>
              </w:rPr>
              <w:t>kW</w:t>
            </w:r>
          </w:p>
        </w:tc>
        <w:tc>
          <w:tcPr>
            <w:tcW w:w="85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6</w:t>
            </w:r>
          </w:p>
        </w:tc>
        <w:tc>
          <w:tcPr>
            <w:tcW w:w="169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自卸汽车</w:t>
            </w:r>
          </w:p>
        </w:tc>
        <w:tc>
          <w:tcPr>
            <w:tcW w:w="421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20t</w:t>
            </w:r>
          </w:p>
        </w:tc>
        <w:tc>
          <w:tcPr>
            <w:tcW w:w="85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7</w:t>
            </w:r>
          </w:p>
        </w:tc>
        <w:tc>
          <w:tcPr>
            <w:tcW w:w="169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手风钻</w:t>
            </w:r>
          </w:p>
        </w:tc>
        <w:tc>
          <w:tcPr>
            <w:tcW w:w="421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7655</w:t>
            </w:r>
          </w:p>
        </w:tc>
        <w:tc>
          <w:tcPr>
            <w:tcW w:w="85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8</w:t>
            </w:r>
          </w:p>
        </w:tc>
        <w:tc>
          <w:tcPr>
            <w:tcW w:w="169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浅孔钻</w:t>
            </w:r>
          </w:p>
        </w:tc>
        <w:tc>
          <w:tcPr>
            <w:tcW w:w="421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CLQ-80</w:t>
            </w:r>
          </w:p>
        </w:tc>
        <w:tc>
          <w:tcPr>
            <w:tcW w:w="85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9</w:t>
            </w:r>
          </w:p>
        </w:tc>
        <w:tc>
          <w:tcPr>
            <w:tcW w:w="169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空气压缩机</w:t>
            </w:r>
          </w:p>
        </w:tc>
        <w:tc>
          <w:tcPr>
            <w:tcW w:w="421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7"/>
                <w:sz w:val="22"/>
                <w:szCs w:val="22"/>
                <w:highlight w:val="none"/>
                <w:lang w:val="en-US" w:eastAsia="zh-CN"/>
              </w:rPr>
            </w:pPr>
            <w:r>
              <w:rPr>
                <w:rFonts w:hint="default" w:ascii="Times New Roman" w:hAnsi="Times New Roman" w:cs="Times New Roman"/>
                <w:color w:val="auto"/>
                <w:spacing w:val="-7"/>
                <w:sz w:val="22"/>
                <w:szCs w:val="22"/>
                <w:highlight w:val="none"/>
              </w:rPr>
              <w:t>VY-9/7    9</w:t>
            </w:r>
            <w:r>
              <w:rPr>
                <w:rFonts w:hint="eastAsia" w:ascii="Times New Roman" w:hAnsi="Times New Roman" w:cs="Times New Roman"/>
                <w:color w:val="auto"/>
                <w:spacing w:val="-7"/>
                <w:sz w:val="22"/>
                <w:szCs w:val="22"/>
                <w:highlight w:val="none"/>
                <w:lang w:val="en-US" w:eastAsia="zh-CN"/>
              </w:rPr>
              <w:t>m³</w:t>
            </w:r>
          </w:p>
        </w:tc>
        <w:tc>
          <w:tcPr>
            <w:tcW w:w="85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10</w:t>
            </w:r>
          </w:p>
        </w:tc>
        <w:tc>
          <w:tcPr>
            <w:tcW w:w="169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振动压路机</w:t>
            </w:r>
          </w:p>
        </w:tc>
        <w:tc>
          <w:tcPr>
            <w:tcW w:w="421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YZ-18</w:t>
            </w:r>
          </w:p>
        </w:tc>
        <w:tc>
          <w:tcPr>
            <w:tcW w:w="85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11</w:t>
            </w:r>
          </w:p>
        </w:tc>
        <w:tc>
          <w:tcPr>
            <w:tcW w:w="169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光轮压路机</w:t>
            </w:r>
          </w:p>
        </w:tc>
        <w:tc>
          <w:tcPr>
            <w:tcW w:w="421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12~15t</w:t>
            </w:r>
          </w:p>
        </w:tc>
        <w:tc>
          <w:tcPr>
            <w:tcW w:w="85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12</w:t>
            </w:r>
          </w:p>
        </w:tc>
        <w:tc>
          <w:tcPr>
            <w:tcW w:w="169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立式打夯机</w:t>
            </w:r>
          </w:p>
        </w:tc>
        <w:tc>
          <w:tcPr>
            <w:tcW w:w="421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7"/>
                <w:sz w:val="22"/>
                <w:szCs w:val="22"/>
                <w:highlight w:val="none"/>
                <w:lang w:eastAsia="zh-CN"/>
              </w:rPr>
            </w:pPr>
            <w:r>
              <w:rPr>
                <w:rFonts w:hint="default" w:ascii="Times New Roman" w:hAnsi="Times New Roman" w:cs="Times New Roman"/>
                <w:color w:val="auto"/>
                <w:spacing w:val="-7"/>
                <w:sz w:val="22"/>
                <w:szCs w:val="22"/>
                <w:highlight w:val="none"/>
              </w:rPr>
              <w:t>2.8</w:t>
            </w:r>
            <w:r>
              <w:rPr>
                <w:rFonts w:hint="eastAsia" w:ascii="Times New Roman" w:hAnsi="Times New Roman" w:cs="Times New Roman"/>
                <w:color w:val="auto"/>
                <w:spacing w:val="-7"/>
                <w:sz w:val="22"/>
                <w:szCs w:val="22"/>
                <w:highlight w:val="none"/>
                <w:shd w:val="clear" w:fill="FFFFFF"/>
                <w:lang w:eastAsia="zh-CN"/>
              </w:rPr>
              <w:t>kW</w:t>
            </w:r>
          </w:p>
        </w:tc>
        <w:tc>
          <w:tcPr>
            <w:tcW w:w="85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bl>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lang w:val="en-US" w:eastAsia="zh-CN"/>
        </w:rPr>
      </w:pP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6"/>
          <w:szCs w:val="26"/>
          <w:highlight w:val="none"/>
          <w:lang w:val="en-US" w:eastAsia="zh-CN"/>
        </w:rPr>
      </w:pPr>
      <w:r>
        <w:rPr>
          <w:rFonts w:hint="eastAsia" w:ascii="Times New Roman" w:hAnsi="Times New Roman" w:cs="Times New Roman"/>
          <w:color w:val="auto"/>
          <w:spacing w:val="-7"/>
          <w:sz w:val="26"/>
          <w:szCs w:val="26"/>
          <w:highlight w:val="none"/>
          <w:lang w:val="en-US" w:eastAsia="zh-CN"/>
        </w:rPr>
        <w:t xml:space="preserve">表2.5.5.6-3  </w:t>
      </w:r>
      <w:r>
        <w:rPr>
          <w:rFonts w:hint="default" w:ascii="Times New Roman" w:hAnsi="Times New Roman" w:cs="Times New Roman"/>
          <w:color w:val="auto"/>
          <w:spacing w:val="-7"/>
          <w:sz w:val="26"/>
          <w:szCs w:val="26"/>
          <w:highlight w:val="none"/>
          <w:lang w:val="en-US" w:eastAsia="zh-CN"/>
        </w:rPr>
        <w:t>基础处理主要施工设备表</w:t>
      </w:r>
    </w:p>
    <w:tbl>
      <w:tblPr>
        <w:tblStyle w:val="209"/>
        <w:tblW w:w="486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60"/>
        <w:gridCol w:w="2608"/>
        <w:gridCol w:w="3032"/>
        <w:gridCol w:w="946"/>
        <w:gridCol w:w="9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5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序号</w:t>
            </w:r>
          </w:p>
        </w:tc>
        <w:tc>
          <w:tcPr>
            <w:tcW w:w="260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名称</w:t>
            </w:r>
          </w:p>
        </w:tc>
        <w:tc>
          <w:tcPr>
            <w:tcW w:w="302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规格及型号</w:t>
            </w:r>
          </w:p>
        </w:tc>
        <w:tc>
          <w:tcPr>
            <w:tcW w:w="9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单位</w:t>
            </w:r>
          </w:p>
        </w:tc>
        <w:tc>
          <w:tcPr>
            <w:tcW w:w="94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5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w:t>
            </w:r>
          </w:p>
        </w:tc>
        <w:tc>
          <w:tcPr>
            <w:tcW w:w="260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回转式钻机</w:t>
            </w:r>
          </w:p>
        </w:tc>
        <w:tc>
          <w:tcPr>
            <w:tcW w:w="302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GPS-10</w:t>
            </w:r>
          </w:p>
        </w:tc>
        <w:tc>
          <w:tcPr>
            <w:tcW w:w="9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4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5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c>
          <w:tcPr>
            <w:tcW w:w="260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冲孔桩机</w:t>
            </w:r>
          </w:p>
        </w:tc>
        <w:tc>
          <w:tcPr>
            <w:tcW w:w="302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SLZ-300</w:t>
            </w:r>
          </w:p>
        </w:tc>
        <w:tc>
          <w:tcPr>
            <w:tcW w:w="9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4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5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3</w:t>
            </w:r>
          </w:p>
        </w:tc>
        <w:tc>
          <w:tcPr>
            <w:tcW w:w="260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地质钻机</w:t>
            </w:r>
          </w:p>
        </w:tc>
        <w:tc>
          <w:tcPr>
            <w:tcW w:w="302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SGZ-Ⅲ型</w:t>
            </w:r>
          </w:p>
        </w:tc>
        <w:tc>
          <w:tcPr>
            <w:tcW w:w="9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4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5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4</w:t>
            </w:r>
          </w:p>
        </w:tc>
        <w:tc>
          <w:tcPr>
            <w:tcW w:w="260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泥浆搅拌机</w:t>
            </w:r>
          </w:p>
        </w:tc>
        <w:tc>
          <w:tcPr>
            <w:tcW w:w="302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容量 100L~300L</w:t>
            </w:r>
          </w:p>
        </w:tc>
        <w:tc>
          <w:tcPr>
            <w:tcW w:w="9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4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5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5</w:t>
            </w:r>
          </w:p>
        </w:tc>
        <w:tc>
          <w:tcPr>
            <w:tcW w:w="260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灌浆机</w:t>
            </w:r>
          </w:p>
        </w:tc>
        <w:tc>
          <w:tcPr>
            <w:tcW w:w="302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110/60</w:t>
            </w:r>
          </w:p>
        </w:tc>
        <w:tc>
          <w:tcPr>
            <w:tcW w:w="9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4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5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6</w:t>
            </w:r>
          </w:p>
        </w:tc>
        <w:tc>
          <w:tcPr>
            <w:tcW w:w="260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灰浆泵</w:t>
            </w:r>
          </w:p>
        </w:tc>
        <w:tc>
          <w:tcPr>
            <w:tcW w:w="302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DW-150</w:t>
            </w:r>
          </w:p>
        </w:tc>
        <w:tc>
          <w:tcPr>
            <w:tcW w:w="94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48"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5</w:t>
            </w:r>
          </w:p>
        </w:tc>
      </w:tr>
    </w:tbl>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lang w:val="en-US" w:eastAsia="zh-CN"/>
        </w:rPr>
      </w:pP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6"/>
          <w:szCs w:val="26"/>
          <w:highlight w:val="none"/>
          <w:lang w:val="en-US" w:eastAsia="zh-CN"/>
        </w:rPr>
      </w:pPr>
      <w:r>
        <w:rPr>
          <w:rFonts w:hint="eastAsia" w:ascii="Times New Roman" w:hAnsi="Times New Roman" w:cs="Times New Roman"/>
          <w:color w:val="auto"/>
          <w:spacing w:val="-7"/>
          <w:sz w:val="26"/>
          <w:szCs w:val="26"/>
          <w:highlight w:val="none"/>
          <w:lang w:val="en-US" w:eastAsia="zh-CN"/>
        </w:rPr>
        <w:t>表2.5.5.6-4  混凝土生产与骨料加工系统主要设备表</w:t>
      </w:r>
    </w:p>
    <w:tbl>
      <w:tblPr>
        <w:tblStyle w:val="20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82"/>
        <w:gridCol w:w="3154"/>
        <w:gridCol w:w="2119"/>
        <w:gridCol w:w="1062"/>
        <w:gridCol w:w="1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序号</w:t>
            </w:r>
          </w:p>
        </w:tc>
        <w:tc>
          <w:tcPr>
            <w:tcW w:w="25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名称</w:t>
            </w:r>
          </w:p>
        </w:tc>
        <w:tc>
          <w:tcPr>
            <w:tcW w:w="172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规格及型号</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单位</w:t>
            </w:r>
          </w:p>
        </w:tc>
        <w:tc>
          <w:tcPr>
            <w:tcW w:w="8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w:t>
            </w:r>
          </w:p>
        </w:tc>
        <w:tc>
          <w:tcPr>
            <w:tcW w:w="25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7"/>
                <w:sz w:val="22"/>
                <w:szCs w:val="22"/>
                <w:highlight w:val="none"/>
              </w:rPr>
            </w:pPr>
            <w:r>
              <w:rPr>
                <w:rFonts w:hint="default" w:ascii="Times New Roman" w:hAnsi="Times New Roman" w:eastAsia="宋体" w:cs="Times New Roman"/>
                <w:color w:val="auto"/>
                <w:spacing w:val="-7"/>
                <w:sz w:val="22"/>
                <w:szCs w:val="22"/>
                <w:highlight w:val="none"/>
              </w:rPr>
              <w:t>砼拌楼</w:t>
            </w:r>
          </w:p>
        </w:tc>
        <w:tc>
          <w:tcPr>
            <w:tcW w:w="172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7"/>
                <w:sz w:val="22"/>
                <w:szCs w:val="22"/>
                <w:highlight w:val="none"/>
                <w:lang w:val="en-US" w:eastAsia="zh-CN"/>
              </w:rPr>
            </w:pPr>
            <w:r>
              <w:rPr>
                <w:rFonts w:hint="default" w:ascii="Times New Roman" w:hAnsi="Times New Roman" w:cs="Times New Roman"/>
                <w:color w:val="auto"/>
                <w:spacing w:val="-7"/>
                <w:sz w:val="22"/>
                <w:szCs w:val="22"/>
                <w:highlight w:val="none"/>
              </w:rPr>
              <w:t>3</w:t>
            </w:r>
            <w:r>
              <w:rPr>
                <w:rFonts w:hint="eastAsia" w:ascii="Times New Roman" w:hAnsi="Times New Roman" w:cs="Times New Roman"/>
                <w:color w:val="auto"/>
                <w:spacing w:val="-7"/>
                <w:sz w:val="22"/>
                <w:szCs w:val="22"/>
                <w:highlight w:val="none"/>
                <w:lang w:val="en-US" w:eastAsia="zh-CN"/>
              </w:rPr>
              <w:t>m³</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c>
          <w:tcPr>
            <w:tcW w:w="25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7"/>
                <w:sz w:val="22"/>
                <w:szCs w:val="22"/>
                <w:highlight w:val="none"/>
              </w:rPr>
            </w:pPr>
            <w:r>
              <w:rPr>
                <w:rFonts w:hint="default" w:ascii="Times New Roman" w:hAnsi="Times New Roman" w:eastAsia="宋体" w:cs="Times New Roman"/>
                <w:color w:val="auto"/>
                <w:spacing w:val="-7"/>
                <w:sz w:val="22"/>
                <w:szCs w:val="22"/>
                <w:highlight w:val="none"/>
              </w:rPr>
              <w:t>砼泵</w:t>
            </w:r>
          </w:p>
        </w:tc>
        <w:tc>
          <w:tcPr>
            <w:tcW w:w="172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HBT-60</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3</w:t>
            </w:r>
          </w:p>
        </w:tc>
        <w:tc>
          <w:tcPr>
            <w:tcW w:w="25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7"/>
                <w:sz w:val="22"/>
                <w:szCs w:val="22"/>
                <w:highlight w:val="none"/>
              </w:rPr>
            </w:pPr>
            <w:r>
              <w:rPr>
                <w:rFonts w:hint="default" w:ascii="Times New Roman" w:hAnsi="Times New Roman" w:eastAsia="宋体" w:cs="Times New Roman"/>
                <w:color w:val="auto"/>
                <w:spacing w:val="-7"/>
                <w:sz w:val="22"/>
                <w:szCs w:val="22"/>
                <w:highlight w:val="none"/>
              </w:rPr>
              <w:t>移动式搅拌机</w:t>
            </w:r>
          </w:p>
        </w:tc>
        <w:tc>
          <w:tcPr>
            <w:tcW w:w="172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0.4m3</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4</w:t>
            </w:r>
          </w:p>
        </w:tc>
        <w:tc>
          <w:tcPr>
            <w:tcW w:w="25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7"/>
                <w:sz w:val="22"/>
                <w:szCs w:val="22"/>
                <w:highlight w:val="none"/>
              </w:rPr>
            </w:pPr>
            <w:r>
              <w:rPr>
                <w:rFonts w:hint="default" w:ascii="Times New Roman" w:hAnsi="Times New Roman" w:eastAsia="宋体" w:cs="Times New Roman"/>
                <w:color w:val="auto"/>
                <w:spacing w:val="-7"/>
                <w:sz w:val="22"/>
                <w:szCs w:val="22"/>
                <w:highlight w:val="none"/>
              </w:rPr>
              <w:t>插入式高频</w:t>
            </w:r>
            <w:r>
              <w:rPr>
                <w:rFonts w:hint="eastAsia" w:ascii="Times New Roman" w:hAnsi="Times New Roman" w:eastAsia="宋体" w:cs="Times New Roman"/>
                <w:color w:val="auto"/>
                <w:spacing w:val="-7"/>
                <w:sz w:val="22"/>
                <w:szCs w:val="22"/>
                <w:highlight w:val="none"/>
                <w:lang w:eastAsia="zh-CN"/>
              </w:rPr>
              <w:t>振捣</w:t>
            </w:r>
            <w:r>
              <w:rPr>
                <w:rFonts w:hint="default" w:ascii="Times New Roman" w:hAnsi="Times New Roman" w:eastAsia="宋体" w:cs="Times New Roman"/>
                <w:color w:val="auto"/>
                <w:spacing w:val="-7"/>
                <w:sz w:val="22"/>
                <w:szCs w:val="22"/>
                <w:highlight w:val="none"/>
              </w:rPr>
              <w:t>器</w:t>
            </w:r>
          </w:p>
        </w:tc>
        <w:tc>
          <w:tcPr>
            <w:tcW w:w="172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（4.5kW）</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5</w:t>
            </w:r>
          </w:p>
        </w:tc>
        <w:tc>
          <w:tcPr>
            <w:tcW w:w="25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7"/>
                <w:sz w:val="22"/>
                <w:szCs w:val="22"/>
                <w:highlight w:val="none"/>
              </w:rPr>
            </w:pPr>
            <w:r>
              <w:rPr>
                <w:rFonts w:hint="default" w:ascii="Times New Roman" w:hAnsi="Times New Roman" w:eastAsia="宋体" w:cs="Times New Roman"/>
                <w:color w:val="auto"/>
                <w:spacing w:val="-7"/>
                <w:sz w:val="22"/>
                <w:szCs w:val="22"/>
                <w:highlight w:val="none"/>
              </w:rPr>
              <w:t>平板振</w:t>
            </w:r>
            <w:r>
              <w:rPr>
                <w:rFonts w:hint="eastAsia" w:ascii="Times New Roman" w:hAnsi="Times New Roman" w:eastAsia="宋体" w:cs="Times New Roman"/>
                <w:color w:val="auto"/>
                <w:spacing w:val="-7"/>
                <w:sz w:val="22"/>
                <w:szCs w:val="22"/>
                <w:highlight w:val="none"/>
                <w:lang w:eastAsia="zh-CN"/>
              </w:rPr>
              <w:t>振捣</w:t>
            </w:r>
            <w:r>
              <w:rPr>
                <w:rFonts w:hint="default" w:ascii="Times New Roman" w:hAnsi="Times New Roman" w:eastAsia="宋体" w:cs="Times New Roman"/>
                <w:color w:val="auto"/>
                <w:spacing w:val="-7"/>
                <w:sz w:val="22"/>
                <w:szCs w:val="22"/>
                <w:highlight w:val="none"/>
              </w:rPr>
              <w:t>器</w:t>
            </w:r>
          </w:p>
        </w:tc>
        <w:tc>
          <w:tcPr>
            <w:tcW w:w="172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（1.1kW）</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6</w:t>
            </w:r>
          </w:p>
        </w:tc>
        <w:tc>
          <w:tcPr>
            <w:tcW w:w="25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7"/>
                <w:sz w:val="22"/>
                <w:szCs w:val="22"/>
                <w:highlight w:val="none"/>
              </w:rPr>
            </w:pPr>
            <w:r>
              <w:rPr>
                <w:rFonts w:hint="default" w:ascii="Times New Roman" w:hAnsi="Times New Roman" w:eastAsia="宋体" w:cs="Times New Roman"/>
                <w:color w:val="auto"/>
                <w:spacing w:val="-7"/>
                <w:sz w:val="22"/>
                <w:szCs w:val="22"/>
                <w:highlight w:val="none"/>
              </w:rPr>
              <w:t>插入式软轴</w:t>
            </w:r>
            <w:r>
              <w:rPr>
                <w:rFonts w:hint="eastAsia" w:ascii="Times New Roman" w:hAnsi="Times New Roman" w:eastAsia="宋体" w:cs="Times New Roman"/>
                <w:color w:val="auto"/>
                <w:spacing w:val="-7"/>
                <w:sz w:val="22"/>
                <w:szCs w:val="22"/>
                <w:highlight w:val="none"/>
                <w:lang w:eastAsia="zh-CN"/>
              </w:rPr>
              <w:t>振捣</w:t>
            </w:r>
            <w:r>
              <w:rPr>
                <w:rFonts w:hint="default" w:ascii="Times New Roman" w:hAnsi="Times New Roman" w:eastAsia="宋体" w:cs="Times New Roman"/>
                <w:color w:val="auto"/>
                <w:spacing w:val="-7"/>
                <w:sz w:val="22"/>
                <w:szCs w:val="22"/>
                <w:highlight w:val="none"/>
              </w:rPr>
              <w:t>器</w:t>
            </w:r>
          </w:p>
        </w:tc>
        <w:tc>
          <w:tcPr>
            <w:tcW w:w="172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（2.2kW）</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7</w:t>
            </w:r>
          </w:p>
        </w:tc>
        <w:tc>
          <w:tcPr>
            <w:tcW w:w="25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7"/>
                <w:sz w:val="22"/>
                <w:szCs w:val="22"/>
                <w:highlight w:val="none"/>
              </w:rPr>
            </w:pPr>
            <w:r>
              <w:rPr>
                <w:rFonts w:hint="default" w:ascii="Times New Roman" w:hAnsi="Times New Roman" w:eastAsia="宋体" w:cs="Times New Roman"/>
                <w:color w:val="auto"/>
                <w:spacing w:val="-7"/>
                <w:sz w:val="22"/>
                <w:szCs w:val="22"/>
                <w:highlight w:val="none"/>
              </w:rPr>
              <w:t>水泥罐</w:t>
            </w:r>
          </w:p>
        </w:tc>
        <w:tc>
          <w:tcPr>
            <w:tcW w:w="172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100t</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个</w:t>
            </w:r>
          </w:p>
        </w:tc>
        <w:tc>
          <w:tcPr>
            <w:tcW w:w="8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8</w:t>
            </w:r>
          </w:p>
        </w:tc>
        <w:tc>
          <w:tcPr>
            <w:tcW w:w="25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7"/>
                <w:sz w:val="22"/>
                <w:szCs w:val="22"/>
                <w:highlight w:val="none"/>
              </w:rPr>
            </w:pPr>
            <w:r>
              <w:rPr>
                <w:rFonts w:hint="default" w:ascii="Times New Roman" w:hAnsi="Times New Roman" w:eastAsia="宋体" w:cs="Times New Roman"/>
                <w:color w:val="auto"/>
                <w:spacing w:val="-7"/>
                <w:sz w:val="22"/>
                <w:szCs w:val="22"/>
                <w:highlight w:val="none"/>
              </w:rPr>
              <w:t>粉煤灰罐</w:t>
            </w:r>
          </w:p>
        </w:tc>
        <w:tc>
          <w:tcPr>
            <w:tcW w:w="172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30t</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个</w:t>
            </w:r>
          </w:p>
        </w:tc>
        <w:tc>
          <w:tcPr>
            <w:tcW w:w="8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9</w:t>
            </w:r>
          </w:p>
        </w:tc>
        <w:tc>
          <w:tcPr>
            <w:tcW w:w="25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7"/>
                <w:sz w:val="22"/>
                <w:szCs w:val="22"/>
                <w:highlight w:val="none"/>
              </w:rPr>
            </w:pPr>
            <w:r>
              <w:rPr>
                <w:rFonts w:hint="default" w:ascii="Times New Roman" w:hAnsi="Times New Roman" w:eastAsia="宋体" w:cs="Times New Roman"/>
                <w:color w:val="auto"/>
                <w:spacing w:val="-7"/>
                <w:sz w:val="22"/>
                <w:szCs w:val="22"/>
                <w:highlight w:val="none"/>
              </w:rPr>
              <w:t>电焊机</w:t>
            </w:r>
          </w:p>
        </w:tc>
        <w:tc>
          <w:tcPr>
            <w:tcW w:w="172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22kW</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10</w:t>
            </w:r>
          </w:p>
        </w:tc>
        <w:tc>
          <w:tcPr>
            <w:tcW w:w="25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7"/>
                <w:sz w:val="22"/>
                <w:szCs w:val="22"/>
                <w:highlight w:val="none"/>
              </w:rPr>
            </w:pPr>
            <w:r>
              <w:rPr>
                <w:rFonts w:hint="default" w:ascii="Times New Roman" w:hAnsi="Times New Roman" w:eastAsia="宋体" w:cs="Times New Roman"/>
                <w:color w:val="auto"/>
                <w:spacing w:val="-7"/>
                <w:sz w:val="22"/>
                <w:szCs w:val="22"/>
                <w:highlight w:val="none"/>
              </w:rPr>
              <w:t>钢筋弯曲机</w:t>
            </w:r>
          </w:p>
        </w:tc>
        <w:tc>
          <w:tcPr>
            <w:tcW w:w="172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14kW</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11</w:t>
            </w:r>
          </w:p>
        </w:tc>
        <w:tc>
          <w:tcPr>
            <w:tcW w:w="25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7"/>
                <w:sz w:val="22"/>
                <w:szCs w:val="22"/>
                <w:highlight w:val="none"/>
              </w:rPr>
            </w:pPr>
            <w:r>
              <w:rPr>
                <w:rFonts w:hint="default" w:ascii="Times New Roman" w:hAnsi="Times New Roman" w:eastAsia="宋体" w:cs="Times New Roman"/>
                <w:color w:val="auto"/>
                <w:spacing w:val="-7"/>
                <w:sz w:val="22"/>
                <w:szCs w:val="22"/>
                <w:highlight w:val="none"/>
              </w:rPr>
              <w:t>钢筋切断机</w:t>
            </w:r>
          </w:p>
        </w:tc>
        <w:tc>
          <w:tcPr>
            <w:tcW w:w="172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20kW</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8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12</w:t>
            </w:r>
          </w:p>
        </w:tc>
        <w:tc>
          <w:tcPr>
            <w:tcW w:w="25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7"/>
                <w:sz w:val="22"/>
                <w:szCs w:val="22"/>
                <w:highlight w:val="none"/>
              </w:rPr>
            </w:pPr>
            <w:r>
              <w:rPr>
                <w:rFonts w:hint="default" w:ascii="Times New Roman" w:hAnsi="Times New Roman" w:eastAsia="宋体" w:cs="Times New Roman"/>
                <w:color w:val="auto"/>
                <w:spacing w:val="-7"/>
                <w:sz w:val="22"/>
                <w:szCs w:val="22"/>
                <w:highlight w:val="none"/>
              </w:rPr>
              <w:t>钢筋调直机</w:t>
            </w:r>
          </w:p>
        </w:tc>
        <w:tc>
          <w:tcPr>
            <w:tcW w:w="172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14kW</w:t>
            </w:r>
          </w:p>
        </w:tc>
        <w:tc>
          <w:tcPr>
            <w:tcW w:w="8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8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6</w:t>
            </w:r>
          </w:p>
        </w:tc>
      </w:tr>
    </w:tbl>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lang w:val="en-US" w:eastAsia="zh-CN"/>
        </w:rPr>
      </w:pP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6"/>
          <w:szCs w:val="26"/>
          <w:highlight w:val="none"/>
          <w:lang w:val="en-US" w:eastAsia="zh-CN"/>
        </w:rPr>
      </w:pPr>
      <w:r>
        <w:rPr>
          <w:rFonts w:hint="eastAsia" w:ascii="Times New Roman" w:hAnsi="Times New Roman" w:cs="Times New Roman"/>
          <w:color w:val="auto"/>
          <w:spacing w:val="-7"/>
          <w:sz w:val="26"/>
          <w:szCs w:val="26"/>
          <w:highlight w:val="none"/>
          <w:lang w:val="en-US" w:eastAsia="zh-CN"/>
        </w:rPr>
        <w:t>表2.5.5.6-5  混凝土浇筑主要施工设备表</w:t>
      </w:r>
    </w:p>
    <w:tbl>
      <w:tblPr>
        <w:tblStyle w:val="20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44"/>
        <w:gridCol w:w="1763"/>
        <w:gridCol w:w="2710"/>
        <w:gridCol w:w="1329"/>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序号</w:t>
            </w:r>
          </w:p>
        </w:tc>
        <w:tc>
          <w:tcPr>
            <w:tcW w:w="152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名称</w:t>
            </w:r>
          </w:p>
        </w:tc>
        <w:tc>
          <w:tcPr>
            <w:tcW w:w="235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规格及型号</w:t>
            </w:r>
          </w:p>
        </w:tc>
        <w:tc>
          <w:tcPr>
            <w:tcW w:w="115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单位</w:t>
            </w:r>
          </w:p>
        </w:tc>
        <w:tc>
          <w:tcPr>
            <w:tcW w:w="115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w:t>
            </w:r>
          </w:p>
        </w:tc>
        <w:tc>
          <w:tcPr>
            <w:tcW w:w="152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履带吊</w:t>
            </w:r>
          </w:p>
        </w:tc>
        <w:tc>
          <w:tcPr>
            <w:tcW w:w="235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50t</w:t>
            </w:r>
          </w:p>
        </w:tc>
        <w:tc>
          <w:tcPr>
            <w:tcW w:w="115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115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c>
          <w:tcPr>
            <w:tcW w:w="152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履带吊</w:t>
            </w:r>
          </w:p>
        </w:tc>
        <w:tc>
          <w:tcPr>
            <w:tcW w:w="235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100t</w:t>
            </w:r>
          </w:p>
        </w:tc>
        <w:tc>
          <w:tcPr>
            <w:tcW w:w="115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115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3</w:t>
            </w:r>
          </w:p>
        </w:tc>
        <w:tc>
          <w:tcPr>
            <w:tcW w:w="152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门机</w:t>
            </w:r>
          </w:p>
        </w:tc>
        <w:tc>
          <w:tcPr>
            <w:tcW w:w="235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DMQ540-30</w:t>
            </w:r>
          </w:p>
        </w:tc>
        <w:tc>
          <w:tcPr>
            <w:tcW w:w="115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115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4</w:t>
            </w:r>
          </w:p>
        </w:tc>
        <w:tc>
          <w:tcPr>
            <w:tcW w:w="152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汽车吊</w:t>
            </w:r>
          </w:p>
        </w:tc>
        <w:tc>
          <w:tcPr>
            <w:tcW w:w="235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45t</w:t>
            </w:r>
          </w:p>
        </w:tc>
        <w:tc>
          <w:tcPr>
            <w:tcW w:w="115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115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5</w:t>
            </w:r>
          </w:p>
        </w:tc>
        <w:tc>
          <w:tcPr>
            <w:tcW w:w="152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塔吊</w:t>
            </w:r>
          </w:p>
        </w:tc>
        <w:tc>
          <w:tcPr>
            <w:tcW w:w="235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D6001</w:t>
            </w:r>
          </w:p>
        </w:tc>
        <w:tc>
          <w:tcPr>
            <w:tcW w:w="115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115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6</w:t>
            </w:r>
          </w:p>
        </w:tc>
        <w:tc>
          <w:tcPr>
            <w:tcW w:w="152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汽车泵</w:t>
            </w:r>
          </w:p>
        </w:tc>
        <w:tc>
          <w:tcPr>
            <w:tcW w:w="235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p>
        </w:tc>
        <w:tc>
          <w:tcPr>
            <w:tcW w:w="115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115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bl>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cs="Times New Roman"/>
          <w:color w:val="auto"/>
          <w:spacing w:val="-7"/>
          <w:sz w:val="26"/>
          <w:szCs w:val="26"/>
          <w:highlight w:val="none"/>
          <w:lang w:val="en-US" w:eastAsia="zh-CN"/>
        </w:rPr>
      </w:pP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cs="Times New Roman"/>
          <w:color w:val="auto"/>
          <w:spacing w:val="-7"/>
          <w:sz w:val="26"/>
          <w:szCs w:val="26"/>
          <w:highlight w:val="none"/>
          <w:lang w:val="en-US" w:eastAsia="zh-CN"/>
        </w:rPr>
      </w:pP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cs="Times New Roman"/>
          <w:color w:val="auto"/>
          <w:spacing w:val="-7"/>
          <w:sz w:val="26"/>
          <w:szCs w:val="26"/>
          <w:highlight w:val="none"/>
          <w:lang w:val="en-US" w:eastAsia="zh-CN"/>
        </w:rPr>
      </w:pP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cs="Times New Roman"/>
          <w:color w:val="auto"/>
          <w:spacing w:val="-7"/>
          <w:sz w:val="26"/>
          <w:szCs w:val="26"/>
          <w:highlight w:val="none"/>
          <w:lang w:val="en-US" w:eastAsia="zh-CN"/>
        </w:rPr>
      </w:pP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lang w:val="en-US" w:eastAsia="zh-CN"/>
        </w:rPr>
      </w:pPr>
      <w:r>
        <w:rPr>
          <w:rFonts w:hint="eastAsia" w:ascii="Times New Roman" w:hAnsi="Times New Roman" w:cs="Times New Roman"/>
          <w:color w:val="auto"/>
          <w:spacing w:val="-7"/>
          <w:sz w:val="26"/>
          <w:szCs w:val="26"/>
          <w:highlight w:val="none"/>
          <w:lang w:val="en-US" w:eastAsia="zh-CN"/>
        </w:rPr>
        <w:t>表2.5.5.6-6  运输、起重主要设备表</w:t>
      </w:r>
    </w:p>
    <w:tbl>
      <w:tblPr>
        <w:tblStyle w:val="209"/>
        <w:tblW w:w="486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84"/>
        <w:gridCol w:w="3203"/>
        <w:gridCol w:w="2372"/>
        <w:gridCol w:w="966"/>
        <w:gridCol w:w="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序号</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名称</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规格及型号</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单位</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自卸汽车</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20t</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辆</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自卸东风车</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8t</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辆</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3</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砼搅拌运输车</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pacing w:val="-7"/>
                <w:sz w:val="22"/>
                <w:szCs w:val="22"/>
                <w:highlight w:val="none"/>
                <w:lang w:val="en-US" w:eastAsia="zh-CN"/>
              </w:rPr>
            </w:pPr>
            <w:r>
              <w:rPr>
                <w:rFonts w:hint="default" w:ascii="Times New Roman" w:hAnsi="Times New Roman" w:cs="Times New Roman"/>
                <w:color w:val="auto"/>
                <w:spacing w:val="-7"/>
                <w:sz w:val="22"/>
                <w:szCs w:val="22"/>
                <w:highlight w:val="none"/>
              </w:rPr>
              <w:t>FV415 6</w:t>
            </w:r>
            <w:r>
              <w:rPr>
                <w:rFonts w:hint="eastAsia" w:ascii="Times New Roman" w:hAnsi="Times New Roman" w:cs="Times New Roman"/>
                <w:color w:val="auto"/>
                <w:spacing w:val="-7"/>
                <w:sz w:val="22"/>
                <w:szCs w:val="22"/>
                <w:highlight w:val="none"/>
                <w:lang w:val="en-US" w:eastAsia="zh-CN"/>
              </w:rPr>
              <w:t>m³</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辆</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4</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混凝土输送泵</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60</w:t>
            </w:r>
            <w:r>
              <w:rPr>
                <w:rFonts w:hint="eastAsia" w:ascii="Times New Roman" w:hAnsi="Times New Roman" w:cs="Times New Roman"/>
                <w:color w:val="auto"/>
                <w:spacing w:val="-7"/>
                <w:sz w:val="22"/>
                <w:szCs w:val="22"/>
                <w:highlight w:val="none"/>
                <w:lang w:val="en-US" w:eastAsia="zh-CN"/>
              </w:rPr>
              <w:t>m³</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5</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平板拖车</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FP315-HRT 20t</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辆</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6</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加油车</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SC4461JY</w:t>
            </w: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5t/135HP</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辆</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7</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洒水车</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NP118JDL    5t</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辆</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8</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铲斗船</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4</w:t>
            </w:r>
            <w:r>
              <w:rPr>
                <w:rFonts w:hint="eastAsia" w:ascii="Times New Roman" w:hAnsi="Times New Roman" w:cs="Times New Roman"/>
                <w:color w:val="auto"/>
                <w:spacing w:val="-7"/>
                <w:sz w:val="22"/>
                <w:szCs w:val="22"/>
                <w:highlight w:val="none"/>
                <w:lang w:val="en-US" w:eastAsia="zh-CN"/>
              </w:rPr>
              <w:t>m³</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艘</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9</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载货汽车</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8t</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辆</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10</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单筒慢动电动卷扬机</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50kN</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11</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单筒慢动电动卷扬机</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80kN</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12</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内燃拖轮</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88kW</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13</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内燃拖轮</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221kW</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14</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内燃拖轮</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294kW</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15</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工程驳船</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100t</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艘</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16</w:t>
            </w:r>
          </w:p>
        </w:tc>
        <w:tc>
          <w:tcPr>
            <w:tcW w:w="320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工程驳船</w:t>
            </w:r>
          </w:p>
        </w:tc>
        <w:tc>
          <w:tcPr>
            <w:tcW w:w="23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200t</w:t>
            </w:r>
          </w:p>
        </w:tc>
        <w:tc>
          <w:tcPr>
            <w:tcW w:w="96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艘</w:t>
            </w:r>
          </w:p>
        </w:tc>
        <w:tc>
          <w:tcPr>
            <w:tcW w:w="96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w:t>
            </w:r>
          </w:p>
        </w:tc>
      </w:tr>
    </w:tbl>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lang w:val="en-US" w:eastAsia="zh-CN"/>
        </w:rPr>
      </w:pP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6"/>
          <w:szCs w:val="26"/>
          <w:highlight w:val="none"/>
          <w:lang w:val="en-US" w:eastAsia="zh-CN"/>
        </w:rPr>
      </w:pPr>
      <w:r>
        <w:rPr>
          <w:rFonts w:hint="default" w:ascii="Times New Roman" w:hAnsi="Times New Roman" w:cs="Times New Roman"/>
          <w:color w:val="auto"/>
          <w:spacing w:val="-7"/>
          <w:sz w:val="26"/>
          <w:szCs w:val="26"/>
          <w:highlight w:val="none"/>
          <w:lang w:val="en-US" w:eastAsia="zh-CN"/>
        </w:rPr>
        <w:t>表2.4.5.</w:t>
      </w:r>
      <w:r>
        <w:rPr>
          <w:rFonts w:hint="eastAsia" w:ascii="Times New Roman" w:hAnsi="Times New Roman" w:cs="Times New Roman"/>
          <w:color w:val="auto"/>
          <w:spacing w:val="-7"/>
          <w:sz w:val="26"/>
          <w:szCs w:val="26"/>
          <w:highlight w:val="none"/>
          <w:lang w:val="en-US" w:eastAsia="zh-CN"/>
        </w:rPr>
        <w:t>6</w:t>
      </w:r>
      <w:r>
        <w:rPr>
          <w:rFonts w:hint="default" w:ascii="Times New Roman" w:hAnsi="Times New Roman" w:cs="Times New Roman"/>
          <w:color w:val="auto"/>
          <w:spacing w:val="-7"/>
          <w:sz w:val="26"/>
          <w:szCs w:val="26"/>
          <w:highlight w:val="none"/>
          <w:lang w:val="en-US" w:eastAsia="zh-CN"/>
        </w:rPr>
        <w:t>-</w:t>
      </w:r>
      <w:r>
        <w:rPr>
          <w:rFonts w:hint="eastAsia" w:ascii="Times New Roman" w:hAnsi="Times New Roman" w:cs="Times New Roman"/>
          <w:color w:val="auto"/>
          <w:spacing w:val="-7"/>
          <w:sz w:val="26"/>
          <w:szCs w:val="26"/>
          <w:highlight w:val="none"/>
          <w:lang w:val="en-US" w:eastAsia="zh-CN"/>
        </w:rPr>
        <w:t>7</w:t>
      </w:r>
      <w:r>
        <w:rPr>
          <w:rFonts w:hint="default" w:ascii="Times New Roman" w:hAnsi="Times New Roman" w:cs="Times New Roman"/>
          <w:color w:val="auto"/>
          <w:spacing w:val="-7"/>
          <w:sz w:val="26"/>
          <w:szCs w:val="26"/>
          <w:highlight w:val="none"/>
          <w:lang w:val="en-US" w:eastAsia="zh-CN"/>
        </w:rPr>
        <w:t xml:space="preserve">   风、水、电系统主要设备表</w:t>
      </w:r>
    </w:p>
    <w:tbl>
      <w:tblPr>
        <w:tblStyle w:val="20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29"/>
        <w:gridCol w:w="2407"/>
        <w:gridCol w:w="2418"/>
        <w:gridCol w:w="1213"/>
        <w:gridCol w:w="12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序号</w:t>
            </w:r>
          </w:p>
        </w:tc>
        <w:tc>
          <w:tcPr>
            <w:tcW w:w="196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名称</w:t>
            </w:r>
          </w:p>
        </w:tc>
        <w:tc>
          <w:tcPr>
            <w:tcW w:w="19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规格及型号</w:t>
            </w:r>
          </w:p>
        </w:tc>
        <w:tc>
          <w:tcPr>
            <w:tcW w:w="98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单位</w:t>
            </w:r>
          </w:p>
        </w:tc>
        <w:tc>
          <w:tcPr>
            <w:tcW w:w="98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w:t>
            </w:r>
          </w:p>
        </w:tc>
        <w:tc>
          <w:tcPr>
            <w:tcW w:w="196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空压机</w:t>
            </w:r>
          </w:p>
        </w:tc>
        <w:tc>
          <w:tcPr>
            <w:tcW w:w="19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4L-20/8</w:t>
            </w:r>
          </w:p>
        </w:tc>
        <w:tc>
          <w:tcPr>
            <w:tcW w:w="98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8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c>
          <w:tcPr>
            <w:tcW w:w="196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潜水泵</w:t>
            </w:r>
          </w:p>
        </w:tc>
        <w:tc>
          <w:tcPr>
            <w:tcW w:w="19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QY-16</w:t>
            </w:r>
          </w:p>
        </w:tc>
        <w:tc>
          <w:tcPr>
            <w:tcW w:w="98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8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3</w:t>
            </w:r>
          </w:p>
        </w:tc>
        <w:tc>
          <w:tcPr>
            <w:tcW w:w="196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离心泵</w:t>
            </w:r>
          </w:p>
        </w:tc>
        <w:tc>
          <w:tcPr>
            <w:tcW w:w="19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200BJ18</w:t>
            </w:r>
          </w:p>
        </w:tc>
        <w:tc>
          <w:tcPr>
            <w:tcW w:w="98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8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4</w:t>
            </w:r>
          </w:p>
        </w:tc>
        <w:tc>
          <w:tcPr>
            <w:tcW w:w="196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离心清水泵</w:t>
            </w:r>
          </w:p>
        </w:tc>
        <w:tc>
          <w:tcPr>
            <w:tcW w:w="19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DA1-100-6</w:t>
            </w:r>
          </w:p>
        </w:tc>
        <w:tc>
          <w:tcPr>
            <w:tcW w:w="98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8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5</w:t>
            </w:r>
          </w:p>
        </w:tc>
        <w:tc>
          <w:tcPr>
            <w:tcW w:w="196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柴油发电机</w:t>
            </w:r>
          </w:p>
        </w:tc>
        <w:tc>
          <w:tcPr>
            <w:tcW w:w="19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pacing w:val="-7"/>
                <w:sz w:val="22"/>
                <w:szCs w:val="22"/>
                <w:highlight w:val="none"/>
                <w:lang w:eastAsia="zh-CN"/>
              </w:rPr>
            </w:pPr>
            <w:r>
              <w:rPr>
                <w:rFonts w:hint="default" w:ascii="Times New Roman" w:hAnsi="Times New Roman" w:cs="Times New Roman"/>
                <w:color w:val="auto"/>
                <w:spacing w:val="-7"/>
                <w:sz w:val="22"/>
                <w:szCs w:val="22"/>
                <w:highlight w:val="none"/>
              </w:rPr>
              <w:t>200</w:t>
            </w:r>
            <w:r>
              <w:rPr>
                <w:rFonts w:hint="eastAsia" w:ascii="Times New Roman" w:hAnsi="Times New Roman" w:cs="Times New Roman"/>
                <w:color w:val="auto"/>
                <w:spacing w:val="-7"/>
                <w:sz w:val="22"/>
                <w:szCs w:val="22"/>
                <w:highlight w:val="none"/>
                <w:shd w:val="clear" w:fill="FFFFFF"/>
                <w:lang w:eastAsia="zh-CN"/>
              </w:rPr>
              <w:t>kW</w:t>
            </w:r>
          </w:p>
        </w:tc>
        <w:tc>
          <w:tcPr>
            <w:tcW w:w="98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8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6</w:t>
            </w:r>
          </w:p>
        </w:tc>
        <w:tc>
          <w:tcPr>
            <w:tcW w:w="1962"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变压器</w:t>
            </w:r>
          </w:p>
        </w:tc>
        <w:tc>
          <w:tcPr>
            <w:tcW w:w="197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500kVA</w:t>
            </w:r>
          </w:p>
        </w:tc>
        <w:tc>
          <w:tcPr>
            <w:tcW w:w="989"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台</w:t>
            </w:r>
          </w:p>
        </w:tc>
        <w:tc>
          <w:tcPr>
            <w:tcW w:w="987"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4</w:t>
            </w:r>
          </w:p>
        </w:tc>
      </w:tr>
    </w:tbl>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auto"/>
          <w:highlight w:val="none"/>
          <w:lang w:val="en-US" w:eastAsia="zh-CN"/>
        </w:rPr>
      </w:pPr>
    </w:p>
    <w:p>
      <w:pPr>
        <w:pStyle w:val="6"/>
        <w:bidi w:val="0"/>
        <w:rPr>
          <w:rFonts w:hint="eastAsia"/>
          <w:color w:val="auto"/>
          <w:highlight w:val="none"/>
          <w:lang w:eastAsia="zh-CN"/>
        </w:rPr>
      </w:pPr>
      <w:r>
        <w:rPr>
          <w:rFonts w:hint="eastAsia"/>
          <w:color w:val="auto"/>
          <w:highlight w:val="none"/>
          <w:lang w:eastAsia="zh-CN"/>
        </w:rPr>
        <w:t>施工进度安排</w:t>
      </w:r>
    </w:p>
    <w:p>
      <w:pPr>
        <w:pStyle w:val="7"/>
        <w:rPr>
          <w:rFonts w:hint="eastAsia"/>
          <w:color w:val="auto"/>
          <w:highlight w:val="none"/>
          <w:lang w:eastAsia="zh-CN"/>
        </w:rPr>
      </w:pPr>
      <w:r>
        <w:rPr>
          <w:rFonts w:hint="eastAsia"/>
          <w:color w:val="auto"/>
          <w:highlight w:val="none"/>
          <w:lang w:eastAsia="zh-CN"/>
        </w:rPr>
        <w:t>本工程施工总工期</w:t>
      </w:r>
      <w:r>
        <w:rPr>
          <w:rFonts w:hint="eastAsia"/>
          <w:color w:val="auto"/>
          <w:highlight w:val="none"/>
          <w:lang w:val="en-US" w:eastAsia="zh-CN"/>
        </w:rPr>
        <w:t>48</w:t>
      </w:r>
      <w:r>
        <w:rPr>
          <w:rFonts w:hint="eastAsia"/>
          <w:color w:val="auto"/>
          <w:highlight w:val="none"/>
          <w:lang w:eastAsia="zh-CN"/>
        </w:rPr>
        <w:t>个月。</w:t>
      </w:r>
    </w:p>
    <w:p>
      <w:pPr>
        <w:pStyle w:val="7"/>
        <w:rPr>
          <w:rFonts w:hint="eastAsia"/>
          <w:color w:val="auto"/>
          <w:highlight w:val="none"/>
          <w:lang w:eastAsia="zh-CN"/>
        </w:rPr>
        <w:sectPr>
          <w:pgSz w:w="11906" w:h="16838"/>
          <w:pgMar w:top="1701" w:right="1588" w:bottom="1588" w:left="1588" w:header="1304" w:footer="1247" w:gutter="0"/>
          <w:cols w:space="425" w:num="1"/>
          <w:docGrid w:linePitch="312" w:charSpace="0"/>
        </w:sectPr>
      </w:pPr>
      <w:r>
        <w:rPr>
          <w:rFonts w:hint="eastAsia"/>
          <w:color w:val="auto"/>
          <w:highlight w:val="none"/>
          <w:lang w:eastAsia="zh-CN"/>
        </w:rPr>
        <w:t>本工程关键线路为：全年围堰施工、主基坑开挖、上下游闸首闸室及导航墙施工、金属结构安装、枯水围堰施工、靠船墩、导航墙及引航道护岸施工、围堰拆除。工程主要施工进度计划安排详见下表：</w:t>
      </w:r>
    </w:p>
    <w:p>
      <w:pPr>
        <w:pStyle w:val="7"/>
        <w:ind w:left="0" w:leftChars="0" w:firstLine="0" w:firstLineChars="0"/>
        <w:jc w:val="center"/>
        <w:rPr>
          <w:rFonts w:hint="eastAsia"/>
          <w:color w:val="auto"/>
          <w:highlight w:val="none"/>
          <w:lang w:val="en-US" w:eastAsia="zh-CN"/>
        </w:rPr>
      </w:pPr>
      <w:r>
        <w:rPr>
          <w:rFonts w:hint="eastAsia"/>
          <w:color w:val="auto"/>
          <w:highlight w:val="none"/>
          <w:lang w:eastAsia="zh-CN"/>
        </w:rPr>
        <w:t>表</w:t>
      </w:r>
      <w:r>
        <w:rPr>
          <w:rFonts w:hint="eastAsia"/>
          <w:color w:val="auto"/>
          <w:highlight w:val="none"/>
          <w:lang w:val="en-US" w:eastAsia="zh-CN"/>
        </w:rPr>
        <w:t>2.5.5.7-1  渭沱船闸施工进度计划表</w:t>
      </w:r>
    </w:p>
    <w:p>
      <w:pPr>
        <w:pStyle w:val="7"/>
        <w:spacing w:line="240" w:lineRule="auto"/>
        <w:ind w:left="0" w:leftChars="0" w:firstLine="0" w:firstLineChars="0"/>
        <w:jc w:val="center"/>
        <w:rPr>
          <w:rFonts w:hint="eastAsia"/>
          <w:color w:val="auto"/>
          <w:highlight w:val="none"/>
          <w:lang w:val="en-US" w:eastAsia="zh-CN"/>
        </w:rPr>
      </w:pPr>
      <w:r>
        <w:rPr>
          <w:color w:val="auto"/>
          <w:highlight w:val="none"/>
        </w:rPr>
        <w:drawing>
          <wp:inline distT="0" distB="0" distL="114300" distR="114300">
            <wp:extent cx="8592820" cy="3662680"/>
            <wp:effectExtent l="0" t="0" r="17780" b="139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9"/>
                    <a:stretch>
                      <a:fillRect/>
                    </a:stretch>
                  </pic:blipFill>
                  <pic:spPr>
                    <a:xfrm>
                      <a:off x="0" y="0"/>
                      <a:ext cx="8592820" cy="3662680"/>
                    </a:xfrm>
                    <a:prstGeom prst="rect">
                      <a:avLst/>
                    </a:prstGeom>
                    <a:noFill/>
                    <a:ln>
                      <a:noFill/>
                    </a:ln>
                  </pic:spPr>
                </pic:pic>
              </a:graphicData>
            </a:graphic>
          </wp:inline>
        </w:drawing>
      </w:r>
    </w:p>
    <w:p>
      <w:pPr>
        <w:pStyle w:val="7"/>
        <w:ind w:left="0" w:leftChars="0" w:firstLine="0" w:firstLineChars="0"/>
        <w:jc w:val="center"/>
        <w:rPr>
          <w:rFonts w:hint="default"/>
          <w:color w:val="auto"/>
          <w:highlight w:val="none"/>
          <w:lang w:val="en-US" w:eastAsia="zh-CN"/>
        </w:rPr>
        <w:sectPr>
          <w:pgSz w:w="16838" w:h="11906" w:orient="landscape"/>
          <w:pgMar w:top="1588" w:right="1701" w:bottom="1588" w:left="1588" w:header="1304" w:footer="1247" w:gutter="0"/>
          <w:cols w:space="425" w:num="1"/>
          <w:docGrid w:linePitch="312" w:charSpace="0"/>
        </w:sectPr>
      </w:pPr>
    </w:p>
    <w:p>
      <w:pPr>
        <w:pStyle w:val="5"/>
        <w:ind w:firstLine="522"/>
        <w:rPr>
          <w:color w:val="auto"/>
          <w:highlight w:val="none"/>
        </w:rPr>
      </w:pPr>
      <w:r>
        <w:rPr>
          <w:rFonts w:hint="eastAsia"/>
          <w:color w:val="auto"/>
          <w:highlight w:val="none"/>
        </w:rPr>
        <w:t>工程</w:t>
      </w:r>
      <w:r>
        <w:rPr>
          <w:color w:val="auto"/>
          <w:highlight w:val="none"/>
        </w:rPr>
        <w:t>占地及</w:t>
      </w:r>
      <w:r>
        <w:rPr>
          <w:rFonts w:hint="eastAsia"/>
          <w:color w:val="auto"/>
          <w:highlight w:val="none"/>
          <w:lang w:eastAsia="zh-CN"/>
        </w:rPr>
        <w:t>移民安置</w:t>
      </w:r>
    </w:p>
    <w:p>
      <w:pPr>
        <w:pStyle w:val="6"/>
        <w:bidi w:val="0"/>
        <w:rPr>
          <w:color w:val="auto"/>
          <w:highlight w:val="none"/>
        </w:rPr>
      </w:pPr>
      <w:r>
        <w:rPr>
          <w:rFonts w:hint="eastAsia"/>
          <w:color w:val="auto"/>
          <w:highlight w:val="none"/>
          <w:lang w:eastAsia="zh-CN"/>
        </w:rPr>
        <w:t>工程占地</w:t>
      </w:r>
    </w:p>
    <w:p>
      <w:pPr>
        <w:bidi w:val="0"/>
        <w:rPr>
          <w:rFonts w:hint="eastAsia" w:eastAsia="宋体"/>
          <w:color w:val="auto"/>
          <w:highlight w:val="none"/>
          <w:lang w:eastAsia="zh-CN"/>
        </w:rPr>
      </w:pPr>
      <w:r>
        <w:rPr>
          <w:color w:val="auto"/>
          <w:highlight w:val="none"/>
        </w:rPr>
        <w:t>根据本工程平面布置方案和用地性质，</w:t>
      </w:r>
      <w:r>
        <w:rPr>
          <w:rFonts w:hint="eastAsia"/>
          <w:color w:val="auto"/>
          <w:highlight w:val="none"/>
          <w:lang w:eastAsia="zh-CN"/>
        </w:rPr>
        <w:t>工程占地面积共</w:t>
      </w:r>
      <w:r>
        <w:rPr>
          <w:rFonts w:hint="eastAsia"/>
          <w:color w:val="auto"/>
          <w:highlight w:val="none"/>
          <w:lang w:val="en-US" w:eastAsia="zh-CN"/>
        </w:rPr>
        <w:t>52.6297hm</w:t>
      </w:r>
      <w:r>
        <w:rPr>
          <w:rFonts w:hint="eastAsia"/>
          <w:color w:val="auto"/>
          <w:highlight w:val="none"/>
          <w:vertAlign w:val="superscript"/>
          <w:lang w:val="en-US" w:eastAsia="zh-CN"/>
        </w:rPr>
        <w:t>2</w:t>
      </w:r>
      <w:r>
        <w:rPr>
          <w:rFonts w:hint="eastAsia"/>
          <w:color w:val="auto"/>
          <w:highlight w:val="none"/>
          <w:vertAlign w:val="baseline"/>
          <w:lang w:val="en-US" w:eastAsia="zh-CN"/>
        </w:rPr>
        <w:t>，其中永久占地14.9308hm</w:t>
      </w:r>
      <w:r>
        <w:rPr>
          <w:rFonts w:hint="eastAsia"/>
          <w:color w:val="auto"/>
          <w:highlight w:val="none"/>
          <w:vertAlign w:val="superscript"/>
          <w:lang w:val="en-US" w:eastAsia="zh-CN"/>
        </w:rPr>
        <w:t>2</w:t>
      </w:r>
      <w:r>
        <w:rPr>
          <w:rFonts w:hint="eastAsia"/>
          <w:color w:val="auto"/>
          <w:highlight w:val="none"/>
          <w:vertAlign w:val="baseline"/>
          <w:lang w:val="en-US" w:eastAsia="zh-CN"/>
        </w:rPr>
        <w:t>，</w:t>
      </w:r>
      <w:r>
        <w:rPr>
          <w:color w:val="auto"/>
          <w:highlight w:val="none"/>
        </w:rPr>
        <w:t>包括船闸主体工程、引航道、船闸管理区、桥梁及连接道路</w:t>
      </w:r>
      <w:r>
        <w:rPr>
          <w:rFonts w:hint="eastAsia"/>
          <w:color w:val="auto"/>
          <w:highlight w:val="none"/>
          <w:lang w:eastAsia="zh-CN"/>
        </w:rPr>
        <w:t>、锚地、岸边疏浚边坡、丁坝等用地；</w:t>
      </w:r>
      <w:r>
        <w:rPr>
          <w:color w:val="auto"/>
          <w:highlight w:val="none"/>
        </w:rPr>
        <w:t>临时</w:t>
      </w:r>
      <w:r>
        <w:rPr>
          <w:rFonts w:hint="eastAsia"/>
          <w:color w:val="auto"/>
          <w:highlight w:val="none"/>
          <w:lang w:eastAsia="zh-CN"/>
        </w:rPr>
        <w:t>占地</w:t>
      </w:r>
      <w:r>
        <w:rPr>
          <w:rFonts w:hint="eastAsia"/>
          <w:color w:val="auto"/>
          <w:highlight w:val="none"/>
          <w:lang w:val="en-US" w:eastAsia="zh-CN"/>
        </w:rPr>
        <w:t>37.6989hm</w:t>
      </w:r>
      <w:r>
        <w:rPr>
          <w:rFonts w:hint="eastAsia"/>
          <w:color w:val="auto"/>
          <w:highlight w:val="none"/>
          <w:vertAlign w:val="superscript"/>
          <w:lang w:val="en-US" w:eastAsia="zh-CN"/>
        </w:rPr>
        <w:t>2</w:t>
      </w:r>
      <w:r>
        <w:rPr>
          <w:rFonts w:hint="eastAsia"/>
          <w:color w:val="auto"/>
          <w:highlight w:val="none"/>
          <w:lang w:val="en-US" w:eastAsia="zh-CN"/>
        </w:rPr>
        <w:t>，</w:t>
      </w:r>
      <w:r>
        <w:rPr>
          <w:color w:val="auto"/>
          <w:highlight w:val="none"/>
        </w:rPr>
        <w:t>包括施工场地、</w:t>
      </w:r>
      <w:r>
        <w:rPr>
          <w:rFonts w:hint="eastAsia"/>
          <w:color w:val="auto"/>
          <w:highlight w:val="none"/>
          <w:lang w:eastAsia="zh-CN"/>
        </w:rPr>
        <w:t>弃渣场、施工围堰、疏浚工程等用地</w:t>
      </w:r>
      <w:r>
        <w:rPr>
          <w:color w:val="auto"/>
          <w:highlight w:val="none"/>
        </w:rPr>
        <w:t>。</w:t>
      </w:r>
      <w:r>
        <w:rPr>
          <w:rFonts w:hint="eastAsia"/>
          <w:color w:val="auto"/>
          <w:highlight w:val="none"/>
          <w:lang w:eastAsia="zh-CN"/>
        </w:rPr>
        <w:t>项目占地情况统计详见下表：</w:t>
      </w:r>
    </w:p>
    <w:p>
      <w:pPr>
        <w:pStyle w:val="2"/>
        <w:spacing w:line="240" w:lineRule="auto"/>
        <w:rPr>
          <w:color w:val="auto"/>
          <w:highlight w:val="none"/>
        </w:rPr>
      </w:pPr>
    </w:p>
    <w:p>
      <w:pPr>
        <w:spacing w:line="240" w:lineRule="auto"/>
        <w:ind w:left="0" w:leftChars="0" w:firstLine="0" w:firstLineChars="0"/>
        <w:jc w:val="center"/>
        <w:rPr>
          <w:rFonts w:hint="default" w:eastAsia="宋体"/>
          <w:color w:val="auto"/>
          <w:highlight w:val="none"/>
          <w:lang w:val="en-US" w:eastAsia="zh-CN"/>
        </w:rPr>
      </w:pPr>
      <w:r>
        <w:rPr>
          <w:rFonts w:hint="eastAsia"/>
          <w:color w:val="auto"/>
          <w:highlight w:val="none"/>
          <w:lang w:val="en-US" w:eastAsia="zh-CN"/>
        </w:rPr>
        <w:t>表2.5.6.1-1  工程占地面积统计表</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7"/>
        <w:gridCol w:w="2186"/>
        <w:gridCol w:w="1767"/>
        <w:gridCol w:w="35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color w:val="auto"/>
                <w:sz w:val="22"/>
                <w:szCs w:val="22"/>
                <w:highlight w:val="none"/>
                <w:vertAlign w:val="baseline"/>
                <w:lang w:eastAsia="zh-CN"/>
              </w:rPr>
              <w:t>占地类型</w:t>
            </w:r>
          </w:p>
        </w:tc>
        <w:tc>
          <w:tcPr>
            <w:tcW w:w="218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color w:val="auto"/>
                <w:sz w:val="22"/>
                <w:szCs w:val="22"/>
                <w:highlight w:val="none"/>
                <w:vertAlign w:val="baseline"/>
                <w:lang w:eastAsia="zh-CN"/>
              </w:rPr>
              <w:t>建设内容</w:t>
            </w:r>
          </w:p>
        </w:tc>
        <w:tc>
          <w:tcPr>
            <w:tcW w:w="17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color w:val="auto"/>
                <w:sz w:val="22"/>
                <w:szCs w:val="22"/>
                <w:highlight w:val="none"/>
                <w:vertAlign w:val="baseline"/>
                <w:lang w:eastAsia="zh-CN"/>
              </w:rPr>
              <w:t>占地面积（</w:t>
            </w:r>
            <w:r>
              <w:rPr>
                <w:rFonts w:hint="eastAsia"/>
                <w:color w:val="auto"/>
                <w:sz w:val="22"/>
                <w:szCs w:val="22"/>
                <w:highlight w:val="none"/>
                <w:vertAlign w:val="baseline"/>
                <w:lang w:val="en-US" w:eastAsia="zh-CN"/>
              </w:rPr>
              <w:t>hm</w:t>
            </w:r>
            <w:r>
              <w:rPr>
                <w:rFonts w:hint="eastAsia"/>
                <w:color w:val="auto"/>
                <w:sz w:val="22"/>
                <w:szCs w:val="22"/>
                <w:highlight w:val="none"/>
                <w:vertAlign w:val="superscript"/>
                <w:lang w:val="en-US" w:eastAsia="zh-CN"/>
              </w:rPr>
              <w:t>2</w:t>
            </w:r>
            <w:r>
              <w:rPr>
                <w:rFonts w:hint="eastAsia"/>
                <w:color w:val="auto"/>
                <w:sz w:val="22"/>
                <w:szCs w:val="22"/>
                <w:highlight w:val="none"/>
                <w:vertAlign w:val="baseline"/>
                <w:lang w:eastAsia="zh-CN"/>
              </w:rPr>
              <w:t>）</w:t>
            </w:r>
          </w:p>
        </w:tc>
        <w:tc>
          <w:tcPr>
            <w:tcW w:w="35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color w:val="auto"/>
                <w:sz w:val="22"/>
                <w:szCs w:val="22"/>
                <w:highlight w:val="none"/>
                <w:vertAlign w:val="baseline"/>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7"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color w:val="auto"/>
                <w:sz w:val="22"/>
                <w:szCs w:val="22"/>
                <w:highlight w:val="none"/>
                <w:vertAlign w:val="baseline"/>
                <w:lang w:eastAsia="zh-CN"/>
              </w:rPr>
              <w:t>永久占地</w:t>
            </w:r>
          </w:p>
        </w:tc>
        <w:tc>
          <w:tcPr>
            <w:tcW w:w="218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color w:val="auto"/>
                <w:sz w:val="22"/>
                <w:szCs w:val="22"/>
                <w:highlight w:val="none"/>
                <w:vertAlign w:val="baseline"/>
                <w:lang w:eastAsia="zh-CN"/>
              </w:rPr>
              <w:t>船闸区域</w:t>
            </w:r>
          </w:p>
        </w:tc>
        <w:tc>
          <w:tcPr>
            <w:tcW w:w="17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2"/>
                <w:szCs w:val="22"/>
                <w:highlight w:val="none"/>
                <w:vertAlign w:val="baseline"/>
                <w:lang w:val="en-US" w:eastAsia="zh-CN"/>
              </w:rPr>
            </w:pPr>
            <w:r>
              <w:rPr>
                <w:rFonts w:hint="eastAsia"/>
                <w:color w:val="auto"/>
                <w:sz w:val="22"/>
                <w:szCs w:val="22"/>
                <w:highlight w:val="none"/>
                <w:vertAlign w:val="baseline"/>
                <w:lang w:val="en-US" w:eastAsia="zh-CN"/>
              </w:rPr>
              <w:t>11.4131</w:t>
            </w:r>
          </w:p>
        </w:tc>
        <w:tc>
          <w:tcPr>
            <w:tcW w:w="35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color w:val="auto"/>
                <w:sz w:val="22"/>
                <w:szCs w:val="22"/>
                <w:highlight w:val="none"/>
                <w:vertAlign w:val="baseline"/>
                <w:lang w:eastAsia="zh-CN"/>
              </w:rPr>
              <w:t>包括船闸主体工程、引航道、船闸管理区、桥梁及连接道路等用地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vertAlign w:val="baseline"/>
              </w:rPr>
            </w:pPr>
          </w:p>
        </w:tc>
        <w:tc>
          <w:tcPr>
            <w:tcW w:w="218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color w:val="auto"/>
                <w:sz w:val="22"/>
                <w:szCs w:val="22"/>
                <w:highlight w:val="none"/>
                <w:vertAlign w:val="baseline"/>
                <w:lang w:eastAsia="zh-CN"/>
              </w:rPr>
              <w:t>上、下游锚地（护坡）</w:t>
            </w:r>
          </w:p>
        </w:tc>
        <w:tc>
          <w:tcPr>
            <w:tcW w:w="17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2"/>
                <w:szCs w:val="22"/>
                <w:highlight w:val="none"/>
                <w:vertAlign w:val="baseline"/>
                <w:lang w:val="en-US" w:eastAsia="zh-CN"/>
              </w:rPr>
            </w:pPr>
            <w:r>
              <w:rPr>
                <w:rFonts w:hint="eastAsia"/>
                <w:color w:val="auto"/>
                <w:sz w:val="22"/>
                <w:szCs w:val="22"/>
                <w:highlight w:val="none"/>
                <w:vertAlign w:val="baseline"/>
                <w:lang w:val="en-US" w:eastAsia="zh-CN"/>
              </w:rPr>
              <w:t>0.5296</w:t>
            </w:r>
          </w:p>
        </w:tc>
        <w:tc>
          <w:tcPr>
            <w:tcW w:w="35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val="en-US" w:eastAsia="zh-CN"/>
              </w:rPr>
            </w:pPr>
            <w:r>
              <w:rPr>
                <w:rFonts w:hint="eastAsia"/>
                <w:color w:val="auto"/>
                <w:sz w:val="22"/>
                <w:szCs w:val="22"/>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vertAlign w:val="baseline"/>
              </w:rPr>
            </w:pPr>
          </w:p>
        </w:tc>
        <w:tc>
          <w:tcPr>
            <w:tcW w:w="218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岸边疏浚（护坡）</w:t>
            </w:r>
          </w:p>
        </w:tc>
        <w:tc>
          <w:tcPr>
            <w:tcW w:w="17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2"/>
                <w:szCs w:val="22"/>
                <w:highlight w:val="none"/>
                <w:vertAlign w:val="baseline"/>
                <w:lang w:val="en-US" w:eastAsia="zh-CN"/>
              </w:rPr>
            </w:pPr>
            <w:r>
              <w:rPr>
                <w:rFonts w:hint="eastAsia"/>
                <w:color w:val="auto"/>
                <w:sz w:val="22"/>
                <w:szCs w:val="22"/>
                <w:highlight w:val="none"/>
                <w:vertAlign w:val="baseline"/>
                <w:lang w:val="en-US" w:eastAsia="zh-CN"/>
              </w:rPr>
              <w:t>0.9937</w:t>
            </w:r>
          </w:p>
        </w:tc>
        <w:tc>
          <w:tcPr>
            <w:tcW w:w="35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val="en-US" w:eastAsia="zh-CN"/>
              </w:rPr>
            </w:pPr>
            <w:r>
              <w:rPr>
                <w:rFonts w:hint="eastAsia"/>
                <w:color w:val="auto"/>
                <w:sz w:val="22"/>
                <w:szCs w:val="22"/>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218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val="en-US" w:eastAsia="zh-CN"/>
              </w:rPr>
              <w:t>上、下游锚地（水域）</w:t>
            </w:r>
          </w:p>
        </w:tc>
        <w:tc>
          <w:tcPr>
            <w:tcW w:w="17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val="en-US" w:eastAsia="zh-CN"/>
              </w:rPr>
              <w:t>1.7739</w:t>
            </w:r>
          </w:p>
        </w:tc>
        <w:tc>
          <w:tcPr>
            <w:tcW w:w="3558"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r>
              <w:rPr>
                <w:rFonts w:hint="eastAsia"/>
                <w:color w:val="auto"/>
                <w:sz w:val="22"/>
                <w:szCs w:val="22"/>
                <w:highlight w:val="none"/>
                <w:vertAlign w:val="baseline"/>
                <w:lang w:eastAsia="zh-CN"/>
              </w:rPr>
              <w:t>为水域占用，不进行征地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218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r>
              <w:rPr>
                <w:rFonts w:hint="eastAsia"/>
                <w:color w:val="auto"/>
                <w:sz w:val="22"/>
                <w:szCs w:val="22"/>
                <w:highlight w:val="none"/>
                <w:vertAlign w:val="baseline"/>
                <w:lang w:val="en-US" w:eastAsia="zh-CN"/>
              </w:rPr>
              <w:t>丁坝</w:t>
            </w:r>
          </w:p>
        </w:tc>
        <w:tc>
          <w:tcPr>
            <w:tcW w:w="17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0.2205</w:t>
            </w:r>
          </w:p>
        </w:tc>
        <w:tc>
          <w:tcPr>
            <w:tcW w:w="355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p>
        </w:tc>
        <w:tc>
          <w:tcPr>
            <w:tcW w:w="218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小计</w:t>
            </w:r>
          </w:p>
        </w:tc>
        <w:tc>
          <w:tcPr>
            <w:tcW w:w="17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14.9308（征地面积12.9364）</w:t>
            </w:r>
          </w:p>
        </w:tc>
        <w:tc>
          <w:tcPr>
            <w:tcW w:w="35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val="en-US" w:eastAsia="zh-CN"/>
              </w:rPr>
            </w:pPr>
            <w:r>
              <w:rPr>
                <w:rFonts w:hint="eastAsia"/>
                <w:color w:val="auto"/>
                <w:sz w:val="22"/>
                <w:szCs w:val="22"/>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7"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color w:val="auto"/>
                <w:sz w:val="22"/>
                <w:szCs w:val="22"/>
                <w:highlight w:val="none"/>
                <w:vertAlign w:val="baseline"/>
                <w:lang w:eastAsia="zh-CN"/>
              </w:rPr>
              <w:t>临时占地</w:t>
            </w:r>
          </w:p>
        </w:tc>
        <w:tc>
          <w:tcPr>
            <w:tcW w:w="218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eastAsia="宋体"/>
                <w:color w:val="auto"/>
                <w:sz w:val="22"/>
                <w:szCs w:val="22"/>
                <w:highlight w:val="none"/>
                <w:vertAlign w:val="baseline"/>
                <w:lang w:eastAsia="zh-CN"/>
              </w:rPr>
              <w:t>料场、临时堆土区</w:t>
            </w:r>
          </w:p>
        </w:tc>
        <w:tc>
          <w:tcPr>
            <w:tcW w:w="17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2"/>
                <w:szCs w:val="22"/>
                <w:highlight w:val="none"/>
                <w:vertAlign w:val="baseline"/>
                <w:lang w:val="en-US" w:eastAsia="zh-CN"/>
              </w:rPr>
            </w:pPr>
            <w:r>
              <w:rPr>
                <w:rFonts w:hint="eastAsia"/>
                <w:color w:val="auto"/>
                <w:sz w:val="22"/>
                <w:szCs w:val="22"/>
                <w:highlight w:val="none"/>
                <w:vertAlign w:val="baseline"/>
                <w:lang w:val="en-US" w:eastAsia="zh-CN"/>
              </w:rPr>
              <w:t>0.6650</w:t>
            </w:r>
          </w:p>
        </w:tc>
        <w:tc>
          <w:tcPr>
            <w:tcW w:w="35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val="en-US" w:eastAsia="zh-CN"/>
              </w:rPr>
            </w:pPr>
            <w:r>
              <w:rPr>
                <w:rFonts w:hint="eastAsia"/>
                <w:color w:val="auto"/>
                <w:sz w:val="22"/>
                <w:szCs w:val="22"/>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vertAlign w:val="baseline"/>
              </w:rPr>
            </w:pPr>
          </w:p>
        </w:tc>
        <w:tc>
          <w:tcPr>
            <w:tcW w:w="218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color w:val="auto"/>
                <w:sz w:val="22"/>
                <w:szCs w:val="22"/>
                <w:highlight w:val="none"/>
                <w:vertAlign w:val="baseline"/>
                <w:lang w:val="en-US" w:eastAsia="zh-CN"/>
              </w:rPr>
              <w:t>1#</w:t>
            </w:r>
            <w:r>
              <w:rPr>
                <w:rFonts w:hint="eastAsia"/>
                <w:color w:val="auto"/>
                <w:sz w:val="22"/>
                <w:szCs w:val="22"/>
                <w:highlight w:val="none"/>
                <w:vertAlign w:val="baseline"/>
                <w:lang w:eastAsia="zh-CN"/>
              </w:rPr>
              <w:t>弃渣场</w:t>
            </w:r>
          </w:p>
        </w:tc>
        <w:tc>
          <w:tcPr>
            <w:tcW w:w="17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2"/>
                <w:szCs w:val="22"/>
                <w:highlight w:val="none"/>
                <w:vertAlign w:val="baseline"/>
                <w:lang w:val="en-US" w:eastAsia="zh-CN"/>
              </w:rPr>
            </w:pPr>
            <w:r>
              <w:rPr>
                <w:rFonts w:hint="eastAsia"/>
                <w:color w:val="auto"/>
                <w:sz w:val="22"/>
                <w:szCs w:val="22"/>
                <w:highlight w:val="none"/>
                <w:vertAlign w:val="baseline"/>
                <w:lang w:val="en-US" w:eastAsia="zh-CN"/>
              </w:rPr>
              <w:t>3.0700</w:t>
            </w:r>
          </w:p>
        </w:tc>
        <w:tc>
          <w:tcPr>
            <w:tcW w:w="35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val="en-US" w:eastAsia="zh-CN"/>
              </w:rPr>
            </w:pPr>
            <w:r>
              <w:rPr>
                <w:rFonts w:hint="eastAsia"/>
                <w:color w:val="auto"/>
                <w:sz w:val="22"/>
                <w:szCs w:val="22"/>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vertAlign w:val="baseline"/>
              </w:rPr>
            </w:pPr>
          </w:p>
        </w:tc>
        <w:tc>
          <w:tcPr>
            <w:tcW w:w="218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2#弃渣场</w:t>
            </w:r>
          </w:p>
        </w:tc>
        <w:tc>
          <w:tcPr>
            <w:tcW w:w="17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2"/>
                <w:szCs w:val="22"/>
                <w:highlight w:val="none"/>
                <w:vertAlign w:val="baseline"/>
                <w:lang w:val="en-US" w:eastAsia="zh-CN"/>
              </w:rPr>
            </w:pPr>
            <w:r>
              <w:rPr>
                <w:rFonts w:hint="eastAsia"/>
                <w:color w:val="auto"/>
                <w:sz w:val="22"/>
                <w:szCs w:val="22"/>
                <w:highlight w:val="none"/>
                <w:vertAlign w:val="baseline"/>
                <w:lang w:val="en-US" w:eastAsia="zh-CN"/>
              </w:rPr>
              <w:t>21.2206</w:t>
            </w:r>
          </w:p>
        </w:tc>
        <w:tc>
          <w:tcPr>
            <w:tcW w:w="35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val="en-US" w:eastAsia="zh-CN"/>
              </w:rPr>
            </w:pPr>
            <w:r>
              <w:rPr>
                <w:rFonts w:hint="eastAsia"/>
                <w:color w:val="auto"/>
                <w:sz w:val="22"/>
                <w:szCs w:val="22"/>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vertAlign w:val="baseline"/>
              </w:rPr>
            </w:pPr>
          </w:p>
        </w:tc>
        <w:tc>
          <w:tcPr>
            <w:tcW w:w="218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r>
              <w:rPr>
                <w:rFonts w:hint="eastAsia"/>
                <w:color w:val="auto"/>
                <w:sz w:val="22"/>
                <w:szCs w:val="22"/>
                <w:highlight w:val="none"/>
                <w:vertAlign w:val="baseline"/>
                <w:lang w:val="en-US" w:eastAsia="zh-CN"/>
              </w:rPr>
              <w:t>施工围堰</w:t>
            </w:r>
          </w:p>
        </w:tc>
        <w:tc>
          <w:tcPr>
            <w:tcW w:w="17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val="en-US" w:eastAsia="zh-CN"/>
              </w:rPr>
            </w:pPr>
            <w:r>
              <w:rPr>
                <w:rFonts w:hint="eastAsia"/>
                <w:color w:val="auto"/>
                <w:sz w:val="22"/>
                <w:szCs w:val="22"/>
                <w:highlight w:val="none"/>
                <w:vertAlign w:val="baseline"/>
              </w:rPr>
              <w:t>3.279</w:t>
            </w:r>
            <w:r>
              <w:rPr>
                <w:rFonts w:hint="eastAsia"/>
                <w:color w:val="auto"/>
                <w:sz w:val="22"/>
                <w:szCs w:val="22"/>
                <w:highlight w:val="none"/>
                <w:vertAlign w:val="baseline"/>
                <w:lang w:val="en-US" w:eastAsia="zh-CN"/>
              </w:rPr>
              <w:t>9</w:t>
            </w:r>
          </w:p>
        </w:tc>
        <w:tc>
          <w:tcPr>
            <w:tcW w:w="3558"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color w:val="auto"/>
                <w:sz w:val="22"/>
                <w:szCs w:val="22"/>
                <w:highlight w:val="none"/>
                <w:vertAlign w:val="baseline"/>
                <w:lang w:eastAsia="zh-CN"/>
              </w:rPr>
              <w:t>为水域占用，不进行征地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vertAlign w:val="baseline"/>
              </w:rPr>
            </w:pPr>
          </w:p>
        </w:tc>
        <w:tc>
          <w:tcPr>
            <w:tcW w:w="218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r>
              <w:rPr>
                <w:rFonts w:hint="eastAsia"/>
                <w:color w:val="auto"/>
                <w:sz w:val="22"/>
                <w:szCs w:val="22"/>
                <w:highlight w:val="none"/>
                <w:vertAlign w:val="baseline"/>
                <w:lang w:val="en-US" w:eastAsia="zh-CN"/>
              </w:rPr>
              <w:t>水域疏浚</w:t>
            </w:r>
          </w:p>
        </w:tc>
        <w:tc>
          <w:tcPr>
            <w:tcW w:w="17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2"/>
                <w:szCs w:val="22"/>
                <w:highlight w:val="none"/>
                <w:vertAlign w:val="baseline"/>
                <w:lang w:val="en-US" w:eastAsia="zh-CN"/>
              </w:rPr>
            </w:pPr>
            <w:r>
              <w:rPr>
                <w:rFonts w:hint="eastAsia"/>
                <w:color w:val="auto"/>
                <w:sz w:val="22"/>
                <w:szCs w:val="22"/>
                <w:highlight w:val="none"/>
                <w:vertAlign w:val="baseline"/>
                <w:lang w:val="en-US" w:eastAsia="zh-CN"/>
              </w:rPr>
              <w:t>9.4634</w:t>
            </w:r>
          </w:p>
        </w:tc>
        <w:tc>
          <w:tcPr>
            <w:tcW w:w="355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p>
        </w:tc>
        <w:tc>
          <w:tcPr>
            <w:tcW w:w="218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小计</w:t>
            </w:r>
          </w:p>
        </w:tc>
        <w:tc>
          <w:tcPr>
            <w:tcW w:w="17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37.6989（征地面积24.8556）</w:t>
            </w:r>
          </w:p>
        </w:tc>
        <w:tc>
          <w:tcPr>
            <w:tcW w:w="35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val="en-US" w:eastAsia="zh-CN"/>
              </w:rPr>
            </w:pPr>
            <w:r>
              <w:rPr>
                <w:rFonts w:hint="eastAsia"/>
                <w:color w:val="auto"/>
                <w:sz w:val="22"/>
                <w:szCs w:val="22"/>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53"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合计</w:t>
            </w:r>
          </w:p>
        </w:tc>
        <w:tc>
          <w:tcPr>
            <w:tcW w:w="17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52.6297</w:t>
            </w:r>
          </w:p>
        </w:tc>
        <w:tc>
          <w:tcPr>
            <w:tcW w:w="355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val="en-US" w:eastAsia="zh-CN"/>
              </w:rPr>
            </w:pPr>
            <w:r>
              <w:rPr>
                <w:rFonts w:hint="eastAsia"/>
                <w:color w:val="auto"/>
                <w:sz w:val="22"/>
                <w:szCs w:val="22"/>
                <w:highlight w:val="none"/>
                <w:vertAlign w:val="baseline"/>
                <w:lang w:val="en-US" w:eastAsia="zh-CN"/>
              </w:rPr>
              <w:t>/</w:t>
            </w:r>
          </w:p>
        </w:tc>
      </w:tr>
    </w:tbl>
    <w:p>
      <w:pPr>
        <w:spacing w:line="240" w:lineRule="auto"/>
        <w:ind w:left="0" w:leftChars="0" w:firstLine="0" w:firstLineChars="0"/>
        <w:jc w:val="center"/>
        <w:rPr>
          <w:color w:val="auto"/>
          <w:highlight w:val="none"/>
        </w:rPr>
      </w:pPr>
    </w:p>
    <w:p>
      <w:pPr>
        <w:pStyle w:val="6"/>
        <w:spacing w:line="240" w:lineRule="auto"/>
        <w:rPr>
          <w:color w:val="auto"/>
          <w:highlight w:val="none"/>
        </w:rPr>
      </w:pPr>
      <w:r>
        <w:rPr>
          <w:rFonts w:hint="eastAsia"/>
          <w:color w:val="auto"/>
          <w:highlight w:val="none"/>
          <w:lang w:eastAsia="zh-CN"/>
        </w:rPr>
        <w:t>拆迁安置</w:t>
      </w:r>
    </w:p>
    <w:p>
      <w:pPr>
        <w:bidi w:val="0"/>
        <w:rPr>
          <w:rFonts w:hint="eastAsia"/>
          <w:color w:val="auto"/>
          <w:highlight w:val="none"/>
        </w:rPr>
      </w:pPr>
      <w:r>
        <w:rPr>
          <w:rFonts w:hint="eastAsia"/>
          <w:color w:val="auto"/>
          <w:highlight w:val="none"/>
        </w:rPr>
        <w:t>由于船闸建设及施工的需要，需要对沿线一定范围内的建筑物及设施进行拆 迁，同时还需要考虑基坑开挖放坡及施工道路等施工作业宽度的要求。本工程拆迁 主要内容包括拆迁建筑物、管线拆迁等项目。需拆除重置砖房24栋共5091.1</w:t>
      </w:r>
      <w:r>
        <w:rPr>
          <w:rFonts w:hint="eastAsia"/>
          <w:color w:val="auto"/>
          <w:highlight w:val="none"/>
          <w:lang w:val="en-US" w:eastAsia="zh-CN"/>
        </w:rPr>
        <w:t>m</w:t>
      </w:r>
      <w:r>
        <w:rPr>
          <w:rFonts w:hint="eastAsia"/>
          <w:color w:val="auto"/>
          <w:highlight w:val="none"/>
          <w:vertAlign w:val="superscript"/>
          <w:lang w:val="en-US" w:eastAsia="zh-CN"/>
        </w:rPr>
        <w:t>2</w:t>
      </w:r>
      <w:r>
        <w:rPr>
          <w:rFonts w:hint="eastAsia"/>
          <w:color w:val="auto"/>
          <w:highlight w:val="none"/>
        </w:rPr>
        <w:t>，钢结构厂房1座158.9</w:t>
      </w:r>
      <w:r>
        <w:rPr>
          <w:rFonts w:hint="eastAsia"/>
          <w:color w:val="auto"/>
          <w:highlight w:val="none"/>
          <w:lang w:val="en-US" w:eastAsia="zh-CN"/>
        </w:rPr>
        <w:t>m</w:t>
      </w:r>
      <w:r>
        <w:rPr>
          <w:rFonts w:hint="eastAsia"/>
          <w:color w:val="auto"/>
          <w:highlight w:val="none"/>
          <w:vertAlign w:val="superscript"/>
          <w:lang w:val="en-US" w:eastAsia="zh-CN"/>
        </w:rPr>
        <w:t>2</w:t>
      </w:r>
      <w:r>
        <w:rPr>
          <w:rFonts w:hint="eastAsia"/>
          <w:color w:val="auto"/>
          <w:highlight w:val="none"/>
        </w:rPr>
        <w:t>，羽毛球场及篮球场各1座，水塔1座，高压电塔1座，高压电缆360m，拆除水泥铺面18563.5</w:t>
      </w:r>
      <w:r>
        <w:rPr>
          <w:rFonts w:hint="eastAsia"/>
          <w:color w:val="auto"/>
          <w:highlight w:val="none"/>
          <w:lang w:val="en-US" w:eastAsia="zh-CN"/>
        </w:rPr>
        <w:t>m</w:t>
      </w:r>
      <w:r>
        <w:rPr>
          <w:rFonts w:hint="eastAsia"/>
          <w:color w:val="auto"/>
          <w:highlight w:val="none"/>
          <w:vertAlign w:val="superscript"/>
          <w:lang w:val="en-US" w:eastAsia="zh-CN"/>
        </w:rPr>
        <w:t>2</w:t>
      </w:r>
      <w:r>
        <w:rPr>
          <w:rFonts w:hint="eastAsia"/>
          <w:color w:val="auto"/>
          <w:highlight w:val="none"/>
        </w:rPr>
        <w:t>，拆除现状枢纽管理区管线共3306.8m。拆除农村房屋货币安置砖房12栋共876.6</w:t>
      </w:r>
      <w:r>
        <w:rPr>
          <w:rFonts w:hint="eastAsia"/>
          <w:color w:val="auto"/>
          <w:highlight w:val="none"/>
          <w:lang w:val="en-US" w:eastAsia="zh-CN"/>
        </w:rPr>
        <w:t>m</w:t>
      </w:r>
      <w:r>
        <w:rPr>
          <w:rFonts w:hint="eastAsia"/>
          <w:color w:val="auto"/>
          <w:highlight w:val="none"/>
          <w:vertAlign w:val="superscript"/>
          <w:lang w:val="en-US" w:eastAsia="zh-CN"/>
        </w:rPr>
        <w:t>2</w:t>
      </w:r>
      <w:r>
        <w:rPr>
          <w:rFonts w:hint="eastAsia"/>
          <w:color w:val="auto"/>
          <w:highlight w:val="none"/>
        </w:rPr>
        <w:t>，篷房6栋共101.1</w:t>
      </w:r>
      <w:r>
        <w:rPr>
          <w:rFonts w:hint="eastAsia"/>
          <w:color w:val="auto"/>
          <w:highlight w:val="none"/>
          <w:lang w:val="en-US" w:eastAsia="zh-CN"/>
        </w:rPr>
        <w:t>m</w:t>
      </w:r>
      <w:r>
        <w:rPr>
          <w:rFonts w:hint="eastAsia"/>
          <w:color w:val="auto"/>
          <w:highlight w:val="none"/>
          <w:vertAlign w:val="superscript"/>
          <w:lang w:val="en-US" w:eastAsia="zh-CN"/>
        </w:rPr>
        <w:t>2</w:t>
      </w:r>
      <w:r>
        <w:rPr>
          <w:rFonts w:hint="eastAsia"/>
          <w:color w:val="auto"/>
          <w:highlight w:val="none"/>
        </w:rPr>
        <w:t>，土房2栋共63.9</w:t>
      </w:r>
      <w:r>
        <w:rPr>
          <w:rFonts w:hint="eastAsia"/>
          <w:color w:val="auto"/>
          <w:highlight w:val="none"/>
          <w:lang w:val="en-US" w:eastAsia="zh-CN"/>
        </w:rPr>
        <w:t>m</w:t>
      </w:r>
      <w:r>
        <w:rPr>
          <w:rFonts w:hint="eastAsia"/>
          <w:color w:val="auto"/>
          <w:highlight w:val="none"/>
          <w:vertAlign w:val="superscript"/>
          <w:lang w:val="en-US" w:eastAsia="zh-CN"/>
        </w:rPr>
        <w:t>2</w:t>
      </w:r>
      <w:r>
        <w:rPr>
          <w:rFonts w:hint="eastAsia"/>
          <w:color w:val="auto"/>
          <w:highlight w:val="none"/>
        </w:rPr>
        <w:t>，拆除温室大棚2座共2449</w:t>
      </w:r>
      <w:r>
        <w:rPr>
          <w:rFonts w:hint="eastAsia"/>
          <w:color w:val="auto"/>
          <w:highlight w:val="none"/>
          <w:lang w:val="en-US" w:eastAsia="zh-CN"/>
        </w:rPr>
        <w:t>m</w:t>
      </w:r>
      <w:r>
        <w:rPr>
          <w:rFonts w:hint="eastAsia"/>
          <w:color w:val="auto"/>
          <w:highlight w:val="none"/>
          <w:vertAlign w:val="superscript"/>
          <w:lang w:val="en-US" w:eastAsia="zh-CN"/>
        </w:rPr>
        <w:t>2</w:t>
      </w:r>
      <w:r>
        <w:rPr>
          <w:rFonts w:hint="eastAsia"/>
          <w:color w:val="auto"/>
          <w:highlight w:val="none"/>
        </w:rPr>
        <w:t>。</w:t>
      </w:r>
    </w:p>
    <w:p>
      <w:pPr>
        <w:bidi w:val="0"/>
        <w:rPr>
          <w:rFonts w:hint="eastAsia"/>
          <w:color w:val="auto"/>
          <w:highlight w:val="none"/>
        </w:rPr>
      </w:pPr>
      <w:r>
        <w:rPr>
          <w:rFonts w:hint="eastAsia"/>
          <w:color w:val="auto"/>
          <w:highlight w:val="none"/>
        </w:rPr>
        <w:t>工程征收耕地</w:t>
      </w:r>
      <w:r>
        <w:rPr>
          <w:rFonts w:hint="eastAsia"/>
          <w:color w:val="auto"/>
          <w:highlight w:val="none"/>
          <w:lang w:eastAsia="zh-CN"/>
        </w:rPr>
        <w:t>约</w:t>
      </w:r>
      <w:r>
        <w:rPr>
          <w:rFonts w:hint="eastAsia"/>
          <w:color w:val="auto"/>
          <w:highlight w:val="none"/>
          <w:lang w:val="en-US" w:eastAsia="zh-CN"/>
        </w:rPr>
        <w:t>28</w:t>
      </w:r>
      <w:r>
        <w:rPr>
          <w:rFonts w:hint="eastAsia"/>
          <w:color w:val="auto"/>
          <w:highlight w:val="none"/>
        </w:rPr>
        <w:t>亩，共安置5户人家，根据《重庆市合川区人民政府关于印发重庆市合川区集体土地征收补偿安置实施办法》的规定进行补偿。</w:t>
      </w:r>
    </w:p>
    <w:p>
      <w:pPr>
        <w:pStyle w:val="5"/>
        <w:bidi w:val="0"/>
        <w:rPr>
          <w:color w:val="auto"/>
          <w:highlight w:val="none"/>
        </w:rPr>
      </w:pPr>
      <w:r>
        <w:rPr>
          <w:rFonts w:hint="eastAsia"/>
          <w:color w:val="auto"/>
          <w:highlight w:val="none"/>
          <w:lang w:eastAsia="zh-CN"/>
        </w:rPr>
        <w:t>劳动定员</w:t>
      </w:r>
    </w:p>
    <w:p>
      <w:pPr>
        <w:rPr>
          <w:rFonts w:hint="eastAsia" w:eastAsia="宋体"/>
          <w:color w:val="auto"/>
          <w:highlight w:val="none"/>
          <w:lang w:val="en-US" w:eastAsia="zh-CN"/>
        </w:rPr>
      </w:pPr>
      <w:r>
        <w:rPr>
          <w:rFonts w:hint="eastAsia"/>
          <w:color w:val="auto"/>
          <w:highlight w:val="none"/>
          <w:lang w:eastAsia="zh-CN"/>
        </w:rPr>
        <w:t>渭沱枢纽现有劳动定员</w:t>
      </w:r>
      <w:r>
        <w:rPr>
          <w:rFonts w:hint="eastAsia"/>
          <w:color w:val="auto"/>
          <w:highlight w:val="none"/>
          <w:lang w:val="en-US" w:eastAsia="zh-CN"/>
        </w:rPr>
        <w:t>59人，</w:t>
      </w:r>
      <w:r>
        <w:rPr>
          <w:rFonts w:hint="eastAsia"/>
          <w:color w:val="auto"/>
          <w:highlight w:val="none"/>
        </w:rPr>
        <w:t>考虑船闸智慧化和集中化管理的发展趋势，本工程船闸管理区</w:t>
      </w:r>
      <w:r>
        <w:rPr>
          <w:rFonts w:hint="eastAsia"/>
          <w:color w:val="auto"/>
          <w:highlight w:val="none"/>
          <w:lang w:eastAsia="zh-CN"/>
        </w:rPr>
        <w:t>新增劳动定员</w:t>
      </w:r>
      <w:r>
        <w:rPr>
          <w:rFonts w:hint="eastAsia"/>
          <w:color w:val="auto"/>
          <w:highlight w:val="none"/>
          <w:lang w:val="en-US" w:eastAsia="zh-CN"/>
        </w:rPr>
        <w:t>9人</w:t>
      </w:r>
      <w:r>
        <w:rPr>
          <w:rFonts w:hint="eastAsia"/>
          <w:color w:val="auto"/>
          <w:highlight w:val="none"/>
          <w:lang w:eastAsia="zh-CN"/>
        </w:rPr>
        <w:t>。</w:t>
      </w:r>
    </w:p>
    <w:p>
      <w:pPr>
        <w:pStyle w:val="5"/>
        <w:ind w:firstLine="522"/>
        <w:rPr>
          <w:color w:val="auto"/>
          <w:highlight w:val="none"/>
        </w:rPr>
      </w:pPr>
      <w:r>
        <w:rPr>
          <w:rFonts w:hint="eastAsia"/>
          <w:color w:val="auto"/>
          <w:highlight w:val="none"/>
          <w:lang w:eastAsia="zh-CN"/>
        </w:rPr>
        <w:t>主要技术经济指标</w:t>
      </w:r>
    </w:p>
    <w:p>
      <w:pPr>
        <w:bidi w:val="0"/>
        <w:rPr>
          <w:color w:val="auto"/>
          <w:sz w:val="26"/>
          <w:szCs w:val="26"/>
          <w:highlight w:val="none"/>
        </w:rPr>
      </w:pPr>
      <w:r>
        <w:rPr>
          <w:color w:val="auto"/>
          <w:highlight w:val="none"/>
        </w:rPr>
        <w:t>渭沱船闸工程特性表</w:t>
      </w:r>
      <w:r>
        <w:rPr>
          <w:rFonts w:hint="eastAsia"/>
          <w:color w:val="auto"/>
          <w:sz w:val="26"/>
          <w:szCs w:val="26"/>
          <w:highlight w:val="none"/>
          <w:lang w:eastAsia="zh-CN"/>
        </w:rPr>
        <w:t>如下：</w:t>
      </w:r>
    </w:p>
    <w:p>
      <w:pPr>
        <w:pStyle w:val="2"/>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olor w:val="auto"/>
          <w:sz w:val="26"/>
          <w:szCs w:val="26"/>
          <w:highlight w:val="none"/>
          <w:lang w:eastAsia="zh-CN"/>
        </w:rPr>
      </w:pPr>
    </w:p>
    <w:p>
      <w:pPr>
        <w:pStyle w:val="2"/>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color w:val="auto"/>
          <w:sz w:val="26"/>
          <w:szCs w:val="26"/>
          <w:highlight w:val="none"/>
          <w:lang w:val="en-US" w:eastAsia="zh-CN"/>
        </w:rPr>
      </w:pPr>
      <w:r>
        <w:rPr>
          <w:rFonts w:hint="eastAsia"/>
          <w:color w:val="auto"/>
          <w:sz w:val="26"/>
          <w:szCs w:val="26"/>
          <w:highlight w:val="none"/>
          <w:lang w:eastAsia="zh-CN"/>
        </w:rPr>
        <w:t>表</w:t>
      </w:r>
      <w:r>
        <w:rPr>
          <w:rFonts w:hint="eastAsia"/>
          <w:color w:val="auto"/>
          <w:sz w:val="26"/>
          <w:szCs w:val="26"/>
          <w:highlight w:val="none"/>
          <w:lang w:val="en-US" w:eastAsia="zh-CN"/>
        </w:rPr>
        <w:t>2.5.8-1  工程主要特性表</w:t>
      </w:r>
    </w:p>
    <w:tbl>
      <w:tblPr>
        <w:tblStyle w:val="20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30"/>
        <w:gridCol w:w="655"/>
        <w:gridCol w:w="402"/>
        <w:gridCol w:w="1831"/>
        <w:gridCol w:w="845"/>
        <w:gridCol w:w="4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b/>
                <w:bCs/>
                <w:color w:val="auto"/>
                <w:spacing w:val="-2"/>
                <w:position w:val="-4"/>
                <w:sz w:val="22"/>
                <w:szCs w:val="22"/>
                <w:highlight w:val="none"/>
              </w:rPr>
              <w:t>一</w:t>
            </w:r>
          </w:p>
        </w:tc>
        <w:tc>
          <w:tcPr>
            <w:tcW w:w="7962" w:type="dxa"/>
            <w:gridSpan w:val="5"/>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b/>
                <w:bCs/>
                <w:color w:val="auto"/>
                <w:spacing w:val="4"/>
                <w:sz w:val="22"/>
                <w:szCs w:val="22"/>
                <w:highlight w:val="none"/>
              </w:rPr>
              <w:t>主要建筑物及设备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1</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3"/>
                <w:sz w:val="22"/>
                <w:szCs w:val="22"/>
                <w:highlight w:val="none"/>
              </w:rPr>
              <w:t>设计船型</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w:t>
            </w: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3"/>
                <w:sz w:val="22"/>
                <w:szCs w:val="22"/>
                <w:highlight w:val="none"/>
              </w:rPr>
              <w:t>1000t级干散货、化学品、油船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2</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船闸设计等级</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w:t>
            </w: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Ⅲ级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3</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年单向通过能力（货）</w:t>
            </w:r>
          </w:p>
        </w:tc>
        <w:tc>
          <w:tcPr>
            <w:tcW w:w="84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1"/>
                <w:sz w:val="22"/>
                <w:szCs w:val="22"/>
                <w:highlight w:val="none"/>
              </w:rPr>
              <w:t>万吨</w:t>
            </w: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1"/>
                <w:sz w:val="22"/>
                <w:szCs w:val="22"/>
                <w:highlight w:val="none"/>
              </w:rPr>
              <w:t>1223.2（20</w:t>
            </w:r>
            <w:r>
              <w:rPr>
                <w:rFonts w:hint="eastAsia" w:ascii="Times New Roman" w:hAnsi="Times New Roman" w:cs="Times New Roman"/>
                <w:color w:val="auto"/>
                <w:spacing w:val="1"/>
                <w:sz w:val="22"/>
                <w:szCs w:val="22"/>
                <w:highlight w:val="none"/>
                <w:lang w:val="en-US" w:eastAsia="zh-CN"/>
              </w:rPr>
              <w:t>60</w:t>
            </w:r>
            <w:r>
              <w:rPr>
                <w:rFonts w:hint="default" w:ascii="Times New Roman" w:hAnsi="Times New Roman" w:eastAsia="宋体" w:cs="Times New Roman"/>
                <w:color w:val="auto"/>
                <w:spacing w:val="1"/>
                <w:sz w:val="22"/>
                <w:szCs w:val="22"/>
                <w:highlight w:val="none"/>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4</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船闸有效尺度</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3"/>
                <w:sz w:val="22"/>
                <w:szCs w:val="22"/>
                <w:highlight w:val="none"/>
              </w:rPr>
              <w:t>190×23×4.2m（长×宽×槛上水深）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5</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6"/>
                <w:sz w:val="22"/>
                <w:szCs w:val="22"/>
                <w:highlight w:val="none"/>
              </w:rPr>
              <w:t>上游/下游校核洪水位</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m</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3"/>
                <w:sz w:val="22"/>
                <w:szCs w:val="22"/>
                <w:highlight w:val="none"/>
              </w:rPr>
              <w:t>223.25/223.01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6</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6"/>
                <w:sz w:val="22"/>
                <w:szCs w:val="22"/>
                <w:highlight w:val="none"/>
              </w:rPr>
              <w:t>上游/下游设计洪水位</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m</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3"/>
                <w:sz w:val="22"/>
                <w:szCs w:val="22"/>
                <w:highlight w:val="none"/>
              </w:rPr>
              <w:t>220.16/219.73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7</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6"/>
                <w:sz w:val="22"/>
                <w:szCs w:val="22"/>
                <w:highlight w:val="none"/>
              </w:rPr>
              <w:t>上游/下游设计最高通航水位</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m</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3"/>
                <w:sz w:val="22"/>
                <w:szCs w:val="22"/>
                <w:highlight w:val="none"/>
              </w:rPr>
              <w:t>208.45/207.73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8</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6"/>
                <w:sz w:val="22"/>
                <w:szCs w:val="22"/>
                <w:highlight w:val="none"/>
              </w:rPr>
              <w:t>上游/下游设计最低通航水位</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m</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3"/>
                <w:sz w:val="22"/>
                <w:szCs w:val="22"/>
                <w:highlight w:val="none"/>
              </w:rPr>
              <w:t>205.00/199.40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9</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最高通航流量</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9"/>
                <w:sz w:val="22"/>
                <w:szCs w:val="22"/>
                <w:highlight w:val="none"/>
              </w:rPr>
              <w:t>m³/s</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10</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最大设计水头</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m</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9"/>
                <w:sz w:val="22"/>
                <w:szCs w:val="22"/>
                <w:highlight w:val="none"/>
              </w:rPr>
              <w:t>11</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输水系统</w:t>
            </w:r>
            <w:r>
              <w:rPr>
                <w:rFonts w:hint="default" w:ascii="Times New Roman" w:hAnsi="Times New Roman" w:eastAsia="宋体" w:cs="Times New Roman"/>
                <w:color w:val="auto"/>
                <w:spacing w:val="5"/>
                <w:sz w:val="22"/>
                <w:szCs w:val="22"/>
                <w:highlight w:val="none"/>
                <w:shd w:val="clear" w:fill="FFFFFF"/>
              </w:rPr>
              <w:t>型式</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w:t>
            </w: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分散输水系统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9"/>
                <w:sz w:val="22"/>
                <w:szCs w:val="22"/>
                <w:highlight w:val="none"/>
              </w:rPr>
              <w:t>12</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1"/>
                <w:sz w:val="22"/>
                <w:szCs w:val="22"/>
                <w:highlight w:val="none"/>
              </w:rPr>
              <w:t>地基</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w:t>
            </w: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1"/>
                <w:sz w:val="22"/>
                <w:szCs w:val="22"/>
                <w:highlight w:val="none"/>
              </w:rPr>
              <w:t>岩基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9"/>
                <w:sz w:val="22"/>
                <w:szCs w:val="22"/>
                <w:highlight w:val="none"/>
              </w:rPr>
              <w:t>13</w:t>
            </w:r>
          </w:p>
        </w:tc>
        <w:tc>
          <w:tcPr>
            <w:tcW w:w="656"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主要</w:t>
            </w: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1"/>
                <w:sz w:val="22"/>
                <w:szCs w:val="22"/>
                <w:highlight w:val="none"/>
              </w:rPr>
              <w:t>结构</w:t>
            </w:r>
          </w:p>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1"/>
                <w:sz w:val="22"/>
                <w:szCs w:val="22"/>
                <w:highlight w:val="none"/>
                <w:shd w:val="clear" w:fill="FFFFFF"/>
              </w:rPr>
              <w:t>型式</w:t>
            </w:r>
          </w:p>
        </w:tc>
        <w:tc>
          <w:tcPr>
            <w:tcW w:w="2237" w:type="dxa"/>
            <w:gridSpan w:val="2"/>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4"/>
                <w:sz w:val="22"/>
                <w:szCs w:val="22"/>
                <w:highlight w:val="none"/>
              </w:rPr>
              <w:t>上/下闸首</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w:t>
            </w: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2"/>
                <w:sz w:val="22"/>
                <w:szCs w:val="22"/>
                <w:highlight w:val="none"/>
              </w:rPr>
              <w:t>整体式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tc>
        <w:tc>
          <w:tcPr>
            <w:tcW w:w="656"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tc>
        <w:tc>
          <w:tcPr>
            <w:tcW w:w="2237" w:type="dxa"/>
            <w:gridSpan w:val="2"/>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4"/>
                <w:sz w:val="22"/>
                <w:szCs w:val="22"/>
                <w:highlight w:val="none"/>
              </w:rPr>
              <w:t>闸室</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w:t>
            </w: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2"/>
                <w:sz w:val="22"/>
                <w:szCs w:val="22"/>
                <w:highlight w:val="none"/>
              </w:rPr>
              <w:t>分离式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tc>
        <w:tc>
          <w:tcPr>
            <w:tcW w:w="656"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tc>
        <w:tc>
          <w:tcPr>
            <w:tcW w:w="2237" w:type="dxa"/>
            <w:gridSpan w:val="2"/>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4"/>
                <w:sz w:val="22"/>
                <w:szCs w:val="22"/>
                <w:highlight w:val="none"/>
              </w:rPr>
              <w:t>上游导航墙</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w:t>
            </w: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衬砌式、衡重式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tc>
        <w:tc>
          <w:tcPr>
            <w:tcW w:w="656"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tc>
        <w:tc>
          <w:tcPr>
            <w:tcW w:w="2237" w:type="dxa"/>
            <w:gridSpan w:val="2"/>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4"/>
                <w:sz w:val="22"/>
                <w:szCs w:val="22"/>
                <w:highlight w:val="none"/>
              </w:rPr>
              <w:t>下游导航墙</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w:t>
            </w: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混合式、衬砌式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tc>
        <w:tc>
          <w:tcPr>
            <w:tcW w:w="656"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tc>
        <w:tc>
          <w:tcPr>
            <w:tcW w:w="2237" w:type="dxa"/>
            <w:gridSpan w:val="2"/>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上、下游靠船墩</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w:t>
            </w: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2"/>
                <w:sz w:val="22"/>
                <w:szCs w:val="22"/>
                <w:highlight w:val="none"/>
              </w:rPr>
              <w:t>重力式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tc>
        <w:tc>
          <w:tcPr>
            <w:tcW w:w="656"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tc>
        <w:tc>
          <w:tcPr>
            <w:tcW w:w="2237" w:type="dxa"/>
            <w:gridSpan w:val="2"/>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护坡</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3"/>
                <w:sz w:val="22"/>
                <w:szCs w:val="22"/>
                <w:highlight w:val="none"/>
              </w:rPr>
              <w:t>斜坡式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9"/>
                <w:sz w:val="22"/>
                <w:szCs w:val="22"/>
                <w:highlight w:val="none"/>
              </w:rPr>
              <w:t>14</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2"/>
                <w:sz w:val="22"/>
                <w:szCs w:val="22"/>
                <w:highlight w:val="none"/>
              </w:rPr>
              <w:t>引航道宽度</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m</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3"/>
                <w:sz w:val="22"/>
                <w:szCs w:val="22"/>
                <w:highlight w:val="none"/>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9"/>
                <w:sz w:val="22"/>
                <w:szCs w:val="22"/>
                <w:highlight w:val="none"/>
              </w:rPr>
              <w:t>15</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闸门</w:t>
            </w:r>
            <w:r>
              <w:rPr>
                <w:rFonts w:hint="default" w:ascii="Times New Roman" w:hAnsi="Times New Roman" w:eastAsia="宋体" w:cs="Times New Roman"/>
                <w:color w:val="auto"/>
                <w:sz w:val="22"/>
                <w:szCs w:val="22"/>
                <w:highlight w:val="none"/>
                <w:shd w:val="clear" w:fill="FFFFFF"/>
              </w:rPr>
              <w:t>型式</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w:t>
            </w: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钢质人字闸门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9"/>
                <w:sz w:val="22"/>
                <w:szCs w:val="22"/>
                <w:highlight w:val="none"/>
              </w:rPr>
              <w:t>16</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1"/>
                <w:sz w:val="22"/>
                <w:szCs w:val="22"/>
                <w:highlight w:val="none"/>
              </w:rPr>
              <w:t>阀门</w:t>
            </w:r>
            <w:r>
              <w:rPr>
                <w:rFonts w:hint="default" w:ascii="Times New Roman" w:hAnsi="Times New Roman" w:eastAsia="宋体" w:cs="Times New Roman"/>
                <w:color w:val="auto"/>
                <w:spacing w:val="-1"/>
                <w:sz w:val="22"/>
                <w:szCs w:val="22"/>
                <w:highlight w:val="none"/>
                <w:shd w:val="clear" w:fill="FFFFFF"/>
              </w:rPr>
              <w:t>型式</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w:t>
            </w: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钢质平面阀门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9"/>
                <w:sz w:val="22"/>
                <w:szCs w:val="22"/>
                <w:highlight w:val="none"/>
              </w:rPr>
              <w:t>17</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工作闸、阀门启闭机</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w:t>
            </w: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液压直推式启闭机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9"/>
                <w:sz w:val="22"/>
                <w:szCs w:val="22"/>
                <w:highlight w:val="none"/>
              </w:rPr>
              <w:t>18</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6"/>
                <w:sz w:val="22"/>
                <w:szCs w:val="22"/>
                <w:highlight w:val="none"/>
              </w:rPr>
              <w:t>跨闸交通桥</w:t>
            </w:r>
            <w:r>
              <w:rPr>
                <w:rFonts w:hint="default" w:ascii="Times New Roman" w:hAnsi="Times New Roman" w:eastAsia="宋体" w:cs="Times New Roman"/>
                <w:color w:val="auto"/>
                <w:spacing w:val="6"/>
                <w:sz w:val="22"/>
                <w:szCs w:val="22"/>
                <w:highlight w:val="none"/>
                <w:shd w:val="clear" w:fill="FFFFFF"/>
              </w:rPr>
              <w:t>结构型式</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w:t>
            </w: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预应力混凝土小箱梁/预应力砼矮</w:t>
            </w:r>
            <w:r>
              <w:rPr>
                <w:rFonts w:hint="default" w:ascii="Times New Roman" w:hAnsi="Times New Roman" w:eastAsia="宋体" w:cs="Times New Roman"/>
                <w:color w:val="auto"/>
                <w:spacing w:val="-21"/>
                <w:sz w:val="22"/>
                <w:szCs w:val="22"/>
                <w:highlight w:val="none"/>
              </w:rPr>
              <w:t xml:space="preserve"> </w:t>
            </w:r>
            <w:r>
              <w:rPr>
                <w:rFonts w:hint="default" w:ascii="Times New Roman" w:hAnsi="Times New Roman" w:eastAsia="宋体" w:cs="Times New Roman"/>
                <w:color w:val="auto"/>
                <w:spacing w:val="5"/>
                <w:sz w:val="22"/>
                <w:szCs w:val="22"/>
                <w:highlight w:val="none"/>
              </w:rPr>
              <w:t>T</w:t>
            </w:r>
            <w:r>
              <w:rPr>
                <w:rFonts w:hint="default" w:ascii="Times New Roman" w:hAnsi="Times New Roman" w:eastAsia="宋体" w:cs="Times New Roman"/>
                <w:color w:val="auto"/>
                <w:spacing w:val="15"/>
                <w:w w:val="102"/>
                <w:sz w:val="22"/>
                <w:szCs w:val="22"/>
                <w:highlight w:val="none"/>
              </w:rPr>
              <w:t xml:space="preserve"> </w:t>
            </w:r>
            <w:r>
              <w:rPr>
                <w:rFonts w:hint="default" w:ascii="Times New Roman" w:hAnsi="Times New Roman" w:eastAsia="宋体" w:cs="Times New Roman"/>
                <w:color w:val="auto"/>
                <w:spacing w:val="5"/>
                <w:sz w:val="22"/>
                <w:szCs w:val="22"/>
                <w:highlight w:val="none"/>
              </w:rPr>
              <w:t>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9"/>
                <w:sz w:val="22"/>
                <w:szCs w:val="22"/>
                <w:highlight w:val="none"/>
              </w:rPr>
              <w:t>19</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工期</w:t>
            </w:r>
          </w:p>
        </w:tc>
        <w:tc>
          <w:tcPr>
            <w:tcW w:w="84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月</w:t>
            </w:r>
          </w:p>
        </w:tc>
        <w:tc>
          <w:tcPr>
            <w:tcW w:w="422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eastAsia" w:ascii="Times New Roman" w:hAnsi="Times New Roman" w:cs="Times New Roman"/>
                <w:color w:val="auto"/>
                <w:spacing w:val="3"/>
                <w:sz w:val="22"/>
                <w:szCs w:val="22"/>
                <w:highlight w:val="none"/>
                <w:lang w:val="en-US" w:eastAsia="zh-CN"/>
              </w:rPr>
              <w:t>48</w:t>
            </w:r>
            <w:r>
              <w:rPr>
                <w:rFonts w:hint="default" w:ascii="Times New Roman" w:hAnsi="Times New Roman" w:eastAsia="宋体" w:cs="Times New Roman"/>
                <w:color w:val="auto"/>
                <w:spacing w:val="3"/>
                <w:sz w:val="22"/>
                <w:szCs w:val="22"/>
                <w:highlight w:val="none"/>
              </w:rPr>
              <w:t>（含施工准备期</w:t>
            </w:r>
            <w:r>
              <w:rPr>
                <w:rFonts w:hint="default" w:ascii="Times New Roman" w:hAnsi="Times New Roman" w:eastAsia="宋体" w:cs="Times New Roman"/>
                <w:color w:val="auto"/>
                <w:spacing w:val="-27"/>
                <w:sz w:val="22"/>
                <w:szCs w:val="22"/>
                <w:highlight w:val="none"/>
              </w:rPr>
              <w:t xml:space="preserve"> </w:t>
            </w:r>
            <w:r>
              <w:rPr>
                <w:rFonts w:hint="default" w:ascii="Times New Roman" w:hAnsi="Times New Roman" w:eastAsia="宋体" w:cs="Times New Roman"/>
                <w:color w:val="auto"/>
                <w:spacing w:val="3"/>
                <w:sz w:val="22"/>
                <w:szCs w:val="22"/>
                <w:highlight w:val="none"/>
              </w:rPr>
              <w:t>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b/>
                <w:bCs/>
                <w:color w:val="auto"/>
                <w:spacing w:val="-2"/>
                <w:sz w:val="22"/>
                <w:szCs w:val="22"/>
                <w:highlight w:val="none"/>
              </w:rPr>
              <w:t>二</w:t>
            </w:r>
          </w:p>
        </w:tc>
        <w:tc>
          <w:tcPr>
            <w:tcW w:w="7962" w:type="dxa"/>
            <w:gridSpan w:val="5"/>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b/>
                <w:bCs/>
                <w:color w:val="auto"/>
                <w:spacing w:val="3"/>
                <w:sz w:val="22"/>
                <w:szCs w:val="22"/>
                <w:highlight w:val="none"/>
              </w:rPr>
              <w:t>主要工程量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1</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开挖土石方（自然方）</w:t>
            </w:r>
          </w:p>
        </w:tc>
        <w:tc>
          <w:tcPr>
            <w:tcW w:w="84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24"/>
                <w:sz w:val="22"/>
                <w:szCs w:val="22"/>
                <w:highlight w:val="none"/>
              </w:rPr>
              <w:t>万</w:t>
            </w:r>
            <w:r>
              <w:rPr>
                <w:rFonts w:hint="default" w:ascii="Times New Roman" w:hAnsi="Times New Roman" w:eastAsia="宋体" w:cs="Times New Roman"/>
                <w:color w:val="auto"/>
                <w:spacing w:val="-30"/>
                <w:sz w:val="22"/>
                <w:szCs w:val="22"/>
                <w:highlight w:val="none"/>
              </w:rPr>
              <w:t xml:space="preserve"> </w:t>
            </w:r>
            <w:r>
              <w:rPr>
                <w:rFonts w:hint="default" w:ascii="Times New Roman" w:hAnsi="Times New Roman" w:eastAsia="宋体" w:cs="Times New Roman"/>
                <w:color w:val="auto"/>
                <w:spacing w:val="24"/>
                <w:sz w:val="22"/>
                <w:szCs w:val="22"/>
                <w:highlight w:val="none"/>
              </w:rPr>
              <w:t>m³</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1"/>
                <w:sz w:val="22"/>
                <w:szCs w:val="22"/>
                <w:highlight w:val="none"/>
              </w:rPr>
              <w:t>195.47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2</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3"/>
                <w:sz w:val="22"/>
                <w:szCs w:val="22"/>
                <w:highlight w:val="none"/>
              </w:rPr>
              <w:t>回填土石方（实方）</w:t>
            </w:r>
          </w:p>
        </w:tc>
        <w:tc>
          <w:tcPr>
            <w:tcW w:w="84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24"/>
                <w:sz w:val="22"/>
                <w:szCs w:val="22"/>
                <w:highlight w:val="none"/>
              </w:rPr>
              <w:t>万</w:t>
            </w:r>
            <w:r>
              <w:rPr>
                <w:rFonts w:hint="default" w:ascii="Times New Roman" w:hAnsi="Times New Roman" w:eastAsia="宋体" w:cs="Times New Roman"/>
                <w:color w:val="auto"/>
                <w:spacing w:val="-30"/>
                <w:sz w:val="22"/>
                <w:szCs w:val="22"/>
                <w:highlight w:val="none"/>
              </w:rPr>
              <w:t xml:space="preserve"> </w:t>
            </w:r>
            <w:r>
              <w:rPr>
                <w:rFonts w:hint="default" w:ascii="Times New Roman" w:hAnsi="Times New Roman" w:eastAsia="宋体" w:cs="Times New Roman"/>
                <w:color w:val="auto"/>
                <w:spacing w:val="24"/>
                <w:sz w:val="22"/>
                <w:szCs w:val="22"/>
                <w:highlight w:val="none"/>
              </w:rPr>
              <w:t>m³</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2"/>
                <w:sz w:val="22"/>
                <w:szCs w:val="22"/>
                <w:highlight w:val="none"/>
              </w:rPr>
              <w:t>44.61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3</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3"/>
                <w:sz w:val="22"/>
                <w:szCs w:val="22"/>
                <w:highlight w:val="none"/>
              </w:rPr>
              <w:t>弃方（实方）</w:t>
            </w:r>
          </w:p>
        </w:tc>
        <w:tc>
          <w:tcPr>
            <w:tcW w:w="84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24"/>
                <w:sz w:val="22"/>
                <w:szCs w:val="22"/>
                <w:highlight w:val="none"/>
              </w:rPr>
              <w:t>万</w:t>
            </w:r>
            <w:r>
              <w:rPr>
                <w:rFonts w:hint="default" w:ascii="Times New Roman" w:hAnsi="Times New Roman" w:eastAsia="宋体" w:cs="Times New Roman"/>
                <w:color w:val="auto"/>
                <w:spacing w:val="-30"/>
                <w:sz w:val="22"/>
                <w:szCs w:val="22"/>
                <w:highlight w:val="none"/>
              </w:rPr>
              <w:t xml:space="preserve"> </w:t>
            </w:r>
            <w:r>
              <w:rPr>
                <w:rFonts w:hint="default" w:ascii="Times New Roman" w:hAnsi="Times New Roman" w:eastAsia="宋体" w:cs="Times New Roman"/>
                <w:color w:val="auto"/>
                <w:spacing w:val="24"/>
                <w:sz w:val="22"/>
                <w:szCs w:val="22"/>
                <w:highlight w:val="none"/>
              </w:rPr>
              <w:t>m³</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1"/>
                <w:sz w:val="22"/>
                <w:szCs w:val="22"/>
                <w:highlight w:val="none"/>
              </w:rPr>
              <w:t>172.20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4</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6"/>
                <w:sz w:val="22"/>
                <w:szCs w:val="22"/>
                <w:highlight w:val="none"/>
              </w:rPr>
              <w:t>船闸永久结构钢筋砼</w:t>
            </w:r>
          </w:p>
        </w:tc>
        <w:tc>
          <w:tcPr>
            <w:tcW w:w="84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24"/>
                <w:sz w:val="22"/>
                <w:szCs w:val="22"/>
                <w:highlight w:val="none"/>
              </w:rPr>
              <w:t>万</w:t>
            </w:r>
            <w:r>
              <w:rPr>
                <w:rFonts w:hint="default" w:ascii="Times New Roman" w:hAnsi="Times New Roman" w:eastAsia="宋体" w:cs="Times New Roman"/>
                <w:color w:val="auto"/>
                <w:spacing w:val="-30"/>
                <w:sz w:val="22"/>
                <w:szCs w:val="22"/>
                <w:highlight w:val="none"/>
              </w:rPr>
              <w:t xml:space="preserve"> </w:t>
            </w:r>
            <w:r>
              <w:rPr>
                <w:rFonts w:hint="default" w:ascii="Times New Roman" w:hAnsi="Times New Roman" w:eastAsia="宋体" w:cs="Times New Roman"/>
                <w:color w:val="auto"/>
                <w:spacing w:val="24"/>
                <w:sz w:val="22"/>
                <w:szCs w:val="22"/>
                <w:highlight w:val="none"/>
              </w:rPr>
              <w:t>m³</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1"/>
                <w:sz w:val="22"/>
                <w:szCs w:val="22"/>
                <w:highlight w:val="none"/>
              </w:rPr>
              <w:t>17.66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5</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3"/>
                <w:sz w:val="22"/>
                <w:szCs w:val="22"/>
                <w:highlight w:val="none"/>
              </w:rPr>
              <w:t>金属结构</w:t>
            </w:r>
          </w:p>
        </w:tc>
        <w:tc>
          <w:tcPr>
            <w:tcW w:w="84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吨</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2"/>
                <w:sz w:val="22"/>
                <w:szCs w:val="22"/>
                <w:highlight w:val="none"/>
              </w:rPr>
              <w:t>2051.8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6</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3"/>
                <w:sz w:val="22"/>
                <w:szCs w:val="22"/>
                <w:highlight w:val="none"/>
              </w:rPr>
              <w:t>闸/阀门启闭机</w:t>
            </w:r>
          </w:p>
        </w:tc>
        <w:tc>
          <w:tcPr>
            <w:tcW w:w="84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套</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1"/>
                <w:sz w:val="22"/>
                <w:szCs w:val="22"/>
                <w:highlight w:val="none"/>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7</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跨闸交通桥</w:t>
            </w:r>
          </w:p>
        </w:tc>
        <w:tc>
          <w:tcPr>
            <w:tcW w:w="84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座</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8</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拆除建筑面积</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auto"/>
                <w:sz w:val="22"/>
                <w:szCs w:val="22"/>
                <w:highlight w:val="none"/>
                <w:vertAlign w:val="superscript"/>
                <w:lang w:val="en-US" w:eastAsia="zh-CN"/>
              </w:rPr>
            </w:pPr>
            <w:r>
              <w:rPr>
                <w:rFonts w:hint="default" w:ascii="Times New Roman" w:hAnsi="Times New Roman" w:eastAsia="宋体" w:cs="Times New Roman"/>
                <w:color w:val="auto"/>
                <w:sz w:val="22"/>
                <w:szCs w:val="22"/>
                <w:highlight w:val="none"/>
              </w:rPr>
              <w:t>m</w:t>
            </w:r>
            <w:r>
              <w:rPr>
                <w:rFonts w:hint="eastAsia" w:cs="Times New Roman"/>
                <w:color w:val="auto"/>
                <w:sz w:val="22"/>
                <w:szCs w:val="22"/>
                <w:highlight w:val="none"/>
                <w:vertAlign w:val="superscript"/>
                <w:lang w:val="en-US" w:eastAsia="zh-CN"/>
              </w:rPr>
              <w:t>2</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2"/>
                <w:sz w:val="22"/>
                <w:szCs w:val="22"/>
                <w:highlight w:val="none"/>
              </w:rPr>
              <w:t>7532.80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9</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新建建筑面积</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m</w:t>
            </w:r>
            <w:r>
              <w:rPr>
                <w:rFonts w:hint="eastAsia" w:cs="Times New Roman"/>
                <w:color w:val="auto"/>
                <w:sz w:val="22"/>
                <w:szCs w:val="22"/>
                <w:highlight w:val="none"/>
                <w:vertAlign w:val="superscript"/>
                <w:lang w:val="en-US" w:eastAsia="zh-CN"/>
              </w:rPr>
              <w:t>2</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2"/>
                <w:sz w:val="22"/>
                <w:szCs w:val="22"/>
                <w:highlight w:val="none"/>
              </w:rPr>
              <w:t>7389.05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5"/>
                <w:sz w:val="22"/>
                <w:szCs w:val="22"/>
                <w:highlight w:val="none"/>
              </w:rPr>
              <w:t>10</w:t>
            </w:r>
          </w:p>
        </w:tc>
        <w:tc>
          <w:tcPr>
            <w:tcW w:w="1059" w:type="dxa"/>
            <w:gridSpan w:val="2"/>
            <w:vMerge w:val="restart"/>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3"/>
                <w:sz w:val="22"/>
                <w:szCs w:val="22"/>
                <w:highlight w:val="none"/>
              </w:rPr>
              <w:t>征地拆迁</w:t>
            </w:r>
          </w:p>
        </w:tc>
        <w:tc>
          <w:tcPr>
            <w:tcW w:w="183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3"/>
                <w:sz w:val="22"/>
                <w:szCs w:val="22"/>
                <w:highlight w:val="none"/>
              </w:rPr>
              <w:t>永久占地</w:t>
            </w:r>
          </w:p>
        </w:tc>
        <w:tc>
          <w:tcPr>
            <w:tcW w:w="84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亩</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eastAsia" w:cs="Times New Roman"/>
                <w:color w:val="auto"/>
                <w:spacing w:val="-1"/>
                <w:sz w:val="22"/>
                <w:szCs w:val="22"/>
                <w:highlight w:val="none"/>
                <w:lang w:val="en-US" w:eastAsia="zh-CN"/>
              </w:rPr>
              <w:t>194.05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tc>
        <w:tc>
          <w:tcPr>
            <w:tcW w:w="1059" w:type="dxa"/>
            <w:gridSpan w:val="2"/>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p>
        </w:tc>
        <w:tc>
          <w:tcPr>
            <w:tcW w:w="1834"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1"/>
                <w:sz w:val="22"/>
                <w:szCs w:val="22"/>
                <w:highlight w:val="none"/>
              </w:rPr>
              <w:t>临时用地</w:t>
            </w:r>
          </w:p>
        </w:tc>
        <w:tc>
          <w:tcPr>
            <w:tcW w:w="84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亩</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lang w:val="en-US" w:eastAsia="zh-CN"/>
              </w:rPr>
            </w:pPr>
            <w:r>
              <w:rPr>
                <w:rFonts w:hint="eastAsia" w:cs="Times New Roman"/>
                <w:color w:val="auto"/>
                <w:spacing w:val="1"/>
                <w:sz w:val="22"/>
                <w:szCs w:val="22"/>
                <w:highlight w:val="none"/>
                <w:lang w:val="en-US" w:eastAsia="zh-CN"/>
              </w:rPr>
              <w:t>371.37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9"/>
                <w:sz w:val="22"/>
                <w:szCs w:val="22"/>
                <w:highlight w:val="none"/>
              </w:rPr>
              <w:t>11</w:t>
            </w:r>
          </w:p>
        </w:tc>
        <w:tc>
          <w:tcPr>
            <w:tcW w:w="2893" w:type="dxa"/>
            <w:gridSpan w:val="3"/>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4"/>
                <w:sz w:val="22"/>
                <w:szCs w:val="22"/>
                <w:highlight w:val="none"/>
              </w:rPr>
              <w:t>工程总投资</w:t>
            </w:r>
          </w:p>
        </w:tc>
        <w:tc>
          <w:tcPr>
            <w:tcW w:w="846"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pacing w:val="-1"/>
                <w:sz w:val="22"/>
                <w:szCs w:val="22"/>
                <w:highlight w:val="none"/>
              </w:rPr>
              <w:t>万元</w:t>
            </w:r>
          </w:p>
        </w:tc>
        <w:tc>
          <w:tcPr>
            <w:tcW w:w="42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86943.66</w:t>
            </w:r>
          </w:p>
        </w:tc>
      </w:tr>
    </w:tbl>
    <w:p>
      <w:pPr>
        <w:spacing w:line="240" w:lineRule="auto"/>
        <w:rPr>
          <w:color w:val="auto"/>
          <w:highlight w:val="none"/>
        </w:rPr>
      </w:pPr>
    </w:p>
    <w:p>
      <w:pPr>
        <w:pStyle w:val="4"/>
        <w:rPr>
          <w:color w:val="auto"/>
          <w:highlight w:val="none"/>
        </w:rPr>
      </w:pPr>
      <w:bookmarkStart w:id="75" w:name="_Toc1996"/>
      <w:r>
        <w:rPr>
          <w:rFonts w:hint="eastAsia"/>
          <w:color w:val="auto"/>
          <w:highlight w:val="none"/>
        </w:rPr>
        <w:t>环境影响因素</w:t>
      </w:r>
      <w:r>
        <w:rPr>
          <w:color w:val="auto"/>
          <w:highlight w:val="none"/>
        </w:rPr>
        <w:t>分析</w:t>
      </w:r>
      <w:r>
        <w:rPr>
          <w:rFonts w:hint="eastAsia"/>
          <w:color w:val="auto"/>
          <w:highlight w:val="none"/>
        </w:rPr>
        <w:t>及</w:t>
      </w:r>
      <w:r>
        <w:rPr>
          <w:color w:val="auto"/>
          <w:highlight w:val="none"/>
        </w:rPr>
        <w:t>污染源强核算</w:t>
      </w:r>
      <w:bookmarkEnd w:id="75"/>
    </w:p>
    <w:p>
      <w:pPr>
        <w:pStyle w:val="5"/>
        <w:ind w:firstLine="522"/>
        <w:rPr>
          <w:color w:val="auto"/>
          <w:szCs w:val="26"/>
          <w:highlight w:val="none"/>
        </w:rPr>
      </w:pPr>
      <w:r>
        <w:rPr>
          <w:rFonts w:hint="eastAsia"/>
          <w:color w:val="auto"/>
          <w:szCs w:val="26"/>
          <w:highlight w:val="none"/>
        </w:rPr>
        <w:t>施工期环境影响因素</w:t>
      </w:r>
      <w:r>
        <w:rPr>
          <w:color w:val="auto"/>
          <w:szCs w:val="26"/>
          <w:highlight w:val="none"/>
        </w:rPr>
        <w:t>分析</w:t>
      </w:r>
    </w:p>
    <w:p>
      <w:pPr>
        <w:pStyle w:val="6"/>
        <w:bidi w:val="0"/>
        <w:rPr>
          <w:color w:val="auto"/>
          <w:highlight w:val="none"/>
        </w:rPr>
      </w:pPr>
      <w:r>
        <w:rPr>
          <w:rFonts w:hint="eastAsia"/>
          <w:color w:val="auto"/>
          <w:highlight w:val="none"/>
          <w:lang w:eastAsia="zh-CN"/>
        </w:rPr>
        <w:t>施工工艺</w:t>
      </w:r>
    </w:p>
    <w:p>
      <w:pPr>
        <w:pStyle w:val="7"/>
        <w:rPr>
          <w:rFonts w:hint="eastAsia"/>
          <w:color w:val="auto"/>
          <w:highlight w:val="none"/>
        </w:rPr>
      </w:pPr>
      <w:r>
        <w:rPr>
          <w:rFonts w:hint="eastAsia"/>
          <w:color w:val="auto"/>
          <w:highlight w:val="none"/>
          <w:lang w:eastAsia="zh-CN"/>
        </w:rPr>
        <w:t>项目施工</w:t>
      </w:r>
      <w:r>
        <w:rPr>
          <w:rFonts w:hint="eastAsia"/>
          <w:color w:val="auto"/>
          <w:highlight w:val="none"/>
        </w:rPr>
        <w:t>工程包括土方</w:t>
      </w:r>
      <w:r>
        <w:rPr>
          <w:rFonts w:hint="eastAsia"/>
          <w:color w:val="auto"/>
          <w:highlight w:val="none"/>
          <w:lang w:eastAsia="zh-CN"/>
        </w:rPr>
        <w:t>开挖工程</w:t>
      </w:r>
      <w:r>
        <w:rPr>
          <w:rFonts w:hint="eastAsia"/>
          <w:color w:val="auto"/>
          <w:highlight w:val="none"/>
        </w:rPr>
        <w:t>、拆除工程、主体工程、桥梁等工程的施工。主体工程施工应符合“先低后高，先重后轻”的原则，本项目的施工顺序总体是施工围堰填筑、基坑排水，上下游引航道及主体建筑物施工，围堰拆除。</w:t>
      </w:r>
    </w:p>
    <w:p>
      <w:pPr>
        <w:pStyle w:val="7"/>
        <w:rPr>
          <w:rFonts w:hint="eastAsia" w:eastAsia="宋体"/>
          <w:color w:val="auto"/>
          <w:highlight w:val="none"/>
          <w:lang w:eastAsia="zh-CN"/>
        </w:rPr>
      </w:pPr>
      <w:r>
        <w:rPr>
          <w:rFonts w:hint="eastAsia"/>
          <w:color w:val="auto"/>
          <w:highlight w:val="none"/>
          <w:lang w:eastAsia="zh-CN"/>
        </w:rPr>
        <w:t>施工过程中产生的污染物主要包括施工扬尘、施工机械尾气、施工废水、生活污水、施工机械噪声、弃渣、建筑垃圾等。</w:t>
      </w:r>
    </w:p>
    <w:p>
      <w:pPr>
        <w:pStyle w:val="7"/>
        <w:spacing w:line="240" w:lineRule="auto"/>
        <w:ind w:left="0" w:leftChars="0" w:firstLine="0" w:firstLineChars="0"/>
        <w:jc w:val="center"/>
        <w:rPr>
          <w:color w:val="auto"/>
          <w:highlight w:val="none"/>
        </w:rPr>
      </w:pPr>
      <w:r>
        <w:rPr>
          <w:color w:val="auto"/>
          <w:highlight w:val="none"/>
        </w:rPr>
        <w:drawing>
          <wp:inline distT="0" distB="0" distL="114300" distR="114300">
            <wp:extent cx="5375275" cy="3768725"/>
            <wp:effectExtent l="0" t="0" r="15875" b="317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40"/>
                    <a:stretch>
                      <a:fillRect/>
                    </a:stretch>
                  </pic:blipFill>
                  <pic:spPr>
                    <a:xfrm>
                      <a:off x="0" y="0"/>
                      <a:ext cx="5375275" cy="37687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b/>
          <w:bCs/>
          <w:color w:val="auto"/>
          <w:kern w:val="2"/>
          <w:sz w:val="26"/>
          <w:szCs w:val="24"/>
          <w:highlight w:val="none"/>
          <w:lang w:val="en-US" w:eastAsia="zh-CN" w:bidi="ar-SA"/>
        </w:rPr>
      </w:pPr>
      <w:r>
        <w:rPr>
          <w:rFonts w:hint="eastAsia" w:ascii="Times New Roman" w:hAnsi="Times New Roman" w:eastAsia="宋体" w:cs="Times New Roman"/>
          <w:b/>
          <w:bCs/>
          <w:color w:val="auto"/>
          <w:kern w:val="2"/>
          <w:sz w:val="26"/>
          <w:szCs w:val="24"/>
          <w:highlight w:val="none"/>
          <w:lang w:val="en-US" w:eastAsia="zh-CN" w:bidi="ar-SA"/>
        </w:rPr>
        <w:t>图</w:t>
      </w:r>
      <w:r>
        <w:rPr>
          <w:rFonts w:hint="eastAsia" w:cs="Times New Roman"/>
          <w:b/>
          <w:bCs/>
          <w:color w:val="auto"/>
          <w:kern w:val="2"/>
          <w:sz w:val="26"/>
          <w:szCs w:val="24"/>
          <w:highlight w:val="none"/>
          <w:lang w:val="en-US" w:eastAsia="zh-CN" w:bidi="ar-SA"/>
        </w:rPr>
        <w:t xml:space="preserve">2.6.1.1-1  </w:t>
      </w:r>
      <w:r>
        <w:rPr>
          <w:rFonts w:hint="eastAsia" w:ascii="Times New Roman" w:hAnsi="Times New Roman" w:eastAsia="宋体" w:cs="Times New Roman"/>
          <w:b/>
          <w:bCs/>
          <w:color w:val="auto"/>
          <w:kern w:val="2"/>
          <w:sz w:val="26"/>
          <w:szCs w:val="24"/>
          <w:highlight w:val="none"/>
          <w:lang w:val="en-US" w:eastAsia="zh-CN" w:bidi="ar-SA"/>
        </w:rPr>
        <w:t>渭沱船闸主要施工流程图</w:t>
      </w:r>
    </w:p>
    <w:p>
      <w:pPr>
        <w:pStyle w:val="7"/>
        <w:spacing w:line="240" w:lineRule="auto"/>
        <w:ind w:left="0" w:leftChars="0" w:firstLine="0" w:firstLineChars="0"/>
        <w:rPr>
          <w:b/>
          <w:bCs/>
          <w:color w:val="auto"/>
          <w:highlight w:val="none"/>
        </w:rPr>
      </w:pPr>
    </w:p>
    <w:p>
      <w:pPr>
        <w:pStyle w:val="7"/>
        <w:rPr>
          <w:rFonts w:hint="eastAsia"/>
          <w:b/>
          <w:bCs/>
          <w:color w:val="auto"/>
          <w:highlight w:val="none"/>
          <w:lang w:eastAsia="zh-CN"/>
        </w:rPr>
      </w:pPr>
      <w:r>
        <w:rPr>
          <w:rFonts w:hint="eastAsia"/>
          <w:b/>
          <w:bCs/>
          <w:color w:val="auto"/>
          <w:highlight w:val="none"/>
          <w:lang w:eastAsia="zh-CN"/>
        </w:rPr>
        <w:t>主要施工工艺介绍如下：</w:t>
      </w:r>
    </w:p>
    <w:p>
      <w:pPr>
        <w:pStyle w:val="7"/>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）施工导流及围堰</w:t>
      </w:r>
    </w:p>
    <w:p>
      <w:pPr>
        <w:pStyle w:val="7"/>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1 \* GB3 \* MERGEFORMAT </w:instrText>
      </w:r>
      <w:r>
        <w:rPr>
          <w:rFonts w:hint="eastAsia"/>
          <w:color w:val="auto"/>
          <w:highlight w:val="none"/>
          <w:lang w:eastAsia="zh-CN"/>
        </w:rPr>
        <w:fldChar w:fldCharType="separate"/>
      </w:r>
      <w:r>
        <w:rPr>
          <w:color w:val="auto"/>
          <w:highlight w:val="none"/>
        </w:rPr>
        <w:t>①</w:t>
      </w:r>
      <w:r>
        <w:rPr>
          <w:rFonts w:hint="eastAsia"/>
          <w:color w:val="auto"/>
          <w:highlight w:val="none"/>
          <w:lang w:eastAsia="zh-CN"/>
        </w:rPr>
        <w:fldChar w:fldCharType="end"/>
      </w:r>
      <w:r>
        <w:rPr>
          <w:rFonts w:hint="eastAsia"/>
          <w:color w:val="auto"/>
          <w:highlight w:val="none"/>
          <w:lang w:eastAsia="zh-CN"/>
        </w:rPr>
        <w:t>全年围堰施工</w:t>
      </w:r>
    </w:p>
    <w:p>
      <w:pPr>
        <w:pStyle w:val="7"/>
        <w:ind w:left="0" w:leftChars="0" w:firstLine="520" w:firstLineChars="200"/>
        <w:rPr>
          <w:rFonts w:hint="eastAsia"/>
          <w:color w:val="auto"/>
          <w:highlight w:val="none"/>
          <w:lang w:eastAsia="zh-CN"/>
        </w:rPr>
      </w:pPr>
      <w:r>
        <w:rPr>
          <w:rFonts w:hint="eastAsia"/>
          <w:color w:val="auto"/>
          <w:highlight w:val="none"/>
          <w:lang w:eastAsia="zh-CN"/>
        </w:rPr>
        <w:t>横向全年围堰为土石围堰，施工利用临建工程开挖石料（严禁采用泥岩）填筑围堰堰身，逐层压实加高到设计高程，对坡面进行修整，平铺土工布。坡面利用碎石、二片石及块石作为防护材料，采用1.0</w:t>
      </w:r>
      <w:r>
        <w:rPr>
          <w:rFonts w:hint="eastAsia"/>
          <w:color w:val="auto"/>
          <w:highlight w:val="none"/>
          <w:lang w:val="en-US" w:eastAsia="zh-CN"/>
        </w:rPr>
        <w:t>m³</w:t>
      </w:r>
      <w:r>
        <w:rPr>
          <w:rFonts w:hint="eastAsia"/>
          <w:color w:val="auto"/>
          <w:highlight w:val="none"/>
          <w:lang w:eastAsia="zh-CN"/>
        </w:rPr>
        <w:t>正铲挖掘机装车，15t自卸汽车运输上堰，人工配合进行护面结构施工。主基坑开挖后，做堰体内侧护面施工，围堰内侧均采用挂网喷混凝土护面。</w:t>
      </w:r>
    </w:p>
    <w:p>
      <w:pPr>
        <w:pStyle w:val="7"/>
        <w:ind w:left="0" w:leftChars="0" w:firstLine="520" w:firstLineChars="200"/>
        <w:rPr>
          <w:rFonts w:hint="eastAsia"/>
          <w:color w:val="auto"/>
          <w:highlight w:val="none"/>
          <w:lang w:eastAsia="zh-CN"/>
        </w:rPr>
      </w:pPr>
      <w:r>
        <w:rPr>
          <w:rFonts w:hint="eastAsia"/>
          <w:color w:val="auto"/>
          <w:highlight w:val="none"/>
          <w:lang w:eastAsia="zh-CN"/>
        </w:rPr>
        <w:t>纵向全年围堰包括土石围堰、排桩墙结构和空箱式结构。对排桩结构，桩基应先施工素混凝土桩，再实施素混凝土桩之间的灌注桩。灌注桩成孔设备应以冲击钻为主，成孔后采用专用的清孔设备进行清孔，混凝土浇筑采用导管灌注的方法。桩基施工完成后施工承台板等上部结构，混凝土由搅拌楼拌制，自卸汽车运输，泵送混凝土入仓。对空箱式结构，所处地形较高，需通过</w:t>
      </w:r>
      <w:r>
        <w:rPr>
          <w:rFonts w:hint="eastAsia"/>
          <w:color w:val="auto"/>
          <w:highlight w:val="none"/>
          <w:lang w:val="en-US" w:eastAsia="zh-CN"/>
        </w:rPr>
        <w:t>1m³</w:t>
      </w:r>
      <w:r>
        <w:rPr>
          <w:rFonts w:hint="eastAsia"/>
          <w:color w:val="auto"/>
          <w:highlight w:val="none"/>
          <w:lang w:eastAsia="zh-CN"/>
        </w:rPr>
        <w:t>反铲挖掘机开挖，局部通过爆破形成施工平台。</w:t>
      </w:r>
    </w:p>
    <w:p>
      <w:pPr>
        <w:pStyle w:val="7"/>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2 \* GB3 \* MERGEFORMAT </w:instrText>
      </w:r>
      <w:r>
        <w:rPr>
          <w:rFonts w:hint="eastAsia"/>
          <w:color w:val="auto"/>
          <w:highlight w:val="none"/>
          <w:lang w:eastAsia="zh-CN"/>
        </w:rPr>
        <w:fldChar w:fldCharType="separate"/>
      </w:r>
      <w:r>
        <w:rPr>
          <w:color w:val="auto"/>
          <w:highlight w:val="none"/>
        </w:rPr>
        <w:t>②</w:t>
      </w:r>
      <w:r>
        <w:rPr>
          <w:rFonts w:hint="eastAsia"/>
          <w:color w:val="auto"/>
          <w:highlight w:val="none"/>
          <w:lang w:eastAsia="zh-CN"/>
        </w:rPr>
        <w:fldChar w:fldCharType="end"/>
      </w:r>
      <w:r>
        <w:rPr>
          <w:rFonts w:hint="eastAsia"/>
          <w:color w:val="auto"/>
          <w:highlight w:val="none"/>
          <w:lang w:eastAsia="zh-CN"/>
        </w:rPr>
        <w:t>枯水围堰施工</w:t>
      </w:r>
    </w:p>
    <w:p>
      <w:pPr>
        <w:pStyle w:val="7"/>
        <w:rPr>
          <w:rFonts w:hint="eastAsia"/>
          <w:color w:val="auto"/>
          <w:highlight w:val="none"/>
          <w:lang w:eastAsia="zh-CN"/>
        </w:rPr>
      </w:pPr>
      <w:r>
        <w:rPr>
          <w:rFonts w:hint="eastAsia"/>
          <w:color w:val="auto"/>
          <w:highlight w:val="none"/>
          <w:lang w:eastAsia="zh-CN"/>
        </w:rPr>
        <w:t>枯水围堰先施工抛石戗堤，在静水条件下通过开底驳船抛填形成，然后利用主基坑弃碴填筑围堰，围堰经逐层压实加高到设计高程，对坡面进行修整，平铺土工布，碎石垫层，迎江侧加铺二片石垫层，人工配合进行块石护面施工。</w:t>
      </w:r>
    </w:p>
    <w:p>
      <w:pPr>
        <w:pStyle w:val="7"/>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3 \* GB3 \* MERGEFORMAT </w:instrText>
      </w:r>
      <w:r>
        <w:rPr>
          <w:rFonts w:hint="eastAsia"/>
          <w:color w:val="auto"/>
          <w:highlight w:val="none"/>
          <w:lang w:eastAsia="zh-CN"/>
        </w:rPr>
        <w:fldChar w:fldCharType="separate"/>
      </w:r>
      <w:r>
        <w:rPr>
          <w:color w:val="auto"/>
          <w:highlight w:val="none"/>
        </w:rPr>
        <w:t>③</w:t>
      </w:r>
      <w:r>
        <w:rPr>
          <w:rFonts w:hint="eastAsia"/>
          <w:color w:val="auto"/>
          <w:highlight w:val="none"/>
          <w:lang w:eastAsia="zh-CN"/>
        </w:rPr>
        <w:fldChar w:fldCharType="end"/>
      </w:r>
      <w:r>
        <w:rPr>
          <w:rFonts w:hint="eastAsia"/>
          <w:color w:val="auto"/>
          <w:highlight w:val="none"/>
          <w:lang w:eastAsia="zh-CN"/>
        </w:rPr>
        <w:t>防渗帷幕施工</w:t>
      </w:r>
    </w:p>
    <w:p>
      <w:pPr>
        <w:pStyle w:val="7"/>
        <w:rPr>
          <w:rFonts w:hint="eastAsia"/>
          <w:color w:val="auto"/>
          <w:highlight w:val="none"/>
          <w:lang w:eastAsia="zh-CN"/>
        </w:rPr>
      </w:pPr>
      <w:r>
        <w:rPr>
          <w:rFonts w:hint="eastAsia"/>
          <w:color w:val="auto"/>
          <w:highlight w:val="none"/>
          <w:lang w:eastAsia="zh-CN"/>
        </w:rPr>
        <w:t>素混凝土防渗墙帷幕施工与围堰施工同时进行。素混凝土防渗墙帷幕先施工导向槽和导梁，随后用液压抓斗成槽法成孔，中风化岩层采用冲孔成槽，修槽成墙，泥浆护壁。</w:t>
      </w:r>
    </w:p>
    <w:p>
      <w:pPr>
        <w:pStyle w:val="7"/>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）基坑开挖</w:t>
      </w:r>
    </w:p>
    <w:p>
      <w:pPr>
        <w:pStyle w:val="7"/>
        <w:rPr>
          <w:rFonts w:hint="eastAsia"/>
          <w:color w:val="auto"/>
          <w:highlight w:val="none"/>
          <w:lang w:eastAsia="zh-CN"/>
        </w:rPr>
      </w:pPr>
      <w:r>
        <w:rPr>
          <w:rFonts w:hint="eastAsia"/>
          <w:color w:val="auto"/>
          <w:highlight w:val="none"/>
          <w:lang w:eastAsia="zh-CN"/>
        </w:rPr>
        <w:t>围堰工程以及对应帷幕工程完成后，可进行基坑开挖。围堰侧基坑开挖按照围堰设计断面进行，开挖至建基面。船闸结构不同部位建基面高程不同，基坑开挖深度也不相同。</w:t>
      </w:r>
    </w:p>
    <w:p>
      <w:pPr>
        <w:pStyle w:val="7"/>
        <w:rPr>
          <w:rFonts w:hint="eastAsia"/>
          <w:color w:val="auto"/>
          <w:highlight w:val="none"/>
          <w:lang w:eastAsia="zh-CN"/>
        </w:rPr>
      </w:pPr>
      <w:r>
        <w:rPr>
          <w:rFonts w:hint="eastAsia"/>
          <w:color w:val="auto"/>
          <w:highlight w:val="none"/>
          <w:lang w:eastAsia="zh-CN"/>
        </w:rPr>
        <w:t>基坑开挖按由上而下的顺序进行，开挖坡度为1:0.2~1:1，一次开挖深度不宜超过1.5m。当单级边坡高度超过10m，设置一级2m宽平台。基坑高程 217.00m以上边坡为永久边坡，217.00m以下为临时边坡。对临时边坡，开挖完成后采用挂网喷砼护面，护面厚80mm，每隔15m设置一条纵向结构缝。边坡上设有排水孔（内置Φ50软式透水管），排水孔长度为3m，底部用透水土工布包扎，边坡喷射混凝土时应对其出口遮挡以防堵塞。排水孔水平间距 2.0m，竖向间距1.5m，矩形布置。基坑开挖过程中应监测边坡稳定以及渗流稳定，当出现可能危及基坑安全的迹象时，必须立即停止施工，并与设计单位沟通，采取适宜的</w:t>
      </w:r>
      <w:r>
        <w:rPr>
          <w:rFonts w:hint="eastAsia"/>
          <w:color w:val="auto"/>
          <w:highlight w:val="none"/>
          <w:shd w:val="clear" w:fill="FFFFFF"/>
          <w:lang w:eastAsia="zh-CN"/>
        </w:rPr>
        <w:t>基坑保护</w:t>
      </w:r>
      <w:r>
        <w:rPr>
          <w:rFonts w:hint="eastAsia"/>
          <w:color w:val="auto"/>
          <w:highlight w:val="none"/>
          <w:lang w:eastAsia="zh-CN"/>
        </w:rPr>
        <w:t>措施。</w:t>
      </w:r>
    </w:p>
    <w:p>
      <w:pPr>
        <w:pStyle w:val="7"/>
        <w:ind w:left="0" w:leftChars="0" w:firstLine="520" w:firstLineChars="200"/>
        <w:rPr>
          <w:rFonts w:hint="eastAsia"/>
          <w:color w:val="auto"/>
          <w:highlight w:val="none"/>
          <w:lang w:eastAsia="zh-CN"/>
        </w:rPr>
      </w:pPr>
      <w:r>
        <w:rPr>
          <w:rFonts w:hint="eastAsia"/>
          <w:color w:val="auto"/>
          <w:highlight w:val="none"/>
          <w:lang w:eastAsia="zh-CN"/>
        </w:rPr>
        <w:t>在基坑开挖过程中以及基坑使用过程中，基坑周边严禁堆载。本工程下闸首区域基坑开挖线距现状电站厂房较近，最近距离仅2m。根据收集电站厂房竣工图，靠基坑侧厂房基础为条形基础，持力层为中风化泥岩。为保障电站厂房安全，在距离现状枢纽电站厂房50m范围内应采用机械加人工凿除方式施工，50m~150m范围内采用浅孔控制爆破方法施工，其余采用深孔控制爆破方法施工。施工过程中应做好专项施工方案，并对厂房加强沉降位移观测。</w:t>
      </w:r>
    </w:p>
    <w:p>
      <w:pPr>
        <w:pStyle w:val="7"/>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）船闸工程施工</w:t>
      </w:r>
    </w:p>
    <w:p>
      <w:pPr>
        <w:pStyle w:val="7"/>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1 \* GB3 \* MERGEFORMAT </w:instrText>
      </w:r>
      <w:r>
        <w:rPr>
          <w:rFonts w:hint="eastAsia"/>
          <w:color w:val="auto"/>
          <w:highlight w:val="none"/>
          <w:lang w:eastAsia="zh-CN"/>
        </w:rPr>
        <w:fldChar w:fldCharType="separate"/>
      </w:r>
      <w:r>
        <w:rPr>
          <w:color w:val="auto"/>
          <w:highlight w:val="none"/>
        </w:rPr>
        <w:t>①</w:t>
      </w:r>
      <w:r>
        <w:rPr>
          <w:rFonts w:hint="eastAsia"/>
          <w:color w:val="auto"/>
          <w:highlight w:val="none"/>
          <w:lang w:eastAsia="zh-CN"/>
        </w:rPr>
        <w:fldChar w:fldCharType="end"/>
      </w:r>
      <w:r>
        <w:rPr>
          <w:rFonts w:hint="eastAsia"/>
          <w:color w:val="auto"/>
          <w:highlight w:val="none"/>
          <w:lang w:eastAsia="zh-CN"/>
        </w:rPr>
        <w:t>土石方开挖与填筑</w:t>
      </w:r>
    </w:p>
    <w:p>
      <w:pPr>
        <w:pStyle w:val="7"/>
        <w:rPr>
          <w:rFonts w:hint="eastAsia"/>
          <w:color w:val="auto"/>
          <w:highlight w:val="none"/>
          <w:lang w:eastAsia="zh-CN"/>
        </w:rPr>
      </w:pPr>
      <w:r>
        <w:rPr>
          <w:rFonts w:hint="eastAsia"/>
          <w:color w:val="auto"/>
          <w:highlight w:val="none"/>
          <w:lang w:eastAsia="zh-CN"/>
        </w:rPr>
        <w:t>本工程土石方开挖总量约195.47万</w:t>
      </w:r>
      <w:r>
        <w:rPr>
          <w:rFonts w:hint="eastAsia"/>
          <w:color w:val="auto"/>
          <w:highlight w:val="none"/>
          <w:lang w:val="en-US" w:eastAsia="zh-CN"/>
        </w:rPr>
        <w:t>m³</w:t>
      </w:r>
      <w:r>
        <w:rPr>
          <w:rFonts w:hint="eastAsia"/>
          <w:color w:val="auto"/>
          <w:highlight w:val="none"/>
          <w:lang w:eastAsia="zh-CN"/>
        </w:rPr>
        <w:t>（自然方），土石方填筑总量约 46.61万</w:t>
      </w:r>
      <w:r>
        <w:rPr>
          <w:rFonts w:hint="eastAsia"/>
          <w:color w:val="auto"/>
          <w:highlight w:val="none"/>
          <w:lang w:val="en-US" w:eastAsia="zh-CN"/>
        </w:rPr>
        <w:t>m³</w:t>
      </w:r>
      <w:r>
        <w:rPr>
          <w:rFonts w:hint="eastAsia"/>
          <w:color w:val="auto"/>
          <w:highlight w:val="none"/>
          <w:lang w:eastAsia="zh-CN"/>
        </w:rPr>
        <w:t>（实方）。临时工程护坡块石及碎石垫层采用本工程开挖石料进行二次加工利用，利用护坡块石2.03万</w:t>
      </w:r>
      <w:r>
        <w:rPr>
          <w:rFonts w:hint="eastAsia"/>
          <w:color w:val="auto"/>
          <w:highlight w:val="none"/>
          <w:lang w:val="en-US" w:eastAsia="zh-CN"/>
        </w:rPr>
        <w:t>m³</w:t>
      </w:r>
      <w:r>
        <w:rPr>
          <w:rFonts w:hint="eastAsia"/>
          <w:color w:val="auto"/>
          <w:highlight w:val="none"/>
          <w:lang w:eastAsia="zh-CN"/>
        </w:rPr>
        <w:t>（实方），利用碎石垫层0.70万</w:t>
      </w:r>
      <w:r>
        <w:rPr>
          <w:rFonts w:hint="eastAsia"/>
          <w:color w:val="auto"/>
          <w:highlight w:val="none"/>
          <w:lang w:val="en-US" w:eastAsia="zh-CN"/>
        </w:rPr>
        <w:t>m³</w:t>
      </w:r>
      <w:r>
        <w:rPr>
          <w:rFonts w:hint="eastAsia"/>
          <w:color w:val="auto"/>
          <w:highlight w:val="none"/>
          <w:lang w:eastAsia="zh-CN"/>
        </w:rPr>
        <w:t>（实方），其余填筑料均利用本工程开挖料。工程总弃方量172.20万</w:t>
      </w:r>
      <w:r>
        <w:rPr>
          <w:rFonts w:hint="eastAsia"/>
          <w:color w:val="auto"/>
          <w:highlight w:val="none"/>
          <w:lang w:val="en-US" w:eastAsia="zh-CN"/>
        </w:rPr>
        <w:t>m³</w:t>
      </w:r>
      <w:r>
        <w:rPr>
          <w:rFonts w:hint="eastAsia"/>
          <w:color w:val="auto"/>
          <w:highlight w:val="none"/>
          <w:lang w:eastAsia="zh-CN"/>
        </w:rPr>
        <w:t>（实方）。受周围地形和建筑物限制，基坑内石方开挖均采用预裂爆破，爆破施工方案需进行专项报批。</w:t>
      </w:r>
    </w:p>
    <w:p>
      <w:pPr>
        <w:pStyle w:val="7"/>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2 \* GB3 \* MERGEFORMAT </w:instrText>
      </w:r>
      <w:r>
        <w:rPr>
          <w:rFonts w:hint="eastAsia"/>
          <w:color w:val="auto"/>
          <w:highlight w:val="none"/>
          <w:lang w:eastAsia="zh-CN"/>
        </w:rPr>
        <w:fldChar w:fldCharType="separate"/>
      </w:r>
      <w:r>
        <w:rPr>
          <w:color w:val="auto"/>
          <w:highlight w:val="none"/>
        </w:rPr>
        <w:t>②</w:t>
      </w:r>
      <w:r>
        <w:rPr>
          <w:rFonts w:hint="eastAsia"/>
          <w:color w:val="auto"/>
          <w:highlight w:val="none"/>
          <w:lang w:eastAsia="zh-CN"/>
        </w:rPr>
        <w:fldChar w:fldCharType="end"/>
      </w:r>
      <w:r>
        <w:rPr>
          <w:rFonts w:hint="eastAsia"/>
          <w:color w:val="auto"/>
          <w:highlight w:val="none"/>
          <w:lang w:eastAsia="zh-CN"/>
        </w:rPr>
        <w:t>基础处理</w:t>
      </w:r>
    </w:p>
    <w:p>
      <w:pPr>
        <w:pStyle w:val="7"/>
        <w:rPr>
          <w:rFonts w:hint="eastAsia"/>
          <w:color w:val="auto"/>
          <w:highlight w:val="none"/>
          <w:lang w:eastAsia="zh-CN"/>
        </w:rPr>
      </w:pPr>
      <w:r>
        <w:rPr>
          <w:rFonts w:hint="eastAsia"/>
          <w:color w:val="auto"/>
          <w:highlight w:val="none"/>
          <w:lang w:eastAsia="zh-CN"/>
        </w:rPr>
        <w:t>船闸部位基础处理主要包括帷幕灌浆和桩基承台基础。前述项目均为常用的处理方式，采用常规施工工艺施工。</w:t>
      </w:r>
    </w:p>
    <w:p>
      <w:pPr>
        <w:pStyle w:val="7"/>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3 \* GB3 \* MERGEFORMAT </w:instrText>
      </w:r>
      <w:r>
        <w:rPr>
          <w:rFonts w:hint="eastAsia"/>
          <w:color w:val="auto"/>
          <w:highlight w:val="none"/>
          <w:lang w:eastAsia="zh-CN"/>
        </w:rPr>
        <w:fldChar w:fldCharType="separate"/>
      </w:r>
      <w:r>
        <w:rPr>
          <w:color w:val="auto"/>
          <w:highlight w:val="none"/>
        </w:rPr>
        <w:t>③</w:t>
      </w:r>
      <w:r>
        <w:rPr>
          <w:rFonts w:hint="eastAsia"/>
          <w:color w:val="auto"/>
          <w:highlight w:val="none"/>
          <w:lang w:eastAsia="zh-CN"/>
        </w:rPr>
        <w:fldChar w:fldCharType="end"/>
      </w:r>
      <w:r>
        <w:rPr>
          <w:rFonts w:hint="eastAsia"/>
          <w:color w:val="auto"/>
          <w:highlight w:val="none"/>
          <w:lang w:eastAsia="zh-CN"/>
        </w:rPr>
        <w:t>混凝土浇筑</w:t>
      </w:r>
    </w:p>
    <w:p>
      <w:pPr>
        <w:pStyle w:val="7"/>
        <w:rPr>
          <w:rFonts w:hint="eastAsia"/>
          <w:color w:val="auto"/>
          <w:highlight w:val="none"/>
          <w:lang w:eastAsia="zh-CN"/>
        </w:rPr>
      </w:pPr>
      <w:r>
        <w:rPr>
          <w:rFonts w:hint="eastAsia"/>
          <w:color w:val="auto"/>
          <w:highlight w:val="none"/>
          <w:lang w:eastAsia="zh-CN"/>
        </w:rPr>
        <w:t>船闸混凝土主要包括上下闸首、闸室、导航墙、靠船墩、引航道护岸、桥梁等部位。船闸混凝土由右岸砼拌和楼制备。混凝土由10t自卸汽车运输至受料平台，用高架门机吊3.0</w:t>
      </w:r>
      <w:r>
        <w:rPr>
          <w:rFonts w:hint="eastAsia"/>
          <w:color w:val="auto"/>
          <w:highlight w:val="none"/>
          <w:lang w:val="en-US" w:eastAsia="zh-CN"/>
        </w:rPr>
        <w:t>m³</w:t>
      </w:r>
      <w:r>
        <w:rPr>
          <w:rFonts w:hint="eastAsia"/>
          <w:color w:val="auto"/>
          <w:highlight w:val="none"/>
          <w:lang w:eastAsia="zh-CN"/>
        </w:rPr>
        <w:t>卧罐入仓，门机布置于船闸中心线位置。同时船闸的上、下闸首各布置1台20t履带起重机吊3.0</w:t>
      </w:r>
      <w:r>
        <w:rPr>
          <w:rFonts w:hint="eastAsia"/>
          <w:color w:val="auto"/>
          <w:highlight w:val="none"/>
          <w:lang w:val="en-US" w:eastAsia="zh-CN"/>
        </w:rPr>
        <w:t>m³</w:t>
      </w:r>
      <w:r>
        <w:rPr>
          <w:rFonts w:hint="eastAsia"/>
          <w:color w:val="auto"/>
          <w:highlight w:val="none"/>
          <w:lang w:eastAsia="zh-CN"/>
        </w:rPr>
        <w:t>卧罐入仓，即可控制船闸其余部位。上、下游护岸混凝土采用平板式振捣器振捣，其余部位混凝土采用高频插入式振捣器振捣。</w:t>
      </w:r>
    </w:p>
    <w:p>
      <w:pPr>
        <w:pStyle w:val="7"/>
        <w:rPr>
          <w:rFonts w:hint="eastAsia"/>
          <w:color w:val="auto"/>
          <w:highlight w:val="none"/>
          <w:lang w:val="en-US" w:eastAsia="zh-CN"/>
        </w:rPr>
      </w:pPr>
      <w:r>
        <w:rPr>
          <w:rFonts w:hint="eastAsia"/>
          <w:color w:val="auto"/>
          <w:highlight w:val="none"/>
          <w:lang w:val="en-US" w:eastAsia="zh-CN"/>
        </w:rPr>
        <w:t>（4）引航道边坡施工</w:t>
      </w:r>
    </w:p>
    <w:p>
      <w:pPr>
        <w:pStyle w:val="7"/>
        <w:rPr>
          <w:rFonts w:hint="eastAsia"/>
          <w:color w:val="auto"/>
          <w:highlight w:val="none"/>
          <w:lang w:val="en-US" w:eastAsia="zh-CN"/>
        </w:rPr>
      </w:pPr>
      <w:r>
        <w:rPr>
          <w:rFonts w:hint="eastAsia"/>
          <w:color w:val="auto"/>
          <w:highlight w:val="none"/>
          <w:lang w:val="en-US" w:eastAsia="zh-CN"/>
        </w:rPr>
        <w:t>本工程高边坡的最大高度约为58.1m（其中临时边坡高度为30.4m），永久边坡设计坡率为1:1.5，地层岩性为第四系全</w:t>
      </w:r>
      <w:r>
        <w:rPr>
          <w:rFonts w:hint="eastAsia"/>
          <w:color w:val="auto"/>
          <w:highlight w:val="none"/>
          <w:shd w:val="clear" w:fill="FFFFFF"/>
          <w:lang w:val="en-US" w:eastAsia="zh-CN"/>
        </w:rPr>
        <w:t>新统</w:t>
      </w:r>
      <w:r>
        <w:rPr>
          <w:rFonts w:hint="eastAsia"/>
          <w:color w:val="auto"/>
          <w:highlight w:val="none"/>
          <w:lang w:val="en-US" w:eastAsia="zh-CN"/>
        </w:rPr>
        <w:t>松散堆积层及广泛出露的侏罗系砂岩和泥岩。对高边坡土石方进行开挖清理并按照要求做好安全防护措施。要求开挖一级边坡防护一级边坡，及时防护。</w:t>
      </w:r>
    </w:p>
    <w:p>
      <w:pPr>
        <w:pStyle w:val="7"/>
        <w:rPr>
          <w:rFonts w:hint="eastAsia"/>
          <w:color w:val="auto"/>
          <w:highlight w:val="none"/>
          <w:lang w:val="en-US" w:eastAsia="zh-CN"/>
        </w:rPr>
      </w:pPr>
      <w:r>
        <w:rPr>
          <w:rFonts w:hint="eastAsia"/>
          <w:color w:val="auto"/>
          <w:highlight w:val="none"/>
          <w:lang w:val="en-US" w:eastAsia="zh-CN"/>
        </w:rPr>
        <w:t>根据边坡高度对不同高度部位采用不同的护坡方式，永久边坡采用锚杆框架梁植生袋防护、桩板墙防护和衡重式挡土墙支挡。</w:t>
      </w:r>
    </w:p>
    <w:p>
      <w:pPr>
        <w:pStyle w:val="7"/>
        <w:rPr>
          <w:rFonts w:hint="eastAsia"/>
          <w:color w:val="auto"/>
          <w:highlight w:val="none"/>
          <w:lang w:val="en-US" w:eastAsia="zh-CN"/>
        </w:rPr>
      </w:pPr>
      <w:r>
        <w:rPr>
          <w:rFonts w:hint="eastAsia"/>
          <w:color w:val="auto"/>
          <w:highlight w:val="none"/>
          <w:lang w:val="en-US" w:eastAsia="zh-CN"/>
        </w:rPr>
        <w:t>锚杆框架梁植生袋防护：先放样、修整坡面，然后根据边坡的地质条件选用不同长度的锚杆，再对边坡进行植生袋植草防护，同时注意后期养护。</w:t>
      </w:r>
    </w:p>
    <w:p>
      <w:pPr>
        <w:pStyle w:val="7"/>
        <w:rPr>
          <w:rFonts w:hint="eastAsia"/>
          <w:color w:val="auto"/>
          <w:highlight w:val="none"/>
          <w:lang w:val="en-US" w:eastAsia="zh-CN"/>
        </w:rPr>
      </w:pPr>
      <w:r>
        <w:rPr>
          <w:rFonts w:hint="eastAsia"/>
          <w:color w:val="auto"/>
          <w:highlight w:val="none"/>
          <w:lang w:val="en-US" w:eastAsia="zh-CN"/>
        </w:rPr>
        <w:t>桩板墙防护：通过钢筋混凝土桩与挡土板的组合，形成刚性支挡体系，抵抗土体侧压力，防止滑坡、坍塌等地质灾害。其核心原理是利用桩的锚固作用将土压力传递至稳定地层，同时通过挡土板阻止土体垮落。</w:t>
      </w:r>
    </w:p>
    <w:p>
      <w:pPr>
        <w:pStyle w:val="7"/>
        <w:rPr>
          <w:rFonts w:hint="eastAsia"/>
          <w:color w:val="auto"/>
          <w:highlight w:val="none"/>
          <w:lang w:val="en-US" w:eastAsia="zh-CN"/>
        </w:rPr>
      </w:pPr>
      <w:r>
        <w:rPr>
          <w:rFonts w:hint="eastAsia"/>
          <w:color w:val="auto"/>
          <w:highlight w:val="none"/>
          <w:lang w:val="en-US" w:eastAsia="zh-CN"/>
        </w:rPr>
        <w:t>衡重式挡土墙：通过在墙背设置衡重台，利用衡重台上填土的自重来平衡墙身所受土压力，减少墙体截面尺寸和材料用量，通过“结构自重+衡重台填土重量”共同抵抗土体侧压力，实现对边坡的防护。</w:t>
      </w:r>
    </w:p>
    <w:p>
      <w:pPr>
        <w:pStyle w:val="7"/>
        <w:rPr>
          <w:rFonts w:hint="eastAsia"/>
          <w:color w:val="auto"/>
          <w:highlight w:val="none"/>
          <w:lang w:val="en-US" w:eastAsia="zh-CN"/>
        </w:rPr>
      </w:pPr>
      <w:r>
        <w:rPr>
          <w:rFonts w:hint="eastAsia"/>
          <w:color w:val="auto"/>
          <w:highlight w:val="none"/>
          <w:lang w:val="en-US" w:eastAsia="zh-CN"/>
        </w:rPr>
        <w:t>（5）桥梁施工</w:t>
      </w:r>
    </w:p>
    <w:p>
      <w:pPr>
        <w:pStyle w:val="7"/>
        <w:rPr>
          <w:rFonts w:hint="eastAsia"/>
          <w:color w:val="auto"/>
          <w:highlight w:val="none"/>
          <w:lang w:val="en-US" w:eastAsia="zh-CN"/>
        </w:rPr>
      </w:pPr>
      <w:r>
        <w:rPr>
          <w:rFonts w:hint="eastAsia"/>
          <w:color w:val="auto"/>
          <w:highlight w:val="none"/>
          <w:lang w:val="en-US" w:eastAsia="zh-CN"/>
        </w:rPr>
        <w:t>桥梁上部结构采用预制安装施工，下部结构采用现浇施工，桩基采用机械钻孔施工。桥梁主要施工顺序为：测量放线→钻孔灌注桩施工→墩台施工→支座安装→上部结构施工→桥面系施工。</w:t>
      </w:r>
    </w:p>
    <w:p>
      <w:pPr>
        <w:pStyle w:val="7"/>
        <w:rPr>
          <w:rFonts w:hint="eastAsia"/>
          <w:color w:val="auto"/>
          <w:highlight w:val="none"/>
          <w:lang w:val="en-US" w:eastAsia="zh-CN"/>
        </w:rPr>
      </w:pPr>
      <w:r>
        <w:rPr>
          <w:rFonts w:hint="eastAsia"/>
          <w:color w:val="auto"/>
          <w:highlight w:val="none"/>
          <w:lang w:val="en-US" w:eastAsia="zh-CN"/>
        </w:rPr>
        <w:t>（6）疏浚工程</w:t>
      </w:r>
    </w:p>
    <w:p>
      <w:pPr>
        <w:pStyle w:val="7"/>
        <w:rPr>
          <w:rFonts w:hint="default"/>
          <w:color w:val="auto"/>
          <w:highlight w:val="none"/>
          <w:lang w:val="en-US" w:eastAsia="zh-CN"/>
        </w:rPr>
      </w:pPr>
      <w:r>
        <w:rPr>
          <w:rFonts w:hint="default"/>
          <w:color w:val="auto"/>
          <w:highlight w:val="none"/>
          <w:lang w:val="en-US" w:eastAsia="zh-CN"/>
        </w:rPr>
        <w:t>疏浚段土质以卵石、中风化砂岩为主。本工程施工主要包括陆上土方开挖、陆上石方开挖、水下疏浚土方以及水下石方开挖，其中陆上土方施工考虑采用挖掘机开挖，渣土车运输；陆上石方开参考本项目船闸工程施工流程，定向爆破后采用渣土车运输；水下疏浚施工选择对通航影响最小的抓斗挖泥船配合泥驳进行施工；水下石方疏浚区域距离船闸主体和桥梁较近，水下石方考虑采用定向爆破进行清礁处理，然后利用抓斗式挖泥船进行清渣施工。施工期间根据河面宽度、水深、河底标高选择适宜的组合方式。</w:t>
      </w:r>
    </w:p>
    <w:p>
      <w:pPr>
        <w:pStyle w:val="7"/>
        <w:rPr>
          <w:rFonts w:hint="default"/>
          <w:color w:val="auto"/>
          <w:highlight w:val="none"/>
          <w:lang w:val="en-US" w:eastAsia="zh-CN"/>
        </w:rPr>
      </w:pPr>
      <w:r>
        <w:rPr>
          <w:rFonts w:hint="default"/>
          <w:color w:val="auto"/>
          <w:highlight w:val="none"/>
          <w:lang w:val="en-US" w:eastAsia="zh-CN"/>
        </w:rPr>
        <w:fldChar w:fldCharType="begin"/>
      </w:r>
      <w:r>
        <w:rPr>
          <w:rFonts w:hint="default"/>
          <w:color w:val="auto"/>
          <w:highlight w:val="none"/>
          <w:lang w:val="en-US" w:eastAsia="zh-CN"/>
        </w:rPr>
        <w:instrText xml:space="preserve"> = 1 \* GB3 \* MERGEFORMAT </w:instrText>
      </w:r>
      <w:r>
        <w:rPr>
          <w:rFonts w:hint="default"/>
          <w:color w:val="auto"/>
          <w:highlight w:val="none"/>
          <w:lang w:val="en-US" w:eastAsia="zh-CN"/>
        </w:rPr>
        <w:fldChar w:fldCharType="separate"/>
      </w:r>
      <w:r>
        <w:rPr>
          <w:color w:val="auto"/>
          <w:highlight w:val="none"/>
        </w:rPr>
        <w:t>①</w:t>
      </w:r>
      <w:r>
        <w:rPr>
          <w:rFonts w:hint="default"/>
          <w:color w:val="auto"/>
          <w:highlight w:val="none"/>
          <w:lang w:val="en-US" w:eastAsia="zh-CN"/>
        </w:rPr>
        <w:fldChar w:fldCharType="end"/>
      </w:r>
      <w:r>
        <w:rPr>
          <w:rFonts w:hint="default"/>
          <w:color w:val="auto"/>
          <w:highlight w:val="none"/>
          <w:lang w:val="en-US" w:eastAsia="zh-CN"/>
        </w:rPr>
        <w:t>陆上土方施工</w:t>
      </w:r>
    </w:p>
    <w:p>
      <w:pPr>
        <w:pStyle w:val="7"/>
        <w:rPr>
          <w:rFonts w:hint="default"/>
          <w:color w:val="auto"/>
          <w:highlight w:val="none"/>
          <w:lang w:val="en-US" w:eastAsia="zh-CN"/>
        </w:rPr>
      </w:pPr>
      <w:r>
        <w:rPr>
          <w:rFonts w:hint="default"/>
          <w:color w:val="auto"/>
          <w:highlight w:val="none"/>
          <w:lang w:val="en-US" w:eastAsia="zh-CN"/>
        </w:rPr>
        <w:t>陆上土方开挖主要以机械开挖为主、人工辅助开挖的方法。根据本工程的规模、开挖断面及土方量确定采用反铲挖土机开挖，配自卸式汽车外运，小斗车配合；人工挖土采用铁锹、小斗车工具。</w:t>
      </w:r>
    </w:p>
    <w:p>
      <w:pPr>
        <w:pStyle w:val="7"/>
        <w:rPr>
          <w:rFonts w:hint="default"/>
          <w:color w:val="auto"/>
          <w:highlight w:val="none"/>
          <w:lang w:val="en-US" w:eastAsia="zh-CN"/>
        </w:rPr>
      </w:pPr>
      <w:r>
        <w:rPr>
          <w:rFonts w:hint="default"/>
          <w:color w:val="auto"/>
          <w:highlight w:val="none"/>
          <w:lang w:val="en-US" w:eastAsia="zh-CN"/>
        </w:rPr>
        <w:fldChar w:fldCharType="begin"/>
      </w:r>
      <w:r>
        <w:rPr>
          <w:rFonts w:hint="default"/>
          <w:color w:val="auto"/>
          <w:highlight w:val="none"/>
          <w:lang w:val="en-US" w:eastAsia="zh-CN"/>
        </w:rPr>
        <w:instrText xml:space="preserve"> = 2 \* GB3 \* MERGEFORMAT </w:instrText>
      </w:r>
      <w:r>
        <w:rPr>
          <w:rFonts w:hint="default"/>
          <w:color w:val="auto"/>
          <w:highlight w:val="none"/>
          <w:lang w:val="en-US" w:eastAsia="zh-CN"/>
        </w:rPr>
        <w:fldChar w:fldCharType="separate"/>
      </w:r>
      <w:r>
        <w:rPr>
          <w:color w:val="auto"/>
          <w:highlight w:val="none"/>
        </w:rPr>
        <w:t>②</w:t>
      </w:r>
      <w:r>
        <w:rPr>
          <w:rFonts w:hint="default"/>
          <w:color w:val="auto"/>
          <w:highlight w:val="none"/>
          <w:lang w:val="en-US" w:eastAsia="zh-CN"/>
        </w:rPr>
        <w:fldChar w:fldCharType="end"/>
      </w:r>
      <w:r>
        <w:rPr>
          <w:rFonts w:hint="default"/>
          <w:color w:val="auto"/>
          <w:highlight w:val="none"/>
          <w:lang w:val="en-US" w:eastAsia="zh-CN"/>
        </w:rPr>
        <w:t>陆上石方施工</w:t>
      </w:r>
    </w:p>
    <w:p>
      <w:pPr>
        <w:pStyle w:val="7"/>
        <w:rPr>
          <w:rFonts w:hint="default"/>
          <w:color w:val="auto"/>
          <w:highlight w:val="none"/>
          <w:lang w:val="en-US" w:eastAsia="zh-CN"/>
        </w:rPr>
      </w:pPr>
      <w:r>
        <w:rPr>
          <w:rFonts w:hint="default"/>
          <w:color w:val="auto"/>
          <w:highlight w:val="none"/>
          <w:lang w:val="en-US" w:eastAsia="zh-CN"/>
        </w:rPr>
        <w:t>本工程石方分布于上下游引航道附近，工程施工对通航、大堤、保护区等都有影响。综合考虑上述因素，并根据岩石性质（多为中风化砂灰岩）的实际情况，本工程陆上土方开挖</w:t>
      </w:r>
      <w:r>
        <w:rPr>
          <w:rFonts w:hint="eastAsia"/>
          <w:color w:val="auto"/>
          <w:highlight w:val="none"/>
          <w:shd w:val="clear" w:fill="FFFFFF"/>
          <w:lang w:val="en-US" w:eastAsia="zh-CN"/>
        </w:rPr>
        <w:t>主要</w:t>
      </w:r>
      <w:r>
        <w:rPr>
          <w:rFonts w:hint="default"/>
          <w:color w:val="auto"/>
          <w:highlight w:val="none"/>
          <w:lang w:val="en-US" w:eastAsia="zh-CN"/>
        </w:rPr>
        <w:t>采用定向爆破措施进行施工。配合反铲挖土机协助开挖，配自卸式汽车外运。</w:t>
      </w:r>
    </w:p>
    <w:p>
      <w:pPr>
        <w:pStyle w:val="7"/>
        <w:rPr>
          <w:rFonts w:hint="default"/>
          <w:color w:val="auto"/>
          <w:highlight w:val="none"/>
          <w:lang w:val="en-US" w:eastAsia="zh-CN"/>
        </w:rPr>
      </w:pPr>
      <w:r>
        <w:rPr>
          <w:rFonts w:hint="default"/>
          <w:color w:val="auto"/>
          <w:highlight w:val="none"/>
          <w:lang w:val="en-US" w:eastAsia="zh-CN"/>
        </w:rPr>
        <w:fldChar w:fldCharType="begin"/>
      </w:r>
      <w:r>
        <w:rPr>
          <w:rFonts w:hint="default"/>
          <w:color w:val="auto"/>
          <w:highlight w:val="none"/>
          <w:lang w:val="en-US" w:eastAsia="zh-CN"/>
        </w:rPr>
        <w:instrText xml:space="preserve"> = 3 \* GB3 \* MERGEFORMAT </w:instrText>
      </w:r>
      <w:r>
        <w:rPr>
          <w:rFonts w:hint="default"/>
          <w:color w:val="auto"/>
          <w:highlight w:val="none"/>
          <w:lang w:val="en-US" w:eastAsia="zh-CN"/>
        </w:rPr>
        <w:fldChar w:fldCharType="separate"/>
      </w:r>
      <w:r>
        <w:rPr>
          <w:color w:val="auto"/>
          <w:highlight w:val="none"/>
        </w:rPr>
        <w:t>③</w:t>
      </w:r>
      <w:r>
        <w:rPr>
          <w:rFonts w:hint="default"/>
          <w:color w:val="auto"/>
          <w:highlight w:val="none"/>
          <w:lang w:val="en-US" w:eastAsia="zh-CN"/>
        </w:rPr>
        <w:fldChar w:fldCharType="end"/>
      </w:r>
      <w:r>
        <w:rPr>
          <w:rFonts w:hint="default"/>
          <w:color w:val="auto"/>
          <w:highlight w:val="none"/>
          <w:lang w:val="en-US" w:eastAsia="zh-CN"/>
        </w:rPr>
        <w:t>水下石方开挖</w:t>
      </w:r>
    </w:p>
    <w:p>
      <w:pPr>
        <w:pStyle w:val="7"/>
        <w:rPr>
          <w:rFonts w:hint="default"/>
          <w:color w:val="auto"/>
          <w:highlight w:val="none"/>
          <w:lang w:val="en-US" w:eastAsia="zh-CN"/>
        </w:rPr>
      </w:pPr>
      <w:r>
        <w:rPr>
          <w:rFonts w:hint="default"/>
          <w:color w:val="auto"/>
          <w:highlight w:val="none"/>
          <w:lang w:val="en-US" w:eastAsia="zh-CN"/>
        </w:rPr>
        <w:t>本工程石方分布于上下游引航道附近，工程施工对通航、大堤、保护区等都有影响。综合考虑上述因素，并根据岩石性质（多为中风化砂灰岩）的实际情况，本清礁</w:t>
      </w:r>
      <w:r>
        <w:rPr>
          <w:rFonts w:hint="eastAsia"/>
          <w:color w:val="auto"/>
          <w:highlight w:val="none"/>
          <w:shd w:val="clear" w:fill="FFFFFF"/>
          <w:lang w:val="en-US" w:eastAsia="zh-CN"/>
        </w:rPr>
        <w:t>工程</w:t>
      </w:r>
      <w:r>
        <w:rPr>
          <w:rFonts w:hint="default"/>
          <w:color w:val="auto"/>
          <w:highlight w:val="none"/>
          <w:lang w:val="en-US" w:eastAsia="zh-CN"/>
        </w:rPr>
        <w:t>采用定向爆破措施进行施工。因疏浚区多位于现状枢纽电站厂房 150m范围之外，本工程采用深孔控制爆破方法施工。</w:t>
      </w:r>
    </w:p>
    <w:p>
      <w:pPr>
        <w:pStyle w:val="7"/>
        <w:rPr>
          <w:rFonts w:hint="default"/>
          <w:color w:val="auto"/>
          <w:highlight w:val="none"/>
          <w:lang w:val="en-US" w:eastAsia="zh-CN"/>
        </w:rPr>
      </w:pPr>
      <w:r>
        <w:rPr>
          <w:rFonts w:hint="default"/>
          <w:color w:val="auto"/>
          <w:highlight w:val="none"/>
          <w:lang w:val="en-US" w:eastAsia="zh-CN"/>
        </w:rPr>
        <w:fldChar w:fldCharType="begin"/>
      </w:r>
      <w:r>
        <w:rPr>
          <w:rFonts w:hint="default"/>
          <w:color w:val="auto"/>
          <w:highlight w:val="none"/>
          <w:lang w:val="en-US" w:eastAsia="zh-CN"/>
        </w:rPr>
        <w:instrText xml:space="preserve"> = 4 \* GB3 \* MERGEFORMAT </w:instrText>
      </w:r>
      <w:r>
        <w:rPr>
          <w:rFonts w:hint="default"/>
          <w:color w:val="auto"/>
          <w:highlight w:val="none"/>
          <w:lang w:val="en-US" w:eastAsia="zh-CN"/>
        </w:rPr>
        <w:fldChar w:fldCharType="separate"/>
      </w:r>
      <w:r>
        <w:rPr>
          <w:color w:val="auto"/>
          <w:highlight w:val="none"/>
        </w:rPr>
        <w:t>④</w:t>
      </w:r>
      <w:r>
        <w:rPr>
          <w:rFonts w:hint="default"/>
          <w:color w:val="auto"/>
          <w:highlight w:val="none"/>
          <w:lang w:val="en-US" w:eastAsia="zh-CN"/>
        </w:rPr>
        <w:fldChar w:fldCharType="end"/>
      </w:r>
      <w:r>
        <w:rPr>
          <w:rFonts w:hint="default"/>
          <w:color w:val="auto"/>
          <w:highlight w:val="none"/>
          <w:lang w:val="en-US" w:eastAsia="zh-CN"/>
        </w:rPr>
        <w:t>水下土方疏浚</w:t>
      </w:r>
    </w:p>
    <w:p>
      <w:pPr>
        <w:pStyle w:val="7"/>
        <w:rPr>
          <w:rFonts w:hint="default"/>
          <w:color w:val="auto"/>
          <w:highlight w:val="none"/>
          <w:lang w:val="en-US" w:eastAsia="zh-CN"/>
        </w:rPr>
      </w:pPr>
      <w:r>
        <w:rPr>
          <w:rFonts w:hint="default"/>
          <w:color w:val="auto"/>
          <w:highlight w:val="none"/>
          <w:lang w:val="en-US" w:eastAsia="zh-CN"/>
        </w:rPr>
        <w:t>水下土方开挖拟采用抓斗式挖泥船施工，</w:t>
      </w:r>
      <w:r>
        <w:rPr>
          <w:rFonts w:hint="eastAsia"/>
          <w:color w:val="auto"/>
          <w:highlight w:val="none"/>
          <w:shd w:val="clear" w:fill="FFFFFF"/>
          <w:lang w:val="en-US" w:eastAsia="zh-CN"/>
        </w:rPr>
        <w:t>采用</w:t>
      </w:r>
      <w:r>
        <w:rPr>
          <w:rFonts w:hint="default"/>
          <w:color w:val="auto"/>
          <w:highlight w:val="none"/>
          <w:lang w:val="en-US" w:eastAsia="zh-CN"/>
        </w:rPr>
        <w:t>分体式挖泥船。抓斗式挖泥船一般采用纵挖法施工，</w:t>
      </w:r>
      <w:r>
        <w:rPr>
          <w:rFonts w:hint="eastAsia"/>
          <w:color w:val="auto"/>
          <w:highlight w:val="none"/>
          <w:shd w:val="clear" w:fill="FFFFFF"/>
          <w:lang w:val="en-US" w:eastAsia="zh-CN"/>
        </w:rPr>
        <w:t>可根</w:t>
      </w:r>
      <w:r>
        <w:rPr>
          <w:rFonts w:hint="default"/>
          <w:color w:val="auto"/>
          <w:highlight w:val="none"/>
          <w:lang w:val="en-US" w:eastAsia="zh-CN"/>
        </w:rPr>
        <w:t>据施工条件而采用顺流、分条、分段、分层施工。当挖槽长度超过挖泥船一次抛锚所能开挖的长度时，采取分段施工；分段的长度取决于定位边缆长度和水流流向，顺流施工时取边缆起始长度的75%，逆流施工时取边缆起始长度的60%。挖槽宽度大于挖泥船的最大挖宽时</w:t>
      </w:r>
      <w:r>
        <w:rPr>
          <w:rFonts w:hint="eastAsia"/>
          <w:color w:val="auto"/>
          <w:highlight w:val="none"/>
          <w:lang w:val="en-US" w:eastAsia="zh-CN"/>
        </w:rPr>
        <w:t>，</w:t>
      </w:r>
      <w:r>
        <w:rPr>
          <w:rFonts w:hint="default"/>
          <w:color w:val="auto"/>
          <w:highlight w:val="none"/>
          <w:lang w:val="en-US" w:eastAsia="zh-CN"/>
        </w:rPr>
        <w:t>分条施工。分条宽度不超过挖泥船抓斗吊机有效工作半径的2倍；流速大的深水挖槽分条宽度不大于挖泥船的船宽。</w:t>
      </w:r>
    </w:p>
    <w:p>
      <w:pPr>
        <w:pStyle w:val="7"/>
        <w:rPr>
          <w:rFonts w:hint="default"/>
          <w:color w:val="auto"/>
          <w:highlight w:val="none"/>
          <w:lang w:val="en-US" w:eastAsia="zh-CN"/>
        </w:rPr>
      </w:pPr>
      <w:r>
        <w:rPr>
          <w:rFonts w:hint="default"/>
          <w:color w:val="auto"/>
          <w:highlight w:val="none"/>
          <w:lang w:val="en-US" w:eastAsia="zh-CN"/>
        </w:rPr>
        <w:t>抓斗挖泥船的挖泥为非连续性的，质量控制比较困难，因此必须强化施工的深度和平面控制，加强定位和水深</w:t>
      </w:r>
      <w:r>
        <w:rPr>
          <w:rFonts w:hint="eastAsia"/>
          <w:color w:val="auto"/>
          <w:highlight w:val="none"/>
          <w:shd w:val="clear" w:fill="FFFFFF"/>
          <w:lang w:val="en-US" w:eastAsia="zh-CN"/>
        </w:rPr>
        <w:t>监测</w:t>
      </w:r>
      <w:r>
        <w:rPr>
          <w:rFonts w:hint="default"/>
          <w:color w:val="auto"/>
          <w:highlight w:val="none"/>
          <w:lang w:val="en-US" w:eastAsia="zh-CN"/>
        </w:rPr>
        <w:t>。抓斗开口宽度应以抓斗充泥“满而不外溢”为限。用抓斗挖泥船挖泥，平整度较差，一般有0.3～0.8m的误差。为了提高平整度，应根据水位，控制下抓斗的深度；根据土质，控制下抓斗的间距（重叠1/4~ 1/3的抓斗宽度）；必要时，最后一层土宜用小抓斗（轻）挖。</w:t>
      </w:r>
    </w:p>
    <w:p>
      <w:pPr>
        <w:pStyle w:val="7"/>
        <w:rPr>
          <w:rFonts w:hint="default"/>
          <w:color w:val="auto"/>
          <w:highlight w:val="none"/>
          <w:lang w:val="en-US" w:eastAsia="zh-CN"/>
        </w:rPr>
      </w:pPr>
      <w:r>
        <w:rPr>
          <w:rFonts w:hint="default"/>
          <w:color w:val="auto"/>
          <w:highlight w:val="none"/>
          <w:lang w:val="en-US" w:eastAsia="zh-CN"/>
        </w:rPr>
        <w:fldChar w:fldCharType="begin"/>
      </w:r>
      <w:r>
        <w:rPr>
          <w:rFonts w:hint="default"/>
          <w:color w:val="auto"/>
          <w:highlight w:val="none"/>
          <w:lang w:val="en-US" w:eastAsia="zh-CN"/>
        </w:rPr>
        <w:instrText xml:space="preserve"> = 5 \* GB3 \* MERGEFORMAT </w:instrText>
      </w:r>
      <w:r>
        <w:rPr>
          <w:rFonts w:hint="default"/>
          <w:color w:val="auto"/>
          <w:highlight w:val="none"/>
          <w:lang w:val="en-US" w:eastAsia="zh-CN"/>
        </w:rPr>
        <w:fldChar w:fldCharType="separate"/>
      </w:r>
      <w:r>
        <w:rPr>
          <w:color w:val="auto"/>
          <w:highlight w:val="none"/>
        </w:rPr>
        <w:t>⑤</w:t>
      </w:r>
      <w:r>
        <w:rPr>
          <w:rFonts w:hint="default"/>
          <w:color w:val="auto"/>
          <w:highlight w:val="none"/>
          <w:lang w:val="en-US" w:eastAsia="zh-CN"/>
        </w:rPr>
        <w:fldChar w:fldCharType="end"/>
      </w:r>
      <w:r>
        <w:rPr>
          <w:rFonts w:hint="default"/>
          <w:color w:val="auto"/>
          <w:highlight w:val="none"/>
          <w:lang w:val="en-US" w:eastAsia="zh-CN"/>
        </w:rPr>
        <w:t>泥驳转运</w:t>
      </w:r>
    </w:p>
    <w:p>
      <w:pPr>
        <w:pStyle w:val="7"/>
        <w:rPr>
          <w:rFonts w:hint="default"/>
          <w:color w:val="auto"/>
          <w:highlight w:val="none"/>
          <w:lang w:val="en-US" w:eastAsia="zh-CN"/>
        </w:rPr>
      </w:pPr>
      <w:r>
        <w:rPr>
          <w:rFonts w:hint="default"/>
          <w:color w:val="auto"/>
          <w:highlight w:val="none"/>
          <w:lang w:val="en-US" w:eastAsia="zh-CN"/>
        </w:rPr>
        <w:t>结合研究河段施工条件、船闸通航条件等情况，疏浚工程施工拟采用抓斗挖泥船进行清挖，再通过500</w:t>
      </w:r>
      <w:r>
        <w:rPr>
          <w:rFonts w:hint="eastAsia"/>
          <w:color w:val="auto"/>
          <w:highlight w:val="none"/>
          <w:lang w:val="en-US" w:eastAsia="zh-CN"/>
        </w:rPr>
        <w:t>m³</w:t>
      </w:r>
      <w:r>
        <w:rPr>
          <w:rFonts w:hint="default"/>
          <w:color w:val="auto"/>
          <w:highlight w:val="none"/>
          <w:lang w:val="en-US" w:eastAsia="zh-CN"/>
        </w:rPr>
        <w:t>非自航开底泥驳将疏浚土运至船闸上岸点进行上岸处置</w:t>
      </w:r>
      <w:r>
        <w:rPr>
          <w:rFonts w:hint="eastAsia"/>
          <w:color w:val="auto"/>
          <w:highlight w:val="none"/>
          <w:lang w:val="en-US" w:eastAsia="zh-CN"/>
        </w:rPr>
        <w:t>，再转运至船闸右侧的临时场地堆存加工，上岸点临时码头在船闸施工区域就近设置，船闸上、下游各设置1个，均位于项目施工临时占地范围内，不新增占地</w:t>
      </w:r>
      <w:r>
        <w:rPr>
          <w:rFonts w:hint="default"/>
          <w:color w:val="auto"/>
          <w:highlight w:val="none"/>
          <w:lang w:val="en-US" w:eastAsia="zh-CN"/>
        </w:rPr>
        <w:t>。</w:t>
      </w:r>
      <w:r>
        <w:rPr>
          <w:rFonts w:hint="eastAsia"/>
          <w:color w:val="auto"/>
          <w:highlight w:val="none"/>
          <w:lang w:val="en-US" w:eastAsia="zh-CN"/>
        </w:rPr>
        <w:t>难以综合利用部分</w:t>
      </w:r>
      <w:r>
        <w:rPr>
          <w:rFonts w:hint="default"/>
          <w:color w:val="auto"/>
          <w:highlight w:val="none"/>
          <w:lang w:val="en-US" w:eastAsia="zh-CN"/>
        </w:rPr>
        <w:t>由渣土</w:t>
      </w:r>
      <w:r>
        <w:rPr>
          <w:rFonts w:hint="eastAsia"/>
          <w:color w:val="auto"/>
          <w:highlight w:val="none"/>
          <w:shd w:val="clear" w:fill="FFFFFF"/>
          <w:lang w:val="en-US" w:eastAsia="zh-CN"/>
        </w:rPr>
        <w:t>车运输</w:t>
      </w:r>
      <w:r>
        <w:rPr>
          <w:rFonts w:hint="default"/>
          <w:color w:val="auto"/>
          <w:highlight w:val="none"/>
          <w:lang w:val="en-US" w:eastAsia="zh-CN"/>
        </w:rPr>
        <w:t>至弃渣场。施工前提前与当地政府和村民协商沟通，签订协议，并向当地海事部门汇报情况。</w:t>
      </w:r>
    </w:p>
    <w:p>
      <w:pPr>
        <w:pStyle w:val="7"/>
        <w:rPr>
          <w:rFonts w:hint="eastAsia"/>
          <w:color w:val="auto"/>
          <w:highlight w:val="none"/>
          <w:lang w:val="en-US" w:eastAsia="zh-CN"/>
        </w:rPr>
      </w:pPr>
      <w:r>
        <w:rPr>
          <w:rFonts w:hint="eastAsia"/>
          <w:color w:val="auto"/>
          <w:highlight w:val="none"/>
          <w:lang w:val="en-US" w:eastAsia="zh-CN"/>
        </w:rPr>
        <w:t>（7）机电设备及金属结构安装</w:t>
      </w:r>
    </w:p>
    <w:p>
      <w:pPr>
        <w:pStyle w:val="7"/>
        <w:rPr>
          <w:rFonts w:hint="eastAsia"/>
          <w:color w:val="auto"/>
          <w:highlight w:val="none"/>
          <w:lang w:val="en-US" w:eastAsia="zh-CN"/>
        </w:rPr>
      </w:pPr>
      <w:r>
        <w:rPr>
          <w:rFonts w:hint="eastAsia"/>
          <w:color w:val="auto"/>
          <w:highlight w:val="none"/>
          <w:lang w:val="en-US" w:eastAsia="zh-CN"/>
        </w:rPr>
        <w:t>船闸系统金属结构设备有上游检修门、上闸首工作门、下闸首工作门、下游检修门，充水廊道进口拦污栅，充泄水廊道工作阀门、检修阀门，并设有操作工作门的液压启闭机，另外还设有浮式系船柱。</w:t>
      </w:r>
    </w:p>
    <w:p>
      <w:pPr>
        <w:pStyle w:val="7"/>
        <w:ind w:left="0" w:leftChars="0" w:firstLine="520" w:firstLineChars="200"/>
        <w:rPr>
          <w:rFonts w:hint="default"/>
          <w:color w:val="auto"/>
          <w:highlight w:val="none"/>
          <w:lang w:val="en-US" w:eastAsia="zh-CN"/>
        </w:rPr>
      </w:pPr>
      <w:r>
        <w:rPr>
          <w:rFonts w:hint="eastAsia"/>
          <w:color w:val="auto"/>
          <w:highlight w:val="none"/>
          <w:lang w:val="en-US" w:eastAsia="zh-CN"/>
        </w:rPr>
        <w:t>船闸一期混凝土埋件与预留锚栓或锚板焊牢，门轨与埋件焊接牢固调整就位后再进行门槽二期混凝土浇筑，船闸上、下游人字闸门和平板闸门在将闸门运至船闸上、下闸首处后，再采用混凝土浇筑用的门机和履带吊现场拼装，检查拼装质量，门叶整体验收合格后将闸门直接吊入门槽安装。液压启闭机安装首先对油缸和管道进行清洁检查，然后吊装到位，液压泵站定位后采用膨胀螺栓固定。安装就位后分别进行空载动作试验、带闸门联动试运行和正式试运行。</w:t>
      </w:r>
    </w:p>
    <w:p>
      <w:pPr>
        <w:pStyle w:val="6"/>
        <w:bidi w:val="0"/>
        <w:rPr>
          <w:rFonts w:hint="eastAsia"/>
          <w:color w:val="auto"/>
          <w:highlight w:val="none"/>
          <w:lang w:eastAsia="zh-CN"/>
        </w:rPr>
      </w:pPr>
      <w:r>
        <w:rPr>
          <w:rFonts w:hint="eastAsia"/>
          <w:color w:val="auto"/>
          <w:highlight w:val="none"/>
          <w:lang w:eastAsia="zh-CN"/>
        </w:rPr>
        <w:t>施工期污染源强分析</w:t>
      </w:r>
    </w:p>
    <w:p>
      <w:pPr>
        <w:pStyle w:val="7"/>
        <w:keepNext w:val="0"/>
        <w:keepLines w:val="0"/>
        <w:pageBreakBefore w:val="0"/>
        <w:widowControl w:val="0"/>
        <w:kinsoku/>
        <w:wordWrap/>
        <w:overflowPunct/>
        <w:topLinePunct w:val="0"/>
        <w:autoSpaceDE/>
        <w:autoSpaceDN/>
        <w:bidi w:val="0"/>
        <w:adjustRightInd w:val="0"/>
        <w:snapToGrid w:val="0"/>
        <w:spacing w:line="480" w:lineRule="exact"/>
        <w:textAlignment w:val="auto"/>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）废气</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color w:val="auto"/>
          <w:highlight w:val="none"/>
        </w:rPr>
      </w:pPr>
      <w:r>
        <w:rPr>
          <w:rFonts w:hint="eastAsia" w:ascii="Times New Roman" w:hAnsi="Times New Roman"/>
          <w:color w:val="auto"/>
          <w:highlight w:val="none"/>
          <w:lang w:eastAsia="zh-CN"/>
        </w:rPr>
        <w:t>项目施工期不设置砂石加工系统，施工期废气主要包括</w:t>
      </w:r>
      <w:r>
        <w:rPr>
          <w:rFonts w:ascii="Times New Roman" w:hAnsi="Times New Roman"/>
          <w:color w:val="auto"/>
          <w:highlight w:val="none"/>
        </w:rPr>
        <w:t>混凝土</w:t>
      </w:r>
      <w:r>
        <w:rPr>
          <w:rFonts w:ascii="Times New Roman" w:hAnsi="Times New Roman"/>
          <w:color w:val="auto"/>
          <w:highlight w:val="none"/>
          <w:shd w:val="clear" w:fill="FFFFFF"/>
        </w:rPr>
        <w:t>拌和</w:t>
      </w:r>
      <w:r>
        <w:rPr>
          <w:rFonts w:ascii="Times New Roman" w:hAnsi="Times New Roman"/>
          <w:color w:val="auto"/>
          <w:highlight w:val="none"/>
        </w:rPr>
        <w:t>系统</w:t>
      </w:r>
      <w:r>
        <w:rPr>
          <w:rFonts w:hint="eastAsia" w:ascii="Times New Roman" w:hAnsi="Times New Roman"/>
          <w:color w:val="auto"/>
          <w:highlight w:val="none"/>
          <w:lang w:eastAsia="zh-CN"/>
        </w:rPr>
        <w:t>、土石方开挖等施工扬尘以及施工机械废气等。</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color w:val="auto"/>
          <w:highlight w:val="none"/>
        </w:rPr>
      </w:pPr>
      <w:r>
        <w:rPr>
          <w:rFonts w:ascii="Times New Roman" w:hAnsi="Times New Roman"/>
          <w:color w:val="auto"/>
          <w:highlight w:val="none"/>
        </w:rPr>
        <w:fldChar w:fldCharType="begin"/>
      </w:r>
      <w:r>
        <w:rPr>
          <w:rFonts w:ascii="Times New Roman" w:hAnsi="Times New Roman"/>
          <w:color w:val="auto"/>
          <w:highlight w:val="none"/>
        </w:rPr>
        <w:instrText xml:space="preserve"> = 1 \* GB3 \* MERGEFORMAT </w:instrText>
      </w:r>
      <w:r>
        <w:rPr>
          <w:rFonts w:ascii="Times New Roman" w:hAnsi="Times New Roman"/>
          <w:color w:val="auto"/>
          <w:highlight w:val="none"/>
        </w:rPr>
        <w:fldChar w:fldCharType="separate"/>
      </w:r>
      <w:r>
        <w:rPr>
          <w:color w:val="auto"/>
          <w:highlight w:val="none"/>
        </w:rPr>
        <w:t>①</w:t>
      </w:r>
      <w:r>
        <w:rPr>
          <w:rFonts w:ascii="Times New Roman" w:hAnsi="Times New Roman"/>
          <w:color w:val="auto"/>
          <w:highlight w:val="none"/>
        </w:rPr>
        <w:fldChar w:fldCharType="end"/>
      </w:r>
      <w:r>
        <w:rPr>
          <w:rFonts w:ascii="Times New Roman" w:hAnsi="Times New Roman"/>
          <w:color w:val="auto"/>
          <w:highlight w:val="none"/>
        </w:rPr>
        <w:t>混凝土</w:t>
      </w:r>
      <w:r>
        <w:rPr>
          <w:rFonts w:ascii="Times New Roman" w:hAnsi="Times New Roman"/>
          <w:color w:val="auto"/>
          <w:highlight w:val="none"/>
          <w:shd w:val="clear" w:fill="FFFFFF"/>
        </w:rPr>
        <w:t>拌和</w:t>
      </w:r>
      <w:r>
        <w:rPr>
          <w:rFonts w:ascii="Times New Roman" w:hAnsi="Times New Roman"/>
          <w:color w:val="auto"/>
          <w:highlight w:val="none"/>
        </w:rPr>
        <w:t>系统</w:t>
      </w:r>
      <w:r>
        <w:rPr>
          <w:rFonts w:hint="eastAsia" w:ascii="Times New Roman" w:hAnsi="Times New Roman"/>
          <w:color w:val="auto"/>
          <w:highlight w:val="none"/>
          <w:lang w:eastAsia="zh-CN"/>
        </w:rPr>
        <w:t>废气</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color w:val="auto"/>
          <w:sz w:val="26"/>
          <w:szCs w:val="26"/>
          <w:highlight w:val="none"/>
        </w:rPr>
      </w:pPr>
      <w:r>
        <w:rPr>
          <w:rFonts w:ascii="Times New Roman" w:hAnsi="Times New Roman"/>
          <w:color w:val="auto"/>
          <w:highlight w:val="none"/>
        </w:rPr>
        <w:t>根据施工进度安排，</w:t>
      </w:r>
      <w:r>
        <w:rPr>
          <w:rFonts w:hint="eastAsia" w:ascii="Times New Roman" w:hAnsi="Times New Roman"/>
          <w:color w:val="auto"/>
          <w:highlight w:val="none"/>
        </w:rPr>
        <w:t>工程混凝土</w:t>
      </w:r>
      <w:r>
        <w:rPr>
          <w:rFonts w:ascii="Times New Roman" w:hAnsi="Times New Roman"/>
          <w:color w:val="auto"/>
          <w:highlight w:val="none"/>
        </w:rPr>
        <w:t>浇筑高峰期</w:t>
      </w:r>
      <w:r>
        <w:rPr>
          <w:rFonts w:hint="eastAsia" w:ascii="Times New Roman" w:hAnsi="Times New Roman"/>
          <w:color w:val="auto"/>
          <w:highlight w:val="none"/>
          <w:lang w:eastAsia="zh-CN"/>
        </w:rPr>
        <w:t>混凝土浇筑强度为</w:t>
      </w:r>
      <w:r>
        <w:rPr>
          <w:rFonts w:hint="eastAsia" w:ascii="Times New Roman" w:hAnsi="Times New Roman"/>
          <w:color w:val="auto"/>
          <w:highlight w:val="none"/>
          <w:lang w:val="en-US" w:eastAsia="zh-CN"/>
        </w:rPr>
        <w:t>1500m³/d</w:t>
      </w:r>
      <w:r>
        <w:rPr>
          <w:rFonts w:ascii="Times New Roman" w:hAnsi="Times New Roman"/>
          <w:color w:val="auto"/>
          <w:highlight w:val="none"/>
        </w:rPr>
        <w:t>。混凝土生产</w:t>
      </w:r>
      <w:r>
        <w:rPr>
          <w:rFonts w:ascii="Times New Roman" w:hAnsi="Times New Roman"/>
          <w:color w:val="auto"/>
          <w:sz w:val="26"/>
          <w:szCs w:val="26"/>
          <w:highlight w:val="none"/>
        </w:rPr>
        <w:t>系统主要由成品砂石料储存及运输系统、水泥及粉煤灰储运系统、搅拌系统等部分组成，产生的污染物主要是粉尘，</w:t>
      </w:r>
      <w:r>
        <w:rPr>
          <w:rFonts w:hint="eastAsia" w:ascii="Times New Roman" w:hAnsi="Times New Roman"/>
          <w:color w:val="auto"/>
          <w:sz w:val="26"/>
          <w:szCs w:val="26"/>
          <w:highlight w:val="none"/>
          <w:lang w:eastAsia="zh-CN"/>
        </w:rPr>
        <w:t>根据</w:t>
      </w:r>
      <w:r>
        <w:rPr>
          <w:rFonts w:ascii="宋体" w:hAnsi="宋体" w:eastAsia="宋体" w:cs="宋体"/>
          <w:color w:val="auto"/>
          <w:sz w:val="26"/>
          <w:szCs w:val="26"/>
          <w:highlight w:val="none"/>
        </w:rPr>
        <w:t>《逸散性工业粉尘控制技术》</w:t>
      </w:r>
      <w:r>
        <w:rPr>
          <w:rFonts w:hint="eastAsia" w:ascii="宋体" w:hAnsi="宋体" w:eastAsia="宋体" w:cs="宋体"/>
          <w:color w:val="auto"/>
          <w:sz w:val="26"/>
          <w:szCs w:val="26"/>
          <w:highlight w:val="none"/>
          <w:lang w:eastAsia="zh-CN"/>
        </w:rPr>
        <w:t>，混凝土</w:t>
      </w:r>
      <w:r>
        <w:rPr>
          <w:rFonts w:hint="eastAsia" w:ascii="宋体" w:hAnsi="宋体" w:eastAsia="宋体" w:cs="宋体"/>
          <w:color w:val="auto"/>
          <w:sz w:val="26"/>
          <w:szCs w:val="26"/>
          <w:highlight w:val="none"/>
          <w:shd w:val="clear" w:fill="FFFFFF"/>
          <w:lang w:eastAsia="zh-CN"/>
        </w:rPr>
        <w:t>拌合系统</w:t>
      </w:r>
      <w:r>
        <w:rPr>
          <w:rFonts w:ascii="Times New Roman" w:hAnsi="Times New Roman"/>
          <w:color w:val="auto"/>
          <w:sz w:val="26"/>
          <w:szCs w:val="26"/>
          <w:highlight w:val="none"/>
        </w:rPr>
        <w:t>粉尘排放系数为</w:t>
      </w:r>
      <w:r>
        <w:rPr>
          <w:rFonts w:hint="eastAsia" w:ascii="Times New Roman" w:hAnsi="Times New Roman"/>
          <w:color w:val="auto"/>
          <w:sz w:val="26"/>
          <w:szCs w:val="26"/>
          <w:highlight w:val="none"/>
          <w:lang w:val="en-US" w:eastAsia="zh-CN"/>
        </w:rPr>
        <w:t>0.42</w:t>
      </w:r>
      <w:r>
        <w:rPr>
          <w:rFonts w:ascii="Times New Roman" w:hAnsi="Times New Roman"/>
          <w:color w:val="auto"/>
          <w:sz w:val="26"/>
          <w:szCs w:val="26"/>
          <w:highlight w:val="none"/>
        </w:rPr>
        <w:t>kg/t</w:t>
      </w:r>
      <w:r>
        <w:rPr>
          <w:rFonts w:hint="eastAsia" w:ascii="Times New Roman" w:hAnsi="Times New Roman"/>
          <w:color w:val="auto"/>
          <w:sz w:val="26"/>
          <w:szCs w:val="26"/>
          <w:highlight w:val="none"/>
          <w:lang w:eastAsia="zh-CN"/>
        </w:rPr>
        <w:t>。</w:t>
      </w:r>
      <w:r>
        <w:rPr>
          <w:rFonts w:ascii="Times New Roman" w:hAnsi="Times New Roman"/>
          <w:color w:val="auto"/>
          <w:sz w:val="26"/>
          <w:szCs w:val="26"/>
          <w:highlight w:val="none"/>
        </w:rPr>
        <w:t>本工程混凝土</w:t>
      </w:r>
      <w:r>
        <w:rPr>
          <w:rFonts w:ascii="Times New Roman" w:hAnsi="Times New Roman"/>
          <w:color w:val="auto"/>
          <w:sz w:val="26"/>
          <w:szCs w:val="26"/>
          <w:highlight w:val="none"/>
          <w:shd w:val="clear" w:fill="FFFFFF"/>
        </w:rPr>
        <w:t>拌和</w:t>
      </w:r>
      <w:r>
        <w:rPr>
          <w:rFonts w:ascii="Times New Roman" w:hAnsi="Times New Roman"/>
          <w:color w:val="auto"/>
          <w:sz w:val="26"/>
          <w:szCs w:val="26"/>
          <w:highlight w:val="none"/>
        </w:rPr>
        <w:t>系统采用全封闭</w:t>
      </w:r>
      <w:r>
        <w:rPr>
          <w:rFonts w:ascii="Times New Roman" w:hAnsi="Times New Roman"/>
          <w:color w:val="auto"/>
          <w:sz w:val="26"/>
          <w:szCs w:val="26"/>
          <w:highlight w:val="none"/>
          <w:shd w:val="clear" w:fill="FFFFFF"/>
        </w:rPr>
        <w:t>拌和</w:t>
      </w:r>
      <w:r>
        <w:rPr>
          <w:rFonts w:ascii="Times New Roman" w:hAnsi="Times New Roman"/>
          <w:color w:val="auto"/>
          <w:sz w:val="26"/>
          <w:szCs w:val="26"/>
          <w:highlight w:val="none"/>
        </w:rPr>
        <w:t>楼，配有除尘设备，除尘效率可达99%</w:t>
      </w:r>
      <w:r>
        <w:rPr>
          <w:rFonts w:hint="eastAsia" w:ascii="Times New Roman" w:hAnsi="Times New Roman"/>
          <w:color w:val="auto"/>
          <w:sz w:val="26"/>
          <w:szCs w:val="26"/>
          <w:highlight w:val="none"/>
          <w:lang w:eastAsia="zh-CN"/>
        </w:rPr>
        <w:t>。</w:t>
      </w:r>
      <w:r>
        <w:rPr>
          <w:rFonts w:ascii="Times New Roman" w:hAnsi="Times New Roman"/>
          <w:color w:val="auto"/>
          <w:sz w:val="26"/>
          <w:szCs w:val="26"/>
          <w:highlight w:val="none"/>
        </w:rPr>
        <w:t>因此可计算得施工高峰期混凝土系统粉尘排放最大强度为</w:t>
      </w:r>
      <w:r>
        <w:rPr>
          <w:rFonts w:hint="eastAsia" w:ascii="Times New Roman" w:hAnsi="Times New Roman"/>
          <w:color w:val="auto"/>
          <w:sz w:val="26"/>
          <w:szCs w:val="26"/>
          <w:highlight w:val="none"/>
          <w:lang w:val="en-US" w:eastAsia="zh-CN"/>
        </w:rPr>
        <w:t>15.75kg/d（1.31kg/h）</w:t>
      </w:r>
      <w:r>
        <w:rPr>
          <w:rFonts w:ascii="Times New Roman" w:hAnsi="Times New Roman"/>
          <w:color w:val="auto"/>
          <w:sz w:val="26"/>
          <w:szCs w:val="26"/>
          <w:highlight w:val="none"/>
        </w:rPr>
        <w:t>。</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color w:val="auto"/>
          <w:sz w:val="26"/>
          <w:szCs w:val="26"/>
          <w:highlight w:val="none"/>
        </w:rPr>
      </w:pPr>
      <w:r>
        <w:rPr>
          <w:rFonts w:ascii="Times New Roman" w:hAnsi="Times New Roman"/>
          <w:color w:val="auto"/>
          <w:highlight w:val="none"/>
        </w:rPr>
        <w:fldChar w:fldCharType="begin"/>
      </w:r>
      <w:r>
        <w:rPr>
          <w:rFonts w:ascii="Times New Roman" w:hAnsi="Times New Roman"/>
          <w:color w:val="auto"/>
          <w:highlight w:val="none"/>
        </w:rPr>
        <w:instrText xml:space="preserve"> = 2 \* GB3 \* MERGEFORMAT </w:instrText>
      </w:r>
      <w:r>
        <w:rPr>
          <w:rFonts w:ascii="Times New Roman" w:hAnsi="Times New Roman"/>
          <w:color w:val="auto"/>
          <w:highlight w:val="none"/>
        </w:rPr>
        <w:fldChar w:fldCharType="separate"/>
      </w:r>
      <w:r>
        <w:rPr>
          <w:color w:val="auto"/>
          <w:highlight w:val="none"/>
        </w:rPr>
        <w:t>②</w:t>
      </w:r>
      <w:r>
        <w:rPr>
          <w:rFonts w:ascii="Times New Roman" w:hAnsi="Times New Roman"/>
          <w:color w:val="auto"/>
          <w:highlight w:val="none"/>
        </w:rPr>
        <w:fldChar w:fldCharType="end"/>
      </w:r>
      <w:r>
        <w:rPr>
          <w:rFonts w:ascii="Times New Roman" w:hAnsi="Times New Roman"/>
          <w:color w:val="auto"/>
          <w:sz w:val="26"/>
          <w:szCs w:val="26"/>
          <w:highlight w:val="none"/>
        </w:rPr>
        <w:t>土石方开挖</w:t>
      </w:r>
      <w:r>
        <w:rPr>
          <w:rFonts w:hint="eastAsia" w:ascii="Times New Roman" w:hAnsi="Times New Roman"/>
          <w:color w:val="auto"/>
          <w:sz w:val="26"/>
          <w:szCs w:val="26"/>
          <w:highlight w:val="none"/>
          <w:lang w:eastAsia="zh-CN"/>
        </w:rPr>
        <w:t>废气</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color w:val="auto"/>
          <w:highlight w:val="none"/>
        </w:rPr>
      </w:pPr>
      <w:r>
        <w:rPr>
          <w:rFonts w:ascii="Times New Roman" w:hAnsi="Times New Roman"/>
          <w:color w:val="auto"/>
          <w:highlight w:val="none"/>
        </w:rPr>
        <w:t>土石方开挖包括船闸、围堰等部位，枢纽工程土石方明挖总量约</w:t>
      </w:r>
      <w:r>
        <w:rPr>
          <w:rFonts w:hint="eastAsia" w:ascii="Times New Roman" w:hAnsi="Times New Roman"/>
          <w:color w:val="auto"/>
          <w:highlight w:val="none"/>
          <w:lang w:val="en-US" w:eastAsia="zh-CN"/>
        </w:rPr>
        <w:t>195.47</w:t>
      </w:r>
      <w:r>
        <w:rPr>
          <w:rFonts w:ascii="Times New Roman" w:hAnsi="Times New Roman"/>
          <w:color w:val="auto"/>
          <w:highlight w:val="none"/>
        </w:rPr>
        <w:t>万m</w:t>
      </w:r>
      <w:r>
        <w:rPr>
          <w:rFonts w:ascii="Times New Roman" w:hAnsi="Times New Roman"/>
          <w:color w:val="auto"/>
          <w:highlight w:val="none"/>
          <w:vertAlign w:val="superscript"/>
        </w:rPr>
        <w:t>3</w:t>
      </w:r>
      <w:r>
        <w:rPr>
          <w:rFonts w:ascii="Times New Roman" w:hAnsi="Times New Roman"/>
          <w:color w:val="auto"/>
          <w:highlight w:val="none"/>
        </w:rPr>
        <w:t>。在开挖、爆破的过程中会产生</w:t>
      </w:r>
      <w:r>
        <w:rPr>
          <w:rFonts w:hint="eastAsia" w:ascii="Times New Roman" w:hAnsi="Times New Roman"/>
          <w:color w:val="auto"/>
          <w:highlight w:val="none"/>
          <w:lang w:eastAsia="zh-CN"/>
        </w:rPr>
        <w:t>较多</w:t>
      </w:r>
      <w:r>
        <w:rPr>
          <w:rFonts w:ascii="Times New Roman" w:hAnsi="Times New Roman"/>
          <w:color w:val="auto"/>
          <w:highlight w:val="none"/>
        </w:rPr>
        <w:t>粉尘，在采取湿式爆破新技术，配备无尘钻机</w:t>
      </w:r>
      <w:r>
        <w:rPr>
          <w:rFonts w:hint="eastAsia" w:ascii="Times New Roman" w:hAnsi="Times New Roman"/>
          <w:color w:val="auto"/>
          <w:highlight w:val="none"/>
          <w:lang w:eastAsia="zh-CN"/>
        </w:rPr>
        <w:t>，及时进行洒水抑尘</w:t>
      </w:r>
      <w:r>
        <w:rPr>
          <w:rFonts w:ascii="Times New Roman" w:hAnsi="Times New Roman"/>
          <w:color w:val="auto"/>
          <w:highlight w:val="none"/>
        </w:rPr>
        <w:t>后，粉尘的去除率可达92%，粉尘排放系数为0.96t/万m</w:t>
      </w:r>
      <w:r>
        <w:rPr>
          <w:rFonts w:ascii="Times New Roman" w:hAnsi="Times New Roman"/>
          <w:color w:val="auto"/>
          <w:highlight w:val="none"/>
          <w:vertAlign w:val="superscript"/>
        </w:rPr>
        <w:t>3</w:t>
      </w:r>
      <w:r>
        <w:rPr>
          <w:rFonts w:ascii="Times New Roman" w:hAnsi="Times New Roman"/>
          <w:color w:val="auto"/>
          <w:highlight w:val="none"/>
        </w:rPr>
        <w:t>，</w:t>
      </w:r>
      <w:r>
        <w:rPr>
          <w:rFonts w:hint="eastAsia" w:ascii="Times New Roman" w:hAnsi="Times New Roman"/>
          <w:color w:val="auto"/>
          <w:highlight w:val="none"/>
          <w:lang w:eastAsia="zh-CN"/>
        </w:rPr>
        <w:t>项目</w:t>
      </w:r>
      <w:r>
        <w:rPr>
          <w:rFonts w:ascii="Times New Roman" w:hAnsi="Times New Roman"/>
          <w:color w:val="auto"/>
          <w:highlight w:val="none"/>
        </w:rPr>
        <w:t>土石方开挖可能产生的粉尘总量为</w:t>
      </w:r>
      <w:r>
        <w:rPr>
          <w:rFonts w:hint="eastAsia" w:ascii="Times New Roman" w:hAnsi="Times New Roman"/>
          <w:color w:val="auto"/>
          <w:highlight w:val="none"/>
          <w:lang w:val="en-US" w:eastAsia="zh-CN"/>
        </w:rPr>
        <w:t>187.65</w:t>
      </w:r>
      <w:r>
        <w:rPr>
          <w:rFonts w:ascii="Times New Roman" w:hAnsi="Times New Roman"/>
          <w:color w:val="auto"/>
          <w:highlight w:val="none"/>
        </w:rPr>
        <w:t>t。</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color w:val="auto"/>
          <w:highlight w:val="none"/>
        </w:rPr>
      </w:pPr>
      <w:r>
        <w:rPr>
          <w:rFonts w:ascii="Times New Roman" w:hAnsi="Times New Roman"/>
          <w:color w:val="auto"/>
          <w:highlight w:val="none"/>
        </w:rPr>
        <w:t>施工爆破废气产生的主要污染物为NO</w:t>
      </w:r>
      <w:r>
        <w:rPr>
          <w:rFonts w:ascii="Times New Roman" w:hAnsi="Times New Roman"/>
          <w:color w:val="auto"/>
          <w:highlight w:val="none"/>
          <w:vertAlign w:val="subscript"/>
        </w:rPr>
        <w:t>x</w:t>
      </w:r>
      <w:r>
        <w:rPr>
          <w:rFonts w:ascii="Times New Roman" w:hAnsi="Times New Roman"/>
          <w:color w:val="auto"/>
          <w:highlight w:val="none"/>
        </w:rPr>
        <w:t>，根据对国内水利水电工程施工的调查，每吨乳化炸药爆破作业在无防治措施时产生的NO</w:t>
      </w:r>
      <w:r>
        <w:rPr>
          <w:rFonts w:ascii="Times New Roman" w:hAnsi="Times New Roman"/>
          <w:color w:val="auto"/>
          <w:highlight w:val="none"/>
          <w:vertAlign w:val="subscript"/>
        </w:rPr>
        <w:t>x</w:t>
      </w:r>
      <w:r>
        <w:rPr>
          <w:rFonts w:ascii="Times New Roman" w:hAnsi="Times New Roman"/>
          <w:color w:val="auto"/>
          <w:highlight w:val="none"/>
        </w:rPr>
        <w:t>排放系数为3.51kg/t</w:t>
      </w:r>
      <w:r>
        <w:rPr>
          <w:rFonts w:hint="eastAsia" w:ascii="Times New Roman" w:hAnsi="Times New Roman"/>
          <w:color w:val="auto"/>
          <w:highlight w:val="none"/>
          <w:lang w:eastAsia="zh-CN"/>
        </w:rPr>
        <w:t>，工程施工期炸药使用量为</w:t>
      </w:r>
      <w:r>
        <w:rPr>
          <w:rFonts w:hint="eastAsia" w:ascii="Times New Roman" w:hAnsi="Times New Roman"/>
          <w:color w:val="auto"/>
          <w:highlight w:val="none"/>
          <w:lang w:val="en-US" w:eastAsia="zh-CN"/>
        </w:rPr>
        <w:t>380t，估算</w:t>
      </w:r>
      <w:r>
        <w:rPr>
          <w:rFonts w:ascii="Times New Roman" w:hAnsi="Times New Roman"/>
          <w:color w:val="auto"/>
          <w:highlight w:val="none"/>
        </w:rPr>
        <w:t>NO</w:t>
      </w:r>
      <w:r>
        <w:rPr>
          <w:rFonts w:ascii="Times New Roman" w:hAnsi="Times New Roman"/>
          <w:color w:val="auto"/>
          <w:highlight w:val="none"/>
          <w:vertAlign w:val="subscript"/>
        </w:rPr>
        <w:t>x</w:t>
      </w:r>
      <w:r>
        <w:rPr>
          <w:rFonts w:hint="eastAsia" w:ascii="Times New Roman" w:hAnsi="Times New Roman"/>
          <w:color w:val="auto"/>
          <w:highlight w:val="none"/>
          <w:vertAlign w:val="baseline"/>
          <w:lang w:eastAsia="zh-CN"/>
        </w:rPr>
        <w:t>排放量为</w:t>
      </w:r>
      <w:r>
        <w:rPr>
          <w:rFonts w:hint="eastAsia" w:ascii="Times New Roman" w:hAnsi="Times New Roman"/>
          <w:color w:val="auto"/>
          <w:highlight w:val="none"/>
          <w:vertAlign w:val="baseline"/>
          <w:lang w:val="en-US" w:eastAsia="zh-CN"/>
        </w:rPr>
        <w:t>1.33t</w:t>
      </w:r>
      <w:r>
        <w:rPr>
          <w:rFonts w:ascii="Times New Roman" w:hAnsi="Times New Roman"/>
          <w:color w:val="auto"/>
          <w:highlight w:val="none"/>
        </w:rPr>
        <w:t>。</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color w:val="auto"/>
          <w:highlight w:val="none"/>
        </w:rPr>
      </w:pPr>
      <w:r>
        <w:rPr>
          <w:rFonts w:ascii="Times New Roman" w:hAnsi="Times New Roman"/>
          <w:color w:val="auto"/>
          <w:sz w:val="26"/>
          <w:szCs w:val="26"/>
          <w:highlight w:val="none"/>
        </w:rPr>
        <w:fldChar w:fldCharType="begin"/>
      </w:r>
      <w:r>
        <w:rPr>
          <w:rFonts w:ascii="Times New Roman" w:hAnsi="Times New Roman"/>
          <w:color w:val="auto"/>
          <w:sz w:val="26"/>
          <w:szCs w:val="26"/>
          <w:highlight w:val="none"/>
        </w:rPr>
        <w:instrText xml:space="preserve"> = 3 \* GB3 \* MERGEFORMAT </w:instrText>
      </w:r>
      <w:r>
        <w:rPr>
          <w:rFonts w:ascii="Times New Roman" w:hAnsi="Times New Roman"/>
          <w:color w:val="auto"/>
          <w:sz w:val="26"/>
          <w:szCs w:val="26"/>
          <w:highlight w:val="none"/>
        </w:rPr>
        <w:fldChar w:fldCharType="separate"/>
      </w:r>
      <w:r>
        <w:rPr>
          <w:color w:val="auto"/>
          <w:sz w:val="26"/>
          <w:szCs w:val="26"/>
          <w:highlight w:val="none"/>
        </w:rPr>
        <w:t>③</w:t>
      </w:r>
      <w:r>
        <w:rPr>
          <w:rFonts w:ascii="Times New Roman" w:hAnsi="Times New Roman"/>
          <w:color w:val="auto"/>
          <w:sz w:val="26"/>
          <w:szCs w:val="26"/>
          <w:highlight w:val="none"/>
        </w:rPr>
        <w:fldChar w:fldCharType="end"/>
      </w:r>
      <w:r>
        <w:rPr>
          <w:rFonts w:ascii="Times New Roman" w:hAnsi="Times New Roman"/>
          <w:color w:val="auto"/>
          <w:highlight w:val="none"/>
        </w:rPr>
        <w:t>交通运输扬尘</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eastAsia" w:ascii="Times New Roman" w:hAnsi="Times New Roman"/>
          <w:color w:val="auto"/>
          <w:highlight w:val="none"/>
        </w:rPr>
      </w:pPr>
      <w:r>
        <w:rPr>
          <w:rFonts w:hint="eastAsia" w:ascii="Times New Roman" w:hAnsi="Times New Roman"/>
          <w:color w:val="auto"/>
          <w:highlight w:val="none"/>
          <w:lang w:eastAsia="zh-CN"/>
        </w:rPr>
        <w:t>工程</w:t>
      </w:r>
      <w:r>
        <w:rPr>
          <w:rFonts w:hint="eastAsia" w:ascii="Times New Roman" w:hAnsi="Times New Roman"/>
          <w:color w:val="auto"/>
          <w:highlight w:val="none"/>
        </w:rPr>
        <w:t>施工对外运输量大，场内交通道路多为碎石路面，在重型施工车辆机械反复碾压下，易发生扬尘。项目临时施工道路主要位于工程区，临时道路为凝结石路面，本项目场内交通道路共计</w:t>
      </w:r>
      <w:r>
        <w:rPr>
          <w:rFonts w:hint="eastAsia" w:ascii="Times New Roman" w:hAnsi="Times New Roman"/>
          <w:color w:val="auto"/>
          <w:highlight w:val="none"/>
          <w:shd w:val="clear" w:fill="FFFFFF"/>
          <w:lang w:eastAsia="zh-CN"/>
        </w:rPr>
        <w:t>约</w:t>
      </w:r>
      <w:r>
        <w:rPr>
          <w:rFonts w:hint="eastAsia" w:ascii="Times New Roman" w:hAnsi="Times New Roman"/>
          <w:color w:val="auto"/>
          <w:highlight w:val="none"/>
          <w:lang w:val="en-US" w:eastAsia="zh-CN"/>
        </w:rPr>
        <w:t>1</w:t>
      </w:r>
      <w:r>
        <w:rPr>
          <w:rFonts w:hint="eastAsia" w:ascii="Times New Roman" w:hAnsi="Times New Roman"/>
          <w:color w:val="auto"/>
          <w:highlight w:val="none"/>
        </w:rPr>
        <w:t>km。根据《扬尘源颗粒物排放清单编制技术指南（试行）》，对于未铺装道路，扬尘排放系数计算公式如下：</w:t>
      </w:r>
    </w:p>
    <w:p>
      <w:pPr>
        <w:pStyle w:val="22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ascii="Times New Roman" w:hAnsi="Times New Roman"/>
          <w:color w:val="auto"/>
          <w:highlight w:val="none"/>
        </w:rPr>
      </w:pPr>
      <w:r>
        <w:rPr>
          <w:color w:val="auto"/>
          <w:highlight w:val="none"/>
        </w:rPr>
        <w:drawing>
          <wp:inline distT="0" distB="0" distL="114300" distR="114300">
            <wp:extent cx="3016250" cy="498475"/>
            <wp:effectExtent l="0" t="0" r="12700" b="15875"/>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41"/>
                    <a:stretch>
                      <a:fillRect/>
                    </a:stretch>
                  </pic:blipFill>
                  <pic:spPr>
                    <a:xfrm>
                      <a:off x="0" y="0"/>
                      <a:ext cx="3016250" cy="498475"/>
                    </a:xfrm>
                    <a:prstGeom prst="rect">
                      <a:avLst/>
                    </a:prstGeom>
                    <a:noFill/>
                    <a:ln>
                      <a:noFill/>
                    </a:ln>
                  </pic:spPr>
                </pic:pic>
              </a:graphicData>
            </a:graphic>
          </wp:inline>
        </w:drawing>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ascii="Times New Roman" w:hAnsi="Times New Roman"/>
          <w:color w:val="auto"/>
          <w:highlight w:val="none"/>
        </w:rPr>
      </w:pPr>
      <w:r>
        <w:rPr>
          <w:rFonts w:hint="eastAsia" w:ascii="Times New Roman" w:hAnsi="Times New Roman"/>
          <w:color w:val="auto"/>
          <w:highlight w:val="none"/>
        </w:rPr>
        <w:t>式中：</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ascii="Times New Roman" w:hAnsi="Times New Roman"/>
          <w:color w:val="auto"/>
          <w:highlight w:val="none"/>
        </w:rPr>
      </w:pPr>
      <w:r>
        <w:rPr>
          <w:rFonts w:hint="eastAsia" w:ascii="Times New Roman" w:hAnsi="Times New Roman"/>
          <w:i/>
          <w:iCs/>
          <w:color w:val="auto"/>
          <w:highlight w:val="none"/>
          <w:shd w:val="clear" w:fill="FFFFFF"/>
        </w:rPr>
        <w:t>E</w:t>
      </w:r>
      <w:r>
        <w:rPr>
          <w:rFonts w:hint="eastAsia" w:ascii="Times New Roman" w:hAnsi="Times New Roman"/>
          <w:i/>
          <w:iCs/>
          <w:color w:val="auto"/>
          <w:highlight w:val="none"/>
          <w:shd w:val="clear" w:fill="FFFFFF"/>
          <w:vertAlign w:val="subscript"/>
        </w:rPr>
        <w:t>UPi</w:t>
      </w:r>
      <w:r>
        <w:rPr>
          <w:rFonts w:hint="eastAsia" w:ascii="Times New Roman" w:hAnsi="Times New Roman"/>
          <w:i/>
          <w:iCs/>
          <w:color w:val="auto"/>
          <w:highlight w:val="none"/>
          <w:vertAlign w:val="subscript"/>
        </w:rPr>
        <w:t xml:space="preserve"> </w:t>
      </w:r>
      <w:r>
        <w:rPr>
          <w:rFonts w:hint="eastAsia" w:ascii="Times New Roman" w:hAnsi="Times New Roman"/>
          <w:color w:val="auto"/>
          <w:highlight w:val="none"/>
        </w:rPr>
        <w:t>——未铺装道路扬尘中 TSP 排放系数，g/km；</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ascii="Times New Roman" w:hAnsi="Times New Roman"/>
          <w:color w:val="auto"/>
          <w:highlight w:val="none"/>
        </w:rPr>
      </w:pPr>
      <w:r>
        <w:rPr>
          <w:rFonts w:hint="eastAsia" w:ascii="Times New Roman" w:hAnsi="Times New Roman"/>
          <w:i/>
          <w:iCs/>
          <w:color w:val="auto"/>
          <w:highlight w:val="none"/>
        </w:rPr>
        <w:t>k</w:t>
      </w:r>
      <w:r>
        <w:rPr>
          <w:rFonts w:hint="eastAsia" w:ascii="Times New Roman" w:hAnsi="Times New Roman"/>
          <w:i/>
          <w:iCs/>
          <w:color w:val="auto"/>
          <w:highlight w:val="none"/>
          <w:vertAlign w:val="subscript"/>
        </w:rPr>
        <w:t>i</w:t>
      </w:r>
      <w:r>
        <w:rPr>
          <w:rFonts w:hint="eastAsia" w:ascii="Times New Roman" w:hAnsi="Times New Roman"/>
          <w:color w:val="auto"/>
          <w:highlight w:val="none"/>
        </w:rPr>
        <w:t>——产生的扬尘中TSP的粒度乘数，取1691.4，a=0.3，b=0.3；</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ascii="Times New Roman" w:hAnsi="Times New Roman"/>
          <w:color w:val="auto"/>
          <w:highlight w:val="none"/>
        </w:rPr>
      </w:pPr>
      <w:r>
        <w:rPr>
          <w:rFonts w:hint="eastAsia" w:ascii="Times New Roman" w:hAnsi="Times New Roman"/>
          <w:i/>
          <w:iCs/>
          <w:color w:val="auto"/>
          <w:highlight w:val="none"/>
          <w:vertAlign w:val="baseline"/>
        </w:rPr>
        <w:t>s</w:t>
      </w:r>
      <w:r>
        <w:rPr>
          <w:rFonts w:hint="eastAsia" w:ascii="Times New Roman" w:hAnsi="Times New Roman"/>
          <w:color w:val="auto"/>
          <w:highlight w:val="none"/>
        </w:rPr>
        <w:t>——道路表面有效积尘率，取40%；</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ascii="Times New Roman" w:hAnsi="Times New Roman"/>
          <w:color w:val="auto"/>
          <w:highlight w:val="none"/>
        </w:rPr>
      </w:pPr>
      <w:r>
        <w:rPr>
          <w:rFonts w:hint="eastAsia" w:ascii="Times New Roman" w:hAnsi="Times New Roman"/>
          <w:i/>
          <w:iCs/>
          <w:color w:val="auto"/>
          <w:highlight w:val="none"/>
        </w:rPr>
        <w:t>v</w:t>
      </w:r>
      <w:r>
        <w:rPr>
          <w:rFonts w:hint="eastAsia" w:ascii="Times New Roman" w:hAnsi="Times New Roman"/>
          <w:color w:val="auto"/>
          <w:highlight w:val="none"/>
        </w:rPr>
        <w:t>——平均车速，施工区车辆行驶车速为20km/h；</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ascii="Times New Roman" w:hAnsi="Times New Roman"/>
          <w:color w:val="auto"/>
          <w:highlight w:val="none"/>
        </w:rPr>
      </w:pPr>
      <w:r>
        <w:rPr>
          <w:rFonts w:hint="eastAsia" w:ascii="Times New Roman" w:hAnsi="Times New Roman"/>
          <w:i/>
          <w:iCs/>
          <w:color w:val="auto"/>
          <w:highlight w:val="none"/>
        </w:rPr>
        <w:t>M</w:t>
      </w:r>
      <w:r>
        <w:rPr>
          <w:rFonts w:hint="eastAsia" w:ascii="Times New Roman" w:hAnsi="Times New Roman"/>
          <w:color w:val="auto"/>
          <w:highlight w:val="none"/>
        </w:rPr>
        <w:t>——道路积尘含水率，取30%；</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ascii="Times New Roman" w:hAnsi="Times New Roman"/>
          <w:color w:val="auto"/>
          <w:highlight w:val="none"/>
        </w:rPr>
      </w:pPr>
      <w:r>
        <w:rPr>
          <w:rFonts w:hint="default" w:ascii="Times New Roman" w:hAnsi="Times New Roman" w:cs="Times New Roman"/>
          <w:i/>
          <w:iCs/>
          <w:color w:val="auto"/>
          <w:highlight w:val="none"/>
        </w:rPr>
        <w:t>η</w:t>
      </w:r>
      <w:r>
        <w:rPr>
          <w:rFonts w:hint="eastAsia" w:ascii="Times New Roman" w:hAnsi="Times New Roman"/>
          <w:color w:val="auto"/>
          <w:highlight w:val="none"/>
        </w:rPr>
        <w:t>——污染控制技术对扬尘的去除效率，取66%。</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color w:val="auto"/>
          <w:highlight w:val="none"/>
        </w:rPr>
      </w:pPr>
      <w:r>
        <w:rPr>
          <w:rFonts w:hint="eastAsia" w:ascii="Times New Roman" w:hAnsi="Times New Roman"/>
          <w:color w:val="auto"/>
          <w:highlight w:val="none"/>
        </w:rPr>
        <w:t>根据计算，本项目</w:t>
      </w:r>
      <w:r>
        <w:rPr>
          <w:rFonts w:hint="eastAsia" w:ascii="Times New Roman" w:hAnsi="Times New Roman"/>
          <w:color w:val="auto"/>
          <w:highlight w:val="none"/>
          <w:lang w:eastAsia="zh-CN"/>
        </w:rPr>
        <w:t>道路</w:t>
      </w:r>
      <w:r>
        <w:rPr>
          <w:rFonts w:hint="eastAsia" w:ascii="Times New Roman" w:hAnsi="Times New Roman"/>
          <w:color w:val="auto"/>
          <w:highlight w:val="none"/>
        </w:rPr>
        <w:t>扬尘TSP排放系数为</w:t>
      </w:r>
      <w:r>
        <w:rPr>
          <w:rFonts w:hint="eastAsia" w:ascii="Times New Roman" w:hAnsi="Times New Roman"/>
          <w:color w:val="auto"/>
          <w:highlight w:val="none"/>
          <w:lang w:val="en-US" w:eastAsia="zh-CN"/>
        </w:rPr>
        <w:t>19.78</w:t>
      </w:r>
      <w:r>
        <w:rPr>
          <w:rFonts w:hint="eastAsia" w:ascii="Times New Roman" w:hAnsi="Times New Roman"/>
          <w:color w:val="auto"/>
          <w:highlight w:val="none"/>
        </w:rPr>
        <w:t>g/km</w:t>
      </w:r>
      <w:r>
        <w:rPr>
          <w:rFonts w:hint="eastAsia" w:ascii="Times New Roman" w:hAnsi="Times New Roman"/>
          <w:color w:val="auto"/>
          <w:highlight w:val="none"/>
          <w:lang w:eastAsia="zh-CN"/>
        </w:rPr>
        <w:t>，经初步估算，施工高峰期场地内运输车辆车次为</w:t>
      </w:r>
      <w:r>
        <w:rPr>
          <w:rFonts w:hint="eastAsia" w:ascii="Times New Roman" w:hAnsi="Times New Roman"/>
          <w:color w:val="auto"/>
          <w:highlight w:val="none"/>
          <w:lang w:val="en-US" w:eastAsia="zh-CN"/>
        </w:rPr>
        <w:t>1000次，则场内最大</w:t>
      </w:r>
      <w:r>
        <w:rPr>
          <w:rFonts w:hint="eastAsia" w:ascii="Times New Roman" w:hAnsi="Times New Roman"/>
          <w:color w:val="auto"/>
          <w:highlight w:val="none"/>
          <w:lang w:eastAsia="zh-CN"/>
        </w:rPr>
        <w:t>扬尘排放量为</w:t>
      </w:r>
      <w:r>
        <w:rPr>
          <w:rFonts w:hint="eastAsia" w:ascii="Times New Roman" w:hAnsi="Times New Roman"/>
          <w:color w:val="auto"/>
          <w:highlight w:val="none"/>
          <w:lang w:val="en-US" w:eastAsia="zh-CN"/>
        </w:rPr>
        <w:t>19.78kg/d</w:t>
      </w:r>
      <w:r>
        <w:rPr>
          <w:rFonts w:hint="eastAsia" w:ascii="Times New Roman" w:hAnsi="Times New Roman"/>
          <w:color w:val="auto"/>
          <w:highlight w:val="none"/>
        </w:rPr>
        <w:t>。</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color w:val="auto"/>
          <w:highlight w:val="none"/>
        </w:rPr>
      </w:pPr>
      <w:r>
        <w:rPr>
          <w:rFonts w:ascii="Times New Roman" w:hAnsi="Times New Roman"/>
          <w:color w:val="auto"/>
          <w:highlight w:val="none"/>
        </w:rPr>
        <w:fldChar w:fldCharType="begin"/>
      </w:r>
      <w:r>
        <w:rPr>
          <w:rFonts w:ascii="Times New Roman" w:hAnsi="Times New Roman"/>
          <w:color w:val="auto"/>
          <w:highlight w:val="none"/>
        </w:rPr>
        <w:instrText xml:space="preserve"> = 4 \* GB3 \* MERGEFORMAT </w:instrText>
      </w:r>
      <w:r>
        <w:rPr>
          <w:rFonts w:ascii="Times New Roman" w:hAnsi="Times New Roman"/>
          <w:color w:val="auto"/>
          <w:highlight w:val="none"/>
        </w:rPr>
        <w:fldChar w:fldCharType="separate"/>
      </w:r>
      <w:r>
        <w:rPr>
          <w:color w:val="auto"/>
          <w:highlight w:val="none"/>
        </w:rPr>
        <w:t>④</w:t>
      </w:r>
      <w:r>
        <w:rPr>
          <w:rFonts w:ascii="Times New Roman" w:hAnsi="Times New Roman"/>
          <w:color w:val="auto"/>
          <w:highlight w:val="none"/>
        </w:rPr>
        <w:fldChar w:fldCharType="end"/>
      </w:r>
      <w:r>
        <w:rPr>
          <w:rFonts w:ascii="Times New Roman" w:hAnsi="Times New Roman"/>
          <w:color w:val="auto"/>
          <w:highlight w:val="none"/>
        </w:rPr>
        <w:t>机械及车辆燃油</w:t>
      </w:r>
      <w:r>
        <w:rPr>
          <w:rFonts w:hint="eastAsia" w:ascii="Times New Roman" w:hAnsi="Times New Roman"/>
          <w:color w:val="auto"/>
          <w:highlight w:val="none"/>
          <w:lang w:eastAsia="zh-CN"/>
        </w:rPr>
        <w:t>废气</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eastAsia"/>
          <w:color w:val="auto"/>
          <w:highlight w:val="none"/>
          <w:lang w:eastAsia="zh-CN"/>
        </w:rPr>
      </w:pPr>
      <w:r>
        <w:rPr>
          <w:rFonts w:hint="eastAsia" w:ascii="Times New Roman" w:hAnsi="Times New Roman"/>
          <w:color w:val="auto"/>
          <w:highlight w:val="none"/>
        </w:rPr>
        <w:t>工程施工过程中需使用大量的大型燃油机械设备及运输车辆，机械燃油废气为无组织排放源，在使用过程中会产生PM</w:t>
      </w:r>
      <w:r>
        <w:rPr>
          <w:rFonts w:hint="eastAsia" w:ascii="Times New Roman" w:hAnsi="Times New Roman"/>
          <w:color w:val="auto"/>
          <w:highlight w:val="none"/>
          <w:vertAlign w:val="subscript"/>
        </w:rPr>
        <w:t>10</w:t>
      </w:r>
      <w:r>
        <w:rPr>
          <w:rFonts w:hint="eastAsia" w:ascii="Times New Roman" w:hAnsi="Times New Roman"/>
          <w:color w:val="auto"/>
          <w:highlight w:val="none"/>
        </w:rPr>
        <w:t>、THC、NOx和CO等污染物。工程机械大气污染物排放系数参照《非道路移动源大气污染物排放清单编制技术指南（试行）》，工程机械所产生的 PM</w:t>
      </w:r>
      <w:r>
        <w:rPr>
          <w:rFonts w:hint="eastAsia" w:ascii="Times New Roman" w:hAnsi="Times New Roman"/>
          <w:color w:val="auto"/>
          <w:highlight w:val="none"/>
          <w:vertAlign w:val="subscript"/>
        </w:rPr>
        <w:t>10</w:t>
      </w:r>
      <w:r>
        <w:rPr>
          <w:rFonts w:hint="eastAsia" w:ascii="Times New Roman" w:hAnsi="Times New Roman"/>
          <w:color w:val="auto"/>
          <w:highlight w:val="none"/>
        </w:rPr>
        <w:t>、THC、NOx和CO排放系数分别为</w:t>
      </w:r>
      <w:r>
        <w:rPr>
          <w:rFonts w:hint="eastAsia" w:ascii="Times New Roman" w:hAnsi="Times New Roman"/>
          <w:color w:val="auto"/>
          <w:highlight w:val="none"/>
          <w:lang w:val="en-US" w:eastAsia="zh-CN"/>
        </w:rPr>
        <w:t>2.08</w:t>
      </w:r>
      <w:r>
        <w:rPr>
          <w:rFonts w:hint="eastAsia" w:ascii="Times New Roman" w:hAnsi="Times New Roman"/>
          <w:color w:val="auto"/>
          <w:highlight w:val="none"/>
        </w:rPr>
        <w:t>g/kg</w:t>
      </w:r>
      <w:r>
        <w:rPr>
          <w:rFonts w:hint="eastAsia" w:ascii="Times New Roman" w:hAnsi="Times New Roman"/>
          <w:color w:val="auto"/>
          <w:highlight w:val="none"/>
          <w:lang w:eastAsia="zh-CN"/>
        </w:rPr>
        <w:t>燃料</w:t>
      </w:r>
      <w:r>
        <w:rPr>
          <w:rFonts w:hint="eastAsia" w:ascii="Times New Roman" w:hAnsi="Times New Roman"/>
          <w:color w:val="auto"/>
          <w:highlight w:val="none"/>
        </w:rPr>
        <w:t>、3.</w:t>
      </w:r>
      <w:r>
        <w:rPr>
          <w:rFonts w:hint="eastAsia" w:ascii="Times New Roman" w:hAnsi="Times New Roman"/>
          <w:color w:val="auto"/>
          <w:highlight w:val="none"/>
          <w:lang w:val="en-US" w:eastAsia="zh-CN"/>
        </w:rPr>
        <w:t>39</w:t>
      </w:r>
      <w:r>
        <w:rPr>
          <w:rFonts w:hint="eastAsia" w:ascii="Times New Roman" w:hAnsi="Times New Roman"/>
          <w:color w:val="auto"/>
          <w:highlight w:val="none"/>
        </w:rPr>
        <w:t>g/kg</w:t>
      </w:r>
      <w:r>
        <w:rPr>
          <w:rFonts w:hint="eastAsia" w:ascii="Times New Roman" w:hAnsi="Times New Roman"/>
          <w:color w:val="auto"/>
          <w:highlight w:val="none"/>
          <w:lang w:eastAsia="zh-CN"/>
        </w:rPr>
        <w:t>燃料</w:t>
      </w:r>
      <w:r>
        <w:rPr>
          <w:rFonts w:hint="eastAsia" w:ascii="Times New Roman" w:hAnsi="Times New Roman"/>
          <w:color w:val="auto"/>
          <w:highlight w:val="none"/>
        </w:rPr>
        <w:t>、32.79g/kg</w:t>
      </w:r>
      <w:r>
        <w:rPr>
          <w:rFonts w:hint="eastAsia" w:ascii="Times New Roman" w:hAnsi="Times New Roman"/>
          <w:color w:val="auto"/>
          <w:highlight w:val="none"/>
          <w:lang w:eastAsia="zh-CN"/>
        </w:rPr>
        <w:t>燃料</w:t>
      </w:r>
      <w:r>
        <w:rPr>
          <w:rFonts w:hint="eastAsia" w:ascii="Times New Roman" w:hAnsi="Times New Roman"/>
          <w:color w:val="auto"/>
          <w:highlight w:val="none"/>
        </w:rPr>
        <w:t>、10.72g/kg</w:t>
      </w:r>
      <w:r>
        <w:rPr>
          <w:rFonts w:hint="eastAsia" w:ascii="Times New Roman" w:hAnsi="Times New Roman"/>
          <w:color w:val="auto"/>
          <w:highlight w:val="none"/>
          <w:lang w:eastAsia="zh-CN"/>
        </w:rPr>
        <w:t>燃料</w:t>
      </w:r>
      <w:r>
        <w:rPr>
          <w:rFonts w:hint="eastAsia" w:ascii="Times New Roman" w:hAnsi="Times New Roman"/>
          <w:color w:val="auto"/>
          <w:highlight w:val="none"/>
        </w:rPr>
        <w:t>，本项目施工期燃油总使用量为5000L/d，故PM</w:t>
      </w:r>
      <w:r>
        <w:rPr>
          <w:rFonts w:hint="eastAsia" w:ascii="Times New Roman" w:hAnsi="Times New Roman"/>
          <w:color w:val="auto"/>
          <w:highlight w:val="none"/>
          <w:vertAlign w:val="subscript"/>
        </w:rPr>
        <w:t>10</w:t>
      </w:r>
      <w:r>
        <w:rPr>
          <w:rFonts w:hint="eastAsia" w:ascii="Times New Roman" w:hAnsi="Times New Roman"/>
          <w:color w:val="auto"/>
          <w:highlight w:val="none"/>
        </w:rPr>
        <w:t>、THC、NOx和CO产生量为8.</w:t>
      </w:r>
      <w:r>
        <w:rPr>
          <w:rFonts w:hint="eastAsia" w:ascii="Times New Roman" w:hAnsi="Times New Roman"/>
          <w:color w:val="auto"/>
          <w:highlight w:val="none"/>
          <w:lang w:val="en-US" w:eastAsia="zh-CN"/>
        </w:rPr>
        <w:t>53</w:t>
      </w:r>
      <w:r>
        <w:rPr>
          <w:rFonts w:hint="eastAsia" w:ascii="Times New Roman" w:hAnsi="Times New Roman"/>
          <w:color w:val="auto"/>
          <w:highlight w:val="none"/>
        </w:rPr>
        <w:t>kg/d、13.</w:t>
      </w:r>
      <w:r>
        <w:rPr>
          <w:rFonts w:hint="eastAsia" w:ascii="Times New Roman" w:hAnsi="Times New Roman"/>
          <w:color w:val="auto"/>
          <w:highlight w:val="none"/>
          <w:lang w:val="en-US" w:eastAsia="zh-CN"/>
        </w:rPr>
        <w:t>90</w:t>
      </w:r>
      <w:r>
        <w:rPr>
          <w:rFonts w:hint="eastAsia" w:ascii="Times New Roman" w:hAnsi="Times New Roman"/>
          <w:color w:val="auto"/>
          <w:highlight w:val="none"/>
        </w:rPr>
        <w:t>kg/d、13</w:t>
      </w:r>
      <w:r>
        <w:rPr>
          <w:rFonts w:hint="eastAsia" w:ascii="Times New Roman" w:hAnsi="Times New Roman"/>
          <w:color w:val="auto"/>
          <w:highlight w:val="none"/>
          <w:lang w:val="en-US" w:eastAsia="zh-CN"/>
        </w:rPr>
        <w:t>4.44</w:t>
      </w:r>
      <w:r>
        <w:rPr>
          <w:rFonts w:hint="eastAsia" w:ascii="Times New Roman" w:hAnsi="Times New Roman"/>
          <w:color w:val="auto"/>
          <w:highlight w:val="none"/>
        </w:rPr>
        <w:t>kg/d、</w:t>
      </w:r>
      <w:r>
        <w:rPr>
          <w:rFonts w:hint="eastAsia" w:ascii="Times New Roman" w:hAnsi="Times New Roman"/>
          <w:color w:val="auto"/>
          <w:highlight w:val="none"/>
          <w:lang w:val="en-US" w:eastAsia="zh-CN"/>
        </w:rPr>
        <w:t>43.95</w:t>
      </w:r>
      <w:r>
        <w:rPr>
          <w:rFonts w:hint="eastAsia" w:ascii="Times New Roman" w:hAnsi="Times New Roman"/>
          <w:color w:val="auto"/>
          <w:highlight w:val="none"/>
        </w:rPr>
        <w:t>kg/d</w:t>
      </w:r>
      <w:r>
        <w:rPr>
          <w:rFonts w:hint="eastAsia"/>
          <w:color w:val="auto"/>
          <w:highlight w:val="none"/>
          <w:lang w:eastAsia="zh-CN"/>
        </w:rPr>
        <w:t>。</w:t>
      </w:r>
    </w:p>
    <w:p>
      <w:pPr>
        <w:pStyle w:val="7"/>
        <w:keepNext w:val="0"/>
        <w:keepLines w:val="0"/>
        <w:pageBreakBefore w:val="0"/>
        <w:widowControl w:val="0"/>
        <w:kinsoku/>
        <w:wordWrap/>
        <w:overflowPunct/>
        <w:topLinePunct w:val="0"/>
        <w:autoSpaceDE/>
        <w:autoSpaceDN/>
        <w:bidi w:val="0"/>
        <w:adjustRightInd w:val="0"/>
        <w:snapToGrid w:val="0"/>
        <w:spacing w:line="480" w:lineRule="exact"/>
        <w:textAlignment w:val="auto"/>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）废水</w:t>
      </w:r>
    </w:p>
    <w:p>
      <w:pPr>
        <w:pStyle w:val="7"/>
        <w:keepNext w:val="0"/>
        <w:keepLines w:val="0"/>
        <w:pageBreakBefore w:val="0"/>
        <w:widowControl w:val="0"/>
        <w:kinsoku/>
        <w:wordWrap/>
        <w:overflowPunct/>
        <w:topLinePunct w:val="0"/>
        <w:autoSpaceDE/>
        <w:autoSpaceDN/>
        <w:bidi w:val="0"/>
        <w:adjustRightInd w:val="0"/>
        <w:snapToGrid w:val="0"/>
        <w:spacing w:line="480" w:lineRule="exact"/>
        <w:textAlignment w:val="auto"/>
        <w:rPr>
          <w:rFonts w:hint="eastAsia"/>
          <w:color w:val="auto"/>
          <w:highlight w:val="none"/>
          <w:lang w:eastAsia="zh-CN"/>
        </w:rPr>
      </w:pPr>
      <w:r>
        <w:rPr>
          <w:rFonts w:hint="eastAsia"/>
          <w:color w:val="auto"/>
          <w:highlight w:val="none"/>
          <w:lang w:eastAsia="zh-CN"/>
        </w:rPr>
        <w:t>本工程施工期间产生的废水主要有施工人员生活污水、混凝土搅拌生产废水、基坑排水、临时堆场</w:t>
      </w:r>
      <w:r>
        <w:rPr>
          <w:rFonts w:hint="eastAsia"/>
          <w:color w:val="auto"/>
          <w:highlight w:val="none"/>
          <w:shd w:val="clear" w:fill="FFFFFF"/>
          <w:lang w:eastAsia="zh-CN"/>
        </w:rPr>
        <w:t>余水</w:t>
      </w:r>
      <w:r>
        <w:rPr>
          <w:rFonts w:hint="eastAsia"/>
          <w:color w:val="auto"/>
          <w:highlight w:val="none"/>
          <w:lang w:eastAsia="zh-CN"/>
        </w:rPr>
        <w:t>、进出车辆冲洗废水及施工船舶舱底油污水等。</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snapToGrid w:val="0"/>
          <w:color w:val="auto"/>
          <w:highlight w:val="none"/>
        </w:rPr>
      </w:pPr>
      <w:r>
        <w:rPr>
          <w:rFonts w:ascii="Times New Roman" w:hAnsi="Times New Roman"/>
          <w:snapToGrid w:val="0"/>
          <w:color w:val="auto"/>
          <w:highlight w:val="none"/>
        </w:rPr>
        <w:fldChar w:fldCharType="begin"/>
      </w:r>
      <w:r>
        <w:rPr>
          <w:rFonts w:ascii="Times New Roman" w:hAnsi="Times New Roman"/>
          <w:snapToGrid w:val="0"/>
          <w:color w:val="auto"/>
          <w:highlight w:val="none"/>
        </w:rPr>
        <w:instrText xml:space="preserve"> = 1 \* GB3 \* MERGEFORMAT </w:instrText>
      </w:r>
      <w:r>
        <w:rPr>
          <w:rFonts w:ascii="Times New Roman" w:hAnsi="Times New Roman"/>
          <w:snapToGrid w:val="0"/>
          <w:color w:val="auto"/>
          <w:highlight w:val="none"/>
        </w:rPr>
        <w:fldChar w:fldCharType="separate"/>
      </w:r>
      <w:r>
        <w:rPr>
          <w:color w:val="auto"/>
          <w:highlight w:val="none"/>
        </w:rPr>
        <w:t>①</w:t>
      </w:r>
      <w:r>
        <w:rPr>
          <w:rFonts w:ascii="Times New Roman" w:hAnsi="Times New Roman"/>
          <w:snapToGrid w:val="0"/>
          <w:color w:val="auto"/>
          <w:highlight w:val="none"/>
        </w:rPr>
        <w:fldChar w:fldCharType="end"/>
      </w:r>
      <w:r>
        <w:rPr>
          <w:rFonts w:ascii="Times New Roman" w:hAnsi="Times New Roman"/>
          <w:snapToGrid w:val="0"/>
          <w:color w:val="auto"/>
          <w:highlight w:val="none"/>
        </w:rPr>
        <w:t>水文情势</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snapToGrid w:val="0"/>
          <w:color w:val="auto"/>
          <w:highlight w:val="none"/>
        </w:rPr>
      </w:pPr>
      <w:r>
        <w:rPr>
          <w:rFonts w:hint="eastAsia" w:ascii="Times New Roman" w:hAnsi="Times New Roman"/>
          <w:snapToGrid w:val="0"/>
          <w:color w:val="auto"/>
          <w:highlight w:val="none"/>
        </w:rPr>
        <w:t>渭沱船闸施工总工期为</w:t>
      </w:r>
      <w:r>
        <w:rPr>
          <w:rFonts w:hint="eastAsia" w:ascii="Times New Roman" w:hAnsi="Times New Roman"/>
          <w:snapToGrid w:val="0"/>
          <w:color w:val="auto"/>
          <w:highlight w:val="none"/>
          <w:lang w:val="en-US" w:eastAsia="zh-CN"/>
        </w:rPr>
        <w:t>48</w:t>
      </w:r>
      <w:r>
        <w:rPr>
          <w:rFonts w:hint="eastAsia" w:ascii="Times New Roman" w:hAnsi="Times New Roman"/>
          <w:snapToGrid w:val="0"/>
          <w:color w:val="auto"/>
          <w:highlight w:val="none"/>
        </w:rPr>
        <w:t>个月，其中施工准备期3个月，主体工程施工期为</w:t>
      </w:r>
      <w:r>
        <w:rPr>
          <w:rFonts w:hint="eastAsia" w:ascii="Times New Roman" w:hAnsi="Times New Roman"/>
          <w:snapToGrid w:val="0"/>
          <w:color w:val="auto"/>
          <w:highlight w:val="none"/>
          <w:lang w:val="en-US" w:eastAsia="zh-CN"/>
        </w:rPr>
        <w:t>42</w:t>
      </w:r>
      <w:r>
        <w:rPr>
          <w:rFonts w:hint="eastAsia" w:ascii="Times New Roman" w:hAnsi="Times New Roman"/>
          <w:snapToGrid w:val="0"/>
          <w:color w:val="auto"/>
          <w:highlight w:val="none"/>
        </w:rPr>
        <w:t>个月，完建期为2个月。</w:t>
      </w:r>
      <w:r>
        <w:rPr>
          <w:rFonts w:hint="eastAsia" w:ascii="Times New Roman" w:hAnsi="Times New Roman"/>
          <w:snapToGrid w:val="0"/>
          <w:color w:val="auto"/>
          <w:highlight w:val="none"/>
          <w:lang w:eastAsia="zh-CN"/>
        </w:rPr>
        <w:t>施工期间不对渭沱枢纽主体工程造成影响，渭沱枢纽发电、泄洪、通航等功能正常发挥，枢纽运行调度方式不变</w:t>
      </w:r>
      <w:r>
        <w:rPr>
          <w:rFonts w:ascii="Times New Roman" w:hAnsi="Times New Roman"/>
          <w:snapToGrid w:val="0"/>
          <w:color w:val="auto"/>
          <w:highlight w:val="none"/>
        </w:rPr>
        <w:t>，</w:t>
      </w:r>
      <w:r>
        <w:rPr>
          <w:rFonts w:hint="eastAsia" w:ascii="Times New Roman" w:hAnsi="Times New Roman"/>
          <w:snapToGrid w:val="0"/>
          <w:color w:val="auto"/>
          <w:highlight w:val="none"/>
          <w:lang w:eastAsia="zh-CN"/>
        </w:rPr>
        <w:t>故施工期间</w:t>
      </w:r>
      <w:r>
        <w:rPr>
          <w:rFonts w:ascii="Times New Roman" w:hAnsi="Times New Roman"/>
          <w:snapToGrid w:val="0"/>
          <w:color w:val="auto"/>
          <w:highlight w:val="none"/>
        </w:rPr>
        <w:t>下游河道水文情势变化不大。</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snapToGrid w:val="0"/>
          <w:color w:val="auto"/>
          <w:highlight w:val="none"/>
        </w:rPr>
      </w:pPr>
      <w:bookmarkStart w:id="76" w:name="_Hlk512439103"/>
      <w:r>
        <w:rPr>
          <w:rFonts w:ascii="Times New Roman" w:hAnsi="Times New Roman"/>
          <w:snapToGrid w:val="0"/>
          <w:color w:val="auto"/>
          <w:highlight w:val="none"/>
        </w:rPr>
        <w:fldChar w:fldCharType="begin"/>
      </w:r>
      <w:r>
        <w:rPr>
          <w:rFonts w:ascii="Times New Roman" w:hAnsi="Times New Roman"/>
          <w:snapToGrid w:val="0"/>
          <w:color w:val="auto"/>
          <w:highlight w:val="none"/>
        </w:rPr>
        <w:instrText xml:space="preserve"> = 2 \* GB3 \* MERGEFORMAT </w:instrText>
      </w:r>
      <w:r>
        <w:rPr>
          <w:rFonts w:ascii="Times New Roman" w:hAnsi="Times New Roman"/>
          <w:snapToGrid w:val="0"/>
          <w:color w:val="auto"/>
          <w:highlight w:val="none"/>
        </w:rPr>
        <w:fldChar w:fldCharType="separate"/>
      </w:r>
      <w:r>
        <w:rPr>
          <w:color w:val="auto"/>
          <w:highlight w:val="none"/>
        </w:rPr>
        <w:t>②</w:t>
      </w:r>
      <w:r>
        <w:rPr>
          <w:rFonts w:ascii="Times New Roman" w:hAnsi="Times New Roman"/>
          <w:snapToGrid w:val="0"/>
          <w:color w:val="auto"/>
          <w:highlight w:val="none"/>
        </w:rPr>
        <w:fldChar w:fldCharType="end"/>
      </w:r>
      <w:r>
        <w:rPr>
          <w:rFonts w:ascii="Times New Roman" w:hAnsi="Times New Roman"/>
          <w:snapToGrid w:val="0"/>
          <w:color w:val="auto"/>
          <w:highlight w:val="none"/>
        </w:rPr>
        <w:t>基坑排水</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snapToGrid w:val="0"/>
          <w:color w:val="auto"/>
          <w:highlight w:val="none"/>
        </w:rPr>
      </w:pPr>
      <w:r>
        <w:rPr>
          <w:rFonts w:ascii="Times New Roman" w:hAnsi="Times New Roman"/>
          <w:snapToGrid w:val="0"/>
          <w:color w:val="auto"/>
          <w:highlight w:val="none"/>
        </w:rPr>
        <w:t>基坑排水分初期排水与经常性排水。</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snapToGrid w:val="0"/>
          <w:color w:val="auto"/>
          <w:highlight w:val="none"/>
        </w:rPr>
      </w:pPr>
      <w:r>
        <w:rPr>
          <w:rFonts w:ascii="Times New Roman" w:hAnsi="Times New Roman"/>
          <w:snapToGrid w:val="0"/>
          <w:color w:val="auto"/>
          <w:highlight w:val="none"/>
        </w:rPr>
        <w:t>初期排水就是在围堰闭气后，排除基坑积水、堰体及堰基渗水的过程。</w:t>
      </w:r>
      <w:r>
        <w:rPr>
          <w:rFonts w:hint="eastAsia" w:ascii="Times New Roman" w:hAnsi="Times New Roman"/>
          <w:snapToGrid w:val="0"/>
          <w:color w:val="auto"/>
          <w:highlight w:val="none"/>
          <w:lang w:eastAsia="zh-CN"/>
        </w:rPr>
        <w:t>根据</w:t>
      </w:r>
      <w:r>
        <w:rPr>
          <w:rFonts w:ascii="Times New Roman" w:hAnsi="Times New Roman"/>
          <w:snapToGrid w:val="0"/>
          <w:color w:val="auto"/>
          <w:highlight w:val="none"/>
        </w:rPr>
        <w:t>，</w:t>
      </w:r>
      <w:r>
        <w:rPr>
          <w:rFonts w:hint="eastAsia" w:ascii="Times New Roman" w:hAnsi="Times New Roman"/>
          <w:snapToGrid w:val="0"/>
          <w:color w:val="auto"/>
          <w:highlight w:val="none"/>
        </w:rPr>
        <w:t>排水时间6~10天，总排水量为</w:t>
      </w:r>
      <w:r>
        <w:rPr>
          <w:rFonts w:hint="eastAsia" w:ascii="Times New Roman" w:hAnsi="Times New Roman"/>
          <w:snapToGrid w:val="0"/>
          <w:color w:val="auto"/>
          <w:highlight w:val="none"/>
          <w:lang w:val="en-US" w:eastAsia="zh-CN"/>
        </w:rPr>
        <w:t>5</w:t>
      </w:r>
      <w:r>
        <w:rPr>
          <w:rFonts w:hint="eastAsia" w:ascii="Times New Roman" w:hAnsi="Times New Roman"/>
          <w:snapToGrid w:val="0"/>
          <w:color w:val="auto"/>
          <w:highlight w:val="none"/>
        </w:rPr>
        <w:t>万</w:t>
      </w:r>
      <w:r>
        <w:rPr>
          <w:rFonts w:hint="eastAsia" w:ascii="Times New Roman" w:hAnsi="Times New Roman"/>
          <w:snapToGrid w:val="0"/>
          <w:color w:val="auto"/>
          <w:highlight w:val="none"/>
          <w:lang w:val="en-US" w:eastAsia="zh-CN"/>
        </w:rPr>
        <w:t>m³</w:t>
      </w:r>
      <w:r>
        <w:rPr>
          <w:rFonts w:hint="eastAsia" w:ascii="Times New Roman" w:hAnsi="Times New Roman"/>
          <w:snapToGrid w:val="0"/>
          <w:color w:val="auto"/>
          <w:highlight w:val="none"/>
          <w:lang w:eastAsia="zh-CN"/>
        </w:rPr>
        <w:t>，</w:t>
      </w:r>
      <w:r>
        <w:rPr>
          <w:rFonts w:hint="eastAsia" w:ascii="Times New Roman" w:hAnsi="Times New Roman"/>
          <w:snapToGrid w:val="0"/>
          <w:color w:val="auto"/>
          <w:highlight w:val="none"/>
        </w:rPr>
        <w:t>最大</w:t>
      </w:r>
      <w:r>
        <w:rPr>
          <w:rFonts w:ascii="Times New Roman" w:hAnsi="Times New Roman"/>
          <w:snapToGrid w:val="0"/>
          <w:color w:val="auto"/>
          <w:highlight w:val="none"/>
        </w:rPr>
        <w:t>排水强度为</w:t>
      </w:r>
      <w:r>
        <w:rPr>
          <w:rFonts w:hint="eastAsia" w:ascii="Times New Roman" w:hAnsi="Times New Roman"/>
          <w:snapToGrid w:val="0"/>
          <w:color w:val="auto"/>
          <w:highlight w:val="none"/>
          <w:lang w:val="en-US" w:eastAsia="zh-CN"/>
        </w:rPr>
        <w:t>247</w:t>
      </w:r>
      <w:r>
        <w:rPr>
          <w:rFonts w:ascii="Times New Roman" w:hAnsi="Times New Roman"/>
          <w:snapToGrid w:val="0"/>
          <w:color w:val="auto"/>
          <w:highlight w:val="none"/>
        </w:rPr>
        <w:t>m</w:t>
      </w:r>
      <w:r>
        <w:rPr>
          <w:rFonts w:ascii="Times New Roman" w:hAnsi="Times New Roman"/>
          <w:snapToGrid w:val="0"/>
          <w:color w:val="auto"/>
          <w:highlight w:val="none"/>
          <w:vertAlign w:val="superscript"/>
        </w:rPr>
        <w:t>3</w:t>
      </w:r>
      <w:r>
        <w:rPr>
          <w:rFonts w:ascii="Times New Roman" w:hAnsi="Times New Roman"/>
          <w:snapToGrid w:val="0"/>
          <w:color w:val="auto"/>
          <w:highlight w:val="none"/>
        </w:rPr>
        <w:t>/h。</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snapToGrid w:val="0"/>
          <w:color w:val="auto"/>
          <w:highlight w:val="none"/>
        </w:rPr>
      </w:pPr>
      <w:r>
        <w:rPr>
          <w:rFonts w:ascii="Times New Roman" w:hAnsi="Times New Roman"/>
          <w:snapToGrid w:val="0"/>
          <w:color w:val="auto"/>
          <w:highlight w:val="none"/>
        </w:rPr>
        <w:t>经常性排水的排水量取决于围堰渗水量、覆盖层中含水量、排水时降水量、施工弃水量等，</w:t>
      </w:r>
      <w:r>
        <w:rPr>
          <w:rFonts w:hint="eastAsia" w:ascii="Times New Roman" w:hAnsi="Times New Roman"/>
          <w:snapToGrid w:val="0"/>
          <w:color w:val="auto"/>
          <w:highlight w:val="none"/>
        </w:rPr>
        <w:t>排水量</w:t>
      </w:r>
      <w:r>
        <w:rPr>
          <w:rFonts w:hint="eastAsia" w:ascii="Times New Roman" w:hAnsi="Times New Roman"/>
          <w:snapToGrid w:val="0"/>
          <w:color w:val="auto"/>
          <w:highlight w:val="none"/>
          <w:lang w:eastAsia="zh-CN"/>
        </w:rPr>
        <w:t>约</w:t>
      </w:r>
      <w:r>
        <w:rPr>
          <w:rFonts w:hint="eastAsia" w:ascii="Times New Roman" w:hAnsi="Times New Roman"/>
          <w:snapToGrid w:val="0"/>
          <w:color w:val="auto"/>
          <w:highlight w:val="none"/>
        </w:rPr>
        <w:t>为</w:t>
      </w:r>
      <w:r>
        <w:rPr>
          <w:rFonts w:hint="eastAsia" w:ascii="Times New Roman" w:hAnsi="Times New Roman"/>
          <w:snapToGrid w:val="0"/>
          <w:color w:val="auto"/>
          <w:highlight w:val="none"/>
          <w:lang w:val="en-US" w:eastAsia="zh-CN"/>
        </w:rPr>
        <w:t>50m³</w:t>
      </w:r>
      <w:r>
        <w:rPr>
          <w:rFonts w:hint="eastAsia" w:ascii="Times New Roman" w:hAnsi="Times New Roman"/>
          <w:snapToGrid w:val="0"/>
          <w:color w:val="auto"/>
          <w:highlight w:val="none"/>
        </w:rPr>
        <w:t>/h</w:t>
      </w:r>
      <w:r>
        <w:rPr>
          <w:rFonts w:hint="eastAsia" w:ascii="Times New Roman" w:hAnsi="Times New Roman"/>
          <w:snapToGrid w:val="0"/>
          <w:color w:val="auto"/>
          <w:highlight w:val="none"/>
          <w:lang w:eastAsia="zh-CN"/>
        </w:rPr>
        <w:t>，</w:t>
      </w:r>
      <w:r>
        <w:rPr>
          <w:rFonts w:ascii="Times New Roman" w:hAnsi="Times New Roman"/>
          <w:snapToGrid w:val="0"/>
          <w:color w:val="auto"/>
          <w:highlight w:val="none"/>
        </w:rPr>
        <w:t>经常性排水均利用初期排水设备，各期抽水泵站布设于上、下游围堰堰脚处。</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72"/>
        <w:textAlignment w:val="auto"/>
        <w:rPr>
          <w:rFonts w:ascii="Times New Roman" w:hAnsi="Times New Roman"/>
          <w:color w:val="auto"/>
          <w:highlight w:val="none"/>
        </w:rPr>
      </w:pPr>
      <w:r>
        <w:rPr>
          <w:rFonts w:ascii="Times New Roman" w:hAnsi="Times New Roman"/>
          <w:color w:val="auto"/>
          <w:spacing w:val="-2"/>
          <w:highlight w:val="none"/>
        </w:rPr>
        <w:t>根据类似</w:t>
      </w:r>
      <w:r>
        <w:rPr>
          <w:rFonts w:hint="eastAsia" w:ascii="Times New Roman" w:hAnsi="Times New Roman"/>
          <w:color w:val="auto"/>
          <w:spacing w:val="-2"/>
          <w:highlight w:val="none"/>
        </w:rPr>
        <w:t>水利水电</w:t>
      </w:r>
      <w:r>
        <w:rPr>
          <w:rFonts w:ascii="Times New Roman" w:hAnsi="Times New Roman"/>
          <w:color w:val="auto"/>
          <w:spacing w:val="-2"/>
          <w:highlight w:val="none"/>
        </w:rPr>
        <w:t>工程监测数据，基坑排水的悬浮物浓度为2000mg/L左右，pH值约为9～11。</w:t>
      </w:r>
      <w:r>
        <w:rPr>
          <w:rFonts w:ascii="Times New Roman" w:hAnsi="Times New Roman"/>
          <w:color w:val="auto"/>
          <w:highlight w:val="none"/>
        </w:rPr>
        <w:t>根据同类工程对基坑排水的处理经验，对基坑排水应采用直接向基坑投加絮凝剂，让基坑水静置2小时后抽出外排，采用这种方法技术措施合理有效，经济节约。基坑上层抽排水SS一般≤70mg/L，满足要求。</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snapToGrid w:val="0"/>
          <w:color w:val="auto"/>
          <w:highlight w:val="none"/>
        </w:rPr>
      </w:pPr>
      <w:bookmarkStart w:id="77" w:name="_Hlk532581077"/>
      <w:r>
        <w:rPr>
          <w:rFonts w:hint="eastAsia" w:ascii="Times New Roman" w:hAnsi="Times New Roman"/>
          <w:snapToGrid w:val="0"/>
          <w:color w:val="auto"/>
          <w:highlight w:val="none"/>
        </w:rPr>
        <w:fldChar w:fldCharType="begin"/>
      </w:r>
      <w:r>
        <w:rPr>
          <w:rFonts w:hint="eastAsia" w:ascii="Times New Roman" w:hAnsi="Times New Roman"/>
          <w:snapToGrid w:val="0"/>
          <w:color w:val="auto"/>
          <w:highlight w:val="none"/>
        </w:rPr>
        <w:instrText xml:space="preserve"> = 3 \* GB3 \* MERGEFORMAT </w:instrText>
      </w:r>
      <w:r>
        <w:rPr>
          <w:rFonts w:hint="eastAsia" w:ascii="Times New Roman" w:hAnsi="Times New Roman"/>
          <w:snapToGrid w:val="0"/>
          <w:color w:val="auto"/>
          <w:highlight w:val="none"/>
        </w:rPr>
        <w:fldChar w:fldCharType="separate"/>
      </w:r>
      <w:r>
        <w:rPr>
          <w:color w:val="auto"/>
          <w:highlight w:val="none"/>
        </w:rPr>
        <w:t>③</w:t>
      </w:r>
      <w:r>
        <w:rPr>
          <w:rFonts w:hint="eastAsia" w:ascii="Times New Roman" w:hAnsi="Times New Roman"/>
          <w:snapToGrid w:val="0"/>
          <w:color w:val="auto"/>
          <w:highlight w:val="none"/>
        </w:rPr>
        <w:fldChar w:fldCharType="end"/>
      </w:r>
      <w:r>
        <w:rPr>
          <w:rFonts w:ascii="Times New Roman" w:hAnsi="Times New Roman"/>
          <w:snapToGrid w:val="0"/>
          <w:color w:val="auto"/>
          <w:highlight w:val="none"/>
        </w:rPr>
        <w:t>混凝土</w:t>
      </w:r>
      <w:r>
        <w:rPr>
          <w:rFonts w:ascii="Times New Roman" w:hAnsi="Times New Roman"/>
          <w:snapToGrid w:val="0"/>
          <w:color w:val="auto"/>
          <w:highlight w:val="none"/>
          <w:shd w:val="clear" w:fill="FFFFFF"/>
        </w:rPr>
        <w:t>拌和</w:t>
      </w:r>
      <w:r>
        <w:rPr>
          <w:rFonts w:ascii="Times New Roman" w:hAnsi="Times New Roman"/>
          <w:snapToGrid w:val="0"/>
          <w:color w:val="auto"/>
          <w:highlight w:val="none"/>
        </w:rPr>
        <w:t>系统废水</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eastAsia" w:ascii="Times New Roman" w:hAnsi="Times New Roman"/>
          <w:snapToGrid w:val="0"/>
          <w:color w:val="auto"/>
          <w:highlight w:val="none"/>
        </w:rPr>
      </w:pPr>
      <w:r>
        <w:rPr>
          <w:rFonts w:hint="eastAsia" w:ascii="Times New Roman" w:hAnsi="Times New Roman"/>
          <w:snapToGrid w:val="0"/>
          <w:color w:val="auto"/>
          <w:highlight w:val="none"/>
          <w:lang w:eastAsia="zh-CN"/>
        </w:rPr>
        <w:t>拟建船闸工程</w:t>
      </w:r>
      <w:r>
        <w:rPr>
          <w:rFonts w:ascii="Times New Roman" w:hAnsi="Times New Roman"/>
          <w:snapToGrid w:val="0"/>
          <w:color w:val="auto"/>
          <w:highlight w:val="none"/>
        </w:rPr>
        <w:t>高峰期混凝土的浇筑量约为</w:t>
      </w:r>
      <w:r>
        <w:rPr>
          <w:rFonts w:hint="eastAsia" w:ascii="Times New Roman" w:hAnsi="Times New Roman"/>
          <w:snapToGrid w:val="0"/>
          <w:color w:val="auto"/>
          <w:highlight w:val="none"/>
          <w:lang w:val="en-US" w:eastAsia="zh-CN"/>
        </w:rPr>
        <w:t>15</w:t>
      </w:r>
      <w:r>
        <w:rPr>
          <w:rFonts w:ascii="Times New Roman" w:hAnsi="Times New Roman"/>
          <w:snapToGrid w:val="0"/>
          <w:color w:val="auto"/>
          <w:highlight w:val="none"/>
        </w:rPr>
        <w:t>00m</w:t>
      </w:r>
      <w:r>
        <w:rPr>
          <w:rFonts w:ascii="Times New Roman" w:hAnsi="Times New Roman"/>
          <w:snapToGrid w:val="0"/>
          <w:color w:val="auto"/>
          <w:highlight w:val="none"/>
          <w:vertAlign w:val="superscript"/>
        </w:rPr>
        <w:t>3</w:t>
      </w:r>
      <w:r>
        <w:rPr>
          <w:rFonts w:ascii="Times New Roman" w:hAnsi="Times New Roman"/>
          <w:snapToGrid w:val="0"/>
          <w:color w:val="auto"/>
          <w:highlight w:val="none"/>
        </w:rPr>
        <w:t>/d，</w:t>
      </w:r>
      <w:r>
        <w:rPr>
          <w:rFonts w:hint="eastAsia" w:ascii="Times New Roman" w:hAnsi="Times New Roman"/>
          <w:snapToGrid w:val="0"/>
          <w:color w:val="auto"/>
          <w:highlight w:val="none"/>
        </w:rPr>
        <w:t>混凝土生产系统布置在坝址右岸</w:t>
      </w:r>
      <w:r>
        <w:rPr>
          <w:rFonts w:hint="eastAsia" w:ascii="Times New Roman" w:hAnsi="Times New Roman"/>
          <w:snapToGrid w:val="0"/>
          <w:color w:val="auto"/>
          <w:highlight w:val="none"/>
          <w:lang w:eastAsia="zh-CN"/>
        </w:rPr>
        <w:t>施工场地</w:t>
      </w:r>
      <w:r>
        <w:rPr>
          <w:rFonts w:hint="eastAsia" w:ascii="Times New Roman" w:hAnsi="Times New Roman"/>
          <w:snapToGrid w:val="0"/>
          <w:color w:val="auto"/>
          <w:highlight w:val="none"/>
        </w:rPr>
        <w:t>，设计生产能力为</w:t>
      </w:r>
      <w:r>
        <w:rPr>
          <w:rFonts w:hint="eastAsia" w:ascii="Times New Roman" w:hAnsi="Times New Roman"/>
          <w:snapToGrid w:val="0"/>
          <w:color w:val="auto"/>
          <w:highlight w:val="none"/>
          <w:lang w:val="en-US" w:eastAsia="zh-CN"/>
        </w:rPr>
        <w:t>300</w:t>
      </w:r>
      <w:r>
        <w:rPr>
          <w:rFonts w:hint="eastAsia" w:ascii="Times New Roman" w:hAnsi="Times New Roman"/>
          <w:snapToGrid w:val="0"/>
          <w:color w:val="auto"/>
          <w:highlight w:val="none"/>
        </w:rPr>
        <w:t>m</w:t>
      </w:r>
      <w:r>
        <w:rPr>
          <w:rFonts w:hint="eastAsia" w:ascii="Times New Roman" w:hAnsi="Times New Roman"/>
          <w:snapToGrid w:val="0"/>
          <w:color w:val="auto"/>
          <w:highlight w:val="none"/>
          <w:vertAlign w:val="superscript"/>
        </w:rPr>
        <w:t>3</w:t>
      </w:r>
      <w:r>
        <w:rPr>
          <w:rFonts w:hint="eastAsia" w:ascii="Times New Roman" w:hAnsi="Times New Roman"/>
          <w:snapToGrid w:val="0"/>
          <w:color w:val="auto"/>
          <w:highlight w:val="none"/>
        </w:rPr>
        <w:t>/h，设置</w:t>
      </w:r>
      <w:r>
        <w:rPr>
          <w:rFonts w:hint="eastAsia" w:ascii="Times New Roman" w:hAnsi="Times New Roman"/>
          <w:snapToGrid w:val="0"/>
          <w:color w:val="auto"/>
          <w:highlight w:val="none"/>
          <w:lang w:val="en-US" w:eastAsia="zh-CN"/>
        </w:rPr>
        <w:t>2</w:t>
      </w:r>
      <w:r>
        <w:rPr>
          <w:rFonts w:hint="eastAsia" w:ascii="Times New Roman" w:hAnsi="Times New Roman"/>
          <w:snapToGrid w:val="0"/>
          <w:color w:val="auto"/>
          <w:highlight w:val="none"/>
        </w:rPr>
        <w:t>座HZS180型混凝土</w:t>
      </w:r>
      <w:r>
        <w:rPr>
          <w:rFonts w:hint="eastAsia" w:ascii="Times New Roman" w:hAnsi="Times New Roman"/>
          <w:snapToGrid w:val="0"/>
          <w:color w:val="auto"/>
          <w:highlight w:val="none"/>
          <w:shd w:val="clear" w:fill="FFFFFF"/>
        </w:rPr>
        <w:t>拌和</w:t>
      </w:r>
      <w:r>
        <w:rPr>
          <w:rFonts w:hint="eastAsia" w:ascii="Times New Roman" w:hAnsi="Times New Roman"/>
          <w:snapToGrid w:val="0"/>
          <w:color w:val="auto"/>
          <w:highlight w:val="none"/>
        </w:rPr>
        <w:t>楼。</w:t>
      </w:r>
      <w:r>
        <w:rPr>
          <w:rFonts w:ascii="Times New Roman" w:hAnsi="Times New Roman"/>
          <w:snapToGrid w:val="0"/>
          <w:color w:val="auto"/>
          <w:highlight w:val="none"/>
        </w:rPr>
        <w:t>混凝土施工废水包括</w:t>
      </w:r>
      <w:r>
        <w:rPr>
          <w:rFonts w:ascii="Times New Roman" w:hAnsi="Times New Roman"/>
          <w:snapToGrid w:val="0"/>
          <w:color w:val="auto"/>
          <w:highlight w:val="none"/>
          <w:shd w:val="clear" w:fill="FFFFFF"/>
        </w:rPr>
        <w:t>拌合</w:t>
      </w:r>
      <w:r>
        <w:rPr>
          <w:rFonts w:ascii="Times New Roman" w:hAnsi="Times New Roman"/>
          <w:snapToGrid w:val="0"/>
          <w:color w:val="auto"/>
          <w:highlight w:val="none"/>
        </w:rPr>
        <w:t>废水、冲洗废水及混凝土养护废水，工程</w:t>
      </w:r>
      <w:r>
        <w:rPr>
          <w:rFonts w:hint="eastAsia" w:ascii="Times New Roman" w:hAnsi="Times New Roman"/>
          <w:snapToGrid w:val="0"/>
          <w:color w:val="auto"/>
          <w:highlight w:val="none"/>
        </w:rPr>
        <w:t>施工</w:t>
      </w:r>
      <w:r>
        <w:rPr>
          <w:rFonts w:ascii="Times New Roman" w:hAnsi="Times New Roman"/>
          <w:snapToGrid w:val="0"/>
          <w:color w:val="auto"/>
          <w:highlight w:val="none"/>
        </w:rPr>
        <w:t>高峰期废水排放量约为15m</w:t>
      </w:r>
      <w:r>
        <w:rPr>
          <w:rFonts w:ascii="Times New Roman" w:hAnsi="Times New Roman"/>
          <w:snapToGrid w:val="0"/>
          <w:color w:val="auto"/>
          <w:highlight w:val="none"/>
          <w:vertAlign w:val="superscript"/>
        </w:rPr>
        <w:t>3</w:t>
      </w:r>
      <w:r>
        <w:rPr>
          <w:rFonts w:ascii="Times New Roman" w:hAnsi="Times New Roman"/>
          <w:snapToGrid w:val="0"/>
          <w:color w:val="auto"/>
          <w:highlight w:val="none"/>
        </w:rPr>
        <w:t>/</w:t>
      </w:r>
      <w:r>
        <w:rPr>
          <w:rFonts w:hint="eastAsia" w:ascii="Times New Roman" w:hAnsi="Times New Roman"/>
          <w:snapToGrid w:val="0"/>
          <w:color w:val="auto"/>
          <w:highlight w:val="none"/>
        </w:rPr>
        <w:t>d，</w:t>
      </w:r>
      <w:r>
        <w:rPr>
          <w:rFonts w:ascii="Times New Roman" w:hAnsi="Times New Roman"/>
          <w:snapToGrid w:val="0"/>
          <w:color w:val="auto"/>
          <w:highlight w:val="none"/>
        </w:rPr>
        <w:t>其主要污染物为SS及碱性废水，其中SS浓度约为2500mg/L，pH值9～12。</w:t>
      </w:r>
      <w:bookmarkEnd w:id="77"/>
      <w:r>
        <w:rPr>
          <w:rFonts w:hint="eastAsia" w:ascii="Times New Roman" w:hAnsi="Times New Roman"/>
          <w:snapToGrid w:val="0"/>
          <w:color w:val="auto"/>
          <w:highlight w:val="none"/>
        </w:rPr>
        <w:t>混凝土拌和系统废水</w:t>
      </w:r>
      <w:r>
        <w:rPr>
          <w:rFonts w:hint="eastAsia" w:ascii="Times New Roman" w:hAnsi="Times New Roman"/>
          <w:snapToGrid w:val="0"/>
          <w:color w:val="auto"/>
          <w:highlight w:val="none"/>
          <w:lang w:eastAsia="zh-CN"/>
        </w:rPr>
        <w:t>经沉淀处理之后回用于混凝土搅拌系统</w:t>
      </w:r>
      <w:r>
        <w:rPr>
          <w:rFonts w:hint="eastAsia" w:ascii="Times New Roman" w:hAnsi="Times New Roman"/>
          <w:snapToGrid w:val="0"/>
          <w:color w:val="auto"/>
          <w:highlight w:val="none"/>
        </w:rPr>
        <w:t>。</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snapToGrid w:val="0"/>
          <w:color w:val="auto"/>
          <w:highlight w:val="none"/>
        </w:rPr>
      </w:pPr>
      <w:r>
        <w:rPr>
          <w:rFonts w:ascii="Times New Roman" w:hAnsi="Times New Roman"/>
          <w:snapToGrid w:val="0"/>
          <w:color w:val="auto"/>
          <w:highlight w:val="none"/>
        </w:rPr>
        <w:fldChar w:fldCharType="begin"/>
      </w:r>
      <w:r>
        <w:rPr>
          <w:rFonts w:ascii="Times New Roman" w:hAnsi="Times New Roman"/>
          <w:snapToGrid w:val="0"/>
          <w:color w:val="auto"/>
          <w:highlight w:val="none"/>
        </w:rPr>
        <w:instrText xml:space="preserve"> = 4 \* GB3 \* MERGEFORMAT </w:instrText>
      </w:r>
      <w:r>
        <w:rPr>
          <w:rFonts w:ascii="Times New Roman" w:hAnsi="Times New Roman"/>
          <w:snapToGrid w:val="0"/>
          <w:color w:val="auto"/>
          <w:highlight w:val="none"/>
        </w:rPr>
        <w:fldChar w:fldCharType="separate"/>
      </w:r>
      <w:r>
        <w:rPr>
          <w:color w:val="auto"/>
          <w:highlight w:val="none"/>
        </w:rPr>
        <w:t>④</w:t>
      </w:r>
      <w:r>
        <w:rPr>
          <w:rFonts w:ascii="Times New Roman" w:hAnsi="Times New Roman"/>
          <w:snapToGrid w:val="0"/>
          <w:color w:val="auto"/>
          <w:highlight w:val="none"/>
        </w:rPr>
        <w:fldChar w:fldCharType="end"/>
      </w:r>
      <w:r>
        <w:rPr>
          <w:rFonts w:hint="eastAsia" w:ascii="Times New Roman" w:hAnsi="Times New Roman"/>
          <w:snapToGrid w:val="0"/>
          <w:color w:val="auto"/>
          <w:highlight w:val="none"/>
        </w:rPr>
        <w:t>施工船舶</w:t>
      </w:r>
      <w:r>
        <w:rPr>
          <w:rFonts w:ascii="Times New Roman" w:hAnsi="Times New Roman"/>
          <w:snapToGrid w:val="0"/>
          <w:color w:val="auto"/>
          <w:highlight w:val="none"/>
        </w:rPr>
        <w:t>废水</w:t>
      </w:r>
    </w:p>
    <w:p>
      <w:pPr>
        <w:pStyle w:val="214"/>
        <w:ind w:firstLine="520"/>
        <w:rPr>
          <w:rFonts w:hint="eastAsia" w:ascii="Times New Roman" w:hAnsi="Times New Roman"/>
          <w:color w:val="auto"/>
          <w:highlight w:val="none"/>
          <w:lang w:val="en-US" w:eastAsia="zh-CN"/>
        </w:rPr>
      </w:pPr>
      <w:r>
        <w:rPr>
          <w:rFonts w:hint="eastAsia"/>
          <w:color w:val="auto"/>
          <w:highlight w:val="none"/>
        </w:rPr>
        <w:t>本项目</w:t>
      </w:r>
      <w:r>
        <w:rPr>
          <w:rFonts w:hint="eastAsia"/>
          <w:color w:val="auto"/>
          <w:highlight w:val="none"/>
          <w:lang w:eastAsia="zh-CN"/>
        </w:rPr>
        <w:t>在疏浚期间会使用施工船舶，</w:t>
      </w:r>
      <w:r>
        <w:rPr>
          <w:rFonts w:hint="eastAsia"/>
          <w:color w:val="auto"/>
          <w:highlight w:val="none"/>
        </w:rPr>
        <w:t>施工船舶主要为4方抓斗挖泥船、工程驳船等，施工船舶舱满负荷工作时，参照《水运工程环境保护设计规范》（JTS 149-2018），</w:t>
      </w:r>
      <w:r>
        <w:rPr>
          <w:color w:val="auto"/>
          <w:highlight w:val="none"/>
        </w:rPr>
        <w:t>500</w:t>
      </w:r>
      <w:r>
        <w:rPr>
          <w:rFonts w:hint="eastAsia"/>
          <w:color w:val="auto"/>
          <w:highlight w:val="none"/>
        </w:rPr>
        <w:t>t施工船舶舱底油污水产生量约0.</w:t>
      </w:r>
      <w:r>
        <w:rPr>
          <w:color w:val="auto"/>
          <w:highlight w:val="none"/>
        </w:rPr>
        <w:t>14</w:t>
      </w:r>
      <w:r>
        <w:rPr>
          <w:rFonts w:hint="eastAsia"/>
          <w:color w:val="auto"/>
          <w:highlight w:val="none"/>
        </w:rPr>
        <w:t>t/天</w:t>
      </w:r>
      <w:r>
        <w:rPr>
          <w:rFonts w:hint="default" w:ascii="Times New Roman" w:hAnsi="Times New Roman" w:cs="Times New Roman"/>
          <w:color w:val="auto"/>
          <w:highlight w:val="none"/>
        </w:rPr>
        <w:t>·</w:t>
      </w:r>
      <w:r>
        <w:rPr>
          <w:rFonts w:hint="eastAsia"/>
          <w:color w:val="auto"/>
          <w:highlight w:val="none"/>
        </w:rPr>
        <w:t>艘，平均含油浓度为5000mg/L。同时施工船舶数量</w:t>
      </w:r>
      <w:r>
        <w:rPr>
          <w:color w:val="auto"/>
          <w:highlight w:val="none"/>
        </w:rPr>
        <w:t>按</w:t>
      </w:r>
      <w:r>
        <w:rPr>
          <w:rFonts w:hint="eastAsia"/>
          <w:color w:val="auto"/>
          <w:highlight w:val="none"/>
        </w:rPr>
        <w:t>最大</w:t>
      </w:r>
      <w:r>
        <w:rPr>
          <w:rFonts w:hint="eastAsia"/>
          <w:color w:val="auto"/>
          <w:highlight w:val="none"/>
          <w:lang w:val="en-US" w:eastAsia="zh-CN"/>
        </w:rPr>
        <w:t>4</w:t>
      </w:r>
      <w:r>
        <w:rPr>
          <w:rFonts w:hint="eastAsia"/>
          <w:color w:val="auto"/>
          <w:highlight w:val="none"/>
        </w:rPr>
        <w:t>艘估算，则施工</w:t>
      </w:r>
      <w:r>
        <w:rPr>
          <w:color w:val="auto"/>
          <w:highlight w:val="none"/>
        </w:rPr>
        <w:t>船舶舱底油污水</w:t>
      </w:r>
      <w:r>
        <w:rPr>
          <w:rFonts w:hint="eastAsia"/>
          <w:color w:val="auto"/>
          <w:highlight w:val="none"/>
        </w:rPr>
        <w:t>产生</w:t>
      </w:r>
      <w:r>
        <w:rPr>
          <w:color w:val="auto"/>
          <w:highlight w:val="none"/>
        </w:rPr>
        <w:t>总量为</w:t>
      </w:r>
      <w:r>
        <w:rPr>
          <w:rFonts w:hint="eastAsia"/>
          <w:color w:val="auto"/>
          <w:highlight w:val="none"/>
          <w:lang w:val="en-US" w:eastAsia="zh-CN"/>
        </w:rPr>
        <w:t>0.56</w:t>
      </w:r>
      <w:r>
        <w:rPr>
          <w:color w:val="auto"/>
          <w:highlight w:val="none"/>
        </w:rPr>
        <w:t>t/d</w:t>
      </w:r>
      <w:r>
        <w:rPr>
          <w:rFonts w:hint="eastAsia" w:ascii="Times New Roman" w:hAnsi="Times New Roman"/>
          <w:snapToGrid w:val="0"/>
          <w:color w:val="auto"/>
          <w:highlight w:val="none"/>
        </w:rPr>
        <w:t>。施工船舶污水由船舶自带的油水分离器处理后委托有资质单位接收，不</w:t>
      </w:r>
      <w:r>
        <w:rPr>
          <w:rFonts w:hint="eastAsia"/>
          <w:snapToGrid w:val="0"/>
          <w:color w:val="auto"/>
          <w:highlight w:val="none"/>
          <w:lang w:eastAsia="zh-CN"/>
        </w:rPr>
        <w:t>直接</w:t>
      </w:r>
      <w:r>
        <w:rPr>
          <w:rFonts w:hint="eastAsia" w:ascii="Times New Roman" w:hAnsi="Times New Roman"/>
          <w:snapToGrid w:val="0"/>
          <w:color w:val="auto"/>
          <w:highlight w:val="none"/>
        </w:rPr>
        <w:t>外排</w:t>
      </w:r>
      <w:r>
        <w:rPr>
          <w:rFonts w:ascii="Times New Roman" w:hAnsi="Times New Roman"/>
          <w:color w:val="auto"/>
          <w:highlight w:val="none"/>
        </w:rPr>
        <w:t>。</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eastAsia" w:ascii="Times New Roman" w:hAnsi="Times New Roman" w:eastAsia="宋体"/>
          <w:snapToGrid w:val="0"/>
          <w:color w:val="auto"/>
          <w:highlight w:val="none"/>
          <w:lang w:eastAsia="zh-CN"/>
        </w:rPr>
      </w:pPr>
      <w:r>
        <w:rPr>
          <w:rFonts w:ascii="Times New Roman" w:hAnsi="Times New Roman"/>
          <w:snapToGrid w:val="0"/>
          <w:color w:val="auto"/>
          <w:highlight w:val="none"/>
        </w:rPr>
        <w:fldChar w:fldCharType="begin"/>
      </w:r>
      <w:r>
        <w:rPr>
          <w:rFonts w:ascii="Times New Roman" w:hAnsi="Times New Roman"/>
          <w:snapToGrid w:val="0"/>
          <w:color w:val="auto"/>
          <w:highlight w:val="none"/>
        </w:rPr>
        <w:instrText xml:space="preserve"> = 5 \* GB3 \* MERGEFORMAT </w:instrText>
      </w:r>
      <w:r>
        <w:rPr>
          <w:rFonts w:ascii="Times New Roman" w:hAnsi="Times New Roman"/>
          <w:snapToGrid w:val="0"/>
          <w:color w:val="auto"/>
          <w:highlight w:val="none"/>
        </w:rPr>
        <w:fldChar w:fldCharType="separate"/>
      </w:r>
      <w:r>
        <w:rPr>
          <w:color w:val="auto"/>
          <w:highlight w:val="none"/>
        </w:rPr>
        <w:t>⑤</w:t>
      </w:r>
      <w:r>
        <w:rPr>
          <w:rFonts w:ascii="Times New Roman" w:hAnsi="Times New Roman"/>
          <w:snapToGrid w:val="0"/>
          <w:color w:val="auto"/>
          <w:highlight w:val="none"/>
        </w:rPr>
        <w:fldChar w:fldCharType="end"/>
      </w:r>
      <w:r>
        <w:rPr>
          <w:rFonts w:hint="eastAsia" w:ascii="Times New Roman" w:hAnsi="Times New Roman"/>
          <w:snapToGrid w:val="0"/>
          <w:color w:val="auto"/>
          <w:highlight w:val="none"/>
          <w:lang w:eastAsia="zh-CN"/>
        </w:rPr>
        <w:t>临时堆场余水</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eastAsia" w:ascii="Times New Roman" w:hAnsi="Times New Roman" w:eastAsia="宋体"/>
          <w:color w:val="auto"/>
          <w:highlight w:val="none"/>
          <w:lang w:eastAsia="zh-CN"/>
        </w:rPr>
      </w:pPr>
      <w:r>
        <w:rPr>
          <w:rFonts w:hint="eastAsia" w:ascii="Times New Roman" w:hAnsi="Times New Roman"/>
          <w:color w:val="auto"/>
          <w:highlight w:val="none"/>
        </w:rPr>
        <w:t>根据施工组织设计，本工程水下疏浚选用链斗挖泥船施工。疏挖的砂石料通过挖泥船转至驳船后运到船闸</w:t>
      </w:r>
      <w:r>
        <w:rPr>
          <w:rFonts w:hint="eastAsia" w:ascii="Times New Roman" w:hAnsi="Times New Roman"/>
          <w:color w:val="auto"/>
          <w:highlight w:val="none"/>
          <w:lang w:eastAsia="zh-CN"/>
        </w:rPr>
        <w:t>施工期区域设置的</w:t>
      </w:r>
      <w:r>
        <w:rPr>
          <w:rFonts w:hint="eastAsia" w:ascii="Times New Roman" w:hAnsi="Times New Roman"/>
          <w:color w:val="auto"/>
          <w:highlight w:val="none"/>
        </w:rPr>
        <w:t>临时码头上岸，再转运至船闸</w:t>
      </w:r>
      <w:r>
        <w:rPr>
          <w:rFonts w:hint="eastAsia" w:ascii="Times New Roman" w:hAnsi="Times New Roman"/>
          <w:color w:val="auto"/>
          <w:highlight w:val="none"/>
          <w:lang w:eastAsia="zh-CN"/>
        </w:rPr>
        <w:t>附近</w:t>
      </w:r>
      <w:r>
        <w:rPr>
          <w:rFonts w:hint="eastAsia" w:ascii="Times New Roman" w:hAnsi="Times New Roman"/>
          <w:color w:val="auto"/>
          <w:highlight w:val="none"/>
        </w:rPr>
        <w:t>的</w:t>
      </w:r>
      <w:r>
        <w:rPr>
          <w:rFonts w:hint="eastAsia" w:ascii="Times New Roman" w:hAnsi="Times New Roman"/>
          <w:color w:val="auto"/>
          <w:highlight w:val="none"/>
          <w:lang w:eastAsia="zh-CN"/>
        </w:rPr>
        <w:t>临时堆料区堆存</w:t>
      </w:r>
      <w:r>
        <w:rPr>
          <w:rFonts w:hint="eastAsia" w:ascii="Times New Roman" w:hAnsi="Times New Roman"/>
          <w:color w:val="auto"/>
          <w:highlight w:val="none"/>
        </w:rPr>
        <w:t>，从而产生渣料余水。</w:t>
      </w:r>
      <w:r>
        <w:rPr>
          <w:rFonts w:hint="eastAsia" w:ascii="Times New Roman" w:hAnsi="Times New Roman"/>
          <w:color w:val="auto"/>
          <w:highlight w:val="none"/>
          <w:lang w:eastAsia="zh-CN"/>
        </w:rPr>
        <w:t>疏浚渣</w:t>
      </w:r>
      <w:r>
        <w:rPr>
          <w:rFonts w:hint="eastAsia"/>
          <w:color w:val="auto"/>
          <w:highlight w:val="none"/>
          <w:lang w:val="en-US" w:eastAsia="zh-CN"/>
        </w:rPr>
        <w:t>成分主要以砂卵石为主，</w:t>
      </w:r>
      <w:r>
        <w:rPr>
          <w:rFonts w:hint="eastAsia" w:ascii="Times New Roman" w:hAnsi="Times New Roman"/>
          <w:color w:val="auto"/>
          <w:highlight w:val="none"/>
          <w:lang w:eastAsia="zh-CN"/>
        </w:rPr>
        <w:t>经临时堆存后，部分用于全年围堰填筑，不能利用的拉运至弃渣场堆存，经临时堆存后的疏浚渣含水率较低，车辆拉运过程中基本无废水产生。</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color w:val="auto"/>
          <w:highlight w:val="none"/>
        </w:rPr>
      </w:pPr>
      <w:r>
        <w:rPr>
          <w:rFonts w:hint="eastAsia" w:ascii="Times New Roman" w:hAnsi="Times New Roman"/>
          <w:color w:val="auto"/>
          <w:highlight w:val="none"/>
        </w:rPr>
        <w:t>本项目航道工程砂卵石开挖量共计</w:t>
      </w:r>
      <w:r>
        <w:rPr>
          <w:rFonts w:hint="eastAsia" w:ascii="Times New Roman" w:hAnsi="Times New Roman"/>
          <w:color w:val="auto"/>
          <w:highlight w:val="none"/>
          <w:lang w:eastAsia="zh-CN"/>
        </w:rPr>
        <w:t>约</w:t>
      </w:r>
      <w:r>
        <w:rPr>
          <w:rFonts w:hint="eastAsia" w:ascii="Times New Roman" w:hAnsi="Times New Roman"/>
          <w:color w:val="auto"/>
          <w:highlight w:val="none"/>
          <w:lang w:val="en-US" w:eastAsia="zh-CN"/>
        </w:rPr>
        <w:t>30.01</w:t>
      </w:r>
      <w:r>
        <w:rPr>
          <w:rFonts w:hint="eastAsia" w:ascii="Times New Roman" w:hAnsi="Times New Roman"/>
          <w:color w:val="auto"/>
          <w:highlight w:val="none"/>
        </w:rPr>
        <w:t>万</w:t>
      </w:r>
      <w:r>
        <w:rPr>
          <w:rFonts w:hint="eastAsia" w:ascii="Times New Roman" w:hAnsi="Times New Roman"/>
          <w:color w:val="auto"/>
          <w:highlight w:val="none"/>
          <w:lang w:val="en-US" w:eastAsia="zh-CN"/>
        </w:rPr>
        <w:t>m³</w:t>
      </w:r>
      <w:r>
        <w:rPr>
          <w:rFonts w:hint="eastAsia" w:ascii="Times New Roman" w:hAnsi="Times New Roman"/>
          <w:color w:val="auto"/>
          <w:highlight w:val="none"/>
        </w:rPr>
        <w:t>（自然方，下同），</w:t>
      </w:r>
      <w:r>
        <w:rPr>
          <w:rFonts w:hint="eastAsia" w:ascii="Times New Roman" w:hAnsi="Times New Roman"/>
          <w:color w:val="auto"/>
          <w:highlight w:val="none"/>
          <w:lang w:eastAsia="zh-CN"/>
        </w:rPr>
        <w:t>主要</w:t>
      </w:r>
      <w:r>
        <w:rPr>
          <w:rFonts w:hint="eastAsia" w:ascii="Times New Roman" w:hAnsi="Times New Roman"/>
          <w:color w:val="auto"/>
          <w:highlight w:val="none"/>
        </w:rPr>
        <w:t>为卵石和</w:t>
      </w:r>
      <w:r>
        <w:rPr>
          <w:rFonts w:hint="eastAsia" w:ascii="Times New Roman" w:hAnsi="Times New Roman"/>
          <w:color w:val="auto"/>
          <w:highlight w:val="none"/>
          <w:lang w:eastAsia="zh-CN"/>
        </w:rPr>
        <w:t>砂</w:t>
      </w:r>
      <w:r>
        <w:rPr>
          <w:rFonts w:hint="eastAsia" w:ascii="Times New Roman" w:hAnsi="Times New Roman"/>
          <w:color w:val="auto"/>
          <w:highlight w:val="none"/>
        </w:rPr>
        <w:t>石料，无底泥。其中，砂卵石开挖</w:t>
      </w:r>
      <w:r>
        <w:rPr>
          <w:rFonts w:hint="eastAsia" w:ascii="Times New Roman" w:hAnsi="Times New Roman"/>
          <w:color w:val="auto"/>
          <w:highlight w:val="none"/>
          <w:lang w:val="en-US" w:eastAsia="zh-CN"/>
        </w:rPr>
        <w:t>24.22</w:t>
      </w:r>
      <w:r>
        <w:rPr>
          <w:rFonts w:hint="eastAsia" w:ascii="Times New Roman" w:hAnsi="Times New Roman"/>
          <w:color w:val="auto"/>
          <w:highlight w:val="none"/>
        </w:rPr>
        <w:t>万m</w:t>
      </w:r>
      <w:r>
        <w:rPr>
          <w:rFonts w:hint="eastAsia" w:ascii="Times New Roman" w:hAnsi="Times New Roman"/>
          <w:color w:val="auto"/>
          <w:highlight w:val="none"/>
          <w:vertAlign w:val="superscript"/>
        </w:rPr>
        <w:t>3</w:t>
      </w:r>
      <w:r>
        <w:rPr>
          <w:rFonts w:hint="eastAsia" w:ascii="Times New Roman" w:hAnsi="Times New Roman"/>
          <w:color w:val="auto"/>
          <w:highlight w:val="none"/>
        </w:rPr>
        <w:t>，石料开挖</w:t>
      </w:r>
      <w:r>
        <w:rPr>
          <w:rFonts w:hint="eastAsia" w:ascii="Times New Roman" w:hAnsi="Times New Roman"/>
          <w:color w:val="auto"/>
          <w:highlight w:val="none"/>
          <w:lang w:val="en-US" w:eastAsia="zh-CN"/>
        </w:rPr>
        <w:t>5.79</w:t>
      </w:r>
      <w:r>
        <w:rPr>
          <w:rFonts w:hint="eastAsia" w:ascii="Times New Roman" w:hAnsi="Times New Roman"/>
          <w:color w:val="auto"/>
          <w:highlight w:val="none"/>
        </w:rPr>
        <w:t>万m</w:t>
      </w:r>
      <w:r>
        <w:rPr>
          <w:rFonts w:hint="eastAsia" w:ascii="Times New Roman" w:hAnsi="Times New Roman"/>
          <w:color w:val="auto"/>
          <w:highlight w:val="none"/>
          <w:vertAlign w:val="superscript"/>
        </w:rPr>
        <w:t>3</w:t>
      </w:r>
      <w:r>
        <w:rPr>
          <w:rFonts w:hint="eastAsia" w:ascii="Times New Roman" w:hAnsi="Times New Roman"/>
          <w:color w:val="auto"/>
          <w:highlight w:val="none"/>
        </w:rPr>
        <w:t>。航道</w:t>
      </w:r>
      <w:r>
        <w:rPr>
          <w:rFonts w:hint="eastAsia" w:ascii="Times New Roman" w:hAnsi="Times New Roman"/>
          <w:color w:val="auto"/>
          <w:highlight w:val="none"/>
          <w:lang w:eastAsia="zh-CN"/>
        </w:rPr>
        <w:t>疏浚</w:t>
      </w:r>
      <w:r>
        <w:rPr>
          <w:rFonts w:hint="eastAsia" w:ascii="Times New Roman" w:hAnsi="Times New Roman"/>
          <w:color w:val="auto"/>
          <w:highlight w:val="none"/>
        </w:rPr>
        <w:t>安排在枯水期进行，</w:t>
      </w:r>
      <w:r>
        <w:rPr>
          <w:rFonts w:hint="eastAsia" w:ascii="Times New Roman" w:hAnsi="Times New Roman"/>
          <w:color w:val="auto"/>
          <w:highlight w:val="none"/>
          <w:lang w:eastAsia="zh-CN"/>
        </w:rPr>
        <w:t>疏浚</w:t>
      </w:r>
      <w:r>
        <w:rPr>
          <w:rFonts w:hint="eastAsia"/>
          <w:color w:val="auto"/>
          <w:highlight w:val="none"/>
          <w:lang w:val="en-US" w:eastAsia="zh-CN"/>
        </w:rPr>
        <w:t>过程先利用挖泥船沥水后再装船</w:t>
      </w:r>
      <w:r>
        <w:rPr>
          <w:rFonts w:hint="eastAsia"/>
          <w:color w:val="auto"/>
          <w:highlight w:val="none"/>
        </w:rPr>
        <w:t>运输至</w:t>
      </w:r>
      <w:r>
        <w:rPr>
          <w:rFonts w:hint="eastAsia"/>
          <w:color w:val="auto"/>
          <w:highlight w:val="none"/>
          <w:lang w:eastAsia="zh-CN"/>
        </w:rPr>
        <w:t>临时上岸点，</w:t>
      </w:r>
      <w:r>
        <w:rPr>
          <w:rFonts w:hint="eastAsia" w:ascii="Times New Roman" w:hAnsi="Times New Roman"/>
          <w:color w:val="auto"/>
          <w:highlight w:val="none"/>
        </w:rPr>
        <w:t>航道疏挖渣料自然干化产生的余水</w:t>
      </w:r>
      <w:r>
        <w:rPr>
          <w:rFonts w:hint="eastAsia" w:ascii="Times New Roman" w:hAnsi="Times New Roman"/>
          <w:color w:val="auto"/>
          <w:highlight w:val="none"/>
          <w:lang w:eastAsia="zh-CN"/>
        </w:rPr>
        <w:t>较少，</w:t>
      </w:r>
      <w:r>
        <w:rPr>
          <w:rFonts w:hint="eastAsia" w:ascii="Times New Roman" w:hAnsi="Times New Roman"/>
          <w:color w:val="auto"/>
          <w:highlight w:val="none"/>
        </w:rPr>
        <w:t>最大</w:t>
      </w:r>
      <w:r>
        <w:rPr>
          <w:rFonts w:hint="eastAsia" w:ascii="Times New Roman" w:hAnsi="Times New Roman"/>
          <w:color w:val="auto"/>
          <w:highlight w:val="none"/>
          <w:lang w:eastAsia="zh-CN"/>
        </w:rPr>
        <w:t>产生量</w:t>
      </w:r>
      <w:r>
        <w:rPr>
          <w:rFonts w:hint="eastAsia" w:ascii="Times New Roman" w:hAnsi="Times New Roman"/>
          <w:color w:val="auto"/>
          <w:highlight w:val="none"/>
        </w:rPr>
        <w:t>约为</w:t>
      </w:r>
      <w:r>
        <w:rPr>
          <w:rFonts w:hint="eastAsia" w:ascii="Times New Roman" w:hAnsi="Times New Roman"/>
          <w:color w:val="auto"/>
          <w:highlight w:val="none"/>
          <w:lang w:val="en-US" w:eastAsia="zh-CN"/>
        </w:rPr>
        <w:t>30</w:t>
      </w:r>
      <w:r>
        <w:rPr>
          <w:rFonts w:hint="eastAsia" w:ascii="Times New Roman" w:hAnsi="Times New Roman"/>
          <w:color w:val="auto"/>
          <w:highlight w:val="none"/>
        </w:rPr>
        <w:t>m</w:t>
      </w:r>
      <w:r>
        <w:rPr>
          <w:rFonts w:hint="eastAsia" w:ascii="Times New Roman" w:hAnsi="Times New Roman"/>
          <w:color w:val="auto"/>
          <w:highlight w:val="none"/>
          <w:vertAlign w:val="superscript"/>
        </w:rPr>
        <w:t>3</w:t>
      </w:r>
      <w:r>
        <w:rPr>
          <w:rFonts w:hint="eastAsia" w:ascii="Times New Roman" w:hAnsi="Times New Roman"/>
          <w:color w:val="auto"/>
          <w:highlight w:val="none"/>
        </w:rPr>
        <w:t xml:space="preserve"> /d，</w:t>
      </w:r>
      <w:r>
        <w:rPr>
          <w:rFonts w:hint="eastAsia" w:ascii="Times New Roman" w:hAnsi="Times New Roman"/>
          <w:color w:val="auto"/>
          <w:highlight w:val="none"/>
          <w:lang w:eastAsia="zh-CN"/>
        </w:rPr>
        <w:t>由于疏浚渣主要成分为卵石和砂</w:t>
      </w:r>
      <w:r>
        <w:rPr>
          <w:rFonts w:hint="eastAsia" w:ascii="Times New Roman" w:hAnsi="Times New Roman"/>
          <w:color w:val="auto"/>
          <w:highlight w:val="none"/>
        </w:rPr>
        <w:t>石料</w:t>
      </w:r>
      <w:r>
        <w:rPr>
          <w:rFonts w:hint="eastAsia" w:ascii="Times New Roman" w:hAnsi="Times New Roman"/>
          <w:color w:val="auto"/>
          <w:highlight w:val="none"/>
          <w:lang w:eastAsia="zh-CN"/>
        </w:rPr>
        <w:t>，故临时堆放产生的</w:t>
      </w:r>
      <w:r>
        <w:rPr>
          <w:rFonts w:hint="eastAsia" w:ascii="Times New Roman" w:hAnsi="Times New Roman"/>
          <w:color w:val="auto"/>
          <w:highlight w:val="none"/>
          <w:shd w:val="clear" w:fill="FFFFFF"/>
          <w:lang w:eastAsia="zh-CN"/>
        </w:rPr>
        <w:t>余水水质</w:t>
      </w:r>
      <w:r>
        <w:rPr>
          <w:rFonts w:hint="eastAsia" w:ascii="Times New Roman" w:hAnsi="Times New Roman"/>
          <w:color w:val="auto"/>
          <w:highlight w:val="none"/>
          <w:lang w:eastAsia="zh-CN"/>
        </w:rPr>
        <w:t>较为简单，</w:t>
      </w:r>
      <w:r>
        <w:rPr>
          <w:rFonts w:hint="eastAsia" w:ascii="Times New Roman" w:hAnsi="Times New Roman"/>
          <w:color w:val="auto"/>
          <w:highlight w:val="none"/>
        </w:rPr>
        <w:t>其主要污染物是SS，悬浮物浓度约1000mg/L</w:t>
      </w:r>
      <w:r>
        <w:rPr>
          <w:rFonts w:hint="eastAsia" w:ascii="Times New Roman" w:hAnsi="Times New Roman"/>
          <w:color w:val="auto"/>
          <w:highlight w:val="none"/>
          <w:lang w:eastAsia="zh-CN"/>
        </w:rPr>
        <w:t>，经堆场截水沟收集，沉淀处理后回用于施工期洒水抑尘，不外排</w:t>
      </w:r>
      <w:r>
        <w:rPr>
          <w:rFonts w:hint="eastAsia" w:ascii="Times New Roman" w:hAnsi="Times New Roman"/>
          <w:color w:val="auto"/>
          <w:highlight w:val="none"/>
        </w:rPr>
        <w:t>。</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eastAsia" w:ascii="Times New Roman" w:hAnsi="Times New Roman"/>
          <w:color w:val="auto"/>
          <w:highlight w:val="none"/>
          <w:lang w:eastAsia="zh-CN"/>
        </w:rPr>
      </w:pPr>
      <w:r>
        <w:rPr>
          <w:rFonts w:ascii="Times New Roman" w:hAnsi="Times New Roman"/>
          <w:color w:val="auto"/>
          <w:highlight w:val="none"/>
        </w:rPr>
        <w:fldChar w:fldCharType="begin"/>
      </w:r>
      <w:r>
        <w:rPr>
          <w:rFonts w:ascii="Times New Roman" w:hAnsi="Times New Roman"/>
          <w:color w:val="auto"/>
          <w:highlight w:val="none"/>
        </w:rPr>
        <w:instrText xml:space="preserve"> = 6 \* GB3 \* MERGEFORMAT </w:instrText>
      </w:r>
      <w:r>
        <w:rPr>
          <w:rFonts w:ascii="Times New Roman" w:hAnsi="Times New Roman"/>
          <w:color w:val="auto"/>
          <w:highlight w:val="none"/>
        </w:rPr>
        <w:fldChar w:fldCharType="separate"/>
      </w:r>
      <w:r>
        <w:rPr>
          <w:color w:val="auto"/>
          <w:highlight w:val="none"/>
        </w:rPr>
        <w:t>⑥</w:t>
      </w:r>
      <w:r>
        <w:rPr>
          <w:rFonts w:ascii="Times New Roman" w:hAnsi="Times New Roman"/>
          <w:color w:val="auto"/>
          <w:highlight w:val="none"/>
        </w:rPr>
        <w:fldChar w:fldCharType="end"/>
      </w:r>
      <w:r>
        <w:rPr>
          <w:rFonts w:hint="eastAsia" w:ascii="Times New Roman" w:hAnsi="Times New Roman"/>
          <w:color w:val="auto"/>
          <w:highlight w:val="none"/>
          <w:lang w:eastAsia="zh-CN"/>
        </w:rPr>
        <w:t>车辆冲洗水</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eastAsia" w:ascii="Times New Roman" w:hAnsi="Times New Roman"/>
          <w:color w:val="auto"/>
          <w:highlight w:val="none"/>
          <w:lang w:eastAsia="zh-CN"/>
        </w:rPr>
      </w:pPr>
      <w:r>
        <w:rPr>
          <w:rFonts w:hint="eastAsia" w:ascii="Times New Roman" w:hAnsi="Times New Roman"/>
          <w:color w:val="auto"/>
          <w:highlight w:val="none"/>
          <w:lang w:eastAsia="zh-CN"/>
        </w:rPr>
        <w:t>根据工程布置，施工区不设置机修厂，但会对进出车辆进行冲洗，车辆冲洗过程会有洗车废水产生，主要污染物为悬浮物，浓度可达到约1000mg/L。工程高峰期进出车辆约</w:t>
      </w:r>
      <w:r>
        <w:rPr>
          <w:rFonts w:hint="eastAsia" w:ascii="Times New Roman" w:hAnsi="Times New Roman"/>
          <w:color w:val="auto"/>
          <w:highlight w:val="none"/>
          <w:lang w:val="en-US" w:eastAsia="zh-CN"/>
        </w:rPr>
        <w:t>120</w:t>
      </w:r>
      <w:r>
        <w:rPr>
          <w:rFonts w:hint="eastAsia" w:ascii="Times New Roman" w:hAnsi="Times New Roman"/>
          <w:color w:val="auto"/>
          <w:highlight w:val="none"/>
          <w:lang w:eastAsia="zh-CN"/>
        </w:rPr>
        <w:t>台，按每台车辆高压水枪冲洗水量0.12m</w:t>
      </w:r>
      <w:r>
        <w:rPr>
          <w:rFonts w:hint="eastAsia" w:ascii="Times New Roman" w:hAnsi="Times New Roman"/>
          <w:color w:val="auto"/>
          <w:highlight w:val="none"/>
          <w:vertAlign w:val="superscript"/>
          <w:lang w:eastAsia="zh-CN"/>
        </w:rPr>
        <w:t>3</w:t>
      </w:r>
      <w:r>
        <w:rPr>
          <w:rFonts w:hint="eastAsia" w:ascii="Times New Roman" w:hAnsi="Times New Roman"/>
          <w:color w:val="auto"/>
          <w:highlight w:val="none"/>
          <w:lang w:eastAsia="zh-CN"/>
        </w:rPr>
        <w:t>，则车辆冲洗废水产生量约</w:t>
      </w:r>
      <w:r>
        <w:rPr>
          <w:rFonts w:hint="eastAsia" w:ascii="Times New Roman" w:hAnsi="Times New Roman"/>
          <w:color w:val="auto"/>
          <w:highlight w:val="none"/>
          <w:lang w:val="en-US" w:eastAsia="zh-CN"/>
        </w:rPr>
        <w:t>14.4</w:t>
      </w:r>
      <w:r>
        <w:rPr>
          <w:rFonts w:hint="eastAsia" w:ascii="Times New Roman" w:hAnsi="Times New Roman"/>
          <w:color w:val="auto"/>
          <w:highlight w:val="none"/>
          <w:lang w:eastAsia="zh-CN"/>
        </w:rPr>
        <w:t>m</w:t>
      </w:r>
      <w:r>
        <w:rPr>
          <w:rFonts w:hint="eastAsia" w:ascii="Times New Roman" w:hAnsi="Times New Roman"/>
          <w:color w:val="auto"/>
          <w:highlight w:val="none"/>
          <w:vertAlign w:val="superscript"/>
          <w:lang w:eastAsia="zh-CN"/>
        </w:rPr>
        <w:t>3</w:t>
      </w:r>
      <w:r>
        <w:rPr>
          <w:rFonts w:hint="eastAsia" w:ascii="Times New Roman" w:hAnsi="Times New Roman"/>
          <w:color w:val="auto"/>
          <w:highlight w:val="none"/>
          <w:lang w:eastAsia="zh-CN"/>
        </w:rPr>
        <w:t xml:space="preserve"> /d，经沉淀处理后回用于车辆冲洗。</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ascii="Times New Roman" w:hAnsi="Times New Roman"/>
          <w:color w:val="auto"/>
          <w:highlight w:val="none"/>
        </w:rPr>
      </w:pPr>
      <w:r>
        <w:rPr>
          <w:rFonts w:ascii="Times New Roman" w:hAnsi="Times New Roman"/>
          <w:snapToGrid w:val="0"/>
          <w:color w:val="auto"/>
          <w:highlight w:val="none"/>
        </w:rPr>
        <w:fldChar w:fldCharType="begin"/>
      </w:r>
      <w:r>
        <w:rPr>
          <w:rFonts w:ascii="Times New Roman" w:hAnsi="Times New Roman"/>
          <w:snapToGrid w:val="0"/>
          <w:color w:val="auto"/>
          <w:highlight w:val="none"/>
        </w:rPr>
        <w:instrText xml:space="preserve"> = 7 \* GB3 \* MERGEFORMAT </w:instrText>
      </w:r>
      <w:r>
        <w:rPr>
          <w:rFonts w:ascii="Times New Roman" w:hAnsi="Times New Roman"/>
          <w:snapToGrid w:val="0"/>
          <w:color w:val="auto"/>
          <w:highlight w:val="none"/>
        </w:rPr>
        <w:fldChar w:fldCharType="separate"/>
      </w:r>
      <w:r>
        <w:rPr>
          <w:color w:val="auto"/>
          <w:highlight w:val="none"/>
        </w:rPr>
        <w:t>⑦</w:t>
      </w:r>
      <w:r>
        <w:rPr>
          <w:rFonts w:ascii="Times New Roman" w:hAnsi="Times New Roman"/>
          <w:snapToGrid w:val="0"/>
          <w:color w:val="auto"/>
          <w:highlight w:val="none"/>
        </w:rPr>
        <w:fldChar w:fldCharType="end"/>
      </w:r>
      <w:r>
        <w:rPr>
          <w:rFonts w:ascii="Times New Roman" w:hAnsi="Times New Roman"/>
          <w:snapToGrid w:val="0"/>
          <w:color w:val="auto"/>
          <w:highlight w:val="none"/>
        </w:rPr>
        <w:t>生活污水</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eastAsia" w:ascii="Times New Roman" w:hAnsi="Times New Roman" w:eastAsia="宋体"/>
          <w:snapToGrid w:val="0"/>
          <w:color w:val="auto"/>
          <w:highlight w:val="none"/>
          <w:lang w:eastAsia="zh-CN"/>
        </w:rPr>
      </w:pPr>
      <w:r>
        <w:rPr>
          <w:rFonts w:hint="eastAsia" w:ascii="Times New Roman" w:hAnsi="Times New Roman"/>
          <w:snapToGrid w:val="0"/>
          <w:color w:val="auto"/>
          <w:highlight w:val="none"/>
        </w:rPr>
        <w:t>本工程在</w:t>
      </w:r>
      <w:r>
        <w:rPr>
          <w:rFonts w:hint="eastAsia" w:ascii="Times New Roman" w:hAnsi="Times New Roman"/>
          <w:snapToGrid w:val="0"/>
          <w:color w:val="auto"/>
          <w:highlight w:val="none"/>
          <w:lang w:eastAsia="zh-CN"/>
        </w:rPr>
        <w:t>右岸</w:t>
      </w:r>
      <w:r>
        <w:rPr>
          <w:rFonts w:hint="eastAsia" w:ascii="Times New Roman" w:hAnsi="Times New Roman"/>
          <w:snapToGrid w:val="0"/>
          <w:color w:val="auto"/>
          <w:highlight w:val="none"/>
        </w:rPr>
        <w:t>布置施工营地，高峰期</w:t>
      </w:r>
      <w:r>
        <w:rPr>
          <w:rFonts w:ascii="Times New Roman" w:hAnsi="Times New Roman"/>
          <w:snapToGrid w:val="0"/>
          <w:color w:val="auto"/>
          <w:highlight w:val="none"/>
        </w:rPr>
        <w:t>施工人数</w:t>
      </w:r>
      <w:r>
        <w:rPr>
          <w:rFonts w:hint="eastAsia" w:ascii="Times New Roman" w:hAnsi="Times New Roman"/>
          <w:snapToGrid w:val="0"/>
          <w:color w:val="auto"/>
          <w:highlight w:val="none"/>
        </w:rPr>
        <w:t>约</w:t>
      </w:r>
      <w:r>
        <w:rPr>
          <w:rFonts w:hint="eastAsia" w:ascii="Times New Roman" w:hAnsi="Times New Roman"/>
          <w:snapToGrid w:val="0"/>
          <w:color w:val="auto"/>
          <w:highlight w:val="none"/>
          <w:lang w:val="en-US" w:eastAsia="zh-CN"/>
        </w:rPr>
        <w:t>750</w:t>
      </w:r>
      <w:r>
        <w:rPr>
          <w:rFonts w:hint="eastAsia" w:ascii="Times New Roman" w:hAnsi="Times New Roman"/>
          <w:snapToGrid w:val="0"/>
          <w:color w:val="auto"/>
          <w:highlight w:val="none"/>
        </w:rPr>
        <w:t>人</w:t>
      </w:r>
      <w:r>
        <w:rPr>
          <w:rFonts w:hint="eastAsia" w:ascii="Times New Roman" w:hAnsi="Times New Roman"/>
          <w:snapToGrid w:val="0"/>
          <w:color w:val="auto"/>
          <w:highlight w:val="none"/>
          <w:lang w:eastAsia="zh-CN"/>
        </w:rPr>
        <w:t>，</w:t>
      </w:r>
      <w:r>
        <w:rPr>
          <w:rFonts w:ascii="Times New Roman" w:hAnsi="Times New Roman"/>
          <w:snapToGrid w:val="0"/>
          <w:color w:val="auto"/>
          <w:highlight w:val="none"/>
        </w:rPr>
        <w:t>施工人员临时办公生活区将产生生活污水，</w:t>
      </w:r>
      <w:r>
        <w:rPr>
          <w:rFonts w:hint="eastAsia" w:ascii="Times New Roman" w:hAnsi="Times New Roman"/>
          <w:snapToGrid w:val="0"/>
          <w:color w:val="auto"/>
          <w:highlight w:val="none"/>
        </w:rPr>
        <w:t>工程施工人员生活用水量取</w:t>
      </w:r>
      <w:r>
        <w:rPr>
          <w:rFonts w:hint="eastAsia" w:ascii="Times New Roman" w:hAnsi="Times New Roman"/>
          <w:snapToGrid w:val="0"/>
          <w:color w:val="auto"/>
          <w:highlight w:val="none"/>
          <w:lang w:val="en-US" w:eastAsia="zh-CN"/>
        </w:rPr>
        <w:t>100</w:t>
      </w:r>
      <w:r>
        <w:rPr>
          <w:rFonts w:ascii="Times New Roman" w:hAnsi="Times New Roman"/>
          <w:snapToGrid w:val="0"/>
          <w:color w:val="auto"/>
          <w:highlight w:val="none"/>
        </w:rPr>
        <w:t>L/d·人</w:t>
      </w:r>
      <w:r>
        <w:rPr>
          <w:rFonts w:hint="eastAsia" w:ascii="Times New Roman" w:hAnsi="Times New Roman"/>
          <w:snapToGrid w:val="0"/>
          <w:color w:val="auto"/>
          <w:highlight w:val="none"/>
          <w:lang w:eastAsia="zh-CN"/>
        </w:rPr>
        <w:t>，生活污水产生量为用水量的</w:t>
      </w:r>
      <w:r>
        <w:rPr>
          <w:rFonts w:hint="eastAsia" w:ascii="Times New Roman" w:hAnsi="Times New Roman"/>
          <w:snapToGrid w:val="0"/>
          <w:color w:val="auto"/>
          <w:highlight w:val="none"/>
          <w:lang w:val="en-US" w:eastAsia="zh-CN"/>
        </w:rPr>
        <w:t>80%，则高峰期生活</w:t>
      </w:r>
      <w:r>
        <w:rPr>
          <w:rFonts w:ascii="Times New Roman" w:hAnsi="Times New Roman"/>
          <w:snapToGrid w:val="0"/>
          <w:color w:val="auto"/>
          <w:highlight w:val="none"/>
        </w:rPr>
        <w:t>污水</w:t>
      </w:r>
      <w:r>
        <w:rPr>
          <w:rFonts w:hint="eastAsia" w:ascii="Times New Roman" w:hAnsi="Times New Roman"/>
          <w:snapToGrid w:val="0"/>
          <w:color w:val="auto"/>
          <w:highlight w:val="none"/>
          <w:lang w:eastAsia="zh-CN"/>
        </w:rPr>
        <w:t>产生</w:t>
      </w:r>
      <w:r>
        <w:rPr>
          <w:rFonts w:ascii="Times New Roman" w:hAnsi="Times New Roman"/>
          <w:snapToGrid w:val="0"/>
          <w:color w:val="auto"/>
          <w:highlight w:val="none"/>
        </w:rPr>
        <w:t>量约</w:t>
      </w:r>
      <w:r>
        <w:rPr>
          <w:rFonts w:hint="eastAsia" w:ascii="Times New Roman" w:hAnsi="Times New Roman"/>
          <w:snapToGrid w:val="0"/>
          <w:color w:val="auto"/>
          <w:highlight w:val="none"/>
          <w:lang w:val="en-US" w:eastAsia="zh-CN"/>
        </w:rPr>
        <w:t>60</w:t>
      </w:r>
      <w:r>
        <w:rPr>
          <w:rFonts w:ascii="Times New Roman" w:hAnsi="Times New Roman"/>
          <w:snapToGrid w:val="0"/>
          <w:color w:val="auto"/>
          <w:highlight w:val="none"/>
        </w:rPr>
        <w:t>m</w:t>
      </w:r>
      <w:r>
        <w:rPr>
          <w:rFonts w:ascii="Times New Roman" w:hAnsi="Times New Roman"/>
          <w:snapToGrid w:val="0"/>
          <w:color w:val="auto"/>
          <w:highlight w:val="none"/>
          <w:vertAlign w:val="superscript"/>
        </w:rPr>
        <w:t>3</w:t>
      </w:r>
      <w:r>
        <w:rPr>
          <w:rFonts w:ascii="Times New Roman" w:hAnsi="Times New Roman"/>
          <w:snapToGrid w:val="0"/>
          <w:color w:val="auto"/>
          <w:highlight w:val="none"/>
        </w:rPr>
        <w:t>/d，</w:t>
      </w:r>
      <w:r>
        <w:rPr>
          <w:rFonts w:ascii="Times New Roman" w:hAnsi="Times New Roman"/>
          <w:color w:val="auto"/>
          <w:spacing w:val="-3"/>
          <w:highlight w:val="none"/>
        </w:rPr>
        <w:t>主要污染物一般为SS：150mg/L、COD：</w:t>
      </w:r>
      <w:r>
        <w:rPr>
          <w:rFonts w:hint="eastAsia" w:ascii="Times New Roman" w:hAnsi="Times New Roman"/>
          <w:color w:val="auto"/>
          <w:spacing w:val="-3"/>
          <w:highlight w:val="none"/>
          <w:lang w:val="en-US" w:eastAsia="zh-CN"/>
        </w:rPr>
        <w:t>30</w:t>
      </w:r>
      <w:r>
        <w:rPr>
          <w:rFonts w:ascii="Times New Roman" w:hAnsi="Times New Roman"/>
          <w:color w:val="auto"/>
          <w:spacing w:val="-3"/>
          <w:highlight w:val="none"/>
        </w:rPr>
        <w:t>0mg/L、BOD</w:t>
      </w:r>
      <w:r>
        <w:rPr>
          <w:rFonts w:ascii="Times New Roman" w:hAnsi="Times New Roman"/>
          <w:color w:val="auto"/>
          <w:spacing w:val="-3"/>
          <w:highlight w:val="none"/>
          <w:vertAlign w:val="subscript"/>
        </w:rPr>
        <w:t>5</w:t>
      </w:r>
      <w:r>
        <w:rPr>
          <w:rFonts w:ascii="Times New Roman" w:hAnsi="Times New Roman"/>
          <w:color w:val="auto"/>
          <w:spacing w:val="-3"/>
          <w:highlight w:val="none"/>
        </w:rPr>
        <w:t>：</w:t>
      </w:r>
      <w:r>
        <w:rPr>
          <w:rFonts w:hint="eastAsia" w:ascii="Times New Roman" w:hAnsi="Times New Roman"/>
          <w:color w:val="auto"/>
          <w:spacing w:val="-3"/>
          <w:highlight w:val="none"/>
          <w:lang w:val="en-US" w:eastAsia="zh-CN"/>
        </w:rPr>
        <w:t>20</w:t>
      </w:r>
      <w:r>
        <w:rPr>
          <w:rFonts w:ascii="Times New Roman" w:hAnsi="Times New Roman"/>
          <w:color w:val="auto"/>
          <w:spacing w:val="-3"/>
          <w:highlight w:val="none"/>
        </w:rPr>
        <w:t>0mg/L、NH</w:t>
      </w:r>
      <w:r>
        <w:rPr>
          <w:rFonts w:ascii="Times New Roman" w:hAnsi="Times New Roman"/>
          <w:color w:val="auto"/>
          <w:spacing w:val="-3"/>
          <w:highlight w:val="none"/>
          <w:vertAlign w:val="subscript"/>
        </w:rPr>
        <w:t>3</w:t>
      </w:r>
      <w:r>
        <w:rPr>
          <w:rFonts w:ascii="Times New Roman" w:hAnsi="Times New Roman"/>
          <w:color w:val="auto"/>
          <w:spacing w:val="-3"/>
          <w:highlight w:val="none"/>
        </w:rPr>
        <w:t>-N：</w:t>
      </w:r>
      <w:r>
        <w:rPr>
          <w:rFonts w:hint="eastAsia" w:ascii="Times New Roman" w:hAnsi="Times New Roman"/>
          <w:color w:val="auto"/>
          <w:spacing w:val="-3"/>
          <w:highlight w:val="none"/>
          <w:lang w:val="en-US" w:eastAsia="zh-CN"/>
        </w:rPr>
        <w:t>3</w:t>
      </w:r>
      <w:r>
        <w:rPr>
          <w:rFonts w:ascii="Times New Roman" w:hAnsi="Times New Roman"/>
          <w:color w:val="auto"/>
          <w:spacing w:val="-3"/>
          <w:highlight w:val="none"/>
        </w:rPr>
        <w:t>0mg/L、TP：4.5mg/L。</w:t>
      </w:r>
      <w:r>
        <w:rPr>
          <w:rFonts w:hint="eastAsia" w:ascii="Times New Roman" w:hAnsi="Times New Roman"/>
          <w:color w:val="auto"/>
          <w:spacing w:val="-3"/>
          <w:highlight w:val="none"/>
        </w:rPr>
        <w:t>采用地埋式一体化污水处理系统处理满足《城市污水再生利用 城市杂用水水质》（GB/T</w:t>
      </w:r>
      <w:r>
        <w:rPr>
          <w:rFonts w:hint="eastAsia" w:ascii="Times New Roman" w:hAnsi="Times New Roman"/>
          <w:color w:val="auto"/>
          <w:spacing w:val="-3"/>
          <w:highlight w:val="none"/>
          <w:lang w:val="en-US" w:eastAsia="zh-CN"/>
        </w:rPr>
        <w:t xml:space="preserve"> </w:t>
      </w:r>
      <w:r>
        <w:rPr>
          <w:rFonts w:hint="eastAsia" w:ascii="Times New Roman" w:hAnsi="Times New Roman"/>
          <w:color w:val="auto"/>
          <w:spacing w:val="-3"/>
          <w:highlight w:val="none"/>
        </w:rPr>
        <w:t>18920-2020）后回用于</w:t>
      </w:r>
      <w:r>
        <w:rPr>
          <w:rFonts w:hint="eastAsia" w:ascii="Times New Roman" w:hAnsi="Times New Roman"/>
          <w:color w:val="auto"/>
          <w:spacing w:val="-3"/>
          <w:highlight w:val="none"/>
          <w:lang w:eastAsia="zh-CN"/>
        </w:rPr>
        <w:t>车辆冲洗、洒水抑尘或周边绿化</w:t>
      </w:r>
      <w:r>
        <w:rPr>
          <w:rFonts w:hint="eastAsia" w:ascii="Times New Roman" w:hAnsi="Times New Roman"/>
          <w:color w:val="auto"/>
          <w:spacing w:val="-3"/>
          <w:highlight w:val="none"/>
        </w:rPr>
        <w:t>等</w:t>
      </w:r>
      <w:r>
        <w:rPr>
          <w:rFonts w:hint="eastAsia" w:ascii="Times New Roman" w:hAnsi="Times New Roman"/>
          <w:color w:val="auto"/>
          <w:spacing w:val="-3"/>
          <w:highlight w:val="none"/>
          <w:lang w:eastAsia="zh-CN"/>
        </w:rPr>
        <w:t>。</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eastAsia" w:ascii="Times New Roman" w:hAnsi="Times New Roman" w:eastAsia="宋体"/>
          <w:color w:val="auto"/>
          <w:highlight w:val="none"/>
          <w:lang w:eastAsia="zh-CN"/>
        </w:rPr>
      </w:pPr>
      <w:r>
        <w:rPr>
          <w:rFonts w:ascii="Times New Roman" w:hAnsi="Times New Roman"/>
          <w:color w:val="auto"/>
          <w:highlight w:val="none"/>
        </w:rPr>
        <w:fldChar w:fldCharType="begin"/>
      </w:r>
      <w:r>
        <w:rPr>
          <w:rFonts w:ascii="Times New Roman" w:hAnsi="Times New Roman"/>
          <w:color w:val="auto"/>
          <w:highlight w:val="none"/>
        </w:rPr>
        <w:instrText xml:space="preserve"> = 8 \* GB3 \* MERGEFORMAT </w:instrText>
      </w:r>
      <w:r>
        <w:rPr>
          <w:rFonts w:ascii="Times New Roman" w:hAnsi="Times New Roman"/>
          <w:color w:val="auto"/>
          <w:highlight w:val="none"/>
        </w:rPr>
        <w:fldChar w:fldCharType="separate"/>
      </w:r>
      <w:r>
        <w:rPr>
          <w:color w:val="auto"/>
          <w:highlight w:val="none"/>
        </w:rPr>
        <w:t>⑧</w:t>
      </w:r>
      <w:r>
        <w:rPr>
          <w:rFonts w:ascii="Times New Roman" w:hAnsi="Times New Roman"/>
          <w:color w:val="auto"/>
          <w:highlight w:val="none"/>
        </w:rPr>
        <w:fldChar w:fldCharType="end"/>
      </w:r>
      <w:r>
        <w:rPr>
          <w:rFonts w:hint="eastAsia" w:ascii="Times New Roman" w:hAnsi="Times New Roman"/>
          <w:color w:val="auto"/>
          <w:highlight w:val="none"/>
          <w:lang w:eastAsia="zh-CN"/>
        </w:rPr>
        <w:t>涉水施工及</w:t>
      </w:r>
      <w:r>
        <w:rPr>
          <w:rFonts w:ascii="Times New Roman" w:hAnsi="Times New Roman"/>
          <w:color w:val="auto"/>
          <w:highlight w:val="none"/>
        </w:rPr>
        <w:t>疏浚</w:t>
      </w:r>
      <w:r>
        <w:rPr>
          <w:rFonts w:hint="eastAsia" w:ascii="Times New Roman" w:hAnsi="Times New Roman"/>
          <w:color w:val="auto"/>
          <w:highlight w:val="none"/>
          <w:lang w:eastAsia="zh-CN"/>
        </w:rPr>
        <w:t>悬浮物</w:t>
      </w:r>
    </w:p>
    <w:p>
      <w:pPr>
        <w:pStyle w:val="222"/>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eastAsia" w:ascii="Times New Roman" w:hAnsi="Times New Roman" w:eastAsia="宋体"/>
          <w:snapToGrid w:val="0"/>
          <w:color w:val="auto"/>
          <w:highlight w:val="none"/>
          <w:lang w:eastAsia="zh-CN"/>
        </w:rPr>
      </w:pPr>
      <w:r>
        <w:rPr>
          <w:rFonts w:ascii="Times New Roman" w:hAnsi="Times New Roman"/>
          <w:color w:val="auto"/>
          <w:highlight w:val="none"/>
        </w:rPr>
        <w:t>本工程航道工程部分设计在</w:t>
      </w:r>
      <w:r>
        <w:rPr>
          <w:rFonts w:hint="eastAsia" w:ascii="Times New Roman" w:hAnsi="Times New Roman"/>
          <w:color w:val="auto"/>
          <w:highlight w:val="none"/>
          <w:lang w:eastAsia="zh-CN"/>
        </w:rPr>
        <w:t>船闸上、下游共设置</w:t>
      </w:r>
      <w:r>
        <w:rPr>
          <w:rFonts w:hint="eastAsia" w:ascii="Times New Roman" w:hAnsi="Times New Roman"/>
          <w:color w:val="auto"/>
          <w:highlight w:val="none"/>
          <w:lang w:val="en-US" w:eastAsia="zh-CN"/>
        </w:rPr>
        <w:t>3处疏浚区</w:t>
      </w:r>
      <w:r>
        <w:rPr>
          <w:rFonts w:ascii="Times New Roman" w:hAnsi="Times New Roman"/>
          <w:color w:val="auto"/>
          <w:highlight w:val="none"/>
        </w:rPr>
        <w:t>，</w:t>
      </w:r>
      <w:r>
        <w:rPr>
          <w:rFonts w:hint="eastAsia" w:ascii="Times New Roman" w:hAnsi="Times New Roman"/>
          <w:color w:val="auto"/>
          <w:highlight w:val="none"/>
          <w:lang w:eastAsia="zh-CN"/>
        </w:rPr>
        <w:t>按照</w:t>
      </w:r>
      <w:r>
        <w:rPr>
          <w:rFonts w:hint="default" w:ascii="Times New Roman" w:hAnsi="Times New Roman" w:cs="Times New Roman"/>
          <w:color w:val="auto"/>
          <w:highlight w:val="none"/>
          <w:lang w:eastAsia="zh-CN"/>
        </w:rPr>
        <w:fldChar w:fldCharType="begin"/>
      </w:r>
      <w:r>
        <w:rPr>
          <w:rFonts w:hint="default" w:ascii="Times New Roman" w:hAnsi="Times New Roman" w:cs="Times New Roman"/>
          <w:color w:val="auto"/>
          <w:highlight w:val="none"/>
          <w:lang w:eastAsia="zh-CN"/>
        </w:rPr>
        <w:instrText xml:space="preserve"> = 3 \* ROMAN \* MERGEFORMAT </w:instrText>
      </w:r>
      <w:r>
        <w:rPr>
          <w:rFonts w:hint="default" w:ascii="Times New Roman" w:hAnsi="Times New Roman" w:cs="Times New Roman"/>
          <w:color w:val="auto"/>
          <w:highlight w:val="none"/>
          <w:lang w:eastAsia="zh-CN"/>
        </w:rPr>
        <w:fldChar w:fldCharType="separate"/>
      </w:r>
      <w:r>
        <w:rPr>
          <w:rFonts w:hint="default" w:ascii="Times New Roman" w:hAnsi="Times New Roman" w:cs="Times New Roman"/>
          <w:color w:val="auto"/>
          <w:highlight w:val="none"/>
        </w:rPr>
        <w:t>III</w:t>
      </w:r>
      <w:r>
        <w:rPr>
          <w:rFonts w:hint="default" w:ascii="Times New Roman" w:hAnsi="Times New Roman" w:cs="Times New Roman"/>
          <w:color w:val="auto"/>
          <w:highlight w:val="none"/>
          <w:lang w:eastAsia="zh-CN"/>
        </w:rPr>
        <w:fldChar w:fldCharType="end"/>
      </w:r>
      <w:r>
        <w:rPr>
          <w:rFonts w:hint="eastAsia" w:ascii="Times New Roman" w:hAnsi="Times New Roman" w:cs="Times New Roman"/>
          <w:color w:val="auto"/>
          <w:highlight w:val="none"/>
          <w:lang w:eastAsia="zh-CN"/>
        </w:rPr>
        <w:t>级航道标准进行整治</w:t>
      </w:r>
      <w:r>
        <w:rPr>
          <w:rFonts w:ascii="Times New Roman" w:hAnsi="Times New Roman"/>
          <w:color w:val="auto"/>
          <w:highlight w:val="none"/>
        </w:rPr>
        <w:t>，疏浚总方量</w:t>
      </w:r>
      <w:r>
        <w:rPr>
          <w:rFonts w:hint="eastAsia" w:ascii="Times New Roman" w:hAnsi="Times New Roman"/>
          <w:color w:val="auto"/>
          <w:highlight w:val="none"/>
          <w:lang w:eastAsia="zh-CN"/>
        </w:rPr>
        <w:t>约</w:t>
      </w:r>
      <w:r>
        <w:rPr>
          <w:rFonts w:hint="eastAsia" w:ascii="Times New Roman" w:hAnsi="Times New Roman"/>
          <w:color w:val="auto"/>
          <w:highlight w:val="none"/>
          <w:lang w:val="en-US" w:eastAsia="zh-CN"/>
        </w:rPr>
        <w:t>30.01</w:t>
      </w:r>
      <w:r>
        <w:rPr>
          <w:rFonts w:ascii="Times New Roman" w:hAnsi="Times New Roman"/>
          <w:color w:val="auto"/>
          <w:highlight w:val="none"/>
        </w:rPr>
        <w:t>万m</w:t>
      </w:r>
      <w:r>
        <w:rPr>
          <w:rFonts w:ascii="Times New Roman" w:hAnsi="Times New Roman"/>
          <w:color w:val="auto"/>
          <w:highlight w:val="none"/>
          <w:vertAlign w:val="superscript"/>
        </w:rPr>
        <w:t>3</w:t>
      </w:r>
      <w:r>
        <w:rPr>
          <w:rFonts w:ascii="Times New Roman" w:hAnsi="Times New Roman"/>
          <w:color w:val="auto"/>
          <w:highlight w:val="none"/>
        </w:rPr>
        <w:t>。航道</w:t>
      </w:r>
      <w:r>
        <w:rPr>
          <w:rFonts w:ascii="Times New Roman" w:hAnsi="Times New Roman"/>
          <w:snapToGrid w:val="0"/>
          <w:color w:val="auto"/>
          <w:highlight w:val="none"/>
        </w:rPr>
        <w:t>疏挖会造成涪江的SS上升，根据类似工程调查，当SS背景值为5mg/L时，疏浚区下游300m处即能降至25mg/L以下；当SS背景值为10mg/L时，疏浚区下游600m处即能降至25mg/L以下；当背景值为15mg/L时，疏浚区下游1200m处即能降至25mg/L以下。</w:t>
      </w:r>
      <w:r>
        <w:rPr>
          <w:rFonts w:hint="eastAsia" w:ascii="Times New Roman" w:hAnsi="Times New Roman"/>
          <w:snapToGrid w:val="0"/>
          <w:color w:val="auto"/>
          <w:highlight w:val="none"/>
          <w:lang w:eastAsia="zh-CN"/>
        </w:rPr>
        <w:t>工程所在江段</w:t>
      </w:r>
      <w:r>
        <w:rPr>
          <w:rFonts w:ascii="Times New Roman" w:hAnsi="Times New Roman"/>
          <w:snapToGrid w:val="0"/>
          <w:color w:val="auto"/>
          <w:highlight w:val="none"/>
        </w:rPr>
        <w:t>的水质较好，根据现状监测，SS背景值低于15mg/L，因此，疏浚工程对涪江水质的影响较小，也不影响到下游水厂取水水质。</w:t>
      </w:r>
      <w:r>
        <w:rPr>
          <w:rFonts w:hint="eastAsia" w:ascii="Times New Roman" w:hAnsi="Times New Roman"/>
          <w:snapToGrid w:val="0"/>
          <w:color w:val="auto"/>
          <w:highlight w:val="none"/>
          <w:lang w:eastAsia="zh-CN"/>
        </w:rPr>
        <w:t>同时，在前期围堰施工及后期围堰拆除期间，会对水体进行扰动，造成</w:t>
      </w:r>
      <w:r>
        <w:rPr>
          <w:rFonts w:ascii="Times New Roman" w:hAnsi="Times New Roman"/>
          <w:snapToGrid w:val="0"/>
          <w:color w:val="auto"/>
          <w:highlight w:val="none"/>
        </w:rPr>
        <w:t>SS</w:t>
      </w:r>
      <w:r>
        <w:rPr>
          <w:rFonts w:hint="eastAsia" w:ascii="Times New Roman" w:hAnsi="Times New Roman"/>
          <w:snapToGrid w:val="0"/>
          <w:color w:val="auto"/>
          <w:highlight w:val="none"/>
          <w:lang w:eastAsia="zh-CN"/>
        </w:rPr>
        <w:t>增加。</w:t>
      </w:r>
    </w:p>
    <w:p>
      <w:pPr>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eastAsia" w:eastAsia="宋体"/>
          <w:color w:val="auto"/>
          <w:highlight w:val="none"/>
          <w:lang w:eastAsia="zh-CN"/>
        </w:rPr>
      </w:pPr>
      <w:r>
        <w:rPr>
          <w:color w:val="auto"/>
          <w:highlight w:val="none"/>
        </w:rPr>
        <w:t>综上，</w:t>
      </w:r>
      <w:r>
        <w:rPr>
          <w:rFonts w:hint="eastAsia"/>
          <w:color w:val="auto"/>
          <w:highlight w:val="none"/>
          <w:lang w:eastAsia="zh-CN"/>
        </w:rPr>
        <w:t>工程施工期</w:t>
      </w:r>
      <w:r>
        <w:rPr>
          <w:color w:val="auto"/>
          <w:highlight w:val="none"/>
        </w:rPr>
        <w:t>废水</w:t>
      </w:r>
      <w:r>
        <w:rPr>
          <w:rFonts w:hint="eastAsia"/>
          <w:color w:val="auto"/>
          <w:highlight w:val="none"/>
          <w:lang w:eastAsia="zh-CN"/>
        </w:rPr>
        <w:t>产生量约</w:t>
      </w:r>
      <w:r>
        <w:rPr>
          <w:rFonts w:hint="eastAsia"/>
          <w:color w:val="auto"/>
          <w:highlight w:val="none"/>
          <w:lang w:val="en-US" w:eastAsia="zh-CN"/>
        </w:rPr>
        <w:t>119.96</w:t>
      </w:r>
      <w:r>
        <w:rPr>
          <w:color w:val="auto"/>
          <w:highlight w:val="none"/>
        </w:rPr>
        <w:t>m</w:t>
      </w:r>
      <w:r>
        <w:rPr>
          <w:color w:val="auto"/>
          <w:highlight w:val="none"/>
          <w:vertAlign w:val="superscript"/>
        </w:rPr>
        <w:t>3</w:t>
      </w:r>
      <w:r>
        <w:rPr>
          <w:color w:val="auto"/>
          <w:highlight w:val="none"/>
        </w:rPr>
        <w:t>/d，生产废水经处理后全部回用于生产设施和洒水降尘，</w:t>
      </w:r>
      <w:r>
        <w:rPr>
          <w:rFonts w:hint="eastAsia"/>
          <w:color w:val="auto"/>
          <w:highlight w:val="none"/>
          <w:lang w:eastAsia="zh-CN"/>
        </w:rPr>
        <w:t>施工船舶废水交有接收和处理资质的单位处置，</w:t>
      </w:r>
      <w:r>
        <w:rPr>
          <w:color w:val="auto"/>
          <w:highlight w:val="none"/>
        </w:rPr>
        <w:t>生活污水用于绿化和洒水降尘</w:t>
      </w:r>
      <w:r>
        <w:rPr>
          <w:rFonts w:hint="eastAsia"/>
          <w:color w:val="auto"/>
          <w:highlight w:val="none"/>
          <w:lang w:eastAsia="zh-CN"/>
        </w:rPr>
        <w:t>，均不外排。</w:t>
      </w:r>
    </w:p>
    <w:p>
      <w:pPr>
        <w:pStyle w:val="22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2"/>
          <w:sz w:val="26"/>
          <w:szCs w:val="24"/>
          <w:highlight w:val="none"/>
          <w:lang w:val="zh-CN" w:eastAsia="zh-CN" w:bidi="ar-SA"/>
        </w:rPr>
      </w:pPr>
    </w:p>
    <w:p>
      <w:pPr>
        <w:pStyle w:val="22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2"/>
          <w:sz w:val="26"/>
          <w:szCs w:val="24"/>
          <w:highlight w:val="none"/>
          <w:lang w:val="zh-CN" w:eastAsia="zh-CN" w:bidi="ar-SA"/>
        </w:rPr>
      </w:pPr>
      <w:r>
        <w:rPr>
          <w:rFonts w:ascii="Times New Roman" w:hAnsi="Times New Roman" w:eastAsia="宋体" w:cs="Times New Roman"/>
          <w:color w:val="auto"/>
          <w:kern w:val="2"/>
          <w:sz w:val="26"/>
          <w:szCs w:val="24"/>
          <w:highlight w:val="none"/>
          <w:lang w:val="zh-CN" w:eastAsia="zh-CN" w:bidi="ar-SA"/>
        </w:rPr>
        <w:t>表</w:t>
      </w:r>
      <w:r>
        <w:rPr>
          <w:rFonts w:hint="eastAsia" w:ascii="Times New Roman" w:hAnsi="Times New Roman" w:cs="Times New Roman"/>
          <w:color w:val="auto"/>
          <w:kern w:val="2"/>
          <w:sz w:val="26"/>
          <w:szCs w:val="24"/>
          <w:highlight w:val="none"/>
          <w:lang w:val="en-US" w:eastAsia="zh-CN" w:bidi="ar-SA"/>
        </w:rPr>
        <w:t>2.6.1.2</w:t>
      </w:r>
      <w:r>
        <w:rPr>
          <w:rFonts w:ascii="Times New Roman" w:hAnsi="Times New Roman" w:eastAsia="宋体" w:cs="Times New Roman"/>
          <w:color w:val="auto"/>
          <w:kern w:val="2"/>
          <w:sz w:val="26"/>
          <w:szCs w:val="24"/>
          <w:highlight w:val="none"/>
          <w:lang w:val="zh-CN" w:eastAsia="zh-CN" w:bidi="ar-SA"/>
        </w:rPr>
        <w:t>-1  工程施工高峰期废水产生量及回用去向</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8"/>
        <w:gridCol w:w="1730"/>
        <w:gridCol w:w="1486"/>
        <w:gridCol w:w="2141"/>
        <w:gridCol w:w="2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8"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eastAsia="宋体"/>
                <w:color w:val="auto"/>
                <w:sz w:val="22"/>
                <w:szCs w:val="22"/>
                <w:highlight w:val="none"/>
                <w:lang w:eastAsia="zh-CN"/>
              </w:rPr>
            </w:pPr>
            <w:r>
              <w:rPr>
                <w:rFonts w:hint="eastAsia"/>
                <w:color w:val="auto"/>
                <w:sz w:val="22"/>
                <w:szCs w:val="22"/>
                <w:highlight w:val="none"/>
                <w:lang w:eastAsia="zh-CN"/>
              </w:rPr>
              <w:t>序号</w:t>
            </w:r>
          </w:p>
        </w:tc>
        <w:tc>
          <w:tcPr>
            <w:tcW w:w="1730"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eastAsia="宋体"/>
                <w:color w:val="auto"/>
                <w:sz w:val="22"/>
                <w:szCs w:val="22"/>
                <w:highlight w:val="none"/>
                <w:lang w:eastAsia="zh-CN"/>
              </w:rPr>
            </w:pPr>
            <w:r>
              <w:rPr>
                <w:rFonts w:hint="eastAsia"/>
                <w:color w:val="auto"/>
                <w:sz w:val="22"/>
                <w:szCs w:val="22"/>
                <w:highlight w:val="none"/>
                <w:lang w:eastAsia="zh-CN"/>
              </w:rPr>
              <w:t>污染源</w:t>
            </w:r>
          </w:p>
        </w:tc>
        <w:tc>
          <w:tcPr>
            <w:tcW w:w="1486"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color w:val="auto"/>
                <w:sz w:val="22"/>
                <w:szCs w:val="22"/>
                <w:highlight w:val="none"/>
              </w:rPr>
            </w:pPr>
            <w:r>
              <w:rPr>
                <w:color w:val="auto"/>
                <w:sz w:val="22"/>
                <w:szCs w:val="22"/>
                <w:highlight w:val="none"/>
              </w:rPr>
              <w:t>废水量(m</w:t>
            </w:r>
            <w:r>
              <w:rPr>
                <w:color w:val="auto"/>
                <w:sz w:val="22"/>
                <w:szCs w:val="22"/>
                <w:highlight w:val="none"/>
                <w:vertAlign w:val="superscript"/>
              </w:rPr>
              <w:t>3</w:t>
            </w:r>
            <w:r>
              <w:rPr>
                <w:color w:val="auto"/>
                <w:sz w:val="22"/>
                <w:szCs w:val="22"/>
                <w:highlight w:val="none"/>
              </w:rPr>
              <w:t>/</w:t>
            </w:r>
            <w:r>
              <w:rPr>
                <w:rFonts w:hint="eastAsia"/>
                <w:color w:val="auto"/>
                <w:sz w:val="22"/>
                <w:szCs w:val="22"/>
                <w:highlight w:val="none"/>
              </w:rPr>
              <w:t>d</w:t>
            </w:r>
            <w:r>
              <w:rPr>
                <w:color w:val="auto"/>
                <w:sz w:val="22"/>
                <w:szCs w:val="22"/>
                <w:highlight w:val="none"/>
              </w:rPr>
              <w:t>)</w:t>
            </w:r>
          </w:p>
        </w:tc>
        <w:tc>
          <w:tcPr>
            <w:tcW w:w="2141"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color w:val="auto"/>
                <w:sz w:val="22"/>
                <w:szCs w:val="22"/>
                <w:highlight w:val="none"/>
              </w:rPr>
            </w:pPr>
            <w:r>
              <w:rPr>
                <w:color w:val="auto"/>
                <w:sz w:val="22"/>
                <w:szCs w:val="22"/>
                <w:highlight w:val="none"/>
              </w:rPr>
              <w:t>主要污染物及浓度</w:t>
            </w:r>
          </w:p>
        </w:tc>
        <w:tc>
          <w:tcPr>
            <w:tcW w:w="2653"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color w:val="auto"/>
                <w:sz w:val="22"/>
                <w:szCs w:val="22"/>
                <w:highlight w:val="none"/>
              </w:rPr>
            </w:pPr>
            <w:r>
              <w:rPr>
                <w:color w:val="auto"/>
                <w:sz w:val="22"/>
                <w:szCs w:val="22"/>
                <w:highlight w:val="none"/>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8" w:type="dxa"/>
            <w:noWrap w:val="0"/>
            <w:vAlign w:val="center"/>
          </w:tcPr>
          <w:p>
            <w:pPr>
              <w:pStyle w:val="226"/>
              <w:keepNext w:val="0"/>
              <w:keepLines w:val="0"/>
              <w:pageBreakBefore w:val="0"/>
              <w:widowControl w:val="0"/>
              <w:numPr>
                <w:ilvl w:val="0"/>
                <w:numId w:val="16"/>
              </w:numPr>
              <w:kinsoku/>
              <w:wordWrap/>
              <w:overflowPunct/>
              <w:topLinePunct w:val="0"/>
              <w:autoSpaceDE/>
              <w:autoSpaceDN/>
              <w:bidi w:val="0"/>
              <w:adjustRightInd w:val="0"/>
              <w:snapToGrid w:val="0"/>
              <w:spacing w:before="0" w:beforeLines="0" w:after="0" w:afterLines="0" w:line="240" w:lineRule="auto"/>
              <w:ind w:left="0" w:leftChars="0" w:firstLine="0" w:firstLineChars="0"/>
              <w:jc w:val="center"/>
              <w:textAlignment w:val="auto"/>
              <w:rPr>
                <w:color w:val="auto"/>
                <w:sz w:val="22"/>
                <w:szCs w:val="22"/>
                <w:highlight w:val="none"/>
              </w:rPr>
            </w:pPr>
          </w:p>
        </w:tc>
        <w:tc>
          <w:tcPr>
            <w:tcW w:w="1730"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eastAsia="宋体"/>
                <w:color w:val="auto"/>
                <w:sz w:val="22"/>
                <w:szCs w:val="22"/>
                <w:highlight w:val="none"/>
                <w:lang w:eastAsia="zh-CN"/>
              </w:rPr>
            </w:pPr>
            <w:r>
              <w:rPr>
                <w:color w:val="auto"/>
                <w:sz w:val="22"/>
                <w:szCs w:val="22"/>
                <w:highlight w:val="none"/>
              </w:rPr>
              <w:t>混凝土系统</w:t>
            </w:r>
            <w:r>
              <w:rPr>
                <w:rFonts w:hint="eastAsia"/>
                <w:color w:val="auto"/>
                <w:sz w:val="22"/>
                <w:szCs w:val="22"/>
                <w:highlight w:val="none"/>
                <w:shd w:val="clear" w:fill="FFFFFF"/>
                <w:lang w:eastAsia="zh-CN"/>
              </w:rPr>
              <w:t>拌合</w:t>
            </w:r>
            <w:r>
              <w:rPr>
                <w:rFonts w:hint="eastAsia"/>
                <w:color w:val="auto"/>
                <w:sz w:val="22"/>
                <w:szCs w:val="22"/>
                <w:highlight w:val="none"/>
                <w:lang w:eastAsia="zh-CN"/>
              </w:rPr>
              <w:t>废水</w:t>
            </w:r>
          </w:p>
        </w:tc>
        <w:tc>
          <w:tcPr>
            <w:tcW w:w="1486"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color w:val="auto"/>
                <w:sz w:val="22"/>
                <w:szCs w:val="22"/>
                <w:highlight w:val="none"/>
              </w:rPr>
            </w:pPr>
            <w:r>
              <w:rPr>
                <w:color w:val="auto"/>
                <w:sz w:val="22"/>
                <w:szCs w:val="22"/>
                <w:highlight w:val="none"/>
              </w:rPr>
              <w:t>15</w:t>
            </w:r>
          </w:p>
        </w:tc>
        <w:tc>
          <w:tcPr>
            <w:tcW w:w="21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rPr>
            </w:pPr>
            <w:r>
              <w:rPr>
                <w:color w:val="auto"/>
                <w:sz w:val="22"/>
                <w:szCs w:val="22"/>
                <w:highlight w:val="none"/>
              </w:rPr>
              <w:t>SS：2500mg/L</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lang w:eastAsia="zh-CN"/>
              </w:rPr>
            </w:pPr>
            <w:r>
              <w:rPr>
                <w:color w:val="auto"/>
                <w:sz w:val="22"/>
                <w:szCs w:val="22"/>
                <w:highlight w:val="none"/>
              </w:rPr>
              <w:t>pH：9～1</w:t>
            </w:r>
            <w:r>
              <w:rPr>
                <w:rFonts w:hint="eastAsia"/>
                <w:color w:val="auto"/>
                <w:sz w:val="22"/>
                <w:szCs w:val="22"/>
                <w:highlight w:val="none"/>
                <w:lang w:val="en-US" w:eastAsia="zh-CN"/>
              </w:rPr>
              <w:t>2</w:t>
            </w:r>
          </w:p>
        </w:tc>
        <w:tc>
          <w:tcPr>
            <w:tcW w:w="2653"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color w:val="auto"/>
                <w:sz w:val="22"/>
                <w:szCs w:val="22"/>
                <w:highlight w:val="none"/>
              </w:rPr>
            </w:pPr>
            <w:r>
              <w:rPr>
                <w:rFonts w:hint="eastAsia"/>
                <w:color w:val="auto"/>
                <w:sz w:val="22"/>
                <w:szCs w:val="22"/>
                <w:highlight w:val="none"/>
                <w:lang w:eastAsia="zh-CN"/>
              </w:rPr>
              <w:t>回用于</w:t>
            </w:r>
            <w:r>
              <w:rPr>
                <w:color w:val="auto"/>
                <w:sz w:val="22"/>
                <w:szCs w:val="22"/>
                <w:highlight w:val="none"/>
              </w:rPr>
              <w:t>混凝土系统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8" w:type="dxa"/>
            <w:noWrap w:val="0"/>
            <w:vAlign w:val="center"/>
          </w:tcPr>
          <w:p>
            <w:pPr>
              <w:pStyle w:val="226"/>
              <w:keepNext w:val="0"/>
              <w:keepLines w:val="0"/>
              <w:pageBreakBefore w:val="0"/>
              <w:widowControl w:val="0"/>
              <w:numPr>
                <w:ilvl w:val="0"/>
                <w:numId w:val="16"/>
              </w:numPr>
              <w:kinsoku/>
              <w:wordWrap/>
              <w:overflowPunct/>
              <w:topLinePunct w:val="0"/>
              <w:autoSpaceDE/>
              <w:autoSpaceDN/>
              <w:bidi w:val="0"/>
              <w:adjustRightInd w:val="0"/>
              <w:snapToGrid w:val="0"/>
              <w:spacing w:before="0" w:beforeLines="0" w:after="0" w:afterLines="0" w:line="240" w:lineRule="auto"/>
              <w:ind w:left="0" w:leftChars="0" w:firstLine="0" w:firstLineChars="0"/>
              <w:jc w:val="center"/>
              <w:textAlignment w:val="auto"/>
              <w:rPr>
                <w:color w:val="auto"/>
                <w:sz w:val="22"/>
                <w:szCs w:val="22"/>
                <w:highlight w:val="none"/>
              </w:rPr>
            </w:pPr>
          </w:p>
        </w:tc>
        <w:tc>
          <w:tcPr>
            <w:tcW w:w="1730"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eastAsia="宋体"/>
                <w:color w:val="auto"/>
                <w:sz w:val="22"/>
                <w:szCs w:val="22"/>
                <w:highlight w:val="none"/>
                <w:lang w:eastAsia="zh-CN"/>
              </w:rPr>
            </w:pPr>
            <w:r>
              <w:rPr>
                <w:rFonts w:hint="eastAsia"/>
                <w:color w:val="auto"/>
                <w:sz w:val="22"/>
                <w:szCs w:val="22"/>
                <w:highlight w:val="none"/>
                <w:lang w:eastAsia="zh-CN"/>
              </w:rPr>
              <w:t>施工船舶废水</w:t>
            </w:r>
          </w:p>
        </w:tc>
        <w:tc>
          <w:tcPr>
            <w:tcW w:w="1486"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eastAsia="宋体"/>
                <w:color w:val="auto"/>
                <w:sz w:val="22"/>
                <w:szCs w:val="22"/>
                <w:highlight w:val="none"/>
                <w:lang w:val="en-US" w:eastAsia="zh-CN"/>
              </w:rPr>
            </w:pPr>
            <w:r>
              <w:rPr>
                <w:rFonts w:hint="eastAsia"/>
                <w:color w:val="auto"/>
                <w:sz w:val="22"/>
                <w:szCs w:val="22"/>
                <w:highlight w:val="none"/>
                <w:lang w:val="en-US" w:eastAsia="zh-CN"/>
              </w:rPr>
              <w:t>0.56</w:t>
            </w:r>
          </w:p>
        </w:tc>
        <w:tc>
          <w:tcPr>
            <w:tcW w:w="21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rPr>
            </w:pPr>
            <w:r>
              <w:rPr>
                <w:color w:val="auto"/>
                <w:sz w:val="22"/>
                <w:szCs w:val="22"/>
                <w:highlight w:val="none"/>
              </w:rPr>
              <w:t>石油类：5</w:t>
            </w:r>
            <w:r>
              <w:rPr>
                <w:rFonts w:hint="eastAsia"/>
                <w:color w:val="auto"/>
                <w:sz w:val="22"/>
                <w:szCs w:val="22"/>
                <w:highlight w:val="none"/>
                <w:lang w:val="en-US" w:eastAsia="zh-CN"/>
              </w:rPr>
              <w:t>00</w:t>
            </w:r>
            <w:r>
              <w:rPr>
                <w:color w:val="auto"/>
                <w:sz w:val="22"/>
                <w:szCs w:val="22"/>
                <w:highlight w:val="none"/>
              </w:rPr>
              <w:t>0mg/L</w:t>
            </w:r>
          </w:p>
        </w:tc>
        <w:tc>
          <w:tcPr>
            <w:tcW w:w="2653"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eastAsia="宋体"/>
                <w:color w:val="auto"/>
                <w:sz w:val="22"/>
                <w:szCs w:val="22"/>
                <w:highlight w:val="none"/>
                <w:lang w:eastAsia="zh-CN"/>
              </w:rPr>
            </w:pPr>
            <w:r>
              <w:rPr>
                <w:rFonts w:hint="eastAsia"/>
                <w:color w:val="auto"/>
                <w:sz w:val="22"/>
                <w:szCs w:val="22"/>
                <w:highlight w:val="none"/>
              </w:rPr>
              <w:t>委托有资质单位接收</w:t>
            </w:r>
            <w:r>
              <w:rPr>
                <w:rFonts w:hint="eastAsia"/>
                <w:color w:val="auto"/>
                <w:sz w:val="22"/>
                <w:szCs w:val="22"/>
                <w:highlight w:val="none"/>
                <w:lang w:eastAsia="zh-CN"/>
              </w:rPr>
              <w:t>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8" w:type="dxa"/>
            <w:noWrap w:val="0"/>
            <w:vAlign w:val="center"/>
          </w:tcPr>
          <w:p>
            <w:pPr>
              <w:pStyle w:val="226"/>
              <w:keepNext w:val="0"/>
              <w:keepLines w:val="0"/>
              <w:pageBreakBefore w:val="0"/>
              <w:widowControl w:val="0"/>
              <w:numPr>
                <w:ilvl w:val="0"/>
                <w:numId w:val="16"/>
              </w:numPr>
              <w:kinsoku/>
              <w:wordWrap/>
              <w:overflowPunct/>
              <w:topLinePunct w:val="0"/>
              <w:autoSpaceDE/>
              <w:autoSpaceDN/>
              <w:bidi w:val="0"/>
              <w:adjustRightInd w:val="0"/>
              <w:snapToGrid w:val="0"/>
              <w:spacing w:before="0" w:beforeLines="0" w:after="0" w:afterLines="0" w:line="240" w:lineRule="auto"/>
              <w:ind w:left="0" w:leftChars="0" w:firstLine="0" w:firstLineChars="0"/>
              <w:jc w:val="center"/>
              <w:textAlignment w:val="auto"/>
              <w:rPr>
                <w:color w:val="auto"/>
                <w:sz w:val="22"/>
                <w:szCs w:val="22"/>
                <w:highlight w:val="none"/>
              </w:rPr>
            </w:pPr>
          </w:p>
        </w:tc>
        <w:tc>
          <w:tcPr>
            <w:tcW w:w="1730"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color w:val="auto"/>
                <w:sz w:val="22"/>
                <w:szCs w:val="22"/>
                <w:highlight w:val="none"/>
                <w:lang w:eastAsia="zh-CN"/>
              </w:rPr>
            </w:pPr>
            <w:r>
              <w:rPr>
                <w:rFonts w:hint="eastAsia"/>
                <w:color w:val="auto"/>
                <w:sz w:val="22"/>
                <w:szCs w:val="22"/>
                <w:highlight w:val="none"/>
                <w:lang w:eastAsia="zh-CN"/>
              </w:rPr>
              <w:t>车辆冲洗废水</w:t>
            </w:r>
          </w:p>
        </w:tc>
        <w:tc>
          <w:tcPr>
            <w:tcW w:w="1486"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color w:val="auto"/>
                <w:sz w:val="22"/>
                <w:szCs w:val="22"/>
                <w:highlight w:val="none"/>
                <w:lang w:val="en-US" w:eastAsia="zh-CN"/>
              </w:rPr>
            </w:pPr>
            <w:r>
              <w:rPr>
                <w:rFonts w:hint="eastAsia"/>
                <w:color w:val="auto"/>
                <w:sz w:val="22"/>
                <w:szCs w:val="22"/>
                <w:highlight w:val="none"/>
                <w:lang w:val="en-US" w:eastAsia="zh-CN"/>
              </w:rPr>
              <w:t>14.4</w:t>
            </w:r>
          </w:p>
        </w:tc>
        <w:tc>
          <w:tcPr>
            <w:tcW w:w="21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rPr>
            </w:pPr>
            <w:r>
              <w:rPr>
                <w:rFonts w:hint="eastAsia"/>
                <w:color w:val="auto"/>
                <w:sz w:val="22"/>
                <w:szCs w:val="22"/>
                <w:highlight w:val="none"/>
                <w:lang w:val="en-US" w:eastAsia="zh-CN"/>
              </w:rPr>
              <w:t>SS</w:t>
            </w:r>
            <w:r>
              <w:rPr>
                <w:color w:val="auto"/>
                <w:sz w:val="22"/>
                <w:szCs w:val="22"/>
                <w:highlight w:val="none"/>
              </w:rPr>
              <w:t>：</w:t>
            </w:r>
            <w:r>
              <w:rPr>
                <w:rFonts w:hint="eastAsia"/>
                <w:color w:val="auto"/>
                <w:sz w:val="22"/>
                <w:szCs w:val="22"/>
                <w:highlight w:val="none"/>
                <w:lang w:val="en-US" w:eastAsia="zh-CN"/>
              </w:rPr>
              <w:t>100</w:t>
            </w:r>
            <w:r>
              <w:rPr>
                <w:color w:val="auto"/>
                <w:sz w:val="22"/>
                <w:szCs w:val="22"/>
                <w:highlight w:val="none"/>
              </w:rPr>
              <w:t>0mg/L</w:t>
            </w:r>
          </w:p>
        </w:tc>
        <w:tc>
          <w:tcPr>
            <w:tcW w:w="2653"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eastAsia="宋体"/>
                <w:color w:val="auto"/>
                <w:sz w:val="22"/>
                <w:szCs w:val="22"/>
                <w:highlight w:val="none"/>
                <w:lang w:eastAsia="zh-CN"/>
              </w:rPr>
            </w:pPr>
            <w:r>
              <w:rPr>
                <w:rFonts w:hint="eastAsia"/>
                <w:color w:val="auto"/>
                <w:sz w:val="22"/>
                <w:szCs w:val="22"/>
                <w:highlight w:val="none"/>
                <w:lang w:eastAsia="zh-CN"/>
              </w:rPr>
              <w:t>回用于车辆冲洗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8" w:type="dxa"/>
            <w:noWrap w:val="0"/>
            <w:vAlign w:val="center"/>
          </w:tcPr>
          <w:p>
            <w:pPr>
              <w:pStyle w:val="226"/>
              <w:keepNext w:val="0"/>
              <w:keepLines w:val="0"/>
              <w:pageBreakBefore w:val="0"/>
              <w:widowControl w:val="0"/>
              <w:numPr>
                <w:ilvl w:val="0"/>
                <w:numId w:val="16"/>
              </w:numPr>
              <w:kinsoku/>
              <w:wordWrap/>
              <w:overflowPunct/>
              <w:topLinePunct w:val="0"/>
              <w:autoSpaceDE/>
              <w:autoSpaceDN/>
              <w:bidi w:val="0"/>
              <w:adjustRightInd w:val="0"/>
              <w:snapToGrid w:val="0"/>
              <w:spacing w:before="0" w:beforeLines="0" w:after="0" w:afterLines="0" w:line="240" w:lineRule="auto"/>
              <w:ind w:left="0" w:leftChars="0" w:firstLine="0" w:firstLineChars="0"/>
              <w:jc w:val="center"/>
              <w:textAlignment w:val="auto"/>
              <w:rPr>
                <w:color w:val="auto"/>
                <w:sz w:val="22"/>
                <w:szCs w:val="22"/>
                <w:highlight w:val="none"/>
              </w:rPr>
            </w:pPr>
          </w:p>
        </w:tc>
        <w:tc>
          <w:tcPr>
            <w:tcW w:w="1730"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130" w:leftChars="-50" w:right="-130" w:rightChars="-50" w:firstLine="0" w:firstLineChars="0"/>
              <w:jc w:val="center"/>
              <w:textAlignment w:val="auto"/>
              <w:rPr>
                <w:rFonts w:hint="eastAsia" w:eastAsia="宋体"/>
                <w:color w:val="auto"/>
                <w:sz w:val="22"/>
                <w:szCs w:val="22"/>
                <w:highlight w:val="none"/>
                <w:lang w:eastAsia="zh-CN"/>
              </w:rPr>
            </w:pPr>
            <w:r>
              <w:rPr>
                <w:rFonts w:hint="eastAsia"/>
                <w:color w:val="auto"/>
                <w:sz w:val="22"/>
                <w:szCs w:val="22"/>
                <w:highlight w:val="none"/>
                <w:lang w:eastAsia="zh-CN"/>
              </w:rPr>
              <w:t>疏浚渣堆场余水</w:t>
            </w:r>
          </w:p>
        </w:tc>
        <w:tc>
          <w:tcPr>
            <w:tcW w:w="1486"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color w:val="auto"/>
                <w:sz w:val="22"/>
                <w:szCs w:val="22"/>
                <w:highlight w:val="none"/>
                <w:lang w:val="en-US" w:eastAsia="zh-CN"/>
              </w:rPr>
            </w:pPr>
            <w:r>
              <w:rPr>
                <w:rFonts w:hint="eastAsia"/>
                <w:color w:val="auto"/>
                <w:sz w:val="22"/>
                <w:szCs w:val="22"/>
                <w:highlight w:val="none"/>
                <w:lang w:val="en-US" w:eastAsia="zh-CN"/>
              </w:rPr>
              <w:t>30</w:t>
            </w:r>
          </w:p>
        </w:tc>
        <w:tc>
          <w:tcPr>
            <w:tcW w:w="21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lang w:val="en-US" w:eastAsia="zh-CN"/>
              </w:rPr>
            </w:pPr>
            <w:r>
              <w:rPr>
                <w:rFonts w:hint="eastAsia"/>
                <w:color w:val="auto"/>
                <w:sz w:val="22"/>
                <w:szCs w:val="22"/>
                <w:highlight w:val="none"/>
                <w:lang w:val="en-US" w:eastAsia="zh-CN"/>
              </w:rPr>
              <w:t>SS</w:t>
            </w:r>
            <w:r>
              <w:rPr>
                <w:color w:val="auto"/>
                <w:sz w:val="22"/>
                <w:szCs w:val="22"/>
                <w:highlight w:val="none"/>
              </w:rPr>
              <w:t>：</w:t>
            </w:r>
            <w:r>
              <w:rPr>
                <w:rFonts w:hint="eastAsia"/>
                <w:color w:val="auto"/>
                <w:sz w:val="22"/>
                <w:szCs w:val="22"/>
                <w:highlight w:val="none"/>
                <w:lang w:val="en-US" w:eastAsia="zh-CN"/>
              </w:rPr>
              <w:t>100</w:t>
            </w:r>
            <w:r>
              <w:rPr>
                <w:color w:val="auto"/>
                <w:sz w:val="22"/>
                <w:szCs w:val="22"/>
                <w:highlight w:val="none"/>
              </w:rPr>
              <w:t>0mg/L</w:t>
            </w:r>
          </w:p>
        </w:tc>
        <w:tc>
          <w:tcPr>
            <w:tcW w:w="2653"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Times New Roman" w:hAnsi="Times New Roman" w:eastAsia="宋体"/>
                <w:color w:val="auto"/>
                <w:spacing w:val="-3"/>
                <w:sz w:val="22"/>
                <w:szCs w:val="22"/>
                <w:highlight w:val="none"/>
                <w:lang w:eastAsia="zh-CN"/>
              </w:rPr>
            </w:pPr>
            <w:r>
              <w:rPr>
                <w:rFonts w:hint="eastAsia"/>
                <w:color w:val="auto"/>
                <w:spacing w:val="-3"/>
                <w:sz w:val="22"/>
                <w:szCs w:val="22"/>
                <w:highlight w:val="none"/>
                <w:lang w:eastAsia="zh-CN"/>
              </w:rPr>
              <w:t>回用于场地洒水抑尘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8" w:type="dxa"/>
            <w:noWrap w:val="0"/>
            <w:vAlign w:val="center"/>
          </w:tcPr>
          <w:p>
            <w:pPr>
              <w:pStyle w:val="226"/>
              <w:keepNext w:val="0"/>
              <w:keepLines w:val="0"/>
              <w:pageBreakBefore w:val="0"/>
              <w:widowControl w:val="0"/>
              <w:numPr>
                <w:ilvl w:val="0"/>
                <w:numId w:val="16"/>
              </w:numPr>
              <w:kinsoku/>
              <w:wordWrap/>
              <w:overflowPunct/>
              <w:topLinePunct w:val="0"/>
              <w:autoSpaceDE/>
              <w:autoSpaceDN/>
              <w:bidi w:val="0"/>
              <w:adjustRightInd w:val="0"/>
              <w:snapToGrid w:val="0"/>
              <w:spacing w:before="0" w:beforeLines="0" w:after="0" w:afterLines="0" w:line="240" w:lineRule="auto"/>
              <w:ind w:left="0" w:leftChars="0" w:firstLine="0" w:firstLineChars="0"/>
              <w:jc w:val="center"/>
              <w:textAlignment w:val="auto"/>
              <w:rPr>
                <w:color w:val="auto"/>
                <w:sz w:val="22"/>
                <w:szCs w:val="22"/>
                <w:highlight w:val="none"/>
              </w:rPr>
            </w:pPr>
          </w:p>
        </w:tc>
        <w:tc>
          <w:tcPr>
            <w:tcW w:w="1730"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eastAsia="宋体"/>
                <w:color w:val="auto"/>
                <w:sz w:val="22"/>
                <w:szCs w:val="22"/>
                <w:highlight w:val="none"/>
                <w:lang w:eastAsia="zh-CN"/>
              </w:rPr>
            </w:pPr>
            <w:r>
              <w:rPr>
                <w:color w:val="auto"/>
                <w:sz w:val="22"/>
                <w:szCs w:val="22"/>
                <w:highlight w:val="none"/>
              </w:rPr>
              <w:t>施工营地</w:t>
            </w:r>
            <w:r>
              <w:rPr>
                <w:rFonts w:hint="eastAsia"/>
                <w:color w:val="auto"/>
                <w:sz w:val="22"/>
                <w:szCs w:val="22"/>
                <w:highlight w:val="none"/>
                <w:lang w:eastAsia="zh-CN"/>
              </w:rPr>
              <w:t>生活污水</w:t>
            </w:r>
          </w:p>
        </w:tc>
        <w:tc>
          <w:tcPr>
            <w:tcW w:w="1486"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eastAsia="宋体"/>
                <w:color w:val="auto"/>
                <w:sz w:val="22"/>
                <w:szCs w:val="22"/>
                <w:highlight w:val="none"/>
                <w:lang w:val="en-US" w:eastAsia="zh-CN"/>
              </w:rPr>
            </w:pPr>
            <w:r>
              <w:rPr>
                <w:rFonts w:hint="eastAsia"/>
                <w:color w:val="auto"/>
                <w:sz w:val="22"/>
                <w:szCs w:val="22"/>
                <w:highlight w:val="none"/>
                <w:lang w:val="en-US" w:eastAsia="zh-CN"/>
              </w:rPr>
              <w:t>60</w:t>
            </w:r>
          </w:p>
        </w:tc>
        <w:tc>
          <w:tcPr>
            <w:tcW w:w="21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rPr>
            </w:pPr>
            <w:r>
              <w:rPr>
                <w:color w:val="auto"/>
                <w:sz w:val="22"/>
                <w:szCs w:val="22"/>
                <w:highlight w:val="none"/>
              </w:rPr>
              <w:t>COD：</w:t>
            </w:r>
            <w:r>
              <w:rPr>
                <w:rFonts w:hint="eastAsia"/>
                <w:color w:val="auto"/>
                <w:sz w:val="22"/>
                <w:szCs w:val="22"/>
                <w:highlight w:val="none"/>
                <w:lang w:val="en-US" w:eastAsia="zh-CN"/>
              </w:rPr>
              <w:t>30</w:t>
            </w:r>
            <w:r>
              <w:rPr>
                <w:color w:val="auto"/>
                <w:sz w:val="22"/>
                <w:szCs w:val="22"/>
                <w:highlight w:val="none"/>
              </w:rPr>
              <w:t>0mg/L</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rPr>
            </w:pPr>
            <w:r>
              <w:rPr>
                <w:color w:val="auto"/>
                <w:sz w:val="22"/>
                <w:szCs w:val="22"/>
                <w:highlight w:val="none"/>
              </w:rPr>
              <w:t>BOD</w:t>
            </w:r>
            <w:r>
              <w:rPr>
                <w:color w:val="auto"/>
                <w:sz w:val="22"/>
                <w:szCs w:val="22"/>
                <w:highlight w:val="none"/>
                <w:vertAlign w:val="subscript"/>
              </w:rPr>
              <w:t>5</w:t>
            </w:r>
            <w:r>
              <w:rPr>
                <w:color w:val="auto"/>
                <w:sz w:val="22"/>
                <w:szCs w:val="22"/>
                <w:highlight w:val="none"/>
              </w:rPr>
              <w:t>：</w:t>
            </w:r>
            <w:r>
              <w:rPr>
                <w:rFonts w:hint="eastAsia"/>
                <w:color w:val="auto"/>
                <w:sz w:val="22"/>
                <w:szCs w:val="22"/>
                <w:highlight w:val="none"/>
                <w:lang w:val="en-US" w:eastAsia="zh-CN"/>
              </w:rPr>
              <w:t>200</w:t>
            </w:r>
            <w:r>
              <w:rPr>
                <w:color w:val="auto"/>
                <w:sz w:val="22"/>
                <w:szCs w:val="22"/>
                <w:highlight w:val="none"/>
              </w:rPr>
              <w:t>mg/L</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rPr>
            </w:pPr>
            <w:r>
              <w:rPr>
                <w:color w:val="auto"/>
                <w:sz w:val="22"/>
                <w:szCs w:val="22"/>
                <w:highlight w:val="none"/>
              </w:rPr>
              <w:t>NH</w:t>
            </w:r>
            <w:r>
              <w:rPr>
                <w:color w:val="auto"/>
                <w:sz w:val="22"/>
                <w:szCs w:val="22"/>
                <w:highlight w:val="none"/>
                <w:vertAlign w:val="subscript"/>
              </w:rPr>
              <w:t>3</w:t>
            </w:r>
            <w:r>
              <w:rPr>
                <w:color w:val="auto"/>
                <w:sz w:val="22"/>
                <w:szCs w:val="22"/>
                <w:highlight w:val="none"/>
              </w:rPr>
              <w:t>-N：</w:t>
            </w:r>
            <w:r>
              <w:rPr>
                <w:rFonts w:hint="eastAsia"/>
                <w:color w:val="auto"/>
                <w:sz w:val="22"/>
                <w:szCs w:val="22"/>
                <w:highlight w:val="none"/>
                <w:lang w:val="en-US" w:eastAsia="zh-CN"/>
              </w:rPr>
              <w:t>30</w:t>
            </w:r>
            <w:r>
              <w:rPr>
                <w:color w:val="auto"/>
                <w:sz w:val="22"/>
                <w:szCs w:val="22"/>
                <w:highlight w:val="none"/>
              </w:rPr>
              <w:t>mg/L</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rPr>
            </w:pPr>
            <w:r>
              <w:rPr>
                <w:rFonts w:hint="eastAsia"/>
                <w:color w:val="auto"/>
                <w:sz w:val="22"/>
                <w:szCs w:val="22"/>
                <w:highlight w:val="none"/>
                <w:lang w:val="en-US" w:eastAsia="zh-CN"/>
              </w:rPr>
              <w:t>SS</w:t>
            </w:r>
            <w:r>
              <w:rPr>
                <w:color w:val="auto"/>
                <w:sz w:val="22"/>
                <w:szCs w:val="22"/>
                <w:highlight w:val="none"/>
              </w:rPr>
              <w:t>：</w:t>
            </w:r>
            <w:r>
              <w:rPr>
                <w:rFonts w:hint="eastAsia"/>
                <w:color w:val="auto"/>
                <w:sz w:val="22"/>
                <w:szCs w:val="22"/>
                <w:highlight w:val="none"/>
                <w:lang w:val="en-US" w:eastAsia="zh-CN"/>
              </w:rPr>
              <w:t>15</w:t>
            </w:r>
            <w:r>
              <w:rPr>
                <w:color w:val="auto"/>
                <w:sz w:val="22"/>
                <w:szCs w:val="22"/>
                <w:highlight w:val="none"/>
              </w:rPr>
              <w:t>0mg/L</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lang w:eastAsia="zh-CN"/>
              </w:rPr>
            </w:pPr>
            <w:r>
              <w:rPr>
                <w:rFonts w:hint="eastAsia"/>
                <w:color w:val="auto"/>
                <w:sz w:val="22"/>
                <w:szCs w:val="22"/>
                <w:highlight w:val="none"/>
                <w:lang w:val="en-US" w:eastAsia="zh-CN"/>
              </w:rPr>
              <w:t>TP</w:t>
            </w:r>
            <w:r>
              <w:rPr>
                <w:color w:val="auto"/>
                <w:sz w:val="22"/>
                <w:szCs w:val="22"/>
                <w:highlight w:val="none"/>
              </w:rPr>
              <w:t>：</w:t>
            </w:r>
            <w:r>
              <w:rPr>
                <w:rFonts w:hint="eastAsia"/>
                <w:color w:val="auto"/>
                <w:sz w:val="22"/>
                <w:szCs w:val="22"/>
                <w:highlight w:val="none"/>
                <w:lang w:val="en-US" w:eastAsia="zh-CN"/>
              </w:rPr>
              <w:t>4.5</w:t>
            </w:r>
            <w:r>
              <w:rPr>
                <w:color w:val="auto"/>
                <w:sz w:val="22"/>
                <w:szCs w:val="22"/>
                <w:highlight w:val="none"/>
              </w:rPr>
              <w:t>mg/L</w:t>
            </w:r>
          </w:p>
        </w:tc>
        <w:tc>
          <w:tcPr>
            <w:tcW w:w="2653"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eastAsia="宋体"/>
                <w:color w:val="auto"/>
                <w:sz w:val="22"/>
                <w:szCs w:val="22"/>
                <w:highlight w:val="none"/>
                <w:lang w:eastAsia="zh-CN"/>
              </w:rPr>
            </w:pPr>
            <w:r>
              <w:rPr>
                <w:rFonts w:hint="eastAsia" w:ascii="Times New Roman" w:hAnsi="Times New Roman"/>
                <w:color w:val="auto"/>
                <w:spacing w:val="-3"/>
                <w:sz w:val="22"/>
                <w:szCs w:val="22"/>
                <w:highlight w:val="none"/>
              </w:rPr>
              <w:t>回用于绿化</w:t>
            </w:r>
            <w:r>
              <w:rPr>
                <w:rFonts w:hint="eastAsia"/>
                <w:color w:val="auto"/>
                <w:spacing w:val="-3"/>
                <w:sz w:val="22"/>
                <w:szCs w:val="22"/>
                <w:highlight w:val="none"/>
                <w:lang w:eastAsia="zh-CN"/>
              </w:rPr>
              <w:t>、洒水抑尘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98" w:type="dxa"/>
            <w:gridSpan w:val="2"/>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color w:val="auto"/>
                <w:sz w:val="22"/>
                <w:szCs w:val="22"/>
                <w:highlight w:val="none"/>
              </w:rPr>
            </w:pPr>
            <w:r>
              <w:rPr>
                <w:color w:val="auto"/>
                <w:sz w:val="22"/>
                <w:szCs w:val="22"/>
                <w:highlight w:val="none"/>
              </w:rPr>
              <w:t>合  计</w:t>
            </w:r>
          </w:p>
        </w:tc>
        <w:tc>
          <w:tcPr>
            <w:tcW w:w="1486" w:type="dxa"/>
            <w:noWrap w:val="0"/>
            <w:vAlign w:val="center"/>
          </w:tcPr>
          <w:p>
            <w:pPr>
              <w:pStyle w:val="226"/>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eastAsia="宋体"/>
                <w:color w:val="auto"/>
                <w:sz w:val="22"/>
                <w:szCs w:val="22"/>
                <w:highlight w:val="none"/>
                <w:lang w:val="en-US" w:eastAsia="zh-CN"/>
              </w:rPr>
            </w:pPr>
            <w:r>
              <w:rPr>
                <w:rFonts w:hint="eastAsia"/>
                <w:color w:val="auto"/>
                <w:sz w:val="22"/>
                <w:szCs w:val="22"/>
                <w:highlight w:val="none"/>
                <w:lang w:val="en-US" w:eastAsia="zh-CN"/>
              </w:rPr>
              <w:t>119.96</w:t>
            </w:r>
          </w:p>
        </w:tc>
        <w:tc>
          <w:tcPr>
            <w:tcW w:w="2141" w:type="dxa"/>
            <w:noWrap w:val="0"/>
            <w:vAlign w:val="center"/>
          </w:tcPr>
          <w:p>
            <w:pPr>
              <w:pStyle w:val="22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lang w:val="en-US" w:eastAsia="zh-CN"/>
              </w:rPr>
            </w:pPr>
            <w:r>
              <w:rPr>
                <w:rFonts w:hint="eastAsia"/>
                <w:color w:val="auto"/>
                <w:sz w:val="22"/>
                <w:szCs w:val="22"/>
                <w:highlight w:val="none"/>
                <w:lang w:val="en-US" w:eastAsia="zh-CN"/>
              </w:rPr>
              <w:t>/</w:t>
            </w:r>
          </w:p>
        </w:tc>
        <w:tc>
          <w:tcPr>
            <w:tcW w:w="2653" w:type="dxa"/>
            <w:noWrap w:val="0"/>
            <w:vAlign w:val="center"/>
          </w:tcPr>
          <w:p>
            <w:pPr>
              <w:pStyle w:val="22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lang w:val="en-US" w:eastAsia="zh-CN"/>
              </w:rPr>
            </w:pPr>
            <w:r>
              <w:rPr>
                <w:rFonts w:hint="eastAsia"/>
                <w:color w:val="auto"/>
                <w:sz w:val="22"/>
                <w:szCs w:val="22"/>
                <w:highlight w:val="none"/>
                <w:lang w:val="en-US" w:eastAsia="zh-CN"/>
              </w:rPr>
              <w:t>/</w:t>
            </w:r>
          </w:p>
        </w:tc>
      </w:tr>
      <w:bookmarkEnd w:id="76"/>
    </w:tbl>
    <w:p>
      <w:pPr>
        <w:pStyle w:val="222"/>
        <w:adjustRightInd w:val="0"/>
        <w:spacing w:line="460" w:lineRule="exact"/>
        <w:ind w:firstLine="480"/>
        <w:rPr>
          <w:rFonts w:hint="eastAsia" w:ascii="Times New Roman" w:hAnsi="Times New Roman"/>
          <w:color w:val="auto"/>
          <w:highlight w:val="none"/>
          <w:lang w:val="en-US" w:eastAsia="zh-CN"/>
        </w:rPr>
      </w:pPr>
    </w:p>
    <w:p>
      <w:pPr>
        <w:pStyle w:val="222"/>
        <w:adjustRightInd w:val="0"/>
        <w:spacing w:line="460" w:lineRule="exact"/>
        <w:ind w:firstLine="480"/>
        <w:rPr>
          <w:rFonts w:hint="eastAsia"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（3）噪声</w:t>
      </w:r>
    </w:p>
    <w:p>
      <w:pPr>
        <w:pStyle w:val="222"/>
        <w:adjustRightInd w:val="0"/>
        <w:spacing w:line="460" w:lineRule="exact"/>
        <w:ind w:firstLine="480"/>
        <w:rPr>
          <w:rFonts w:ascii="Times New Roman" w:hAnsi="Times New Roman"/>
          <w:snapToGrid w:val="0"/>
          <w:color w:val="auto"/>
          <w:highlight w:val="none"/>
        </w:rPr>
      </w:pPr>
      <w:r>
        <w:rPr>
          <w:rFonts w:hint="eastAsia" w:ascii="Times New Roman" w:hAnsi="Times New Roman"/>
          <w:color w:val="auto"/>
          <w:highlight w:val="none"/>
          <w:lang w:eastAsia="zh-CN"/>
        </w:rPr>
        <w:t>项目</w:t>
      </w:r>
      <w:r>
        <w:rPr>
          <w:rFonts w:ascii="Times New Roman" w:hAnsi="Times New Roman"/>
          <w:color w:val="auto"/>
          <w:highlight w:val="none"/>
        </w:rPr>
        <w:t>施工噪声主要来源于边坡钻孔、爆破、开挖以及</w:t>
      </w:r>
      <w:r>
        <w:rPr>
          <w:rFonts w:hint="eastAsia" w:ascii="Times New Roman" w:hAnsi="Times New Roman"/>
          <w:color w:val="auto"/>
          <w:highlight w:val="none"/>
        </w:rPr>
        <w:t>砂石加工、</w:t>
      </w:r>
      <w:r>
        <w:rPr>
          <w:rFonts w:ascii="Times New Roman" w:hAnsi="Times New Roman"/>
          <w:color w:val="auto"/>
          <w:highlight w:val="none"/>
        </w:rPr>
        <w:t>混凝土</w:t>
      </w:r>
      <w:r>
        <w:rPr>
          <w:rFonts w:ascii="Times New Roman" w:hAnsi="Times New Roman"/>
          <w:color w:val="auto"/>
          <w:highlight w:val="none"/>
          <w:shd w:val="clear" w:fill="FFFFFF"/>
        </w:rPr>
        <w:t>拌和</w:t>
      </w:r>
      <w:r>
        <w:rPr>
          <w:rFonts w:ascii="Times New Roman" w:hAnsi="Times New Roman"/>
          <w:color w:val="auto"/>
          <w:highlight w:val="none"/>
        </w:rPr>
        <w:t>、坝体石料填筑等施工活动和各种运输机械。噪声较大的施工机械有</w:t>
      </w:r>
      <w:r>
        <w:rPr>
          <w:rFonts w:hint="eastAsia" w:ascii="Times New Roman" w:hAnsi="Times New Roman"/>
          <w:color w:val="auto"/>
          <w:highlight w:val="none"/>
        </w:rPr>
        <w:t>砂石加工系统、</w:t>
      </w:r>
      <w:r>
        <w:rPr>
          <w:rFonts w:ascii="Times New Roman" w:hAnsi="Times New Roman"/>
          <w:color w:val="auto"/>
          <w:highlight w:val="none"/>
        </w:rPr>
        <w:t>混凝土</w:t>
      </w:r>
      <w:r>
        <w:rPr>
          <w:rFonts w:ascii="Times New Roman" w:hAnsi="Times New Roman"/>
          <w:color w:val="auto"/>
          <w:highlight w:val="none"/>
          <w:shd w:val="clear" w:fill="FFFFFF"/>
        </w:rPr>
        <w:t>拌和</w:t>
      </w:r>
      <w:r>
        <w:rPr>
          <w:rFonts w:ascii="Times New Roman" w:hAnsi="Times New Roman"/>
          <w:color w:val="auto"/>
          <w:highlight w:val="none"/>
        </w:rPr>
        <w:t>系统、装载机、推土机、风钻等。</w:t>
      </w:r>
      <w:r>
        <w:rPr>
          <w:rFonts w:hint="eastAsia" w:ascii="Times New Roman" w:hAnsi="Times New Roman"/>
          <w:color w:val="auto"/>
          <w:highlight w:val="none"/>
        </w:rPr>
        <w:t>通过查阅《环境保护实用数据手册</w:t>
      </w:r>
      <w:r>
        <w:rPr>
          <w:rFonts w:hint="eastAsia" w:ascii="Times New Roman" w:hAnsi="Times New Roman"/>
          <w:color w:val="auto"/>
          <w:highlight w:val="none"/>
          <w:shd w:val="clear" w:fill="FFFFFF"/>
        </w:rPr>
        <w:t>》、</w:t>
      </w:r>
      <w:r>
        <w:rPr>
          <w:rFonts w:hint="eastAsia" w:ascii="Times New Roman" w:hAnsi="Times New Roman"/>
          <w:color w:val="auto"/>
          <w:highlight w:val="none"/>
          <w:shd w:val="clear" w:fill="FFFFFF"/>
          <w:lang w:eastAsia="zh-CN"/>
        </w:rPr>
        <w:t>《</w:t>
      </w:r>
      <w:r>
        <w:rPr>
          <w:rFonts w:hint="eastAsia" w:ascii="Times New Roman" w:hAnsi="Times New Roman"/>
          <w:color w:val="auto"/>
          <w:highlight w:val="none"/>
        </w:rPr>
        <w:t>环境噪声与振动控制工程技术导则</w:t>
      </w:r>
      <w:r>
        <w:rPr>
          <w:rFonts w:hint="eastAsia" w:ascii="Times New Roman" w:hAnsi="Times New Roman"/>
          <w:color w:val="auto"/>
          <w:highlight w:val="none"/>
          <w:lang w:eastAsia="zh-CN"/>
        </w:rPr>
        <w:t>》</w:t>
      </w:r>
      <w:r>
        <w:rPr>
          <w:rFonts w:hint="eastAsia" w:ascii="Times New Roman" w:hAnsi="Times New Roman"/>
          <w:color w:val="auto"/>
          <w:highlight w:val="none"/>
        </w:rPr>
        <w:t>（HJ</w:t>
      </w:r>
      <w:r>
        <w:rPr>
          <w:rFonts w:hint="eastAsia" w:ascii="Times New Roman" w:hAnsi="Times New Roman"/>
          <w:color w:val="auto"/>
          <w:highlight w:val="none"/>
          <w:lang w:val="en-US" w:eastAsia="zh-CN"/>
        </w:rPr>
        <w:t xml:space="preserve"> </w:t>
      </w:r>
      <w:r>
        <w:rPr>
          <w:rFonts w:hint="eastAsia" w:ascii="Times New Roman" w:hAnsi="Times New Roman"/>
          <w:color w:val="auto"/>
          <w:highlight w:val="none"/>
        </w:rPr>
        <w:t>2034-2013）</w:t>
      </w:r>
      <w:r>
        <w:rPr>
          <w:rFonts w:hint="eastAsia" w:ascii="Times New Roman" w:hAnsi="Times New Roman"/>
          <w:color w:val="auto"/>
          <w:highlight w:val="none"/>
          <w:lang w:eastAsia="zh-CN"/>
        </w:rPr>
        <w:t>、</w:t>
      </w:r>
      <w:r>
        <w:rPr>
          <w:rFonts w:hint="eastAsia" w:ascii="Times New Roman" w:hAnsi="Times New Roman"/>
          <w:color w:val="auto"/>
          <w:highlight w:val="none"/>
        </w:rPr>
        <w:t>《环境影响评价技术手册水利水电工程》</w:t>
      </w:r>
      <w:r>
        <w:rPr>
          <w:rFonts w:hint="eastAsia" w:ascii="Times New Roman" w:hAnsi="Times New Roman"/>
          <w:color w:val="auto"/>
          <w:highlight w:val="none"/>
          <w:lang w:eastAsia="zh-CN"/>
        </w:rPr>
        <w:t>及类比同类型水利项目噪声源强</w:t>
      </w:r>
      <w:r>
        <w:rPr>
          <w:rFonts w:hint="eastAsia" w:ascii="Times New Roman" w:hAnsi="Times New Roman"/>
          <w:color w:val="auto"/>
          <w:highlight w:val="none"/>
        </w:rPr>
        <w:t>，确定各施工机械设备、运输车辆和施工爆破等</w:t>
      </w:r>
      <w:r>
        <w:rPr>
          <w:rFonts w:hint="eastAsia" w:ascii="Times New Roman" w:hAnsi="Times New Roman"/>
          <w:color w:val="auto"/>
          <w:highlight w:val="none"/>
          <w:lang w:eastAsia="zh-CN"/>
        </w:rPr>
        <w:t>主要施工</w:t>
      </w:r>
      <w:r>
        <w:rPr>
          <w:rFonts w:hint="eastAsia" w:ascii="Times New Roman" w:hAnsi="Times New Roman"/>
          <w:color w:val="auto"/>
          <w:highlight w:val="none"/>
        </w:rPr>
        <w:t>设备噪声值范围详见下表</w:t>
      </w:r>
      <w:r>
        <w:rPr>
          <w:rFonts w:hint="eastAsia" w:ascii="Times New Roman" w:hAnsi="Times New Roman"/>
          <w:color w:val="auto"/>
          <w:highlight w:val="none"/>
          <w:lang w:eastAsia="zh-CN"/>
        </w:rPr>
        <w:t>：</w:t>
      </w:r>
    </w:p>
    <w:p>
      <w:pPr>
        <w:pStyle w:val="222"/>
        <w:adjustRightInd w:val="0"/>
        <w:spacing w:line="240" w:lineRule="auto"/>
        <w:ind w:firstLine="0" w:firstLineChars="0"/>
        <w:jc w:val="center"/>
        <w:rPr>
          <w:rFonts w:ascii="Times New Roman" w:hAnsi="Times New Roman" w:eastAsia="黑体"/>
          <w:color w:val="auto"/>
          <w:highlight w:val="none"/>
          <w:lang w:val="zh-CN"/>
        </w:rPr>
      </w:pPr>
    </w:p>
    <w:p>
      <w:pPr>
        <w:pStyle w:val="222"/>
        <w:adjustRightInd w:val="0"/>
        <w:spacing w:line="240" w:lineRule="auto"/>
        <w:ind w:left="0" w:leftChars="0" w:firstLine="0" w:firstLineChars="0"/>
        <w:jc w:val="center"/>
        <w:rPr>
          <w:rFonts w:ascii="Times New Roman" w:hAnsi="Times New Roman" w:eastAsia="宋体" w:cs="Times New Roman"/>
          <w:color w:val="auto"/>
          <w:highlight w:val="none"/>
          <w:lang w:val="zh-CN"/>
        </w:rPr>
      </w:pPr>
      <w:r>
        <w:rPr>
          <w:rFonts w:ascii="Times New Roman" w:hAnsi="Times New Roman" w:eastAsia="宋体" w:cs="Times New Roman"/>
          <w:color w:val="auto"/>
          <w:highlight w:val="none"/>
          <w:lang w:val="zh-CN"/>
        </w:rPr>
        <w:t>表</w:t>
      </w:r>
      <w:r>
        <w:rPr>
          <w:rFonts w:hint="eastAsia" w:ascii="Times New Roman" w:hAnsi="Times New Roman" w:cs="Times New Roman"/>
          <w:color w:val="auto"/>
          <w:highlight w:val="none"/>
          <w:lang w:val="en-US" w:eastAsia="zh-CN"/>
        </w:rPr>
        <w:t>2.6.1.2</w:t>
      </w:r>
      <w:r>
        <w:rPr>
          <w:rFonts w:ascii="Times New Roman" w:hAnsi="Times New Roman" w:eastAsia="宋体" w:cs="Times New Roman"/>
          <w:color w:val="auto"/>
          <w:highlight w:val="none"/>
          <w:lang w:val="zh-CN"/>
        </w:rPr>
        <w:t>-2  主要施工机械、车辆噪声源强一览表</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4"/>
        <w:gridCol w:w="2279"/>
        <w:gridCol w:w="2650"/>
        <w:gridCol w:w="1260"/>
        <w:gridCol w:w="17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34"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snapToGrid w:val="0"/>
                <w:color w:val="auto"/>
                <w:sz w:val="22"/>
                <w:szCs w:val="22"/>
                <w:highlight w:val="none"/>
                <w:lang w:val="zh-CN"/>
              </w:rPr>
              <w:t>序号</w:t>
            </w:r>
          </w:p>
        </w:tc>
        <w:tc>
          <w:tcPr>
            <w:tcW w:w="22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snapToGrid w:val="0"/>
                <w:color w:val="auto"/>
                <w:sz w:val="22"/>
                <w:szCs w:val="22"/>
                <w:highlight w:val="none"/>
                <w:lang w:val="zh-CN"/>
              </w:rPr>
              <w:t>名</w:t>
            </w:r>
            <w:r>
              <w:rPr>
                <w:snapToGrid w:val="0"/>
                <w:color w:val="auto"/>
                <w:sz w:val="22"/>
                <w:szCs w:val="22"/>
                <w:highlight w:val="none"/>
              </w:rPr>
              <w:t xml:space="preserve">  </w:t>
            </w:r>
            <w:r>
              <w:rPr>
                <w:snapToGrid w:val="0"/>
                <w:color w:val="auto"/>
                <w:sz w:val="22"/>
                <w:szCs w:val="22"/>
                <w:highlight w:val="none"/>
                <w:lang w:val="zh-CN"/>
              </w:rPr>
              <w:t>称</w:t>
            </w:r>
          </w:p>
        </w:tc>
        <w:tc>
          <w:tcPr>
            <w:tcW w:w="26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snapToGrid w:val="0"/>
                <w:color w:val="auto"/>
                <w:sz w:val="22"/>
                <w:szCs w:val="22"/>
                <w:highlight w:val="none"/>
                <w:lang w:val="zh-CN"/>
              </w:rPr>
              <w:t>规格及型号</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snapToGrid w:val="0"/>
                <w:color w:val="auto"/>
                <w:sz w:val="22"/>
                <w:szCs w:val="22"/>
                <w:highlight w:val="none"/>
                <w:lang w:val="zh-CN"/>
              </w:rPr>
              <w:t>噪声源强</w:t>
            </w:r>
          </w:p>
        </w:tc>
        <w:tc>
          <w:tcPr>
            <w:tcW w:w="175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snapToGrid w:val="0"/>
                <w:color w:val="auto"/>
                <w:sz w:val="22"/>
                <w:szCs w:val="22"/>
                <w:highlight w:val="none"/>
                <w:lang w:val="zh-CN"/>
              </w:rPr>
              <w:t>备</w:t>
            </w:r>
            <w:r>
              <w:rPr>
                <w:snapToGrid w:val="0"/>
                <w:color w:val="auto"/>
                <w:sz w:val="22"/>
                <w:szCs w:val="22"/>
                <w:highlight w:val="none"/>
              </w:rPr>
              <w:t xml:space="preserve">   </w:t>
            </w:r>
            <w:r>
              <w:rPr>
                <w:snapToGrid w:val="0"/>
                <w:color w:val="auto"/>
                <w:sz w:val="22"/>
                <w:szCs w:val="22"/>
                <w:highlight w:val="none"/>
                <w:lang w:val="zh-CN"/>
              </w:rPr>
              <w:t>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b/>
                <w:bCs/>
                <w:snapToGrid w:val="0"/>
                <w:color w:val="auto"/>
                <w:sz w:val="22"/>
                <w:szCs w:val="22"/>
                <w:highlight w:val="none"/>
              </w:rPr>
            </w:pPr>
            <w:r>
              <w:rPr>
                <w:b/>
                <w:bCs/>
                <w:snapToGrid w:val="0"/>
                <w:color w:val="auto"/>
                <w:sz w:val="22"/>
                <w:szCs w:val="22"/>
                <w:highlight w:val="none"/>
                <w:lang w:val="zh-CN"/>
              </w:rPr>
              <w:t>一</w:t>
            </w:r>
          </w:p>
        </w:tc>
        <w:tc>
          <w:tcPr>
            <w:tcW w:w="7944" w:type="dxa"/>
            <w:gridSpan w:val="4"/>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b/>
                <w:bCs/>
                <w:snapToGrid w:val="0"/>
                <w:color w:val="auto"/>
                <w:sz w:val="22"/>
                <w:szCs w:val="22"/>
                <w:highlight w:val="none"/>
                <w:lang w:val="zh-CN"/>
              </w:rPr>
              <w:t>土石方机械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7"/>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snapToGrid w:val="0"/>
                <w:color w:val="auto"/>
                <w:sz w:val="22"/>
                <w:szCs w:val="22"/>
                <w:highlight w:val="none"/>
              </w:rPr>
            </w:pPr>
          </w:p>
        </w:tc>
        <w:tc>
          <w:tcPr>
            <w:tcW w:w="22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snapToGrid w:val="0"/>
                <w:color w:val="auto"/>
                <w:sz w:val="22"/>
                <w:szCs w:val="22"/>
                <w:highlight w:val="none"/>
                <w:lang w:eastAsia="zh-CN"/>
              </w:rPr>
            </w:pPr>
            <w:r>
              <w:rPr>
                <w:rFonts w:hint="eastAsia"/>
                <w:snapToGrid w:val="0"/>
                <w:color w:val="auto"/>
                <w:sz w:val="22"/>
                <w:szCs w:val="22"/>
                <w:highlight w:val="none"/>
                <w:lang w:eastAsia="zh-CN"/>
              </w:rPr>
              <w:t>挖掘机</w:t>
            </w:r>
          </w:p>
        </w:tc>
        <w:tc>
          <w:tcPr>
            <w:tcW w:w="26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snapToGrid w:val="0"/>
                <w:color w:val="auto"/>
                <w:sz w:val="22"/>
                <w:szCs w:val="22"/>
                <w:highlight w:val="none"/>
                <w:lang w:eastAsia="zh-CN"/>
              </w:rPr>
            </w:pPr>
            <w:r>
              <w:rPr>
                <w:rFonts w:ascii="Times New Roman" w:hAnsi="Times New Roman" w:eastAsia="Times New Roman" w:cs="Times New Roman"/>
                <w:color w:val="auto"/>
                <w:sz w:val="22"/>
                <w:szCs w:val="22"/>
                <w:highlight w:val="none"/>
              </w:rPr>
              <w:t>P220</w:t>
            </w:r>
            <w:r>
              <w:rPr>
                <w:rFonts w:hint="eastAsia" w:ascii="Times New Roman" w:hAnsi="Times New Roman" w:eastAsia="宋体" w:cs="Times New Roman"/>
                <w:color w:val="auto"/>
                <w:sz w:val="22"/>
                <w:szCs w:val="22"/>
                <w:highlight w:val="none"/>
                <w:lang w:eastAsia="zh-CN"/>
              </w:rPr>
              <w:t>、</w:t>
            </w:r>
            <w:r>
              <w:rPr>
                <w:rFonts w:ascii="Times New Roman" w:hAnsi="Times New Roman" w:eastAsia="Times New Roman" w:cs="Times New Roman"/>
                <w:color w:val="auto"/>
                <w:sz w:val="22"/>
                <w:szCs w:val="22"/>
                <w:highlight w:val="none"/>
              </w:rPr>
              <w:t>EX</w:t>
            </w:r>
            <w:r>
              <w:rPr>
                <w:rFonts w:ascii="Times New Roman" w:hAnsi="Times New Roman" w:eastAsia="Times New Roman" w:cs="Times New Roman"/>
                <w:color w:val="auto"/>
                <w:spacing w:val="4"/>
                <w:sz w:val="22"/>
                <w:szCs w:val="22"/>
                <w:highlight w:val="none"/>
              </w:rPr>
              <w:t>350</w:t>
            </w:r>
            <w:r>
              <w:rPr>
                <w:rFonts w:hint="eastAsia" w:ascii="Times New Roman" w:hAnsi="Times New Roman" w:eastAsia="宋体" w:cs="Times New Roman"/>
                <w:color w:val="auto"/>
                <w:spacing w:val="4"/>
                <w:sz w:val="22"/>
                <w:szCs w:val="22"/>
                <w:highlight w:val="none"/>
                <w:lang w:eastAsia="zh-CN"/>
              </w:rPr>
              <w:t>、</w:t>
            </w:r>
            <w:r>
              <w:rPr>
                <w:rFonts w:ascii="Times New Roman" w:hAnsi="Times New Roman" w:eastAsia="Times New Roman" w:cs="Times New Roman"/>
                <w:color w:val="auto"/>
                <w:sz w:val="22"/>
                <w:szCs w:val="22"/>
                <w:highlight w:val="none"/>
              </w:rPr>
              <w:t>PC</w:t>
            </w:r>
            <w:r>
              <w:rPr>
                <w:rFonts w:ascii="Times New Roman" w:hAnsi="Times New Roman" w:eastAsia="Times New Roman" w:cs="Times New Roman"/>
                <w:color w:val="auto"/>
                <w:spacing w:val="4"/>
                <w:sz w:val="22"/>
                <w:szCs w:val="22"/>
                <w:highlight w:val="none"/>
              </w:rPr>
              <w:t>200-5</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eastAsia="宋体"/>
                <w:snapToGrid w:val="0"/>
                <w:color w:val="auto"/>
                <w:sz w:val="22"/>
                <w:szCs w:val="22"/>
                <w:highlight w:val="none"/>
              </w:rPr>
            </w:pPr>
            <w:r>
              <w:rPr>
                <w:rFonts w:eastAsia="宋体"/>
                <w:snapToGrid w:val="0"/>
                <w:color w:val="auto"/>
                <w:sz w:val="22"/>
                <w:szCs w:val="22"/>
                <w:highlight w:val="none"/>
              </w:rPr>
              <w:t>82</w:t>
            </w:r>
          </w:p>
        </w:tc>
        <w:tc>
          <w:tcPr>
            <w:tcW w:w="175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snapToGrid w:val="0"/>
                <w:color w:val="auto"/>
                <w:sz w:val="22"/>
                <w:szCs w:val="22"/>
                <w:highlight w:val="none"/>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7"/>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snapToGrid w:val="0"/>
                <w:color w:val="auto"/>
                <w:sz w:val="22"/>
                <w:szCs w:val="22"/>
                <w:highlight w:val="none"/>
              </w:rPr>
            </w:pPr>
          </w:p>
        </w:tc>
        <w:tc>
          <w:tcPr>
            <w:tcW w:w="22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lang w:val="zh-CN"/>
              </w:rPr>
            </w:pPr>
            <w:r>
              <w:rPr>
                <w:rFonts w:hint="eastAsia"/>
                <w:snapToGrid w:val="0"/>
                <w:color w:val="auto"/>
                <w:sz w:val="22"/>
                <w:szCs w:val="22"/>
                <w:highlight w:val="none"/>
                <w:lang w:val="zh-CN"/>
              </w:rPr>
              <w:t>装载机</w:t>
            </w:r>
          </w:p>
        </w:tc>
        <w:tc>
          <w:tcPr>
            <w:tcW w:w="26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rFonts w:hint="default" w:ascii="Times New Roman" w:hAnsi="Times New Roman" w:cs="Times New Roman"/>
                <w:color w:val="auto"/>
                <w:spacing w:val="-7"/>
                <w:sz w:val="22"/>
                <w:szCs w:val="22"/>
                <w:highlight w:val="none"/>
              </w:rPr>
              <w:t>ZL50</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eastAsia="宋体"/>
                <w:snapToGrid w:val="0"/>
                <w:color w:val="auto"/>
                <w:sz w:val="22"/>
                <w:szCs w:val="22"/>
                <w:highlight w:val="none"/>
                <w:lang w:val="zh-CN"/>
              </w:rPr>
            </w:pPr>
            <w:r>
              <w:rPr>
                <w:rFonts w:eastAsia="宋体"/>
                <w:snapToGrid w:val="0"/>
                <w:color w:val="auto"/>
                <w:sz w:val="22"/>
                <w:szCs w:val="22"/>
                <w:highlight w:val="none"/>
              </w:rPr>
              <w:t>82</w:t>
            </w:r>
          </w:p>
        </w:tc>
        <w:tc>
          <w:tcPr>
            <w:tcW w:w="175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snapToGrid w:val="0"/>
                <w:color w:val="auto"/>
                <w:sz w:val="22"/>
                <w:szCs w:val="22"/>
                <w:highlight w:val="none"/>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7"/>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snapToGrid w:val="0"/>
                <w:color w:val="auto"/>
                <w:sz w:val="22"/>
                <w:szCs w:val="22"/>
                <w:highlight w:val="none"/>
              </w:rPr>
            </w:pPr>
          </w:p>
        </w:tc>
        <w:tc>
          <w:tcPr>
            <w:tcW w:w="22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snapToGrid w:val="0"/>
                <w:color w:val="auto"/>
                <w:kern w:val="2"/>
                <w:sz w:val="22"/>
                <w:szCs w:val="22"/>
                <w:highlight w:val="none"/>
                <w:lang w:val="zh-CN" w:eastAsia="zh-CN" w:bidi="ar-SA"/>
              </w:rPr>
            </w:pPr>
            <w:r>
              <w:rPr>
                <w:snapToGrid w:val="0"/>
                <w:color w:val="auto"/>
                <w:sz w:val="22"/>
                <w:szCs w:val="22"/>
                <w:highlight w:val="none"/>
                <w:lang w:val="zh-CN"/>
              </w:rPr>
              <w:t>推土机</w:t>
            </w:r>
          </w:p>
        </w:tc>
        <w:tc>
          <w:tcPr>
            <w:tcW w:w="26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r>
              <w:rPr>
                <w:snapToGrid w:val="0"/>
                <w:color w:val="auto"/>
                <w:sz w:val="22"/>
                <w:szCs w:val="22"/>
                <w:highlight w:val="none"/>
              </w:rPr>
              <w:t>118kW/132kW</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eastAsia="宋体"/>
                <w:snapToGrid w:val="0"/>
                <w:color w:val="auto"/>
                <w:sz w:val="22"/>
                <w:szCs w:val="22"/>
                <w:highlight w:val="none"/>
                <w:lang w:val="en-US" w:eastAsia="zh-CN"/>
              </w:rPr>
            </w:pPr>
            <w:r>
              <w:rPr>
                <w:rFonts w:eastAsia="宋体"/>
                <w:snapToGrid w:val="0"/>
                <w:color w:val="auto"/>
                <w:sz w:val="22"/>
                <w:szCs w:val="22"/>
                <w:highlight w:val="none"/>
              </w:rPr>
              <w:t>83</w:t>
            </w:r>
          </w:p>
        </w:tc>
        <w:tc>
          <w:tcPr>
            <w:tcW w:w="175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r>
              <w:rPr>
                <w:snapToGrid w:val="0"/>
                <w:color w:val="auto"/>
                <w:sz w:val="22"/>
                <w:szCs w:val="22"/>
                <w:highlight w:val="none"/>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7"/>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snapToGrid w:val="0"/>
                <w:color w:val="auto"/>
                <w:sz w:val="22"/>
                <w:szCs w:val="22"/>
                <w:highlight w:val="none"/>
              </w:rPr>
            </w:pPr>
          </w:p>
        </w:tc>
        <w:tc>
          <w:tcPr>
            <w:tcW w:w="22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r>
              <w:rPr>
                <w:rFonts w:hint="eastAsia"/>
                <w:snapToGrid w:val="0"/>
                <w:color w:val="auto"/>
                <w:sz w:val="22"/>
                <w:szCs w:val="22"/>
                <w:highlight w:val="none"/>
                <w:lang w:val="zh-CN"/>
              </w:rPr>
              <w:t>手</w:t>
            </w:r>
            <w:r>
              <w:rPr>
                <w:snapToGrid w:val="0"/>
                <w:color w:val="auto"/>
                <w:sz w:val="22"/>
                <w:szCs w:val="22"/>
                <w:highlight w:val="none"/>
                <w:lang w:val="zh-CN"/>
              </w:rPr>
              <w:t>风钻</w:t>
            </w:r>
          </w:p>
        </w:tc>
        <w:tc>
          <w:tcPr>
            <w:tcW w:w="26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r>
              <w:rPr>
                <w:snapToGrid w:val="0"/>
                <w:color w:val="auto"/>
                <w:sz w:val="22"/>
                <w:szCs w:val="22"/>
                <w:highlight w:val="none"/>
              </w:rPr>
              <w:t>YT24</w:t>
            </w:r>
            <w:r>
              <w:rPr>
                <w:snapToGrid w:val="0"/>
                <w:color w:val="auto"/>
                <w:sz w:val="22"/>
                <w:szCs w:val="22"/>
                <w:highlight w:val="none"/>
                <w:lang w:val="zh-CN"/>
              </w:rPr>
              <w:t>型</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en-US" w:eastAsia="zh-CN"/>
              </w:rPr>
            </w:pPr>
            <w:r>
              <w:rPr>
                <w:rFonts w:eastAsia="宋体"/>
                <w:snapToGrid w:val="0"/>
                <w:color w:val="auto"/>
                <w:sz w:val="22"/>
                <w:szCs w:val="22"/>
                <w:highlight w:val="none"/>
              </w:rPr>
              <w:t>90</w:t>
            </w:r>
          </w:p>
        </w:tc>
        <w:tc>
          <w:tcPr>
            <w:tcW w:w="1755"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zh-CN" w:bidi="ar-SA"/>
              </w:rPr>
            </w:pPr>
            <w:r>
              <w:rPr>
                <w:rFonts w:hint="default" w:ascii="Times New Roman" w:hAnsi="Times New Roman" w:cs="Times New Roman"/>
                <w:color w:val="auto"/>
                <w:spacing w:val="-7"/>
                <w:sz w:val="22"/>
                <w:szCs w:val="22"/>
                <w:highlight w:val="none"/>
              </w:rPr>
              <w:t>距声源</w:t>
            </w:r>
            <w:r>
              <w:rPr>
                <w:rFonts w:hint="eastAsia" w:ascii="Times New Roman" w:hAnsi="Times New Roman" w:cs="Times New Roman"/>
                <w:color w:val="auto"/>
                <w:spacing w:val="-7"/>
                <w:sz w:val="22"/>
                <w:szCs w:val="22"/>
                <w:highlight w:val="none"/>
                <w:lang w:val="en-US" w:eastAsia="zh-CN"/>
              </w:rPr>
              <w:t>1</w:t>
            </w:r>
            <w:r>
              <w:rPr>
                <w:rFonts w:hint="default" w:ascii="Times New Roman" w:hAnsi="Times New Roman" w:cs="Times New Roman"/>
                <w:color w:val="auto"/>
                <w:spacing w:val="-7"/>
                <w:sz w:val="22"/>
                <w:szCs w:val="22"/>
                <w:highlight w:val="none"/>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7"/>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snapToGrid w:val="0"/>
                <w:color w:val="auto"/>
                <w:sz w:val="22"/>
                <w:szCs w:val="22"/>
                <w:highlight w:val="none"/>
              </w:rPr>
            </w:pPr>
          </w:p>
        </w:tc>
        <w:tc>
          <w:tcPr>
            <w:tcW w:w="22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snapToGrid w:val="0"/>
                <w:color w:val="auto"/>
                <w:kern w:val="2"/>
                <w:sz w:val="22"/>
                <w:szCs w:val="22"/>
                <w:highlight w:val="none"/>
                <w:lang w:val="zh-CN" w:eastAsia="zh-CN" w:bidi="ar-SA"/>
              </w:rPr>
            </w:pPr>
            <w:r>
              <w:rPr>
                <w:snapToGrid w:val="0"/>
                <w:color w:val="auto"/>
                <w:sz w:val="22"/>
                <w:szCs w:val="22"/>
                <w:highlight w:val="none"/>
              </w:rPr>
              <w:t>潜孔钻</w:t>
            </w:r>
          </w:p>
        </w:tc>
        <w:tc>
          <w:tcPr>
            <w:tcW w:w="26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r>
              <w:rPr>
                <w:snapToGrid w:val="0"/>
                <w:color w:val="auto"/>
                <w:sz w:val="22"/>
                <w:szCs w:val="22"/>
                <w:highlight w:val="none"/>
              </w:rPr>
              <w:t>100型</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zh-CN" w:eastAsia="zh-CN"/>
              </w:rPr>
            </w:pPr>
            <w:r>
              <w:rPr>
                <w:rFonts w:eastAsia="宋体"/>
                <w:snapToGrid w:val="0"/>
                <w:color w:val="auto"/>
                <w:sz w:val="22"/>
                <w:szCs w:val="22"/>
                <w:highlight w:val="none"/>
                <w:lang w:val="zh-CN"/>
              </w:rPr>
              <w:t>90</w:t>
            </w:r>
          </w:p>
        </w:tc>
        <w:tc>
          <w:tcPr>
            <w:tcW w:w="1755"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zh-CN" w:bidi="ar-SA"/>
              </w:rPr>
            </w:pPr>
            <w:r>
              <w:rPr>
                <w:rFonts w:hint="default" w:ascii="Times New Roman" w:hAnsi="Times New Roman" w:cs="Times New Roman"/>
                <w:color w:val="auto"/>
                <w:spacing w:val="-7"/>
                <w:sz w:val="22"/>
                <w:szCs w:val="22"/>
                <w:highlight w:val="none"/>
              </w:rPr>
              <w:t>距声源</w:t>
            </w:r>
            <w:r>
              <w:rPr>
                <w:rFonts w:hint="eastAsia" w:ascii="Times New Roman" w:hAnsi="Times New Roman" w:cs="Times New Roman"/>
                <w:color w:val="auto"/>
                <w:spacing w:val="-7"/>
                <w:sz w:val="22"/>
                <w:szCs w:val="22"/>
                <w:highlight w:val="none"/>
                <w:lang w:val="en-US" w:eastAsia="zh-CN"/>
              </w:rPr>
              <w:t>1</w:t>
            </w:r>
            <w:r>
              <w:rPr>
                <w:rFonts w:hint="default" w:ascii="Times New Roman" w:hAnsi="Times New Roman" w:cs="Times New Roman"/>
                <w:color w:val="auto"/>
                <w:spacing w:val="-7"/>
                <w:sz w:val="22"/>
                <w:szCs w:val="22"/>
                <w:highlight w:val="none"/>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7"/>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snapToGrid w:val="0"/>
                <w:color w:val="auto"/>
                <w:sz w:val="22"/>
                <w:szCs w:val="22"/>
                <w:highlight w:val="none"/>
              </w:rPr>
            </w:pPr>
          </w:p>
        </w:tc>
        <w:tc>
          <w:tcPr>
            <w:tcW w:w="22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lang w:val="en-US" w:eastAsia="zh-CN"/>
              </w:rPr>
            </w:pPr>
            <w:r>
              <w:rPr>
                <w:snapToGrid w:val="0"/>
                <w:color w:val="auto"/>
                <w:sz w:val="22"/>
                <w:szCs w:val="22"/>
                <w:highlight w:val="none"/>
              </w:rPr>
              <w:t>空气压缩机</w:t>
            </w:r>
          </w:p>
        </w:tc>
        <w:tc>
          <w:tcPr>
            <w:tcW w:w="26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snapToGrid w:val="0"/>
                <w:color w:val="auto"/>
                <w:sz w:val="22"/>
                <w:szCs w:val="22"/>
                <w:highlight w:val="none"/>
                <w:lang w:val="en-US" w:eastAsia="zh-CN"/>
              </w:rPr>
            </w:pPr>
            <w:r>
              <w:rPr>
                <w:snapToGrid w:val="0"/>
                <w:color w:val="auto"/>
                <w:sz w:val="22"/>
                <w:szCs w:val="22"/>
                <w:highlight w:val="none"/>
              </w:rPr>
              <w:t>VY-9/7</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snapToGrid w:val="0"/>
                <w:color w:val="auto"/>
                <w:sz w:val="22"/>
                <w:szCs w:val="22"/>
                <w:highlight w:val="none"/>
                <w:lang w:val="en-US" w:eastAsia="zh-CN"/>
              </w:rPr>
            </w:pPr>
            <w:r>
              <w:rPr>
                <w:rFonts w:eastAsia="宋体"/>
                <w:snapToGrid w:val="0"/>
                <w:color w:val="auto"/>
                <w:sz w:val="22"/>
                <w:szCs w:val="22"/>
                <w:highlight w:val="none"/>
              </w:rPr>
              <w:t>8</w:t>
            </w:r>
            <w:r>
              <w:rPr>
                <w:rFonts w:hint="eastAsia" w:eastAsia="宋体"/>
                <w:snapToGrid w:val="0"/>
                <w:color w:val="auto"/>
                <w:sz w:val="22"/>
                <w:szCs w:val="22"/>
                <w:highlight w:val="none"/>
                <w:lang w:val="en-US" w:eastAsia="zh-CN"/>
              </w:rPr>
              <w:t>8</w:t>
            </w:r>
          </w:p>
        </w:tc>
        <w:tc>
          <w:tcPr>
            <w:tcW w:w="175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r>
              <w:rPr>
                <w:snapToGrid w:val="0"/>
                <w:color w:val="auto"/>
                <w:sz w:val="22"/>
                <w:szCs w:val="22"/>
                <w:highlight w:val="none"/>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7"/>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snapToGrid w:val="0"/>
                <w:color w:val="auto"/>
                <w:sz w:val="22"/>
                <w:szCs w:val="22"/>
                <w:highlight w:val="none"/>
              </w:rPr>
            </w:pPr>
          </w:p>
        </w:tc>
        <w:tc>
          <w:tcPr>
            <w:tcW w:w="22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lang w:val="en-US" w:eastAsia="zh-CN"/>
              </w:rPr>
            </w:pPr>
            <w:r>
              <w:rPr>
                <w:snapToGrid w:val="0"/>
                <w:color w:val="auto"/>
                <w:sz w:val="22"/>
                <w:szCs w:val="22"/>
                <w:highlight w:val="none"/>
              </w:rPr>
              <w:t>压路机</w:t>
            </w:r>
          </w:p>
        </w:tc>
        <w:tc>
          <w:tcPr>
            <w:tcW w:w="26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snapToGrid w:val="0"/>
                <w:color w:val="auto"/>
                <w:sz w:val="22"/>
                <w:szCs w:val="22"/>
                <w:highlight w:val="none"/>
                <w:lang w:val="en-US" w:eastAsia="zh-CN"/>
              </w:rPr>
            </w:pPr>
            <w:r>
              <w:rPr>
                <w:snapToGrid w:val="0"/>
                <w:color w:val="auto"/>
                <w:sz w:val="22"/>
                <w:szCs w:val="22"/>
                <w:highlight w:val="none"/>
              </w:rPr>
              <w:t>YZ-18</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eastAsia="宋体"/>
                <w:snapToGrid w:val="0"/>
                <w:color w:val="auto"/>
                <w:sz w:val="22"/>
                <w:szCs w:val="22"/>
                <w:highlight w:val="none"/>
                <w:lang w:val="en-US" w:eastAsia="zh-CN"/>
              </w:rPr>
            </w:pPr>
            <w:r>
              <w:rPr>
                <w:rFonts w:hint="eastAsia" w:eastAsia="宋体"/>
                <w:snapToGrid w:val="0"/>
                <w:color w:val="auto"/>
                <w:sz w:val="22"/>
                <w:szCs w:val="22"/>
                <w:highlight w:val="none"/>
                <w:lang w:val="en-US" w:eastAsia="zh-CN"/>
              </w:rPr>
              <w:t>80</w:t>
            </w:r>
          </w:p>
        </w:tc>
        <w:tc>
          <w:tcPr>
            <w:tcW w:w="175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r>
              <w:rPr>
                <w:snapToGrid w:val="0"/>
                <w:color w:val="auto"/>
                <w:sz w:val="22"/>
                <w:szCs w:val="22"/>
                <w:highlight w:val="none"/>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7"/>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snapToGrid w:val="0"/>
                <w:color w:val="auto"/>
                <w:sz w:val="22"/>
                <w:szCs w:val="22"/>
                <w:highlight w:val="none"/>
              </w:rPr>
            </w:pPr>
          </w:p>
        </w:tc>
        <w:tc>
          <w:tcPr>
            <w:tcW w:w="22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lang w:val="zh-CN" w:eastAsia="en-US"/>
              </w:rPr>
            </w:pPr>
            <w:r>
              <w:rPr>
                <w:snapToGrid w:val="0"/>
                <w:color w:val="auto"/>
                <w:sz w:val="22"/>
                <w:szCs w:val="22"/>
                <w:highlight w:val="none"/>
              </w:rPr>
              <w:t>立式打夯机</w:t>
            </w:r>
          </w:p>
        </w:tc>
        <w:tc>
          <w:tcPr>
            <w:tcW w:w="26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snapToGrid w:val="0"/>
                <w:color w:val="auto"/>
                <w:sz w:val="22"/>
                <w:szCs w:val="22"/>
                <w:highlight w:val="none"/>
                <w:lang w:val="en-US" w:eastAsia="zh-CN"/>
              </w:rPr>
            </w:pPr>
            <w:r>
              <w:rPr>
                <w:snapToGrid w:val="0"/>
                <w:color w:val="auto"/>
                <w:sz w:val="22"/>
                <w:szCs w:val="22"/>
                <w:highlight w:val="none"/>
              </w:rPr>
              <w:t>2.8</w:t>
            </w:r>
            <w:r>
              <w:rPr>
                <w:rFonts w:hint="eastAsia"/>
                <w:snapToGrid w:val="0"/>
                <w:color w:val="auto"/>
                <w:sz w:val="22"/>
                <w:szCs w:val="22"/>
                <w:highlight w:val="none"/>
                <w:shd w:val="clear" w:fill="FFFFFF"/>
                <w:lang w:eastAsia="zh-CN"/>
              </w:rPr>
              <w:t>kW</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en-US" w:eastAsia="zh-CN"/>
              </w:rPr>
            </w:pPr>
            <w:r>
              <w:rPr>
                <w:rFonts w:hint="eastAsia" w:eastAsia="宋体"/>
                <w:snapToGrid w:val="0"/>
                <w:color w:val="auto"/>
                <w:sz w:val="22"/>
                <w:szCs w:val="22"/>
                <w:highlight w:val="none"/>
                <w:lang w:val="en-US" w:eastAsia="zh-CN"/>
              </w:rPr>
              <w:t>92</w:t>
            </w:r>
          </w:p>
        </w:tc>
        <w:tc>
          <w:tcPr>
            <w:tcW w:w="175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snapToGrid w:val="0"/>
                <w:color w:val="auto"/>
                <w:sz w:val="22"/>
                <w:szCs w:val="22"/>
                <w:highlight w:val="none"/>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b/>
                <w:bCs/>
                <w:snapToGrid w:val="0"/>
                <w:color w:val="auto"/>
                <w:sz w:val="22"/>
                <w:szCs w:val="22"/>
                <w:highlight w:val="none"/>
                <w:lang w:eastAsia="zh-CN"/>
              </w:rPr>
            </w:pPr>
            <w:r>
              <w:rPr>
                <w:rFonts w:hint="eastAsia"/>
                <w:b/>
                <w:bCs/>
                <w:snapToGrid w:val="0"/>
                <w:color w:val="auto"/>
                <w:sz w:val="22"/>
                <w:szCs w:val="22"/>
                <w:highlight w:val="none"/>
                <w:lang w:eastAsia="zh-CN"/>
              </w:rPr>
              <w:t>二</w:t>
            </w:r>
          </w:p>
        </w:tc>
        <w:tc>
          <w:tcPr>
            <w:tcW w:w="7944" w:type="dxa"/>
            <w:gridSpan w:val="4"/>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rFonts w:hint="eastAsia"/>
                <w:b/>
                <w:bCs/>
                <w:snapToGrid w:val="0"/>
                <w:color w:val="auto"/>
                <w:sz w:val="22"/>
                <w:szCs w:val="22"/>
                <w:highlight w:val="none"/>
                <w:lang w:eastAsia="zh-CN"/>
              </w:rPr>
              <w:t>主体工程施工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8"/>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snapToGrid w:val="0"/>
                <w:color w:val="auto"/>
                <w:kern w:val="2"/>
                <w:sz w:val="22"/>
                <w:szCs w:val="22"/>
                <w:highlight w:val="none"/>
                <w:lang w:val="en-US" w:eastAsia="zh-CN" w:bidi="ar-SA"/>
              </w:rPr>
            </w:pPr>
          </w:p>
        </w:tc>
        <w:tc>
          <w:tcPr>
            <w:tcW w:w="2279"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钻机</w:t>
            </w:r>
          </w:p>
        </w:tc>
        <w:tc>
          <w:tcPr>
            <w:tcW w:w="2650"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pacing w:val="-7"/>
                <w:kern w:val="2"/>
                <w:sz w:val="22"/>
                <w:szCs w:val="22"/>
                <w:highlight w:val="none"/>
                <w:lang w:val="en-US" w:eastAsia="zh-CN" w:bidi="ar-SA"/>
              </w:rPr>
            </w:pPr>
            <w:r>
              <w:rPr>
                <w:rFonts w:hint="default" w:ascii="Times New Roman" w:hAnsi="Times New Roman" w:cs="Times New Roman"/>
                <w:color w:val="auto"/>
                <w:spacing w:val="-7"/>
                <w:sz w:val="22"/>
                <w:szCs w:val="22"/>
                <w:highlight w:val="none"/>
              </w:rPr>
              <w:t>GPS-10</w:t>
            </w:r>
            <w:r>
              <w:rPr>
                <w:rFonts w:hint="eastAsia" w:ascii="Times New Roman" w:hAnsi="Times New Roman" w:cs="Times New Roman"/>
                <w:color w:val="auto"/>
                <w:spacing w:val="-7"/>
                <w:sz w:val="22"/>
                <w:szCs w:val="22"/>
                <w:highlight w:val="none"/>
                <w:lang w:eastAsia="zh-CN"/>
              </w:rPr>
              <w:t>、</w:t>
            </w:r>
            <w:r>
              <w:rPr>
                <w:rFonts w:hint="default" w:ascii="Times New Roman" w:hAnsi="Times New Roman" w:cs="Times New Roman"/>
                <w:color w:val="auto"/>
                <w:spacing w:val="-7"/>
                <w:sz w:val="22"/>
                <w:szCs w:val="22"/>
                <w:highlight w:val="none"/>
              </w:rPr>
              <w:t>SGZ-Ⅲ型</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en-US" w:eastAsia="zh-CN"/>
              </w:rPr>
            </w:pPr>
            <w:r>
              <w:rPr>
                <w:rFonts w:hint="eastAsia" w:eastAsia="宋体"/>
                <w:snapToGrid w:val="0"/>
                <w:color w:val="auto"/>
                <w:sz w:val="22"/>
                <w:szCs w:val="22"/>
                <w:highlight w:val="none"/>
                <w:lang w:val="en-US" w:eastAsia="zh-CN"/>
              </w:rPr>
              <w:t>90</w:t>
            </w:r>
          </w:p>
        </w:tc>
        <w:tc>
          <w:tcPr>
            <w:tcW w:w="1755"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zh-CN" w:bidi="ar-SA"/>
              </w:rPr>
            </w:pPr>
            <w:r>
              <w:rPr>
                <w:rFonts w:hint="default" w:ascii="Times New Roman" w:hAnsi="Times New Roman" w:cs="Times New Roman"/>
                <w:color w:val="auto"/>
                <w:spacing w:val="-7"/>
                <w:sz w:val="22"/>
                <w:szCs w:val="22"/>
                <w:highlight w:val="none"/>
              </w:rPr>
              <w:t>距声源</w:t>
            </w:r>
            <w:r>
              <w:rPr>
                <w:rFonts w:hint="eastAsia" w:ascii="Times New Roman" w:hAnsi="Times New Roman" w:cs="Times New Roman"/>
                <w:color w:val="auto"/>
                <w:spacing w:val="-7"/>
                <w:sz w:val="22"/>
                <w:szCs w:val="22"/>
                <w:highlight w:val="none"/>
                <w:lang w:val="en-US" w:eastAsia="zh-CN"/>
              </w:rPr>
              <w:t>1</w:t>
            </w:r>
            <w:r>
              <w:rPr>
                <w:rFonts w:hint="default" w:ascii="Times New Roman" w:hAnsi="Times New Roman" w:cs="Times New Roman"/>
                <w:color w:val="auto"/>
                <w:spacing w:val="-7"/>
                <w:sz w:val="22"/>
                <w:szCs w:val="22"/>
                <w:highlight w:val="none"/>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8"/>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snapToGrid w:val="0"/>
                <w:color w:val="auto"/>
                <w:kern w:val="2"/>
                <w:sz w:val="22"/>
                <w:szCs w:val="22"/>
                <w:highlight w:val="none"/>
                <w:lang w:val="en-US" w:eastAsia="zh-CN" w:bidi="ar-SA"/>
              </w:rPr>
            </w:pPr>
          </w:p>
        </w:tc>
        <w:tc>
          <w:tcPr>
            <w:tcW w:w="2279"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冲孔桩机</w:t>
            </w:r>
          </w:p>
        </w:tc>
        <w:tc>
          <w:tcPr>
            <w:tcW w:w="2650"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SLZ-300</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en-US" w:eastAsia="en-US"/>
              </w:rPr>
            </w:pPr>
            <w:r>
              <w:rPr>
                <w:rFonts w:hint="eastAsia" w:eastAsia="宋体"/>
                <w:snapToGrid w:val="0"/>
                <w:color w:val="auto"/>
                <w:sz w:val="22"/>
                <w:szCs w:val="22"/>
                <w:highlight w:val="none"/>
                <w:lang w:val="en-US" w:eastAsia="zh-CN"/>
              </w:rPr>
              <w:t>100</w:t>
            </w:r>
          </w:p>
        </w:tc>
        <w:tc>
          <w:tcPr>
            <w:tcW w:w="1755"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lang w:val="en-US" w:eastAsia="en-US"/>
              </w:rPr>
              <w:t>距声源</w:t>
            </w:r>
            <w:r>
              <w:rPr>
                <w:rFonts w:hint="eastAsia" w:ascii="Times New Roman" w:hAnsi="Times New Roman" w:cs="Times New Roman"/>
                <w:color w:val="auto"/>
                <w:spacing w:val="-7"/>
                <w:sz w:val="22"/>
                <w:szCs w:val="22"/>
                <w:highlight w:val="none"/>
                <w:lang w:val="en-US" w:eastAsia="zh-CN"/>
              </w:rPr>
              <w:t>5</w:t>
            </w:r>
            <w:r>
              <w:rPr>
                <w:rFonts w:hint="default" w:ascii="Times New Roman" w:hAnsi="Times New Roman" w:cs="Times New Roman"/>
                <w:color w:val="auto"/>
                <w:spacing w:val="-7"/>
                <w:sz w:val="22"/>
                <w:szCs w:val="22"/>
                <w:highlight w:val="none"/>
                <w:lang w:val="en-US" w:eastAsia="en-US"/>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8"/>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snapToGrid w:val="0"/>
                <w:color w:val="auto"/>
                <w:kern w:val="2"/>
                <w:sz w:val="22"/>
                <w:szCs w:val="22"/>
                <w:highlight w:val="none"/>
                <w:lang w:val="en-US" w:eastAsia="zh-CN" w:bidi="ar-SA"/>
              </w:rPr>
            </w:pPr>
          </w:p>
        </w:tc>
        <w:tc>
          <w:tcPr>
            <w:tcW w:w="2279"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泥浆搅拌机</w:t>
            </w:r>
          </w:p>
        </w:tc>
        <w:tc>
          <w:tcPr>
            <w:tcW w:w="2650"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容量 100L~300L</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en-US" w:eastAsia="en-US"/>
              </w:rPr>
            </w:pPr>
            <w:r>
              <w:rPr>
                <w:rFonts w:hint="default" w:eastAsia="宋体"/>
                <w:snapToGrid w:val="0"/>
                <w:color w:val="auto"/>
                <w:sz w:val="22"/>
                <w:szCs w:val="22"/>
                <w:highlight w:val="none"/>
                <w:lang w:val="en-US" w:eastAsia="en-US"/>
              </w:rPr>
              <w:t>90</w:t>
            </w:r>
          </w:p>
        </w:tc>
        <w:tc>
          <w:tcPr>
            <w:tcW w:w="1755"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pacing w:val="-7"/>
                <w:sz w:val="22"/>
                <w:szCs w:val="22"/>
                <w:highlight w:val="none"/>
                <w:lang w:val="en-US" w:eastAsia="en-US"/>
              </w:rPr>
            </w:pPr>
            <w:r>
              <w:rPr>
                <w:rFonts w:hint="default" w:ascii="Times New Roman" w:hAnsi="Times New Roman" w:cs="Times New Roman"/>
                <w:color w:val="auto"/>
                <w:spacing w:val="-7"/>
                <w:sz w:val="22"/>
                <w:szCs w:val="22"/>
                <w:highlight w:val="none"/>
                <w:lang w:val="en-US" w:eastAsia="en-US"/>
              </w:rPr>
              <w:t>距声源1m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8"/>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snapToGrid w:val="0"/>
                <w:color w:val="auto"/>
                <w:kern w:val="2"/>
                <w:sz w:val="22"/>
                <w:szCs w:val="22"/>
                <w:highlight w:val="none"/>
                <w:lang w:val="en-US" w:eastAsia="zh-CN" w:bidi="ar-SA"/>
              </w:rPr>
            </w:pPr>
          </w:p>
        </w:tc>
        <w:tc>
          <w:tcPr>
            <w:tcW w:w="2279"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灌浆机</w:t>
            </w:r>
          </w:p>
        </w:tc>
        <w:tc>
          <w:tcPr>
            <w:tcW w:w="2650"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110/60</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rPr>
            </w:pPr>
            <w:r>
              <w:rPr>
                <w:rFonts w:hint="default" w:eastAsia="宋体"/>
                <w:snapToGrid w:val="0"/>
                <w:color w:val="auto"/>
                <w:sz w:val="22"/>
                <w:szCs w:val="22"/>
                <w:highlight w:val="none"/>
              </w:rPr>
              <w:t>88</w:t>
            </w:r>
          </w:p>
        </w:tc>
        <w:tc>
          <w:tcPr>
            <w:tcW w:w="1755"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8"/>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snapToGrid w:val="0"/>
                <w:color w:val="auto"/>
                <w:kern w:val="2"/>
                <w:sz w:val="22"/>
                <w:szCs w:val="22"/>
                <w:highlight w:val="none"/>
                <w:lang w:val="en-US" w:eastAsia="zh-CN" w:bidi="ar-SA"/>
              </w:rPr>
            </w:pPr>
          </w:p>
        </w:tc>
        <w:tc>
          <w:tcPr>
            <w:tcW w:w="2279"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灰浆泵</w:t>
            </w:r>
          </w:p>
        </w:tc>
        <w:tc>
          <w:tcPr>
            <w:tcW w:w="2650"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DW-150</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rPr>
            </w:pPr>
            <w:r>
              <w:rPr>
                <w:rFonts w:hint="default" w:eastAsia="宋体"/>
                <w:snapToGrid w:val="0"/>
                <w:color w:val="auto"/>
                <w:sz w:val="22"/>
                <w:szCs w:val="22"/>
                <w:highlight w:val="none"/>
              </w:rPr>
              <w:t>88</w:t>
            </w:r>
          </w:p>
        </w:tc>
        <w:tc>
          <w:tcPr>
            <w:tcW w:w="1755"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8"/>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snapToGrid w:val="0"/>
                <w:color w:val="auto"/>
                <w:kern w:val="2"/>
                <w:sz w:val="22"/>
                <w:szCs w:val="22"/>
                <w:highlight w:val="none"/>
                <w:lang w:val="en-US" w:eastAsia="zh-CN" w:bidi="ar-SA"/>
              </w:rPr>
            </w:pPr>
          </w:p>
        </w:tc>
        <w:tc>
          <w:tcPr>
            <w:tcW w:w="2279"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zh-CN" w:eastAsia="en-US" w:bidi="ar-SA"/>
              </w:rPr>
            </w:pPr>
            <w:r>
              <w:rPr>
                <w:rFonts w:hint="default" w:ascii="Times New Roman" w:hAnsi="Times New Roman" w:cs="Times New Roman"/>
                <w:color w:val="auto"/>
                <w:spacing w:val="-7"/>
                <w:sz w:val="22"/>
                <w:szCs w:val="22"/>
                <w:highlight w:val="none"/>
              </w:rPr>
              <w:t>电动卷扬机</w:t>
            </w:r>
          </w:p>
        </w:tc>
        <w:tc>
          <w:tcPr>
            <w:tcW w:w="2650"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zh-CN" w:bidi="ar-SA"/>
              </w:rPr>
            </w:pPr>
            <w:r>
              <w:rPr>
                <w:rFonts w:hint="default" w:ascii="Times New Roman" w:hAnsi="Times New Roman" w:cs="Times New Roman"/>
                <w:color w:val="auto"/>
                <w:spacing w:val="-7"/>
                <w:sz w:val="22"/>
                <w:szCs w:val="22"/>
                <w:highlight w:val="none"/>
              </w:rPr>
              <w:t>50kN</w:t>
            </w:r>
            <w:r>
              <w:rPr>
                <w:rFonts w:hint="eastAsia" w:ascii="Times New Roman" w:hAnsi="Times New Roman" w:cs="Times New Roman"/>
                <w:color w:val="auto"/>
                <w:spacing w:val="-7"/>
                <w:sz w:val="22"/>
                <w:szCs w:val="22"/>
                <w:highlight w:val="none"/>
                <w:lang w:eastAsia="zh-CN"/>
              </w:rPr>
              <w:t>、</w:t>
            </w:r>
            <w:r>
              <w:rPr>
                <w:rFonts w:hint="default" w:ascii="Times New Roman" w:hAnsi="Times New Roman" w:cs="Times New Roman"/>
                <w:color w:val="auto"/>
                <w:spacing w:val="-7"/>
                <w:sz w:val="22"/>
                <w:szCs w:val="22"/>
                <w:highlight w:val="none"/>
              </w:rPr>
              <w:t>80kN</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zh-CN" w:eastAsia="en-US"/>
              </w:rPr>
            </w:pPr>
            <w:r>
              <w:rPr>
                <w:rFonts w:hint="default" w:eastAsia="宋体"/>
                <w:snapToGrid w:val="0"/>
                <w:color w:val="auto"/>
                <w:sz w:val="22"/>
                <w:szCs w:val="22"/>
                <w:highlight w:val="none"/>
              </w:rPr>
              <w:t>85</w:t>
            </w:r>
          </w:p>
        </w:tc>
        <w:tc>
          <w:tcPr>
            <w:tcW w:w="1755"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eastAsia" w:ascii="Times New Roman" w:hAnsi="Times New Roman" w:cs="Times New Roman"/>
                <w:color w:val="auto"/>
                <w:spacing w:val="-7"/>
                <w:sz w:val="22"/>
                <w:szCs w:val="22"/>
                <w:highlight w:val="none"/>
                <w:lang w:val="en-US" w:eastAsia="zh-CN"/>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8"/>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2279"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砼拌楼</w:t>
            </w:r>
          </w:p>
        </w:tc>
        <w:tc>
          <w:tcPr>
            <w:tcW w:w="26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en-US" w:eastAsia="zh-CN"/>
              </w:rPr>
            </w:pPr>
            <w:r>
              <w:rPr>
                <w:rFonts w:hint="eastAsia"/>
                <w:snapToGrid w:val="0"/>
                <w:color w:val="auto"/>
                <w:sz w:val="22"/>
                <w:szCs w:val="22"/>
                <w:highlight w:val="none"/>
                <w:lang w:val="en-US" w:eastAsia="zh-CN"/>
              </w:rPr>
              <w:t>3m³</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snapToGrid w:val="0"/>
                <w:color w:val="auto"/>
                <w:sz w:val="22"/>
                <w:szCs w:val="22"/>
                <w:highlight w:val="none"/>
                <w:lang w:val="en-US" w:eastAsia="zh-CN"/>
              </w:rPr>
            </w:pPr>
            <w:r>
              <w:rPr>
                <w:rFonts w:hint="eastAsia" w:eastAsia="宋体"/>
                <w:snapToGrid w:val="0"/>
                <w:color w:val="auto"/>
                <w:sz w:val="22"/>
                <w:szCs w:val="22"/>
                <w:highlight w:val="none"/>
                <w:lang w:val="en-US" w:eastAsia="zh-CN"/>
              </w:rPr>
              <w:t>85</w:t>
            </w:r>
          </w:p>
        </w:tc>
        <w:tc>
          <w:tcPr>
            <w:tcW w:w="175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snapToGrid w:val="0"/>
                <w:color w:val="auto"/>
                <w:sz w:val="22"/>
                <w:szCs w:val="22"/>
                <w:highlight w:val="none"/>
                <w:lang w:val="en-US" w:eastAsia="zh-CN"/>
              </w:rPr>
            </w:pPr>
            <w:r>
              <w:rPr>
                <w:rFonts w:hint="eastAsia"/>
                <w:snapToGrid w:val="0"/>
                <w:color w:val="auto"/>
                <w:sz w:val="22"/>
                <w:szCs w:val="22"/>
                <w:highlight w:val="none"/>
                <w:lang w:val="en-US" w:eastAsia="zh-CN"/>
              </w:rPr>
              <w:t>距声源1m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8"/>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2279"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砼泵</w:t>
            </w:r>
          </w:p>
        </w:tc>
        <w:tc>
          <w:tcPr>
            <w:tcW w:w="26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snapToGrid w:val="0"/>
                <w:color w:val="auto"/>
                <w:sz w:val="22"/>
                <w:szCs w:val="22"/>
                <w:highlight w:val="none"/>
                <w:shd w:val="clear" w:fill="FFFFFF"/>
              </w:rPr>
              <w:t>HZ</w:t>
            </w:r>
            <w:r>
              <w:rPr>
                <w:snapToGrid w:val="0"/>
                <w:color w:val="auto"/>
                <w:sz w:val="22"/>
                <w:szCs w:val="22"/>
                <w:highlight w:val="none"/>
              </w:rPr>
              <w:t>-40型</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en-US" w:eastAsia="zh-CN"/>
              </w:rPr>
            </w:pPr>
            <w:r>
              <w:rPr>
                <w:rFonts w:hint="default" w:eastAsia="宋体"/>
                <w:snapToGrid w:val="0"/>
                <w:color w:val="auto"/>
                <w:sz w:val="22"/>
                <w:szCs w:val="22"/>
                <w:highlight w:val="none"/>
                <w:lang w:val="en-US" w:eastAsia="zh-CN"/>
              </w:rPr>
              <w:t>88</w:t>
            </w:r>
          </w:p>
        </w:tc>
        <w:tc>
          <w:tcPr>
            <w:tcW w:w="175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snapToGrid w:val="0"/>
                <w:color w:val="auto"/>
                <w:sz w:val="22"/>
                <w:szCs w:val="22"/>
                <w:highlight w:val="none"/>
                <w:lang w:val="en-US" w:eastAsia="zh-CN"/>
              </w:rPr>
            </w:pPr>
            <w:r>
              <w:rPr>
                <w:rFonts w:hint="default"/>
                <w:snapToGrid w:val="0"/>
                <w:color w:val="auto"/>
                <w:sz w:val="22"/>
                <w:szCs w:val="22"/>
                <w:highlight w:val="none"/>
                <w:lang w:val="en-US" w:eastAsia="zh-CN"/>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8"/>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2279"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移动式搅拌机</w:t>
            </w:r>
          </w:p>
        </w:tc>
        <w:tc>
          <w:tcPr>
            <w:tcW w:w="26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en-US" w:eastAsia="zh-CN"/>
              </w:rPr>
            </w:pPr>
            <w:r>
              <w:rPr>
                <w:rFonts w:hint="eastAsia" w:eastAsia="宋体"/>
                <w:snapToGrid w:val="0"/>
                <w:color w:val="auto"/>
                <w:sz w:val="22"/>
                <w:szCs w:val="22"/>
                <w:highlight w:val="none"/>
                <w:lang w:val="en-US" w:eastAsia="zh-CN"/>
              </w:rPr>
              <w:t>80</w:t>
            </w:r>
          </w:p>
        </w:tc>
        <w:tc>
          <w:tcPr>
            <w:tcW w:w="175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snapToGrid w:val="0"/>
                <w:color w:val="auto"/>
                <w:sz w:val="22"/>
                <w:szCs w:val="22"/>
                <w:highlight w:val="none"/>
                <w:lang w:val="en-US" w:eastAsia="zh-CN"/>
              </w:rPr>
            </w:pPr>
            <w:r>
              <w:rPr>
                <w:rFonts w:hint="eastAsia"/>
                <w:snapToGrid w:val="0"/>
                <w:color w:val="auto"/>
                <w:sz w:val="22"/>
                <w:szCs w:val="22"/>
                <w:highlight w:val="none"/>
                <w:lang w:val="en-US" w:eastAsia="zh-CN"/>
              </w:rPr>
              <w:t>距声源1m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8"/>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2279"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zh-CN" w:eastAsia="en-US" w:bidi="ar-SA"/>
              </w:rPr>
            </w:pPr>
            <w:r>
              <w:rPr>
                <w:rFonts w:hint="default" w:ascii="Times New Roman" w:hAnsi="Times New Roman" w:cs="Times New Roman"/>
                <w:color w:val="auto"/>
                <w:spacing w:val="-7"/>
                <w:sz w:val="22"/>
                <w:szCs w:val="22"/>
                <w:highlight w:val="none"/>
              </w:rPr>
              <w:t>混凝土输送泵</w:t>
            </w:r>
          </w:p>
        </w:tc>
        <w:tc>
          <w:tcPr>
            <w:tcW w:w="2650"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60</w:t>
            </w:r>
            <w:r>
              <w:rPr>
                <w:rFonts w:hint="eastAsia" w:ascii="Times New Roman" w:hAnsi="Times New Roman" w:cs="Times New Roman"/>
                <w:color w:val="auto"/>
                <w:spacing w:val="-7"/>
                <w:sz w:val="22"/>
                <w:szCs w:val="22"/>
                <w:highlight w:val="none"/>
                <w:lang w:val="en-US" w:eastAsia="zh-CN"/>
              </w:rPr>
              <w:t>m³</w:t>
            </w: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snapToGrid w:val="0"/>
                <w:color w:val="auto"/>
                <w:sz w:val="22"/>
                <w:szCs w:val="22"/>
                <w:highlight w:val="none"/>
                <w:lang w:val="en-US" w:eastAsia="zh-CN"/>
              </w:rPr>
            </w:pPr>
            <w:r>
              <w:rPr>
                <w:rFonts w:hint="eastAsia" w:eastAsia="宋体"/>
                <w:snapToGrid w:val="0"/>
                <w:color w:val="auto"/>
                <w:sz w:val="22"/>
                <w:szCs w:val="22"/>
                <w:highlight w:val="none"/>
                <w:lang w:val="en-US" w:eastAsia="zh-CN"/>
              </w:rPr>
              <w:t>88</w:t>
            </w:r>
          </w:p>
        </w:tc>
        <w:tc>
          <w:tcPr>
            <w:tcW w:w="1755"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pacing w:val="-7"/>
                <w:kern w:val="2"/>
                <w:sz w:val="22"/>
                <w:szCs w:val="22"/>
                <w:highlight w:val="none"/>
                <w:lang w:val="en-US" w:eastAsia="zh-CN" w:bidi="ar-SA"/>
              </w:rPr>
            </w:pPr>
            <w:r>
              <w:rPr>
                <w:rFonts w:hint="default" w:ascii="Times New Roman" w:hAnsi="Times New Roman" w:cs="Times New Roman"/>
                <w:color w:val="auto"/>
                <w:spacing w:val="-7"/>
                <w:sz w:val="22"/>
                <w:szCs w:val="22"/>
                <w:highlight w:val="none"/>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8"/>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2279"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pacing w:val="-7"/>
                <w:kern w:val="2"/>
                <w:sz w:val="22"/>
                <w:szCs w:val="22"/>
                <w:highlight w:val="none"/>
                <w:lang w:val="en-US" w:eastAsia="zh-CN" w:bidi="ar-SA"/>
              </w:rPr>
            </w:pPr>
            <w:r>
              <w:rPr>
                <w:rFonts w:hint="eastAsia" w:ascii="Times New Roman" w:hAnsi="Times New Roman" w:cs="Times New Roman"/>
                <w:color w:val="auto"/>
                <w:spacing w:val="-7"/>
                <w:sz w:val="22"/>
                <w:szCs w:val="22"/>
                <w:highlight w:val="none"/>
                <w:lang w:eastAsia="zh-CN"/>
              </w:rPr>
              <w:t>振捣器</w:t>
            </w:r>
          </w:p>
        </w:tc>
        <w:tc>
          <w:tcPr>
            <w:tcW w:w="265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p>
        </w:tc>
        <w:tc>
          <w:tcPr>
            <w:tcW w:w="126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en-US" w:eastAsia="zh-CN"/>
              </w:rPr>
            </w:pPr>
            <w:r>
              <w:rPr>
                <w:rFonts w:hint="eastAsia" w:eastAsia="宋体"/>
                <w:snapToGrid w:val="0"/>
                <w:color w:val="auto"/>
                <w:sz w:val="22"/>
                <w:szCs w:val="22"/>
                <w:highlight w:val="none"/>
                <w:lang w:val="en-US" w:eastAsia="zh-CN"/>
              </w:rPr>
              <w:t>80</w:t>
            </w:r>
          </w:p>
        </w:tc>
        <w:tc>
          <w:tcPr>
            <w:tcW w:w="1755"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距声源1m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b/>
                <w:bCs/>
                <w:snapToGrid w:val="0"/>
                <w:color w:val="auto"/>
                <w:sz w:val="22"/>
                <w:szCs w:val="22"/>
                <w:highlight w:val="none"/>
                <w:lang w:eastAsia="zh-CN"/>
              </w:rPr>
            </w:pPr>
            <w:r>
              <w:rPr>
                <w:rFonts w:hint="eastAsia"/>
                <w:b/>
                <w:bCs/>
                <w:snapToGrid w:val="0"/>
                <w:color w:val="auto"/>
                <w:sz w:val="22"/>
                <w:szCs w:val="22"/>
                <w:highlight w:val="none"/>
                <w:lang w:eastAsia="zh-CN"/>
              </w:rPr>
              <w:t>三</w:t>
            </w:r>
          </w:p>
        </w:tc>
        <w:tc>
          <w:tcPr>
            <w:tcW w:w="7944" w:type="dxa"/>
            <w:gridSpan w:val="4"/>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pacing w:val="-7"/>
                <w:sz w:val="22"/>
                <w:szCs w:val="22"/>
                <w:highlight w:val="none"/>
              </w:rPr>
            </w:pPr>
            <w:r>
              <w:rPr>
                <w:b/>
                <w:bCs/>
                <w:snapToGrid w:val="0"/>
                <w:color w:val="auto"/>
                <w:sz w:val="22"/>
                <w:szCs w:val="22"/>
                <w:highlight w:val="none"/>
              </w:rPr>
              <w:t>运输机械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9"/>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2279"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自卸汽车</w:t>
            </w:r>
          </w:p>
        </w:tc>
        <w:tc>
          <w:tcPr>
            <w:tcW w:w="2650"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20t</w:t>
            </w:r>
          </w:p>
        </w:tc>
        <w:tc>
          <w:tcPr>
            <w:tcW w:w="1260"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zh-CN" w:bidi="ar-SA"/>
              </w:rPr>
            </w:pPr>
            <w:r>
              <w:rPr>
                <w:rFonts w:hint="default" w:ascii="Times New Roman" w:hAnsi="Times New Roman" w:cs="Times New Roman"/>
                <w:color w:val="auto"/>
                <w:spacing w:val="-7"/>
                <w:sz w:val="22"/>
                <w:szCs w:val="22"/>
                <w:highlight w:val="none"/>
              </w:rPr>
              <w:t>82</w:t>
            </w:r>
          </w:p>
        </w:tc>
        <w:tc>
          <w:tcPr>
            <w:tcW w:w="1755"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zh-CN" w:bidi="ar-SA"/>
              </w:rPr>
            </w:pPr>
            <w:r>
              <w:rPr>
                <w:rFonts w:hint="default" w:ascii="Times New Roman" w:hAnsi="Times New Roman" w:cs="Times New Roman"/>
                <w:color w:val="auto"/>
                <w:spacing w:val="-7"/>
                <w:sz w:val="22"/>
                <w:szCs w:val="22"/>
                <w:highlight w:val="none"/>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noWrap w:val="0"/>
            <w:vAlign w:val="center"/>
          </w:tcPr>
          <w:p>
            <w:pPr>
              <w:keepNext w:val="0"/>
              <w:keepLines w:val="0"/>
              <w:pageBreakBefore w:val="0"/>
              <w:widowControl w:val="0"/>
              <w:numPr>
                <w:ilvl w:val="0"/>
                <w:numId w:val="19"/>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2279"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砼搅拌运输车</w:t>
            </w:r>
          </w:p>
        </w:tc>
        <w:tc>
          <w:tcPr>
            <w:tcW w:w="2650"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FV415 6</w:t>
            </w:r>
            <w:r>
              <w:rPr>
                <w:rFonts w:hint="eastAsia" w:ascii="Times New Roman" w:hAnsi="Times New Roman" w:cs="Times New Roman"/>
                <w:color w:val="auto"/>
                <w:spacing w:val="-7"/>
                <w:sz w:val="22"/>
                <w:szCs w:val="22"/>
                <w:highlight w:val="none"/>
                <w:lang w:val="en-US" w:eastAsia="zh-CN"/>
              </w:rPr>
              <w:t>m³</w:t>
            </w:r>
          </w:p>
        </w:tc>
        <w:tc>
          <w:tcPr>
            <w:tcW w:w="1260"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82</w:t>
            </w:r>
          </w:p>
        </w:tc>
        <w:tc>
          <w:tcPr>
            <w:tcW w:w="1755"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pacing w:val="-7"/>
                <w:sz w:val="22"/>
                <w:szCs w:val="22"/>
                <w:highlight w:val="none"/>
              </w:rPr>
            </w:pPr>
            <w:r>
              <w:rPr>
                <w:rFonts w:hint="default" w:ascii="Times New Roman" w:hAnsi="Times New Roman" w:cs="Times New Roman"/>
                <w:color w:val="auto"/>
                <w:spacing w:val="-7"/>
                <w:sz w:val="22"/>
                <w:szCs w:val="22"/>
                <w:highlight w:val="none"/>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keepNext w:val="0"/>
              <w:keepLines w:val="0"/>
              <w:pageBreakBefore w:val="0"/>
              <w:widowControl w:val="0"/>
              <w:numPr>
                <w:ilvl w:val="0"/>
                <w:numId w:val="19"/>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zh-CN" w:eastAsia="en-US" w:bidi="ar-SA"/>
              </w:rPr>
            </w:pPr>
            <w:r>
              <w:rPr>
                <w:rFonts w:hint="default" w:ascii="Times New Roman" w:hAnsi="Times New Roman" w:cs="Times New Roman"/>
                <w:color w:val="auto"/>
                <w:spacing w:val="-7"/>
                <w:sz w:val="22"/>
                <w:szCs w:val="22"/>
                <w:highlight w:val="none"/>
              </w:rPr>
              <w:t>载</w:t>
            </w:r>
            <w:r>
              <w:rPr>
                <w:rFonts w:hint="eastAsia" w:ascii="Times New Roman" w:hAnsi="Times New Roman" w:cs="Times New Roman"/>
                <w:color w:val="auto"/>
                <w:spacing w:val="-7"/>
                <w:sz w:val="22"/>
                <w:szCs w:val="22"/>
                <w:highlight w:val="none"/>
                <w:lang w:eastAsia="zh-CN"/>
              </w:rPr>
              <w:t>重</w:t>
            </w:r>
            <w:r>
              <w:rPr>
                <w:rFonts w:hint="default" w:ascii="Times New Roman" w:hAnsi="Times New Roman" w:cs="Times New Roman"/>
                <w:color w:val="auto"/>
                <w:spacing w:val="-7"/>
                <w:sz w:val="22"/>
                <w:szCs w:val="22"/>
                <w:highlight w:val="none"/>
              </w:rPr>
              <w:t>汽车</w:t>
            </w:r>
          </w:p>
        </w:tc>
        <w:tc>
          <w:tcPr>
            <w:tcW w:w="265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8t</w:t>
            </w:r>
          </w:p>
        </w:tc>
        <w:tc>
          <w:tcPr>
            <w:tcW w:w="1260"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color w:val="auto"/>
                <w:spacing w:val="-7"/>
                <w:sz w:val="22"/>
                <w:szCs w:val="22"/>
                <w:highlight w:val="none"/>
                <w:lang w:val="zh-CN" w:eastAsia="zh-CN"/>
              </w:rPr>
            </w:pPr>
            <w:r>
              <w:rPr>
                <w:rFonts w:hint="eastAsia" w:ascii="Times New Roman" w:hAnsi="Times New Roman" w:cs="Times New Roman"/>
                <w:color w:val="auto"/>
                <w:spacing w:val="-7"/>
                <w:sz w:val="22"/>
                <w:szCs w:val="22"/>
                <w:highlight w:val="none"/>
                <w:lang w:val="en-US" w:eastAsia="zh-CN"/>
              </w:rPr>
              <w:t>82</w:t>
            </w:r>
          </w:p>
        </w:tc>
        <w:tc>
          <w:tcPr>
            <w:tcW w:w="1755"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color w:val="auto"/>
                <w:spacing w:val="-7"/>
                <w:sz w:val="22"/>
                <w:szCs w:val="22"/>
                <w:highlight w:val="none"/>
                <w:lang w:val="en-US" w:eastAsia="zh-CN"/>
              </w:rPr>
            </w:pPr>
            <w:r>
              <w:rPr>
                <w:rFonts w:hint="eastAsia" w:ascii="Times New Roman" w:hAnsi="Times New Roman" w:cs="Times New Roman"/>
                <w:color w:val="auto"/>
                <w:spacing w:val="-7"/>
                <w:sz w:val="22"/>
                <w:szCs w:val="22"/>
                <w:highlight w:val="none"/>
                <w:lang w:val="en-US" w:eastAsia="zh-CN"/>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Chars="0"/>
              <w:jc w:val="center"/>
              <w:textAlignment w:val="auto"/>
              <w:rPr>
                <w:rFonts w:ascii="Times New Roman" w:hAnsi="Times New Roman" w:eastAsia="宋体" w:cs="Times New Roman"/>
                <w:b/>
                <w:bCs/>
                <w:snapToGrid w:val="0"/>
                <w:color w:val="auto"/>
                <w:kern w:val="2"/>
                <w:sz w:val="22"/>
                <w:szCs w:val="22"/>
                <w:highlight w:val="none"/>
                <w:lang w:val="en-US" w:eastAsia="zh-CN" w:bidi="ar-SA"/>
              </w:rPr>
            </w:pPr>
            <w:r>
              <w:rPr>
                <w:rFonts w:hint="eastAsia" w:cs="Times New Roman"/>
                <w:b/>
                <w:bCs/>
                <w:snapToGrid w:val="0"/>
                <w:color w:val="auto"/>
                <w:kern w:val="2"/>
                <w:sz w:val="22"/>
                <w:szCs w:val="22"/>
                <w:highlight w:val="none"/>
                <w:lang w:val="en-US" w:eastAsia="zh-CN" w:bidi="ar-SA"/>
              </w:rPr>
              <w:t>四</w:t>
            </w:r>
          </w:p>
        </w:tc>
        <w:tc>
          <w:tcPr>
            <w:tcW w:w="7944" w:type="dxa"/>
            <w:gridSpan w:val="4"/>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pacing w:val="-7"/>
                <w:sz w:val="22"/>
                <w:szCs w:val="22"/>
                <w:highlight w:val="none"/>
              </w:rPr>
            </w:pPr>
            <w:r>
              <w:rPr>
                <w:rFonts w:hint="eastAsia" w:ascii="Times New Roman" w:hAnsi="Times New Roman" w:cs="Times New Roman"/>
                <w:b/>
                <w:bCs/>
                <w:color w:val="auto"/>
                <w:spacing w:val="-7"/>
                <w:sz w:val="22"/>
                <w:szCs w:val="22"/>
                <w:highlight w:val="none"/>
                <w:lang w:eastAsia="zh-CN"/>
              </w:rPr>
              <w:t>供水供电设备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keepNext w:val="0"/>
              <w:keepLines w:val="0"/>
              <w:pageBreakBefore w:val="0"/>
              <w:widowControl w:val="0"/>
              <w:numPr>
                <w:ilvl w:val="0"/>
                <w:numId w:val="2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潜水泵</w:t>
            </w: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QY-16</w:t>
            </w: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sz w:val="22"/>
                <w:szCs w:val="22"/>
                <w:highlight w:val="none"/>
                <w:lang w:val="en-US" w:eastAsia="zh-CN"/>
              </w:rPr>
            </w:pPr>
            <w:r>
              <w:rPr>
                <w:rFonts w:hint="eastAsia" w:ascii="Times New Roman" w:hAnsi="Times New Roman" w:cs="Times New Roman"/>
                <w:color w:val="auto"/>
                <w:spacing w:val="-7"/>
                <w:sz w:val="22"/>
                <w:szCs w:val="22"/>
                <w:highlight w:val="none"/>
                <w:lang w:val="en-US" w:eastAsia="zh-CN"/>
              </w:rPr>
              <w:t>80</w:t>
            </w: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pacing w:val="-7"/>
                <w:sz w:val="22"/>
                <w:szCs w:val="22"/>
                <w:highlight w:val="none"/>
                <w:lang w:val="en-US" w:eastAsia="en-US"/>
              </w:rPr>
            </w:pPr>
            <w:r>
              <w:rPr>
                <w:rFonts w:hint="default" w:ascii="Times New Roman" w:hAnsi="Times New Roman" w:cs="Times New Roman"/>
                <w:snapToGrid w:val="0"/>
                <w:color w:val="auto"/>
                <w:sz w:val="22"/>
                <w:szCs w:val="22"/>
                <w:highlight w:val="none"/>
                <w:lang w:val="en-US" w:eastAsia="zh-CN"/>
              </w:rPr>
              <w:t>距声源1m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keepNext w:val="0"/>
              <w:keepLines w:val="0"/>
              <w:pageBreakBefore w:val="0"/>
              <w:widowControl w:val="0"/>
              <w:numPr>
                <w:ilvl w:val="0"/>
                <w:numId w:val="2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离心泵</w:t>
            </w: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200BJ18</w:t>
            </w:r>
            <w:r>
              <w:rPr>
                <w:rFonts w:hint="eastAsia" w:ascii="Times New Roman" w:hAnsi="Times New Roman" w:cs="Times New Roman"/>
                <w:color w:val="auto"/>
                <w:spacing w:val="-7"/>
                <w:sz w:val="22"/>
                <w:szCs w:val="22"/>
                <w:highlight w:val="none"/>
                <w:lang w:eastAsia="zh-CN"/>
              </w:rPr>
              <w:t>、</w:t>
            </w:r>
            <w:r>
              <w:rPr>
                <w:rFonts w:hint="default" w:ascii="Times New Roman" w:hAnsi="Times New Roman" w:cs="Times New Roman"/>
                <w:color w:val="auto"/>
                <w:spacing w:val="-7"/>
                <w:sz w:val="22"/>
                <w:szCs w:val="22"/>
                <w:highlight w:val="none"/>
              </w:rPr>
              <w:t>DA1-100-6</w:t>
            </w: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zh-CN" w:eastAsia="en-US" w:bidi="ar-SA"/>
              </w:rPr>
            </w:pPr>
            <w:r>
              <w:rPr>
                <w:rFonts w:hint="eastAsia" w:ascii="Times New Roman" w:hAnsi="Times New Roman" w:cs="Times New Roman"/>
                <w:color w:val="auto"/>
                <w:spacing w:val="-7"/>
                <w:sz w:val="22"/>
                <w:szCs w:val="22"/>
                <w:highlight w:val="none"/>
                <w:lang w:val="en-US" w:eastAsia="zh-CN"/>
              </w:rPr>
              <w:t>80</w:t>
            </w: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snapToGrid w:val="0"/>
                <w:color w:val="auto"/>
                <w:sz w:val="22"/>
                <w:szCs w:val="22"/>
                <w:highlight w:val="none"/>
                <w:lang w:val="en-US" w:eastAsia="zh-CN"/>
              </w:rPr>
              <w:t>距声源1m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keepNext w:val="0"/>
              <w:keepLines w:val="0"/>
              <w:pageBreakBefore w:val="0"/>
              <w:widowControl w:val="0"/>
              <w:numPr>
                <w:ilvl w:val="0"/>
                <w:numId w:val="2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柴油发电机</w:t>
            </w: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pacing w:val="-7"/>
                <w:kern w:val="2"/>
                <w:sz w:val="22"/>
                <w:szCs w:val="22"/>
                <w:highlight w:val="none"/>
                <w:lang w:val="en-US" w:eastAsia="zh-CN" w:bidi="ar-SA"/>
              </w:rPr>
            </w:pPr>
            <w:r>
              <w:rPr>
                <w:rFonts w:hint="default" w:ascii="Times New Roman" w:hAnsi="Times New Roman" w:cs="Times New Roman"/>
                <w:color w:val="auto"/>
                <w:spacing w:val="-7"/>
                <w:sz w:val="22"/>
                <w:szCs w:val="22"/>
                <w:highlight w:val="none"/>
              </w:rPr>
              <w:t>200</w:t>
            </w:r>
            <w:r>
              <w:rPr>
                <w:rFonts w:hint="eastAsia" w:ascii="Times New Roman" w:hAnsi="Times New Roman" w:cs="Times New Roman"/>
                <w:color w:val="auto"/>
                <w:spacing w:val="-7"/>
                <w:sz w:val="22"/>
                <w:szCs w:val="22"/>
                <w:highlight w:val="none"/>
                <w:shd w:val="clear" w:fill="FFFFFF"/>
                <w:lang w:eastAsia="zh-CN"/>
              </w:rPr>
              <w:t>kW</w:t>
            </w: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zh-CN" w:bidi="ar-SA"/>
              </w:rPr>
            </w:pPr>
            <w:r>
              <w:rPr>
                <w:rFonts w:hint="eastAsia" w:ascii="Times New Roman" w:hAnsi="Times New Roman" w:cs="Times New Roman"/>
                <w:color w:val="auto"/>
                <w:spacing w:val="-7"/>
                <w:sz w:val="22"/>
                <w:szCs w:val="22"/>
                <w:highlight w:val="none"/>
                <w:lang w:val="en-US" w:eastAsia="zh-CN"/>
              </w:rPr>
              <w:t>95</w:t>
            </w: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eastAsia" w:ascii="Times New Roman" w:hAnsi="Times New Roman" w:cs="Times New Roman"/>
                <w:color w:val="auto"/>
                <w:spacing w:val="-7"/>
                <w:sz w:val="22"/>
                <w:szCs w:val="22"/>
                <w:highlight w:val="none"/>
                <w:lang w:val="en-US" w:eastAsia="zh-CN"/>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Chars="0"/>
              <w:jc w:val="center"/>
              <w:textAlignment w:val="auto"/>
              <w:rPr>
                <w:rFonts w:ascii="Times New Roman" w:hAnsi="Times New Roman" w:eastAsia="宋体" w:cs="Times New Roman"/>
                <w:b/>
                <w:bCs/>
                <w:snapToGrid w:val="0"/>
                <w:color w:val="auto"/>
                <w:kern w:val="2"/>
                <w:sz w:val="22"/>
                <w:szCs w:val="22"/>
                <w:highlight w:val="none"/>
                <w:lang w:val="en-US" w:eastAsia="zh-CN" w:bidi="ar-SA"/>
              </w:rPr>
            </w:pPr>
            <w:r>
              <w:rPr>
                <w:rFonts w:hint="eastAsia" w:cs="Times New Roman"/>
                <w:b/>
                <w:bCs/>
                <w:snapToGrid w:val="0"/>
                <w:color w:val="auto"/>
                <w:kern w:val="2"/>
                <w:sz w:val="22"/>
                <w:szCs w:val="22"/>
                <w:highlight w:val="none"/>
                <w:lang w:val="en-US" w:eastAsia="zh-CN" w:bidi="ar-SA"/>
              </w:rPr>
              <w:t>五</w:t>
            </w:r>
          </w:p>
        </w:tc>
        <w:tc>
          <w:tcPr>
            <w:tcW w:w="7944" w:type="dxa"/>
            <w:gridSpan w:val="4"/>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b/>
                <w:bCs/>
                <w:color w:val="auto"/>
                <w:spacing w:val="-7"/>
                <w:sz w:val="22"/>
                <w:szCs w:val="22"/>
                <w:highlight w:val="none"/>
                <w:lang w:val="en-US" w:eastAsia="zh-CN"/>
              </w:rPr>
            </w:pPr>
            <w:r>
              <w:rPr>
                <w:rFonts w:hint="eastAsia" w:ascii="Times New Roman" w:hAnsi="Times New Roman" w:cs="Times New Roman"/>
                <w:b/>
                <w:bCs/>
                <w:color w:val="auto"/>
                <w:spacing w:val="-7"/>
                <w:sz w:val="22"/>
                <w:szCs w:val="22"/>
                <w:highlight w:val="none"/>
                <w:lang w:val="en-US" w:eastAsia="zh-CN"/>
              </w:rPr>
              <w:t>疏浚工程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pPr>
              <w:keepNext w:val="0"/>
              <w:keepLines w:val="0"/>
              <w:pageBreakBefore w:val="0"/>
              <w:widowControl w:val="0"/>
              <w:numPr>
                <w:ilvl w:val="0"/>
                <w:numId w:val="21"/>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2279" w:type="dxa"/>
            <w:vAlign w:val="center"/>
          </w:tcPr>
          <w:p>
            <w:pPr>
              <w:widowControl/>
              <w:adjustRightInd w:val="0"/>
              <w:snapToGrid w:val="0"/>
              <w:spacing w:line="320" w:lineRule="exact"/>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钻孔清礁船</w:t>
            </w: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pacing w:val="-7"/>
                <w:sz w:val="22"/>
                <w:szCs w:val="22"/>
                <w:highlight w:val="none"/>
                <w:lang w:val="en-US" w:eastAsia="zh-CN"/>
              </w:rPr>
            </w:pPr>
            <w:r>
              <w:rPr>
                <w:rFonts w:hint="eastAsia" w:ascii="Times New Roman" w:hAnsi="Times New Roman" w:cs="Times New Roman"/>
                <w:color w:val="auto"/>
                <w:spacing w:val="-7"/>
                <w:sz w:val="22"/>
                <w:szCs w:val="22"/>
                <w:highlight w:val="none"/>
                <w:lang w:val="en-US" w:eastAsia="zh-CN"/>
              </w:rPr>
              <w:t>/</w:t>
            </w:r>
          </w:p>
        </w:tc>
        <w:tc>
          <w:tcPr>
            <w:tcW w:w="0" w:type="auto"/>
            <w:vAlign w:val="center"/>
          </w:tcPr>
          <w:p>
            <w:pPr>
              <w:widowControl/>
              <w:adjustRightInd w:val="0"/>
              <w:snapToGrid w:val="0"/>
              <w:spacing w:line="320" w:lineRule="exact"/>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90</w:t>
            </w:r>
          </w:p>
        </w:tc>
        <w:tc>
          <w:tcPr>
            <w:tcW w:w="0" w:type="auto"/>
            <w:vAlign w:val="center"/>
          </w:tcPr>
          <w:p>
            <w:pPr>
              <w:widowControl/>
              <w:adjustRightInd w:val="0"/>
              <w:snapToGrid w:val="0"/>
              <w:spacing w:line="320" w:lineRule="exact"/>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default" w:ascii="Times New Roman" w:hAnsi="Times New Roman" w:cs="Times New Roman"/>
                <w:color w:val="auto"/>
                <w:spacing w:val="-7"/>
                <w:sz w:val="22"/>
                <w:szCs w:val="22"/>
                <w:highlight w:val="none"/>
              </w:rPr>
              <w:t>距声源</w:t>
            </w:r>
            <w:r>
              <w:rPr>
                <w:rFonts w:hint="eastAsia"/>
                <w:color w:val="auto"/>
                <w:sz w:val="22"/>
                <w:szCs w:val="22"/>
                <w:highlight w:val="non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pPr>
              <w:keepNext w:val="0"/>
              <w:keepLines w:val="0"/>
              <w:pageBreakBefore w:val="0"/>
              <w:widowControl w:val="0"/>
              <w:numPr>
                <w:ilvl w:val="0"/>
                <w:numId w:val="21"/>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2279" w:type="dxa"/>
            <w:vAlign w:val="center"/>
          </w:tcPr>
          <w:p>
            <w:pPr>
              <w:widowControl/>
              <w:adjustRightInd w:val="0"/>
              <w:snapToGrid w:val="0"/>
              <w:spacing w:line="320" w:lineRule="exact"/>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泥驳、铁驳</w:t>
            </w: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sz w:val="22"/>
                <w:szCs w:val="22"/>
                <w:highlight w:val="none"/>
                <w:lang w:val="en-US" w:eastAsia="zh-CN"/>
              </w:rPr>
            </w:pPr>
            <w:r>
              <w:rPr>
                <w:rFonts w:hint="eastAsia" w:ascii="Times New Roman" w:hAnsi="Times New Roman" w:cs="Times New Roman"/>
                <w:color w:val="auto"/>
                <w:spacing w:val="-7"/>
                <w:sz w:val="22"/>
                <w:szCs w:val="22"/>
                <w:highlight w:val="none"/>
                <w:lang w:val="en-US" w:eastAsia="zh-CN"/>
              </w:rPr>
              <w:t>/</w:t>
            </w:r>
          </w:p>
        </w:tc>
        <w:tc>
          <w:tcPr>
            <w:tcW w:w="0" w:type="auto"/>
            <w:vAlign w:val="center"/>
          </w:tcPr>
          <w:p>
            <w:pPr>
              <w:widowControl/>
              <w:adjustRightInd w:val="0"/>
              <w:snapToGrid w:val="0"/>
              <w:spacing w:line="320" w:lineRule="exact"/>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65</w:t>
            </w:r>
          </w:p>
        </w:tc>
        <w:tc>
          <w:tcPr>
            <w:tcW w:w="0" w:type="auto"/>
            <w:vAlign w:val="center"/>
          </w:tcPr>
          <w:p>
            <w:pPr>
              <w:widowControl/>
              <w:adjustRightInd w:val="0"/>
              <w:snapToGrid w:val="0"/>
              <w:spacing w:line="320" w:lineRule="exact"/>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default" w:ascii="Times New Roman" w:hAnsi="Times New Roman" w:cs="Times New Roman"/>
                <w:color w:val="auto"/>
                <w:spacing w:val="-7"/>
                <w:sz w:val="22"/>
                <w:szCs w:val="22"/>
                <w:highlight w:val="none"/>
              </w:rPr>
              <w:t>距声源</w:t>
            </w:r>
            <w:r>
              <w:rPr>
                <w:rFonts w:hint="eastAsia"/>
                <w:color w:val="auto"/>
                <w:sz w:val="22"/>
                <w:szCs w:val="22"/>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keepNext w:val="0"/>
              <w:keepLines w:val="0"/>
              <w:pageBreakBefore w:val="0"/>
              <w:widowControl w:val="0"/>
              <w:numPr>
                <w:ilvl w:val="0"/>
                <w:numId w:val="21"/>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0" w:type="auto"/>
            <w:vAlign w:val="center"/>
          </w:tcPr>
          <w:p>
            <w:pPr>
              <w:widowControl/>
              <w:adjustRightInd w:val="0"/>
              <w:snapToGrid w:val="0"/>
              <w:spacing w:line="320" w:lineRule="exact"/>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挖泥船</w:t>
            </w: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pacing w:val="-7"/>
                <w:sz w:val="22"/>
                <w:szCs w:val="22"/>
                <w:highlight w:val="none"/>
                <w:lang w:val="en-US" w:eastAsia="zh-CN"/>
              </w:rPr>
            </w:pPr>
            <w:r>
              <w:rPr>
                <w:rFonts w:hint="eastAsia" w:ascii="Times New Roman" w:hAnsi="Times New Roman" w:cs="Times New Roman"/>
                <w:color w:val="auto"/>
                <w:spacing w:val="-7"/>
                <w:sz w:val="22"/>
                <w:szCs w:val="22"/>
                <w:highlight w:val="none"/>
                <w:lang w:val="en-US" w:eastAsia="zh-CN"/>
              </w:rPr>
              <w:t>/</w:t>
            </w:r>
          </w:p>
        </w:tc>
        <w:tc>
          <w:tcPr>
            <w:tcW w:w="0" w:type="auto"/>
            <w:vAlign w:val="center"/>
          </w:tcPr>
          <w:p>
            <w:pPr>
              <w:widowControl/>
              <w:adjustRightInd w:val="0"/>
              <w:snapToGrid w:val="0"/>
              <w:spacing w:line="320" w:lineRule="exact"/>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65</w:t>
            </w:r>
          </w:p>
        </w:tc>
        <w:tc>
          <w:tcPr>
            <w:tcW w:w="0" w:type="auto"/>
            <w:vAlign w:val="center"/>
          </w:tcPr>
          <w:p>
            <w:pPr>
              <w:widowControl/>
              <w:adjustRightInd w:val="0"/>
              <w:snapToGrid w:val="0"/>
              <w:spacing w:line="320" w:lineRule="exact"/>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default" w:ascii="Times New Roman" w:hAnsi="Times New Roman" w:cs="Times New Roman"/>
                <w:color w:val="auto"/>
                <w:spacing w:val="-7"/>
                <w:sz w:val="22"/>
                <w:szCs w:val="22"/>
                <w:highlight w:val="none"/>
              </w:rPr>
              <w:t>距声源</w:t>
            </w:r>
            <w:r>
              <w:rPr>
                <w:rFonts w:hint="eastAsia"/>
                <w:color w:val="auto"/>
                <w:sz w:val="22"/>
                <w:szCs w:val="22"/>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Chars="0"/>
              <w:jc w:val="center"/>
              <w:textAlignment w:val="auto"/>
              <w:rPr>
                <w:rFonts w:ascii="Times New Roman" w:hAnsi="Times New Roman" w:eastAsia="宋体" w:cs="Times New Roman"/>
                <w:b/>
                <w:bCs/>
                <w:snapToGrid w:val="0"/>
                <w:color w:val="auto"/>
                <w:kern w:val="2"/>
                <w:sz w:val="22"/>
                <w:szCs w:val="22"/>
                <w:highlight w:val="none"/>
                <w:lang w:val="en-US" w:eastAsia="zh-CN" w:bidi="ar-SA"/>
              </w:rPr>
            </w:pPr>
            <w:r>
              <w:rPr>
                <w:rFonts w:hint="eastAsia" w:cs="Times New Roman"/>
                <w:b/>
                <w:bCs/>
                <w:snapToGrid w:val="0"/>
                <w:color w:val="auto"/>
                <w:kern w:val="2"/>
                <w:sz w:val="22"/>
                <w:szCs w:val="22"/>
                <w:highlight w:val="none"/>
                <w:lang w:val="en-US" w:eastAsia="zh-CN" w:bidi="ar-SA"/>
              </w:rPr>
              <w:t>六</w:t>
            </w:r>
          </w:p>
        </w:tc>
        <w:tc>
          <w:tcPr>
            <w:tcW w:w="7944" w:type="dxa"/>
            <w:gridSpan w:val="4"/>
            <w:vAlign w:val="center"/>
          </w:tcPr>
          <w:p>
            <w:pPr>
              <w:widowControl/>
              <w:adjustRightInd w:val="0"/>
              <w:snapToGrid w:val="0"/>
              <w:spacing w:line="320" w:lineRule="exact"/>
              <w:ind w:firstLine="0" w:firstLineChars="0"/>
              <w:jc w:val="center"/>
              <w:rPr>
                <w:rFonts w:hint="eastAsia" w:eastAsia="宋体"/>
                <w:b/>
                <w:bCs/>
                <w:color w:val="auto"/>
                <w:sz w:val="22"/>
                <w:szCs w:val="22"/>
                <w:highlight w:val="none"/>
                <w:lang w:eastAsia="zh-CN"/>
              </w:rPr>
            </w:pPr>
            <w:r>
              <w:rPr>
                <w:rFonts w:hint="eastAsia"/>
                <w:b/>
                <w:bCs/>
                <w:color w:val="auto"/>
                <w:sz w:val="22"/>
                <w:szCs w:val="22"/>
                <w:highlight w:val="none"/>
                <w:lang w:eastAsia="zh-CN"/>
              </w:rPr>
              <w:t>临时弃渣场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keepNext w:val="0"/>
              <w:keepLines w:val="0"/>
              <w:pageBreakBefore w:val="0"/>
              <w:widowControl w:val="0"/>
              <w:numPr>
                <w:ilvl w:val="0"/>
                <w:numId w:val="22"/>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0" w:type="auto"/>
            <w:vAlign w:val="center"/>
          </w:tcPr>
          <w:p>
            <w:pPr>
              <w:widowControl/>
              <w:adjustRightInd w:val="0"/>
              <w:snapToGrid w:val="0"/>
              <w:spacing w:line="320" w:lineRule="exact"/>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载重汽车</w:t>
            </w: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en-US" w:bidi="ar-SA"/>
              </w:rPr>
            </w:pPr>
            <w:r>
              <w:rPr>
                <w:rFonts w:hint="default" w:ascii="Times New Roman" w:hAnsi="Times New Roman" w:cs="Times New Roman"/>
                <w:color w:val="auto"/>
                <w:spacing w:val="-7"/>
                <w:sz w:val="22"/>
                <w:szCs w:val="22"/>
                <w:highlight w:val="none"/>
              </w:rPr>
              <w:t>20t</w:t>
            </w: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zh-CN" w:bidi="ar-SA"/>
              </w:rPr>
            </w:pPr>
            <w:r>
              <w:rPr>
                <w:rFonts w:hint="default" w:ascii="Times New Roman" w:hAnsi="Times New Roman" w:cs="Times New Roman"/>
                <w:color w:val="auto"/>
                <w:spacing w:val="-7"/>
                <w:sz w:val="22"/>
                <w:szCs w:val="22"/>
                <w:highlight w:val="none"/>
              </w:rPr>
              <w:t>82</w:t>
            </w:r>
          </w:p>
        </w:tc>
        <w:tc>
          <w:tcPr>
            <w:tcW w:w="0" w:type="auto"/>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7"/>
                <w:kern w:val="2"/>
                <w:sz w:val="22"/>
                <w:szCs w:val="22"/>
                <w:highlight w:val="none"/>
                <w:lang w:val="en-US" w:eastAsia="zh-CN" w:bidi="ar-SA"/>
              </w:rPr>
            </w:pPr>
            <w:r>
              <w:rPr>
                <w:rFonts w:hint="default" w:ascii="Times New Roman" w:hAnsi="Times New Roman" w:cs="Times New Roman"/>
                <w:color w:val="auto"/>
                <w:spacing w:val="-7"/>
                <w:sz w:val="22"/>
                <w:szCs w:val="22"/>
                <w:highlight w:val="none"/>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keepNext w:val="0"/>
              <w:keepLines w:val="0"/>
              <w:pageBreakBefore w:val="0"/>
              <w:widowControl w:val="0"/>
              <w:numPr>
                <w:ilvl w:val="0"/>
                <w:numId w:val="22"/>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0" w:type="auto"/>
            <w:vAlign w:val="center"/>
          </w:tcPr>
          <w:p>
            <w:pPr>
              <w:widowControl/>
              <w:adjustRightInd w:val="0"/>
              <w:snapToGrid w:val="0"/>
              <w:spacing w:line="320" w:lineRule="exact"/>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color w:val="auto"/>
                <w:sz w:val="22"/>
                <w:szCs w:val="22"/>
                <w:highlight w:val="none"/>
              </w:rPr>
              <w:t>挖掘机</w:t>
            </w:r>
          </w:p>
        </w:tc>
        <w:tc>
          <w:tcPr>
            <w:tcW w:w="0" w:type="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auto"/>
                <w:kern w:val="2"/>
                <w:sz w:val="22"/>
                <w:szCs w:val="22"/>
                <w:highlight w:val="none"/>
                <w:lang w:val="en-US" w:eastAsia="zh-CN" w:bidi="ar-SA"/>
              </w:rPr>
            </w:pPr>
            <w:r>
              <w:rPr>
                <w:rFonts w:ascii="Times New Roman" w:hAnsi="Times New Roman" w:eastAsia="Times New Roman" w:cs="Times New Roman"/>
                <w:color w:val="auto"/>
                <w:sz w:val="22"/>
                <w:szCs w:val="22"/>
                <w:highlight w:val="none"/>
              </w:rPr>
              <w:t>P220</w:t>
            </w:r>
          </w:p>
        </w:tc>
        <w:tc>
          <w:tcPr>
            <w:tcW w:w="0" w:type="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auto"/>
                <w:kern w:val="2"/>
                <w:sz w:val="22"/>
                <w:szCs w:val="22"/>
                <w:highlight w:val="none"/>
                <w:lang w:val="en-US" w:eastAsia="zh-CN" w:bidi="ar-SA"/>
              </w:rPr>
            </w:pPr>
            <w:r>
              <w:rPr>
                <w:rFonts w:eastAsia="宋体"/>
                <w:snapToGrid w:val="0"/>
                <w:color w:val="auto"/>
                <w:sz w:val="22"/>
                <w:szCs w:val="22"/>
                <w:highlight w:val="none"/>
              </w:rPr>
              <w:t>82</w:t>
            </w:r>
          </w:p>
        </w:tc>
        <w:tc>
          <w:tcPr>
            <w:tcW w:w="0" w:type="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auto"/>
                <w:kern w:val="2"/>
                <w:sz w:val="22"/>
                <w:szCs w:val="22"/>
                <w:highlight w:val="none"/>
                <w:lang w:val="en-US" w:eastAsia="zh-CN" w:bidi="ar-SA"/>
              </w:rPr>
            </w:pPr>
            <w:r>
              <w:rPr>
                <w:snapToGrid w:val="0"/>
                <w:color w:val="auto"/>
                <w:sz w:val="22"/>
                <w:szCs w:val="22"/>
                <w:highlight w:val="none"/>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keepNext w:val="0"/>
              <w:keepLines w:val="0"/>
              <w:pageBreakBefore w:val="0"/>
              <w:widowControl w:val="0"/>
              <w:numPr>
                <w:ilvl w:val="0"/>
                <w:numId w:val="22"/>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0" w:type="auto"/>
            <w:vAlign w:val="center"/>
          </w:tcPr>
          <w:p>
            <w:pPr>
              <w:widowControl/>
              <w:adjustRightInd w:val="0"/>
              <w:snapToGrid w:val="0"/>
              <w:spacing w:line="320" w:lineRule="exact"/>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color w:val="auto"/>
                <w:sz w:val="22"/>
                <w:szCs w:val="22"/>
                <w:highlight w:val="none"/>
              </w:rPr>
              <w:t>装载机</w:t>
            </w:r>
          </w:p>
        </w:tc>
        <w:tc>
          <w:tcPr>
            <w:tcW w:w="0" w:type="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auto"/>
                <w:kern w:val="2"/>
                <w:sz w:val="22"/>
                <w:szCs w:val="22"/>
                <w:highlight w:val="none"/>
                <w:lang w:val="en-US" w:eastAsia="zh-CN" w:bidi="ar-SA"/>
              </w:rPr>
            </w:pPr>
            <w:r>
              <w:rPr>
                <w:rFonts w:hint="default" w:ascii="Times New Roman" w:hAnsi="Times New Roman" w:cs="Times New Roman"/>
                <w:color w:val="auto"/>
                <w:spacing w:val="-7"/>
                <w:sz w:val="22"/>
                <w:szCs w:val="22"/>
                <w:highlight w:val="none"/>
              </w:rPr>
              <w:t>ZL50</w:t>
            </w:r>
          </w:p>
        </w:tc>
        <w:tc>
          <w:tcPr>
            <w:tcW w:w="0" w:type="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auto"/>
                <w:kern w:val="2"/>
                <w:sz w:val="22"/>
                <w:szCs w:val="22"/>
                <w:highlight w:val="none"/>
                <w:lang w:val="en-US" w:eastAsia="zh-CN" w:bidi="ar-SA"/>
              </w:rPr>
            </w:pPr>
            <w:r>
              <w:rPr>
                <w:rFonts w:eastAsia="宋体"/>
                <w:snapToGrid w:val="0"/>
                <w:color w:val="auto"/>
                <w:sz w:val="22"/>
                <w:szCs w:val="22"/>
                <w:highlight w:val="none"/>
              </w:rPr>
              <w:t>82</w:t>
            </w:r>
          </w:p>
        </w:tc>
        <w:tc>
          <w:tcPr>
            <w:tcW w:w="0" w:type="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auto"/>
                <w:kern w:val="2"/>
                <w:sz w:val="22"/>
                <w:szCs w:val="22"/>
                <w:highlight w:val="none"/>
                <w:lang w:val="en-US" w:eastAsia="zh-CN" w:bidi="ar-SA"/>
              </w:rPr>
            </w:pPr>
            <w:r>
              <w:rPr>
                <w:snapToGrid w:val="0"/>
                <w:color w:val="auto"/>
                <w:sz w:val="22"/>
                <w:szCs w:val="22"/>
                <w:highlight w:val="none"/>
              </w:rPr>
              <w:t>距声源5m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keepNext w:val="0"/>
              <w:keepLines w:val="0"/>
              <w:pageBreakBefore w:val="0"/>
              <w:widowControl w:val="0"/>
              <w:numPr>
                <w:ilvl w:val="0"/>
                <w:numId w:val="22"/>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ascii="Times New Roman" w:hAnsi="Times New Roman" w:eastAsia="宋体" w:cs="Times New Roman"/>
                <w:snapToGrid w:val="0"/>
                <w:color w:val="auto"/>
                <w:kern w:val="2"/>
                <w:sz w:val="22"/>
                <w:szCs w:val="22"/>
                <w:highlight w:val="none"/>
                <w:lang w:val="en-US" w:eastAsia="zh-CN" w:bidi="ar-SA"/>
              </w:rPr>
            </w:pPr>
          </w:p>
        </w:tc>
        <w:tc>
          <w:tcPr>
            <w:tcW w:w="0" w:type="auto"/>
            <w:vAlign w:val="center"/>
          </w:tcPr>
          <w:p>
            <w:pPr>
              <w:widowControl/>
              <w:adjustRightInd w:val="0"/>
              <w:snapToGrid w:val="0"/>
              <w:spacing w:line="320" w:lineRule="exact"/>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color w:val="auto"/>
                <w:sz w:val="22"/>
                <w:szCs w:val="22"/>
                <w:highlight w:val="none"/>
              </w:rPr>
              <w:t>推土机</w:t>
            </w:r>
          </w:p>
        </w:tc>
        <w:tc>
          <w:tcPr>
            <w:tcW w:w="0" w:type="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auto"/>
                <w:kern w:val="2"/>
                <w:sz w:val="22"/>
                <w:szCs w:val="22"/>
                <w:highlight w:val="none"/>
                <w:lang w:val="en-US" w:eastAsia="zh-CN" w:bidi="ar-SA"/>
              </w:rPr>
            </w:pPr>
            <w:r>
              <w:rPr>
                <w:snapToGrid w:val="0"/>
                <w:color w:val="auto"/>
                <w:sz w:val="22"/>
                <w:szCs w:val="22"/>
                <w:highlight w:val="none"/>
              </w:rPr>
              <w:t>118kW</w:t>
            </w:r>
          </w:p>
        </w:tc>
        <w:tc>
          <w:tcPr>
            <w:tcW w:w="0" w:type="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auto"/>
                <w:kern w:val="2"/>
                <w:sz w:val="22"/>
                <w:szCs w:val="22"/>
                <w:highlight w:val="none"/>
                <w:lang w:val="en-US" w:eastAsia="zh-CN" w:bidi="ar-SA"/>
              </w:rPr>
            </w:pPr>
            <w:r>
              <w:rPr>
                <w:rFonts w:eastAsia="宋体"/>
                <w:snapToGrid w:val="0"/>
                <w:color w:val="auto"/>
                <w:sz w:val="22"/>
                <w:szCs w:val="22"/>
                <w:highlight w:val="none"/>
              </w:rPr>
              <w:t>83</w:t>
            </w:r>
          </w:p>
        </w:tc>
        <w:tc>
          <w:tcPr>
            <w:tcW w:w="0" w:type="auto"/>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auto"/>
                <w:kern w:val="2"/>
                <w:sz w:val="22"/>
                <w:szCs w:val="22"/>
                <w:highlight w:val="none"/>
                <w:lang w:val="en-US" w:eastAsia="zh-CN" w:bidi="ar-SA"/>
              </w:rPr>
            </w:pPr>
            <w:r>
              <w:rPr>
                <w:snapToGrid w:val="0"/>
                <w:color w:val="auto"/>
                <w:sz w:val="22"/>
                <w:szCs w:val="22"/>
                <w:highlight w:val="none"/>
              </w:rPr>
              <w:t>距声源5m</w:t>
            </w:r>
          </w:p>
        </w:tc>
      </w:tr>
    </w:tbl>
    <w:p>
      <w:pPr>
        <w:pStyle w:val="222"/>
        <w:adjustRightInd w:val="0"/>
        <w:spacing w:line="240" w:lineRule="auto"/>
        <w:ind w:firstLine="480"/>
        <w:rPr>
          <w:rFonts w:ascii="Times New Roman" w:hAnsi="Times New Roman"/>
          <w:color w:val="auto"/>
          <w:spacing w:val="-3"/>
          <w:highlight w:val="none"/>
        </w:rPr>
      </w:pPr>
    </w:p>
    <w:p>
      <w:pPr>
        <w:pStyle w:val="222"/>
        <w:adjustRightInd w:val="0"/>
        <w:spacing w:line="460" w:lineRule="exact"/>
        <w:ind w:firstLine="480"/>
        <w:rPr>
          <w:rFonts w:hint="eastAsia" w:ascii="Times New Roman" w:hAnsi="Times New Roman" w:eastAsia="宋体"/>
          <w:color w:val="auto"/>
          <w:highlight w:val="none"/>
          <w:lang w:eastAsia="zh-CN"/>
        </w:rPr>
      </w:pPr>
      <w:r>
        <w:rPr>
          <w:rFonts w:ascii="Times New Roman" w:hAnsi="Times New Roman"/>
          <w:color w:val="auto"/>
          <w:highlight w:val="none"/>
        </w:rPr>
        <w:fldChar w:fldCharType="begin"/>
      </w:r>
      <w:r>
        <w:rPr>
          <w:rFonts w:ascii="Times New Roman" w:hAnsi="Times New Roman"/>
          <w:color w:val="auto"/>
          <w:highlight w:val="none"/>
        </w:rPr>
        <w:instrText xml:space="preserve"> = 1 \* GB3 \* MERGEFORMAT </w:instrText>
      </w:r>
      <w:r>
        <w:rPr>
          <w:rFonts w:ascii="Times New Roman" w:hAnsi="Times New Roman"/>
          <w:color w:val="auto"/>
          <w:highlight w:val="none"/>
        </w:rPr>
        <w:fldChar w:fldCharType="separate"/>
      </w:r>
      <w:r>
        <w:rPr>
          <w:color w:val="auto"/>
          <w:highlight w:val="none"/>
        </w:rPr>
        <w:t>①</w:t>
      </w:r>
      <w:r>
        <w:rPr>
          <w:rFonts w:ascii="Times New Roman" w:hAnsi="Times New Roman"/>
          <w:color w:val="auto"/>
          <w:highlight w:val="none"/>
        </w:rPr>
        <w:fldChar w:fldCharType="end"/>
      </w:r>
      <w:r>
        <w:rPr>
          <w:rFonts w:hint="eastAsia" w:ascii="Times New Roman" w:hAnsi="Times New Roman"/>
          <w:color w:val="auto"/>
          <w:highlight w:val="none"/>
          <w:lang w:eastAsia="zh-CN"/>
        </w:rPr>
        <w:t>土石方作业噪声</w:t>
      </w:r>
    </w:p>
    <w:p>
      <w:pPr>
        <w:pStyle w:val="222"/>
        <w:adjustRightInd w:val="0"/>
        <w:spacing w:line="460" w:lineRule="exact"/>
        <w:ind w:firstLine="480"/>
        <w:rPr>
          <w:rFonts w:hint="eastAsia" w:ascii="Times New Roman" w:hAnsi="Times New Roman" w:eastAsia="宋体"/>
          <w:color w:val="auto"/>
          <w:highlight w:val="none"/>
          <w:lang w:val="en-US" w:eastAsia="zh-CN"/>
        </w:rPr>
      </w:pPr>
      <w:r>
        <w:rPr>
          <w:rFonts w:hint="eastAsia" w:ascii="Times New Roman" w:hAnsi="Times New Roman"/>
          <w:color w:val="auto"/>
          <w:highlight w:val="none"/>
          <w:lang w:eastAsia="zh-CN"/>
        </w:rPr>
        <w:t>土石方作业机械主要包括挖掘机、推土机、钻机、打夯机等，噪声源强较高的为打夯机，</w:t>
      </w:r>
      <w:r>
        <w:rPr>
          <w:rFonts w:hint="eastAsia" w:ascii="Times New Roman" w:hAnsi="Times New Roman"/>
          <w:color w:val="auto"/>
          <w:highlight w:val="none"/>
          <w:lang w:val="en-US" w:eastAsia="zh-CN"/>
        </w:rPr>
        <w:t>5m处可达92</w:t>
      </w:r>
      <w:r>
        <w:rPr>
          <w:rFonts w:ascii="Times New Roman" w:hAnsi="Times New Roman"/>
          <w:color w:val="auto"/>
          <w:highlight w:val="none"/>
        </w:rPr>
        <w:t>dB(A)</w:t>
      </w:r>
      <w:r>
        <w:rPr>
          <w:rFonts w:hint="eastAsia" w:ascii="Times New Roman" w:hAnsi="Times New Roman"/>
          <w:color w:val="auto"/>
          <w:highlight w:val="none"/>
          <w:lang w:eastAsia="zh-CN"/>
        </w:rPr>
        <w:t>，其余机械设备不超过</w:t>
      </w:r>
      <w:r>
        <w:rPr>
          <w:rFonts w:hint="eastAsia" w:ascii="Times New Roman" w:hAnsi="Times New Roman"/>
          <w:color w:val="auto"/>
          <w:highlight w:val="none"/>
          <w:lang w:val="en-US" w:eastAsia="zh-CN"/>
        </w:rPr>
        <w:t>90</w:t>
      </w:r>
      <w:r>
        <w:rPr>
          <w:rFonts w:ascii="Times New Roman" w:hAnsi="Times New Roman"/>
          <w:color w:val="auto"/>
          <w:highlight w:val="none"/>
        </w:rPr>
        <w:t>dB(A)</w:t>
      </w:r>
      <w:r>
        <w:rPr>
          <w:rFonts w:hint="eastAsia" w:ascii="Times New Roman" w:hAnsi="Times New Roman"/>
          <w:color w:val="auto"/>
          <w:highlight w:val="none"/>
          <w:lang w:eastAsia="zh-CN"/>
        </w:rPr>
        <w:t>。</w:t>
      </w:r>
    </w:p>
    <w:p>
      <w:pPr>
        <w:pStyle w:val="222"/>
        <w:adjustRightInd w:val="0"/>
        <w:spacing w:line="460" w:lineRule="exact"/>
        <w:ind w:firstLine="480"/>
        <w:rPr>
          <w:rFonts w:ascii="Times New Roman" w:hAnsi="Times New Roman"/>
          <w:color w:val="auto"/>
          <w:highlight w:val="none"/>
        </w:rPr>
      </w:pPr>
      <w:r>
        <w:rPr>
          <w:rFonts w:hint="eastAsia" w:ascii="Times New Roman" w:hAnsi="Times New Roman"/>
          <w:color w:val="auto"/>
          <w:highlight w:val="none"/>
          <w:lang w:eastAsia="zh-CN"/>
        </w:rPr>
        <w:t>此外，船闸区域</w:t>
      </w:r>
      <w:r>
        <w:rPr>
          <w:rFonts w:ascii="Times New Roman" w:hAnsi="Times New Roman"/>
          <w:color w:val="auto"/>
          <w:highlight w:val="none"/>
        </w:rPr>
        <w:t>基础开挖施工、导流工程的围堰拆除施工需进行爆破作业。《爆破安全规程》(GB</w:t>
      </w:r>
      <w:r>
        <w:rPr>
          <w:rFonts w:hint="eastAsia" w:ascii="Times New Roman" w:hAnsi="Times New Roman"/>
          <w:color w:val="auto"/>
          <w:highlight w:val="none"/>
          <w:lang w:val="en-US" w:eastAsia="zh-CN"/>
        </w:rPr>
        <w:t xml:space="preserve"> </w:t>
      </w:r>
      <w:r>
        <w:rPr>
          <w:rFonts w:ascii="Times New Roman" w:hAnsi="Times New Roman"/>
          <w:color w:val="auto"/>
          <w:highlight w:val="none"/>
        </w:rPr>
        <w:t>6722-</w:t>
      </w:r>
      <w:r>
        <w:rPr>
          <w:rFonts w:hint="eastAsia" w:ascii="Times New Roman" w:hAnsi="Times New Roman"/>
          <w:color w:val="auto"/>
          <w:highlight w:val="none"/>
          <w:lang w:val="en-US" w:eastAsia="zh-CN"/>
        </w:rPr>
        <w:t>2014</w:t>
      </w:r>
      <w:r>
        <w:rPr>
          <w:rFonts w:ascii="Times New Roman" w:hAnsi="Times New Roman"/>
          <w:color w:val="auto"/>
          <w:highlight w:val="none"/>
        </w:rPr>
        <w:t>)规定爆破施工作业区昼间噪声控制标准为125dB，据此取陆上爆破噪声源强为125dB。</w:t>
      </w:r>
    </w:p>
    <w:p>
      <w:pPr>
        <w:pStyle w:val="222"/>
        <w:adjustRightInd w:val="0"/>
        <w:spacing w:line="460" w:lineRule="exact"/>
        <w:ind w:firstLine="480"/>
        <w:rPr>
          <w:rFonts w:ascii="Times New Roman" w:hAnsi="Times New Roman"/>
          <w:color w:val="auto"/>
          <w:highlight w:val="none"/>
        </w:rPr>
      </w:pPr>
      <w:r>
        <w:rPr>
          <w:rFonts w:ascii="Times New Roman" w:hAnsi="Times New Roman"/>
          <w:color w:val="auto"/>
          <w:highlight w:val="none"/>
        </w:rPr>
        <w:fldChar w:fldCharType="begin"/>
      </w:r>
      <w:r>
        <w:rPr>
          <w:rFonts w:ascii="Times New Roman" w:hAnsi="Times New Roman"/>
          <w:color w:val="auto"/>
          <w:highlight w:val="none"/>
        </w:rPr>
        <w:instrText xml:space="preserve"> = 2 \* GB3 \* MERGEFORMAT </w:instrText>
      </w:r>
      <w:r>
        <w:rPr>
          <w:rFonts w:ascii="Times New Roman" w:hAnsi="Times New Roman"/>
          <w:color w:val="auto"/>
          <w:highlight w:val="none"/>
        </w:rPr>
        <w:fldChar w:fldCharType="separate"/>
      </w:r>
      <w:r>
        <w:rPr>
          <w:color w:val="auto"/>
          <w:highlight w:val="none"/>
        </w:rPr>
        <w:t>②</w:t>
      </w:r>
      <w:r>
        <w:rPr>
          <w:rFonts w:ascii="Times New Roman" w:hAnsi="Times New Roman"/>
          <w:color w:val="auto"/>
          <w:highlight w:val="none"/>
        </w:rPr>
        <w:fldChar w:fldCharType="end"/>
      </w:r>
      <w:r>
        <w:rPr>
          <w:rFonts w:hint="eastAsia" w:ascii="Times New Roman" w:hAnsi="Times New Roman"/>
          <w:color w:val="auto"/>
          <w:highlight w:val="none"/>
        </w:rPr>
        <w:t>基础处理设备</w:t>
      </w:r>
    </w:p>
    <w:p>
      <w:pPr>
        <w:pStyle w:val="222"/>
        <w:adjustRightInd w:val="0"/>
        <w:spacing w:line="460" w:lineRule="exact"/>
        <w:ind w:firstLine="480"/>
        <w:rPr>
          <w:rFonts w:hint="eastAsia" w:ascii="Times New Roman" w:hAnsi="Times New Roman" w:eastAsia="宋体"/>
          <w:color w:val="auto"/>
          <w:highlight w:val="none"/>
          <w:lang w:eastAsia="zh-CN"/>
        </w:rPr>
      </w:pPr>
      <w:r>
        <w:rPr>
          <w:rFonts w:hint="eastAsia" w:ascii="Times New Roman" w:hAnsi="Times New Roman"/>
          <w:color w:val="auto"/>
          <w:highlight w:val="none"/>
          <w:lang w:eastAsia="zh-CN"/>
        </w:rPr>
        <w:t>基础处理设备主要包括钻机、搅拌机等，噪声源强约</w:t>
      </w:r>
      <w:r>
        <w:rPr>
          <w:rFonts w:hint="eastAsia" w:ascii="Times New Roman" w:hAnsi="Times New Roman"/>
          <w:color w:val="auto"/>
          <w:highlight w:val="none"/>
          <w:lang w:val="en-US" w:eastAsia="zh-CN"/>
        </w:rPr>
        <w:t>85～120</w:t>
      </w:r>
      <w:r>
        <w:rPr>
          <w:rFonts w:ascii="Times New Roman" w:hAnsi="Times New Roman"/>
          <w:color w:val="auto"/>
          <w:highlight w:val="none"/>
        </w:rPr>
        <w:t>dB(A)</w:t>
      </w:r>
      <w:r>
        <w:rPr>
          <w:rFonts w:hint="eastAsia" w:ascii="Times New Roman" w:hAnsi="Times New Roman"/>
          <w:color w:val="auto"/>
          <w:highlight w:val="none"/>
          <w:lang w:eastAsia="zh-CN"/>
        </w:rPr>
        <w:t>，噪声源强较高的为冲孔桩机，</w:t>
      </w:r>
      <w:r>
        <w:rPr>
          <w:rFonts w:hint="eastAsia" w:ascii="Times New Roman" w:hAnsi="Times New Roman"/>
          <w:color w:val="auto"/>
          <w:highlight w:val="none"/>
          <w:lang w:val="en-US" w:eastAsia="zh-CN"/>
        </w:rPr>
        <w:t>1m处可达100</w:t>
      </w:r>
      <w:r>
        <w:rPr>
          <w:rFonts w:ascii="Times New Roman" w:hAnsi="Times New Roman"/>
          <w:color w:val="auto"/>
          <w:highlight w:val="none"/>
        </w:rPr>
        <w:t>dB(A)</w:t>
      </w:r>
      <w:r>
        <w:rPr>
          <w:rFonts w:hint="eastAsia" w:ascii="Times New Roman" w:hAnsi="Times New Roman"/>
          <w:color w:val="auto"/>
          <w:highlight w:val="none"/>
          <w:lang w:eastAsia="zh-CN"/>
        </w:rPr>
        <w:t>。</w:t>
      </w:r>
    </w:p>
    <w:p>
      <w:pPr>
        <w:pStyle w:val="222"/>
        <w:adjustRightInd w:val="0"/>
        <w:spacing w:line="460" w:lineRule="exact"/>
        <w:ind w:firstLine="480"/>
        <w:rPr>
          <w:rFonts w:hint="eastAsia" w:ascii="Times New Roman" w:hAnsi="Times New Roman" w:eastAsia="宋体"/>
          <w:color w:val="auto"/>
          <w:highlight w:val="none"/>
          <w:lang w:eastAsia="zh-CN"/>
        </w:rPr>
      </w:pPr>
      <w:r>
        <w:rPr>
          <w:rFonts w:ascii="Times New Roman" w:hAnsi="Times New Roman"/>
          <w:color w:val="auto"/>
          <w:highlight w:val="none"/>
        </w:rPr>
        <w:fldChar w:fldCharType="begin"/>
      </w:r>
      <w:r>
        <w:rPr>
          <w:rFonts w:ascii="Times New Roman" w:hAnsi="Times New Roman"/>
          <w:color w:val="auto"/>
          <w:highlight w:val="none"/>
        </w:rPr>
        <w:instrText xml:space="preserve"> = 3 \* GB3 \* MERGEFORMAT </w:instrText>
      </w:r>
      <w:r>
        <w:rPr>
          <w:rFonts w:ascii="Times New Roman" w:hAnsi="Times New Roman"/>
          <w:color w:val="auto"/>
          <w:highlight w:val="none"/>
        </w:rPr>
        <w:fldChar w:fldCharType="separate"/>
      </w:r>
      <w:r>
        <w:rPr>
          <w:color w:val="auto"/>
          <w:highlight w:val="none"/>
        </w:rPr>
        <w:t>③</w:t>
      </w:r>
      <w:r>
        <w:rPr>
          <w:rFonts w:ascii="Times New Roman" w:hAnsi="Times New Roman"/>
          <w:color w:val="auto"/>
          <w:highlight w:val="none"/>
        </w:rPr>
        <w:fldChar w:fldCharType="end"/>
      </w:r>
      <w:r>
        <w:rPr>
          <w:rFonts w:ascii="Times New Roman" w:hAnsi="Times New Roman"/>
          <w:color w:val="auto"/>
          <w:highlight w:val="none"/>
        </w:rPr>
        <w:t>混凝土拌和</w:t>
      </w:r>
      <w:r>
        <w:rPr>
          <w:rFonts w:hint="eastAsia" w:ascii="Times New Roman" w:hAnsi="Times New Roman"/>
          <w:color w:val="auto"/>
          <w:highlight w:val="none"/>
          <w:lang w:eastAsia="zh-CN"/>
        </w:rPr>
        <w:t>设备</w:t>
      </w:r>
    </w:p>
    <w:p>
      <w:pPr>
        <w:pStyle w:val="222"/>
        <w:adjustRightInd w:val="0"/>
        <w:spacing w:line="460" w:lineRule="exact"/>
        <w:ind w:firstLine="480"/>
        <w:rPr>
          <w:rFonts w:ascii="Times New Roman" w:hAnsi="Times New Roman"/>
          <w:color w:val="auto"/>
          <w:highlight w:val="none"/>
        </w:rPr>
      </w:pPr>
      <w:r>
        <w:rPr>
          <w:rFonts w:ascii="Times New Roman" w:hAnsi="Times New Roman"/>
          <w:color w:val="auto"/>
          <w:highlight w:val="none"/>
        </w:rPr>
        <w:t>混凝土</w:t>
      </w:r>
      <w:r>
        <w:rPr>
          <w:rFonts w:ascii="Times New Roman" w:hAnsi="Times New Roman"/>
          <w:color w:val="auto"/>
          <w:highlight w:val="none"/>
          <w:shd w:val="clear" w:fill="FFFFFF"/>
        </w:rPr>
        <w:t>拌和</w:t>
      </w:r>
      <w:r>
        <w:rPr>
          <w:rFonts w:ascii="Times New Roman" w:hAnsi="Times New Roman"/>
          <w:color w:val="auto"/>
          <w:highlight w:val="none"/>
        </w:rPr>
        <w:t>楼噪声源强为85dB(A)，砂浆搅拌机、混凝土输送泵噪声源强可达</w:t>
      </w:r>
      <w:r>
        <w:rPr>
          <w:rFonts w:hint="eastAsia" w:ascii="Times New Roman" w:hAnsi="Times New Roman"/>
          <w:color w:val="auto"/>
          <w:highlight w:val="none"/>
          <w:lang w:val="en-US" w:eastAsia="zh-CN"/>
        </w:rPr>
        <w:t>88</w:t>
      </w:r>
      <w:r>
        <w:rPr>
          <w:rFonts w:ascii="Times New Roman" w:hAnsi="Times New Roman"/>
          <w:color w:val="auto"/>
          <w:highlight w:val="none"/>
        </w:rPr>
        <w:t>dB(A)</w:t>
      </w:r>
      <w:r>
        <w:rPr>
          <w:rFonts w:hint="eastAsia" w:ascii="Times New Roman" w:hAnsi="Times New Roman"/>
          <w:color w:val="auto"/>
          <w:highlight w:val="none"/>
          <w:lang w:eastAsia="zh-CN"/>
        </w:rPr>
        <w:t>，其余机械不超过</w:t>
      </w:r>
      <w:r>
        <w:rPr>
          <w:rFonts w:hint="eastAsia" w:ascii="Times New Roman" w:hAnsi="Times New Roman"/>
          <w:color w:val="auto"/>
          <w:highlight w:val="none"/>
          <w:lang w:val="en-US" w:eastAsia="zh-CN"/>
        </w:rPr>
        <w:t>80</w:t>
      </w:r>
      <w:r>
        <w:rPr>
          <w:rFonts w:ascii="Times New Roman" w:hAnsi="Times New Roman"/>
          <w:color w:val="auto"/>
          <w:highlight w:val="none"/>
        </w:rPr>
        <w:t>dB(A)。</w:t>
      </w:r>
    </w:p>
    <w:p>
      <w:pPr>
        <w:pStyle w:val="222"/>
        <w:adjustRightInd w:val="0"/>
        <w:spacing w:line="460" w:lineRule="exact"/>
        <w:ind w:firstLine="480"/>
        <w:rPr>
          <w:rFonts w:ascii="Times New Roman" w:hAnsi="Times New Roman"/>
          <w:color w:val="auto"/>
          <w:highlight w:val="none"/>
        </w:rPr>
      </w:pPr>
      <w:r>
        <w:rPr>
          <w:rFonts w:ascii="Times New Roman" w:hAnsi="Times New Roman"/>
          <w:color w:val="auto"/>
          <w:highlight w:val="none"/>
        </w:rPr>
        <w:fldChar w:fldCharType="begin"/>
      </w:r>
      <w:r>
        <w:rPr>
          <w:rFonts w:ascii="Times New Roman" w:hAnsi="Times New Roman"/>
          <w:color w:val="auto"/>
          <w:highlight w:val="none"/>
        </w:rPr>
        <w:instrText xml:space="preserve"> = 4 \* GB3 \* MERGEFORMAT </w:instrText>
      </w:r>
      <w:r>
        <w:rPr>
          <w:rFonts w:ascii="Times New Roman" w:hAnsi="Times New Roman"/>
          <w:color w:val="auto"/>
          <w:highlight w:val="none"/>
        </w:rPr>
        <w:fldChar w:fldCharType="separate"/>
      </w:r>
      <w:r>
        <w:rPr>
          <w:color w:val="auto"/>
          <w:highlight w:val="none"/>
        </w:rPr>
        <w:t>④</w:t>
      </w:r>
      <w:r>
        <w:rPr>
          <w:rFonts w:ascii="Times New Roman" w:hAnsi="Times New Roman"/>
          <w:color w:val="auto"/>
          <w:highlight w:val="none"/>
        </w:rPr>
        <w:fldChar w:fldCharType="end"/>
      </w:r>
      <w:r>
        <w:rPr>
          <w:rFonts w:ascii="Times New Roman" w:hAnsi="Times New Roman"/>
          <w:color w:val="auto"/>
          <w:highlight w:val="none"/>
        </w:rPr>
        <w:t>交通运输</w:t>
      </w:r>
    </w:p>
    <w:p>
      <w:pPr>
        <w:pStyle w:val="222"/>
        <w:adjustRightInd w:val="0"/>
        <w:spacing w:line="460" w:lineRule="exact"/>
        <w:ind w:firstLine="480"/>
        <w:rPr>
          <w:rFonts w:ascii="Times New Roman" w:hAnsi="Times New Roman"/>
          <w:color w:val="auto"/>
          <w:highlight w:val="none"/>
        </w:rPr>
      </w:pPr>
      <w:r>
        <w:rPr>
          <w:rFonts w:ascii="Times New Roman" w:hAnsi="Times New Roman"/>
          <w:color w:val="auto"/>
          <w:highlight w:val="none"/>
        </w:rPr>
        <w:t>交通噪声源强与车辆、船舶的载重类型、运行速度密切相关。本工程采用的运输机械主要有自卸</w:t>
      </w:r>
      <w:r>
        <w:rPr>
          <w:rFonts w:ascii="Times New Roman" w:hAnsi="Times New Roman"/>
          <w:color w:val="auto"/>
          <w:spacing w:val="-3"/>
          <w:highlight w:val="none"/>
        </w:rPr>
        <w:t>汽车、载重汽车、散装水泥罐车等，车辆平均车速约</w:t>
      </w:r>
      <w:r>
        <w:rPr>
          <w:rFonts w:hint="eastAsia" w:ascii="Times New Roman" w:hAnsi="Times New Roman"/>
          <w:color w:val="auto"/>
          <w:spacing w:val="-3"/>
          <w:highlight w:val="none"/>
          <w:lang w:val="en-US" w:eastAsia="zh-CN"/>
        </w:rPr>
        <w:t>20</w:t>
      </w:r>
      <w:r>
        <w:rPr>
          <w:rFonts w:ascii="Times New Roman" w:hAnsi="Times New Roman"/>
          <w:color w:val="auto"/>
          <w:spacing w:val="-3"/>
          <w:highlight w:val="none"/>
        </w:rPr>
        <w:t>km/h，</w:t>
      </w:r>
      <w:r>
        <w:rPr>
          <w:rFonts w:hint="eastAsia" w:ascii="Times New Roman" w:hAnsi="Times New Roman"/>
          <w:color w:val="auto"/>
          <w:spacing w:val="-3"/>
          <w:highlight w:val="none"/>
          <w:lang w:eastAsia="zh-CN"/>
        </w:rPr>
        <w:t>距声源</w:t>
      </w:r>
      <w:r>
        <w:rPr>
          <w:rFonts w:hint="eastAsia" w:ascii="Times New Roman" w:hAnsi="Times New Roman"/>
          <w:color w:val="auto"/>
          <w:spacing w:val="-3"/>
          <w:highlight w:val="none"/>
          <w:lang w:val="en-US" w:eastAsia="zh-CN"/>
        </w:rPr>
        <w:t>5m处</w:t>
      </w:r>
      <w:r>
        <w:rPr>
          <w:rFonts w:ascii="Times New Roman" w:hAnsi="Times New Roman"/>
          <w:color w:val="auto"/>
          <w:spacing w:val="-3"/>
          <w:highlight w:val="none"/>
        </w:rPr>
        <w:t>噪声源强一般在</w:t>
      </w:r>
      <w:r>
        <w:rPr>
          <w:rFonts w:hint="eastAsia" w:ascii="Times New Roman" w:hAnsi="Times New Roman"/>
          <w:color w:val="auto"/>
          <w:spacing w:val="-3"/>
          <w:highlight w:val="none"/>
          <w:lang w:val="en-US" w:eastAsia="zh-CN"/>
        </w:rPr>
        <w:t>85</w:t>
      </w:r>
      <w:r>
        <w:rPr>
          <w:rFonts w:ascii="Times New Roman" w:hAnsi="Times New Roman"/>
          <w:color w:val="auto"/>
          <w:spacing w:val="-3"/>
          <w:highlight w:val="none"/>
        </w:rPr>
        <w:t>dB(A)以下，</w:t>
      </w:r>
      <w:r>
        <w:rPr>
          <w:rFonts w:hint="eastAsia" w:ascii="Times New Roman" w:hAnsi="Times New Roman"/>
          <w:color w:val="auto"/>
          <w:spacing w:val="-3"/>
          <w:highlight w:val="none"/>
        </w:rPr>
        <w:t>施工船舶</w:t>
      </w:r>
      <w:r>
        <w:rPr>
          <w:rFonts w:hint="eastAsia" w:ascii="Times New Roman" w:hAnsi="Times New Roman"/>
          <w:color w:val="auto"/>
          <w:spacing w:val="-3"/>
          <w:highlight w:val="none"/>
          <w:lang w:eastAsia="zh-CN"/>
        </w:rPr>
        <w:t>噪声较小</w:t>
      </w:r>
      <w:r>
        <w:rPr>
          <w:rFonts w:ascii="Times New Roman" w:hAnsi="Times New Roman"/>
          <w:color w:val="auto"/>
          <w:spacing w:val="-3"/>
          <w:highlight w:val="none"/>
        </w:rPr>
        <w:t>，</w:t>
      </w:r>
      <w:r>
        <w:rPr>
          <w:rFonts w:hint="eastAsia" w:ascii="Times New Roman" w:hAnsi="Times New Roman"/>
          <w:color w:val="auto"/>
          <w:spacing w:val="-3"/>
          <w:highlight w:val="none"/>
          <w:lang w:eastAsia="zh-CN"/>
        </w:rPr>
        <w:t>距声源</w:t>
      </w:r>
      <w:r>
        <w:rPr>
          <w:rFonts w:hint="eastAsia" w:ascii="Times New Roman" w:hAnsi="Times New Roman"/>
          <w:color w:val="auto"/>
          <w:spacing w:val="-3"/>
          <w:highlight w:val="none"/>
          <w:lang w:val="en-US" w:eastAsia="zh-CN"/>
        </w:rPr>
        <w:t>15m处最大约60d</w:t>
      </w:r>
      <w:r>
        <w:rPr>
          <w:rFonts w:ascii="Times New Roman" w:hAnsi="Times New Roman"/>
          <w:color w:val="auto"/>
          <w:spacing w:val="-3"/>
          <w:highlight w:val="none"/>
        </w:rPr>
        <w:t>B(A)左右。</w:t>
      </w:r>
    </w:p>
    <w:p>
      <w:pPr>
        <w:pStyle w:val="222"/>
        <w:adjustRightInd w:val="0"/>
        <w:spacing w:line="460" w:lineRule="exact"/>
        <w:ind w:firstLine="480"/>
        <w:rPr>
          <w:rFonts w:hint="eastAsia" w:ascii="Times New Roman" w:hAnsi="Times New Roman" w:eastAsia="宋体"/>
          <w:color w:val="auto"/>
          <w:highlight w:val="none"/>
          <w:lang w:val="en-US" w:eastAsia="zh-CN"/>
        </w:rPr>
      </w:pPr>
      <w:r>
        <w:rPr>
          <w:rFonts w:hint="eastAsia" w:ascii="Times New Roman" w:hAnsi="Times New Roman"/>
          <w:color w:val="auto"/>
          <w:highlight w:val="none"/>
        </w:rPr>
        <w:fldChar w:fldCharType="begin"/>
      </w:r>
      <w:r>
        <w:rPr>
          <w:rFonts w:hint="eastAsia" w:ascii="Times New Roman" w:hAnsi="Times New Roman"/>
          <w:color w:val="auto"/>
          <w:highlight w:val="none"/>
        </w:rPr>
        <w:instrText xml:space="preserve"> = 5 \* GB3 \* MERGEFORMAT </w:instrText>
      </w:r>
      <w:r>
        <w:rPr>
          <w:rFonts w:hint="eastAsia" w:ascii="Times New Roman" w:hAnsi="Times New Roman"/>
          <w:color w:val="auto"/>
          <w:highlight w:val="none"/>
        </w:rPr>
        <w:fldChar w:fldCharType="separate"/>
      </w:r>
      <w:r>
        <w:rPr>
          <w:color w:val="auto"/>
          <w:highlight w:val="none"/>
        </w:rPr>
        <w:t>⑤</w:t>
      </w:r>
      <w:r>
        <w:rPr>
          <w:rFonts w:hint="eastAsia" w:ascii="Times New Roman" w:hAnsi="Times New Roman"/>
          <w:color w:val="auto"/>
          <w:highlight w:val="none"/>
        </w:rPr>
        <w:fldChar w:fldCharType="end"/>
      </w:r>
      <w:r>
        <w:rPr>
          <w:rFonts w:hint="eastAsia" w:ascii="Times New Roman" w:hAnsi="Times New Roman"/>
          <w:color w:val="auto"/>
          <w:highlight w:val="none"/>
          <w:lang w:eastAsia="zh-CN"/>
        </w:rPr>
        <w:t>航道疏浚噪声</w:t>
      </w:r>
    </w:p>
    <w:p>
      <w:pPr>
        <w:pStyle w:val="222"/>
        <w:adjustRightInd w:val="0"/>
        <w:spacing w:line="460" w:lineRule="exact"/>
        <w:ind w:firstLine="480"/>
        <w:rPr>
          <w:rFonts w:hint="eastAsia" w:ascii="Times New Roman" w:hAnsi="Times New Roman" w:eastAsia="宋体"/>
          <w:color w:val="auto"/>
          <w:highlight w:val="none"/>
          <w:lang w:eastAsia="zh-CN"/>
        </w:rPr>
      </w:pPr>
      <w:r>
        <w:rPr>
          <w:rFonts w:hint="eastAsia"/>
          <w:color w:val="auto"/>
          <w:highlight w:val="none"/>
          <w:lang w:eastAsia="zh-CN"/>
        </w:rPr>
        <w:t>配套航道疏浚</w:t>
      </w:r>
      <w:r>
        <w:rPr>
          <w:rFonts w:hint="eastAsia"/>
          <w:color w:val="auto"/>
          <w:highlight w:val="none"/>
        </w:rPr>
        <w:t>工程涉及疏浚</w:t>
      </w:r>
      <w:r>
        <w:rPr>
          <w:color w:val="auto"/>
          <w:highlight w:val="none"/>
        </w:rPr>
        <w:t>、</w:t>
      </w:r>
      <w:r>
        <w:rPr>
          <w:rFonts w:hint="eastAsia"/>
          <w:color w:val="auto"/>
          <w:highlight w:val="none"/>
        </w:rPr>
        <w:t>炸礁和清渣</w:t>
      </w:r>
      <w:r>
        <w:rPr>
          <w:color w:val="auto"/>
          <w:highlight w:val="none"/>
        </w:rPr>
        <w:t>，</w:t>
      </w:r>
      <w:r>
        <w:rPr>
          <w:rFonts w:hint="eastAsia"/>
          <w:color w:val="auto"/>
          <w:highlight w:val="none"/>
        </w:rPr>
        <w:t>炸礁将</w:t>
      </w:r>
      <w:r>
        <w:rPr>
          <w:rFonts w:hint="eastAsia"/>
          <w:bCs/>
          <w:color w:val="auto"/>
          <w:highlight w:val="none"/>
        </w:rPr>
        <w:t>产生</w:t>
      </w:r>
      <w:r>
        <w:rPr>
          <w:rFonts w:hint="eastAsia"/>
          <w:color w:val="auto"/>
          <w:highlight w:val="none"/>
        </w:rPr>
        <w:t>瞬间噪声对炸礁工程临近区域会造成一定影响，</w:t>
      </w:r>
      <w:r>
        <w:rPr>
          <w:rFonts w:hint="eastAsia"/>
          <w:color w:val="auto"/>
          <w:highlight w:val="none"/>
          <w:lang w:eastAsia="zh-CN"/>
        </w:rPr>
        <w:t>疏浚、</w:t>
      </w:r>
      <w:r>
        <w:rPr>
          <w:rFonts w:hint="eastAsia"/>
          <w:color w:val="auto"/>
          <w:highlight w:val="none"/>
        </w:rPr>
        <w:t>清渣作业中</w:t>
      </w:r>
      <w:r>
        <w:rPr>
          <w:rFonts w:hint="eastAsia"/>
          <w:color w:val="auto"/>
          <w:highlight w:val="none"/>
          <w:lang w:eastAsia="zh-CN"/>
        </w:rPr>
        <w:t>施工船舶、泥驳等</w:t>
      </w:r>
      <w:r>
        <w:rPr>
          <w:rFonts w:hint="eastAsia"/>
          <w:color w:val="auto"/>
          <w:highlight w:val="none"/>
        </w:rPr>
        <w:t>机械设备产生的噪声，对施工区周围的声环境有一定影响</w:t>
      </w:r>
      <w:r>
        <w:rPr>
          <w:rFonts w:hint="eastAsia"/>
          <w:color w:val="auto"/>
          <w:highlight w:val="none"/>
          <w:lang w:eastAsia="zh-CN"/>
        </w:rPr>
        <w:t>，</w:t>
      </w:r>
      <w:r>
        <w:rPr>
          <w:rFonts w:hint="eastAsia" w:ascii="Times New Roman" w:hAnsi="Times New Roman"/>
          <w:color w:val="auto"/>
          <w:highlight w:val="none"/>
          <w:lang w:eastAsia="zh-CN"/>
        </w:rPr>
        <w:t>噪声值一般为</w:t>
      </w:r>
      <w:r>
        <w:rPr>
          <w:rFonts w:hint="eastAsia" w:ascii="Times New Roman" w:hAnsi="Times New Roman"/>
          <w:color w:val="auto"/>
          <w:highlight w:val="none"/>
          <w:lang w:val="en-US" w:eastAsia="zh-CN"/>
        </w:rPr>
        <w:t>65</w:t>
      </w: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90</w:t>
      </w:r>
      <w:r>
        <w:rPr>
          <w:rFonts w:hint="eastAsia" w:ascii="Times New Roman" w:hAnsi="Times New Roman"/>
          <w:color w:val="auto"/>
          <w:highlight w:val="none"/>
          <w:lang w:eastAsia="zh-CN"/>
        </w:rPr>
        <w:t>dB（A）。</w:t>
      </w:r>
    </w:p>
    <w:p>
      <w:pPr>
        <w:pStyle w:val="222"/>
        <w:adjustRightInd w:val="0"/>
        <w:spacing w:line="460" w:lineRule="exact"/>
        <w:ind w:firstLine="480"/>
        <w:rPr>
          <w:rFonts w:ascii="Times New Roman" w:hAnsi="Times New Roman"/>
          <w:color w:val="auto"/>
          <w:highlight w:val="none"/>
        </w:rPr>
      </w:pPr>
      <w:r>
        <w:rPr>
          <w:rFonts w:hint="eastAsia" w:ascii="Times New Roman" w:hAnsi="Times New Roman"/>
          <w:color w:val="auto"/>
          <w:highlight w:val="none"/>
        </w:rPr>
        <w:fldChar w:fldCharType="begin"/>
      </w:r>
      <w:r>
        <w:rPr>
          <w:rFonts w:hint="eastAsia" w:ascii="Times New Roman" w:hAnsi="Times New Roman"/>
          <w:color w:val="auto"/>
          <w:highlight w:val="none"/>
        </w:rPr>
        <w:instrText xml:space="preserve"> = 6 \* GB3 \* MERGEFORMAT </w:instrText>
      </w:r>
      <w:r>
        <w:rPr>
          <w:rFonts w:hint="eastAsia" w:ascii="Times New Roman" w:hAnsi="Times New Roman"/>
          <w:color w:val="auto"/>
          <w:highlight w:val="none"/>
        </w:rPr>
        <w:fldChar w:fldCharType="separate"/>
      </w:r>
      <w:r>
        <w:rPr>
          <w:color w:val="auto"/>
          <w:highlight w:val="none"/>
        </w:rPr>
        <w:t>⑥</w:t>
      </w:r>
      <w:r>
        <w:rPr>
          <w:rFonts w:hint="eastAsia" w:ascii="Times New Roman" w:hAnsi="Times New Roman"/>
          <w:color w:val="auto"/>
          <w:highlight w:val="none"/>
        </w:rPr>
        <w:fldChar w:fldCharType="end"/>
      </w:r>
      <w:r>
        <w:rPr>
          <w:rFonts w:hint="eastAsia" w:ascii="Times New Roman" w:hAnsi="Times New Roman"/>
          <w:color w:val="auto"/>
          <w:highlight w:val="none"/>
        </w:rPr>
        <w:t>弃渣场施工作业噪声</w:t>
      </w:r>
    </w:p>
    <w:p>
      <w:pPr>
        <w:pStyle w:val="222"/>
        <w:adjustRightInd w:val="0"/>
        <w:spacing w:line="460" w:lineRule="exact"/>
        <w:ind w:firstLine="480"/>
        <w:rPr>
          <w:rFonts w:ascii="Times New Roman" w:hAnsi="Times New Roman"/>
          <w:color w:val="auto"/>
          <w:highlight w:val="none"/>
        </w:rPr>
      </w:pPr>
      <w:r>
        <w:rPr>
          <w:rFonts w:hint="eastAsia" w:ascii="Times New Roman" w:hAnsi="Times New Roman"/>
          <w:color w:val="auto"/>
          <w:highlight w:val="none"/>
          <w:lang w:eastAsia="zh-CN"/>
        </w:rPr>
        <w:t>弃渣场施工作业噪声源主要来自挖掘机、开挖、出渣、倒渣等机械施工活动，弃渣场业面噪声值一般为</w:t>
      </w:r>
      <w:r>
        <w:rPr>
          <w:rFonts w:hint="eastAsia" w:ascii="Times New Roman" w:hAnsi="Times New Roman"/>
          <w:color w:val="auto"/>
          <w:highlight w:val="none"/>
          <w:lang w:val="en-US" w:eastAsia="zh-CN"/>
        </w:rPr>
        <w:t>80</w:t>
      </w: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85</w:t>
      </w:r>
      <w:r>
        <w:rPr>
          <w:rFonts w:hint="eastAsia" w:ascii="Times New Roman" w:hAnsi="Times New Roman"/>
          <w:color w:val="auto"/>
          <w:highlight w:val="none"/>
          <w:lang w:eastAsia="zh-CN"/>
        </w:rPr>
        <w:t>dB（A）</w:t>
      </w:r>
      <w:r>
        <w:rPr>
          <w:rFonts w:ascii="Times New Roman" w:hAnsi="Times New Roman"/>
          <w:color w:val="auto"/>
          <w:highlight w:val="none"/>
        </w:rPr>
        <w:t>。</w:t>
      </w:r>
    </w:p>
    <w:p>
      <w:pPr>
        <w:pStyle w:val="222"/>
        <w:adjustRightInd w:val="0"/>
        <w:spacing w:line="460" w:lineRule="exact"/>
        <w:ind w:firstLine="480"/>
        <w:rPr>
          <w:rFonts w:ascii="Times New Roman" w:hAnsi="Times New Roman"/>
          <w:color w:val="auto"/>
          <w:highlight w:val="none"/>
        </w:rPr>
      </w:pP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4</w:t>
      </w:r>
      <w:r>
        <w:rPr>
          <w:rFonts w:hint="eastAsia" w:ascii="Times New Roman" w:hAnsi="Times New Roman"/>
          <w:color w:val="auto"/>
          <w:highlight w:val="none"/>
          <w:lang w:eastAsia="zh-CN"/>
        </w:rPr>
        <w:t>）</w:t>
      </w:r>
      <w:r>
        <w:rPr>
          <w:rFonts w:ascii="Times New Roman" w:hAnsi="Times New Roman"/>
          <w:color w:val="auto"/>
          <w:highlight w:val="none"/>
        </w:rPr>
        <w:t>固体废物</w:t>
      </w:r>
    </w:p>
    <w:p>
      <w:pPr>
        <w:pStyle w:val="222"/>
        <w:adjustRightInd w:val="0"/>
        <w:spacing w:line="460" w:lineRule="exact"/>
        <w:ind w:firstLine="480"/>
        <w:rPr>
          <w:rFonts w:ascii="Times New Roman" w:hAnsi="Times New Roman"/>
          <w:color w:val="auto"/>
          <w:highlight w:val="none"/>
        </w:rPr>
      </w:pPr>
      <w:r>
        <w:rPr>
          <w:rFonts w:ascii="Times New Roman" w:hAnsi="Times New Roman"/>
          <w:color w:val="auto"/>
          <w:highlight w:val="none"/>
        </w:rPr>
        <w:fldChar w:fldCharType="begin"/>
      </w:r>
      <w:r>
        <w:rPr>
          <w:rFonts w:ascii="Times New Roman" w:hAnsi="Times New Roman"/>
          <w:color w:val="auto"/>
          <w:highlight w:val="none"/>
        </w:rPr>
        <w:instrText xml:space="preserve"> = 1 \* GB3 \* MERGEFORMAT </w:instrText>
      </w:r>
      <w:r>
        <w:rPr>
          <w:rFonts w:ascii="Times New Roman" w:hAnsi="Times New Roman"/>
          <w:color w:val="auto"/>
          <w:highlight w:val="none"/>
        </w:rPr>
        <w:fldChar w:fldCharType="separate"/>
      </w:r>
      <w:r>
        <w:rPr>
          <w:color w:val="auto"/>
          <w:highlight w:val="none"/>
        </w:rPr>
        <w:t>①</w:t>
      </w:r>
      <w:r>
        <w:rPr>
          <w:rFonts w:ascii="Times New Roman" w:hAnsi="Times New Roman"/>
          <w:color w:val="auto"/>
          <w:highlight w:val="none"/>
        </w:rPr>
        <w:fldChar w:fldCharType="end"/>
      </w:r>
      <w:r>
        <w:rPr>
          <w:rFonts w:ascii="Times New Roman" w:hAnsi="Times New Roman"/>
          <w:color w:val="auto"/>
          <w:highlight w:val="none"/>
        </w:rPr>
        <w:t>施工弃渣</w:t>
      </w:r>
    </w:p>
    <w:p>
      <w:pPr>
        <w:pStyle w:val="222"/>
        <w:adjustRightInd w:val="0"/>
        <w:spacing w:line="460" w:lineRule="exact"/>
        <w:ind w:firstLine="480"/>
        <w:rPr>
          <w:rFonts w:hint="default" w:ascii="Times New Roman" w:hAnsi="Times New Roman" w:cs="Times New Roman"/>
          <w:snapToGrid w:val="0"/>
          <w:color w:val="auto"/>
          <w:spacing w:val="2"/>
          <w:highlight w:val="none"/>
        </w:rPr>
      </w:pPr>
      <w:r>
        <w:rPr>
          <w:rFonts w:hint="default" w:ascii="Times New Roman" w:hAnsi="Times New Roman" w:cs="Times New Roman"/>
          <w:color w:val="auto"/>
          <w:highlight w:val="none"/>
        </w:rPr>
        <w:t>根据工程土石方平衡规划，土石方开挖方量(含围堰拆除</w:t>
      </w:r>
      <w:r>
        <w:rPr>
          <w:rFonts w:hint="eastAsia" w:ascii="Times New Roman" w:hAnsi="Times New Roman" w:cs="Times New Roman"/>
          <w:color w:val="auto"/>
          <w:highlight w:val="none"/>
          <w:lang w:eastAsia="zh-CN"/>
        </w:rPr>
        <w:t>、疏浚</w:t>
      </w:r>
      <w:r>
        <w:rPr>
          <w:rFonts w:hint="default" w:ascii="Times New Roman" w:hAnsi="Times New Roman" w:cs="Times New Roman"/>
          <w:color w:val="auto"/>
          <w:highlight w:val="none"/>
        </w:rPr>
        <w:t>)总计</w:t>
      </w:r>
      <w:r>
        <w:rPr>
          <w:rFonts w:hint="eastAsia" w:ascii="Times New Roman" w:hAnsi="Times New Roman" w:cs="Times New Roman"/>
          <w:color w:val="auto"/>
          <w:highlight w:val="none"/>
          <w:lang w:val="en-US" w:eastAsia="zh-CN"/>
        </w:rPr>
        <w:t>195.47</w:t>
      </w:r>
      <w:r>
        <w:rPr>
          <w:rFonts w:hint="default" w:ascii="Times New Roman" w:hAnsi="Times New Roman" w:cs="Times New Roman"/>
          <w:color w:val="auto"/>
          <w:highlight w:val="none"/>
        </w:rPr>
        <w:t>万m</w:t>
      </w:r>
      <w:r>
        <w:rPr>
          <w:rFonts w:hint="default" w:ascii="Times New Roman" w:hAnsi="Times New Roman" w:cs="Times New Roman"/>
          <w:color w:val="auto"/>
          <w:highlight w:val="none"/>
          <w:vertAlign w:val="superscript"/>
        </w:rPr>
        <w:t>3</w:t>
      </w:r>
      <w:r>
        <w:rPr>
          <w:rFonts w:hint="eastAsia" w:ascii="Times New Roman" w:hAnsi="Times New Roman" w:cs="Times New Roman"/>
          <w:color w:val="auto"/>
          <w:highlight w:val="none"/>
          <w:vertAlign w:val="baseline"/>
          <w:lang w:eastAsia="zh-CN"/>
        </w:rPr>
        <w:t>（自然方）</w:t>
      </w:r>
      <w:r>
        <w:rPr>
          <w:rFonts w:hint="default" w:ascii="Times New Roman" w:hAnsi="Times New Roman" w:cs="Times New Roman"/>
          <w:color w:val="auto"/>
          <w:highlight w:val="none"/>
        </w:rPr>
        <w:t>，土石方填筑方量(含围堰填筑等)总计</w:t>
      </w:r>
      <w:r>
        <w:rPr>
          <w:rFonts w:hint="eastAsia" w:ascii="Times New Roman" w:hAnsi="Times New Roman" w:cs="Times New Roman"/>
          <w:color w:val="auto"/>
          <w:highlight w:val="none"/>
          <w:lang w:val="en-US" w:eastAsia="zh-CN"/>
        </w:rPr>
        <w:t>44.61</w:t>
      </w:r>
      <w:r>
        <w:rPr>
          <w:rFonts w:hint="default" w:ascii="Times New Roman" w:hAnsi="Times New Roman" w:cs="Times New Roman"/>
          <w:color w:val="auto"/>
          <w:highlight w:val="none"/>
        </w:rPr>
        <w:t>万m</w:t>
      </w:r>
      <w:r>
        <w:rPr>
          <w:rFonts w:hint="default" w:ascii="Times New Roman" w:hAnsi="Times New Roman" w:cs="Times New Roman"/>
          <w:color w:val="auto"/>
          <w:highlight w:val="none"/>
          <w:vertAlign w:val="superscript"/>
        </w:rPr>
        <w:t>3</w:t>
      </w:r>
      <w:r>
        <w:rPr>
          <w:rFonts w:hint="eastAsia"/>
          <w:color w:val="auto"/>
          <w:highlight w:val="none"/>
          <w:lang w:eastAsia="zh-CN"/>
        </w:rPr>
        <w:t>（实方）</w:t>
      </w:r>
      <w:r>
        <w:rPr>
          <w:rFonts w:hint="default" w:ascii="Times New Roman" w:hAnsi="Times New Roman" w:cs="Times New Roman"/>
          <w:color w:val="auto"/>
          <w:highlight w:val="none"/>
        </w:rPr>
        <w:t>，弃料共计</w:t>
      </w:r>
      <w:r>
        <w:rPr>
          <w:rFonts w:hint="eastAsia" w:ascii="Times New Roman" w:hAnsi="Times New Roman" w:cs="Times New Roman"/>
          <w:color w:val="auto"/>
          <w:highlight w:val="none"/>
          <w:lang w:val="en-US" w:eastAsia="zh-CN"/>
        </w:rPr>
        <w:t>172.20</w:t>
      </w:r>
      <w:r>
        <w:rPr>
          <w:rFonts w:hint="default" w:ascii="Times New Roman" w:hAnsi="Times New Roman" w:cs="Times New Roman"/>
          <w:color w:val="auto"/>
          <w:highlight w:val="none"/>
        </w:rPr>
        <w:t>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eastAsia="zh-CN"/>
        </w:rPr>
        <w:t>实方</w:t>
      </w:r>
      <w:r>
        <w:rPr>
          <w:rFonts w:hint="default" w:ascii="Times New Roman" w:hAnsi="Times New Roman" w:cs="Times New Roman"/>
          <w:color w:val="auto"/>
          <w:highlight w:val="none"/>
        </w:rPr>
        <w:t>)</w:t>
      </w:r>
      <w:r>
        <w:rPr>
          <w:rFonts w:hint="default" w:ascii="Times New Roman" w:hAnsi="Times New Roman" w:cs="Times New Roman"/>
          <w:color w:val="auto"/>
          <w:kern w:val="2"/>
          <w:highlight w:val="none"/>
        </w:rPr>
        <w:t>，弃渣</w:t>
      </w:r>
      <w:r>
        <w:rPr>
          <w:rFonts w:hint="eastAsia" w:ascii="Times New Roman" w:hAnsi="Times New Roman" w:cs="Times New Roman"/>
          <w:color w:val="auto"/>
          <w:kern w:val="2"/>
          <w:highlight w:val="none"/>
          <w:shd w:val="clear" w:fill="FFFFFF"/>
          <w:lang w:eastAsia="zh-CN"/>
        </w:rPr>
        <w:t>运至</w:t>
      </w:r>
      <w:r>
        <w:rPr>
          <w:rFonts w:hint="eastAsia" w:ascii="Times New Roman" w:hAnsi="Times New Roman" w:cs="Times New Roman"/>
          <w:color w:val="auto"/>
          <w:kern w:val="2"/>
          <w:highlight w:val="none"/>
          <w:lang w:val="en-US" w:eastAsia="zh-CN"/>
        </w:rPr>
        <w:t>2处临时弃渣场</w:t>
      </w:r>
      <w:r>
        <w:rPr>
          <w:rFonts w:hint="default" w:ascii="Times New Roman" w:hAnsi="Times New Roman" w:cs="Times New Roman"/>
          <w:snapToGrid w:val="0"/>
          <w:color w:val="auto"/>
          <w:spacing w:val="2"/>
          <w:highlight w:val="none"/>
        </w:rPr>
        <w:t>。</w:t>
      </w:r>
    </w:p>
    <w:p>
      <w:pPr>
        <w:pStyle w:val="222"/>
        <w:adjustRightInd w:val="0"/>
        <w:spacing w:line="460" w:lineRule="exact"/>
        <w:ind w:firstLine="480"/>
        <w:rPr>
          <w:rFonts w:hint="eastAsia" w:ascii="Times New Roman" w:hAnsi="Times New Roman"/>
          <w:color w:val="auto"/>
          <w:highlight w:val="none"/>
          <w:lang w:eastAsia="zh-CN"/>
        </w:rPr>
      </w:pPr>
      <w:bookmarkStart w:id="78" w:name="_Hlk513035173"/>
      <w:r>
        <w:rPr>
          <w:rFonts w:ascii="Times New Roman" w:hAnsi="Times New Roman"/>
          <w:color w:val="auto"/>
          <w:highlight w:val="none"/>
        </w:rPr>
        <w:fldChar w:fldCharType="begin"/>
      </w:r>
      <w:r>
        <w:rPr>
          <w:rFonts w:ascii="Times New Roman" w:hAnsi="Times New Roman"/>
          <w:color w:val="auto"/>
          <w:highlight w:val="none"/>
        </w:rPr>
        <w:instrText xml:space="preserve"> = 2 \* GB3 \* MERGEFORMAT </w:instrText>
      </w:r>
      <w:r>
        <w:rPr>
          <w:rFonts w:ascii="Times New Roman" w:hAnsi="Times New Roman"/>
          <w:color w:val="auto"/>
          <w:highlight w:val="none"/>
        </w:rPr>
        <w:fldChar w:fldCharType="separate"/>
      </w:r>
      <w:r>
        <w:rPr>
          <w:color w:val="auto"/>
          <w:highlight w:val="none"/>
        </w:rPr>
        <w:t>②</w:t>
      </w:r>
      <w:r>
        <w:rPr>
          <w:rFonts w:ascii="Times New Roman" w:hAnsi="Times New Roman"/>
          <w:color w:val="auto"/>
          <w:highlight w:val="none"/>
        </w:rPr>
        <w:fldChar w:fldCharType="end"/>
      </w:r>
      <w:r>
        <w:rPr>
          <w:rFonts w:hint="eastAsia" w:ascii="Times New Roman" w:hAnsi="Times New Roman"/>
          <w:color w:val="auto"/>
          <w:highlight w:val="none"/>
          <w:lang w:eastAsia="zh-CN"/>
        </w:rPr>
        <w:t>拆除垃圾</w:t>
      </w:r>
    </w:p>
    <w:p>
      <w:pPr>
        <w:pStyle w:val="222"/>
        <w:adjustRightInd w:val="0"/>
        <w:spacing w:line="460" w:lineRule="exact"/>
        <w:ind w:firstLine="480"/>
        <w:rPr>
          <w:rFonts w:hint="eastAsia" w:ascii="Times New Roman" w:hAnsi="Times New Roman"/>
          <w:color w:val="auto"/>
          <w:highlight w:val="none"/>
          <w:lang w:eastAsia="zh-CN"/>
        </w:rPr>
      </w:pPr>
      <w:r>
        <w:rPr>
          <w:rFonts w:hint="eastAsia" w:ascii="Times New Roman" w:hAnsi="Times New Roman"/>
          <w:color w:val="auto"/>
          <w:highlight w:val="none"/>
          <w:lang w:eastAsia="zh-CN"/>
        </w:rPr>
        <w:t>项目施工期对现有枢纽管理区进行拆除，拆除和地面清理产生的砖瓦、混凝土块等拆除垃圾产生量约</w:t>
      </w:r>
      <w:r>
        <w:rPr>
          <w:rFonts w:hint="eastAsia" w:ascii="Times New Roman" w:hAnsi="Times New Roman"/>
          <w:color w:val="auto"/>
          <w:highlight w:val="none"/>
          <w:lang w:val="en-US" w:eastAsia="zh-CN"/>
        </w:rPr>
        <w:t>6000t</w:t>
      </w:r>
      <w:r>
        <w:rPr>
          <w:rFonts w:hint="eastAsia" w:ascii="Times New Roman" w:hAnsi="Times New Roman"/>
          <w:color w:val="auto"/>
          <w:highlight w:val="none"/>
          <w:lang w:eastAsia="zh-CN"/>
        </w:rPr>
        <w:t>，优先进行回收利用，不能回收利用的运送至合法的建筑垃圾消纳场进行处置。</w:t>
      </w:r>
    </w:p>
    <w:p>
      <w:pPr>
        <w:pStyle w:val="222"/>
        <w:adjustRightInd w:val="0"/>
        <w:spacing w:line="460" w:lineRule="exact"/>
        <w:ind w:firstLine="480"/>
        <w:rPr>
          <w:rFonts w:ascii="Times New Roman" w:hAnsi="Times New Roman"/>
          <w:color w:val="auto"/>
          <w:highlight w:val="none"/>
        </w:rPr>
      </w:pPr>
      <w:r>
        <w:rPr>
          <w:rFonts w:ascii="Times New Roman" w:hAnsi="Times New Roman"/>
          <w:color w:val="auto"/>
          <w:highlight w:val="none"/>
        </w:rPr>
        <w:fldChar w:fldCharType="begin"/>
      </w:r>
      <w:r>
        <w:rPr>
          <w:rFonts w:ascii="Times New Roman" w:hAnsi="Times New Roman"/>
          <w:color w:val="auto"/>
          <w:highlight w:val="none"/>
        </w:rPr>
        <w:instrText xml:space="preserve"> = 3 \* GB3 \* MERGEFORMAT </w:instrText>
      </w:r>
      <w:r>
        <w:rPr>
          <w:rFonts w:ascii="Times New Roman" w:hAnsi="Times New Roman"/>
          <w:color w:val="auto"/>
          <w:highlight w:val="none"/>
        </w:rPr>
        <w:fldChar w:fldCharType="separate"/>
      </w:r>
      <w:r>
        <w:rPr>
          <w:color w:val="auto"/>
          <w:highlight w:val="none"/>
        </w:rPr>
        <w:t>③</w:t>
      </w:r>
      <w:r>
        <w:rPr>
          <w:rFonts w:ascii="Times New Roman" w:hAnsi="Times New Roman"/>
          <w:color w:val="auto"/>
          <w:highlight w:val="none"/>
        </w:rPr>
        <w:fldChar w:fldCharType="end"/>
      </w:r>
      <w:r>
        <w:rPr>
          <w:rFonts w:ascii="Times New Roman" w:hAnsi="Times New Roman"/>
          <w:color w:val="auto"/>
          <w:highlight w:val="none"/>
        </w:rPr>
        <w:t>生活垃圾</w:t>
      </w:r>
    </w:p>
    <w:p>
      <w:pPr>
        <w:pStyle w:val="222"/>
        <w:adjustRightInd w:val="0"/>
        <w:spacing w:line="460" w:lineRule="exact"/>
        <w:ind w:firstLine="480"/>
        <w:rPr>
          <w:rFonts w:ascii="Times New Roman" w:hAnsi="Times New Roman"/>
          <w:color w:val="auto"/>
          <w:highlight w:val="none"/>
        </w:rPr>
      </w:pPr>
      <w:r>
        <w:rPr>
          <w:rFonts w:hint="eastAsia" w:ascii="Times New Roman" w:hAnsi="Times New Roman"/>
          <w:color w:val="auto"/>
          <w:highlight w:val="none"/>
          <w:lang w:eastAsia="zh-CN"/>
        </w:rPr>
        <w:t>工程</w:t>
      </w:r>
      <w:r>
        <w:rPr>
          <w:rFonts w:ascii="Times New Roman" w:hAnsi="Times New Roman"/>
          <w:color w:val="auto"/>
          <w:highlight w:val="none"/>
        </w:rPr>
        <w:t>施工高峰期施工人数为</w:t>
      </w:r>
      <w:r>
        <w:rPr>
          <w:rFonts w:hint="eastAsia" w:ascii="Times New Roman" w:hAnsi="Times New Roman"/>
          <w:color w:val="auto"/>
          <w:highlight w:val="none"/>
          <w:lang w:val="en-US" w:eastAsia="zh-CN"/>
        </w:rPr>
        <w:t>750</w:t>
      </w:r>
      <w:r>
        <w:rPr>
          <w:rFonts w:ascii="Times New Roman" w:hAnsi="Times New Roman"/>
          <w:color w:val="auto"/>
          <w:highlight w:val="none"/>
        </w:rPr>
        <w:t>人，按人均日产生垃圾量为</w:t>
      </w:r>
      <w:r>
        <w:rPr>
          <w:rFonts w:hint="eastAsia" w:ascii="Times New Roman" w:hAnsi="Times New Roman"/>
          <w:color w:val="auto"/>
          <w:highlight w:val="none"/>
          <w:lang w:val="en-US" w:eastAsia="zh-CN"/>
        </w:rPr>
        <w:t>0.5</w:t>
      </w:r>
      <w:r>
        <w:rPr>
          <w:rFonts w:ascii="Times New Roman" w:hAnsi="Times New Roman"/>
          <w:color w:val="auto"/>
          <w:highlight w:val="none"/>
        </w:rPr>
        <w:t>kg计算，</w:t>
      </w:r>
      <w:r>
        <w:rPr>
          <w:rFonts w:hint="eastAsia" w:ascii="Times New Roman" w:hAnsi="Times New Roman"/>
          <w:color w:val="auto"/>
          <w:highlight w:val="none"/>
        </w:rPr>
        <w:t>则施工期生活垃圾最大日产生量</w:t>
      </w:r>
      <w:r>
        <w:rPr>
          <w:rFonts w:hint="eastAsia" w:ascii="Times New Roman" w:hAnsi="Times New Roman"/>
          <w:color w:val="auto"/>
          <w:highlight w:val="none"/>
          <w:lang w:eastAsia="zh-CN"/>
        </w:rPr>
        <w:t>为</w:t>
      </w:r>
      <w:r>
        <w:rPr>
          <w:rFonts w:hint="eastAsia" w:ascii="Times New Roman" w:hAnsi="Times New Roman"/>
          <w:color w:val="auto"/>
          <w:highlight w:val="none"/>
          <w:lang w:val="en-US" w:eastAsia="zh-CN"/>
        </w:rPr>
        <w:t>375</w:t>
      </w:r>
      <w:r>
        <w:rPr>
          <w:rFonts w:ascii="Times New Roman" w:hAnsi="Times New Roman"/>
          <w:color w:val="auto"/>
          <w:highlight w:val="none"/>
        </w:rPr>
        <w:t>kg</w:t>
      </w:r>
      <w:r>
        <w:rPr>
          <w:rFonts w:hint="eastAsia" w:ascii="Times New Roman" w:hAnsi="Times New Roman"/>
          <w:color w:val="auto"/>
          <w:highlight w:val="none"/>
          <w:lang w:val="en-US" w:eastAsia="zh-CN"/>
        </w:rPr>
        <w:t>/d，经收集后交由环卫部门处置</w:t>
      </w:r>
      <w:r>
        <w:rPr>
          <w:rFonts w:ascii="Times New Roman" w:hAnsi="Times New Roman"/>
          <w:color w:val="auto"/>
          <w:highlight w:val="none"/>
        </w:rPr>
        <w:t>。</w:t>
      </w:r>
    </w:p>
    <w:p>
      <w:pPr>
        <w:pStyle w:val="222"/>
        <w:adjustRightInd w:val="0"/>
        <w:spacing w:line="460" w:lineRule="exact"/>
        <w:ind w:firstLine="480"/>
        <w:rPr>
          <w:rFonts w:ascii="Times New Roman" w:hAnsi="Times New Roman"/>
          <w:color w:val="auto"/>
          <w:highlight w:val="none"/>
        </w:rPr>
      </w:pP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5</w:t>
      </w:r>
      <w:r>
        <w:rPr>
          <w:rFonts w:hint="eastAsia" w:ascii="Times New Roman" w:hAnsi="Times New Roman"/>
          <w:color w:val="auto"/>
          <w:highlight w:val="none"/>
          <w:lang w:eastAsia="zh-CN"/>
        </w:rPr>
        <w:t>）</w:t>
      </w:r>
      <w:r>
        <w:rPr>
          <w:rFonts w:ascii="Times New Roman" w:hAnsi="Times New Roman"/>
          <w:color w:val="auto"/>
          <w:highlight w:val="none"/>
        </w:rPr>
        <w:t>生态环境</w:t>
      </w:r>
    </w:p>
    <w:p>
      <w:pPr>
        <w:adjustRightInd w:val="0"/>
        <w:snapToGrid w:val="0"/>
        <w:spacing w:line="460" w:lineRule="exact"/>
        <w:ind w:firstLine="528" w:firstLineChars="200"/>
        <w:rPr>
          <w:rFonts w:hint="eastAsia" w:eastAsia="宋体"/>
          <w:color w:val="auto"/>
          <w:spacing w:val="2"/>
          <w:szCs w:val="24"/>
          <w:highlight w:val="none"/>
          <w:lang w:eastAsia="zh-CN"/>
        </w:rPr>
      </w:pPr>
      <w:r>
        <w:rPr>
          <w:color w:val="auto"/>
          <w:spacing w:val="2"/>
          <w:szCs w:val="24"/>
          <w:highlight w:val="none"/>
        </w:rPr>
        <w:t>工程施工对生态环境的影响表现在工程占用对土地资源的影响，施工活动对土壤和植被、野生动物的影响等</w:t>
      </w:r>
      <w:r>
        <w:rPr>
          <w:rFonts w:hint="eastAsia"/>
          <w:color w:val="auto"/>
          <w:spacing w:val="2"/>
          <w:szCs w:val="24"/>
          <w:highlight w:val="none"/>
          <w:lang w:eastAsia="zh-CN"/>
        </w:rPr>
        <w:t>，以及涉水施工对水生生态的影响。</w:t>
      </w:r>
    </w:p>
    <w:p>
      <w:pPr>
        <w:adjustRightInd w:val="0"/>
        <w:snapToGrid w:val="0"/>
        <w:spacing w:line="460" w:lineRule="exact"/>
        <w:ind w:firstLine="528" w:firstLineChars="200"/>
        <w:rPr>
          <w:color w:val="auto"/>
          <w:szCs w:val="24"/>
          <w:highlight w:val="none"/>
        </w:rPr>
      </w:pPr>
      <w:bookmarkStart w:id="79" w:name="_Hlk530494078"/>
      <w:r>
        <w:rPr>
          <w:color w:val="auto"/>
          <w:spacing w:val="2"/>
          <w:szCs w:val="24"/>
          <w:highlight w:val="none"/>
        </w:rPr>
        <w:t>工程施工对植被的影响由工程永久和临时占地产生。</w:t>
      </w:r>
      <w:r>
        <w:rPr>
          <w:color w:val="auto"/>
          <w:szCs w:val="24"/>
          <w:highlight w:val="none"/>
        </w:rPr>
        <w:t>工程永久占用林地</w:t>
      </w:r>
      <w:r>
        <w:rPr>
          <w:rFonts w:hint="eastAsia"/>
          <w:color w:val="auto"/>
          <w:szCs w:val="24"/>
          <w:highlight w:val="none"/>
          <w:lang w:val="en-US" w:eastAsia="zh-CN"/>
        </w:rPr>
        <w:t>3.04hm</w:t>
      </w:r>
      <w:r>
        <w:rPr>
          <w:rFonts w:hint="eastAsia"/>
          <w:color w:val="auto"/>
          <w:szCs w:val="24"/>
          <w:highlight w:val="none"/>
          <w:vertAlign w:val="superscript"/>
          <w:lang w:val="en-US" w:eastAsia="zh-CN"/>
        </w:rPr>
        <w:t>2</w:t>
      </w:r>
      <w:r>
        <w:rPr>
          <w:color w:val="auto"/>
          <w:szCs w:val="24"/>
          <w:highlight w:val="none"/>
        </w:rPr>
        <w:t>、耕地</w:t>
      </w:r>
      <w:r>
        <w:rPr>
          <w:rFonts w:hint="eastAsia"/>
          <w:color w:val="auto"/>
          <w:szCs w:val="24"/>
          <w:highlight w:val="none"/>
          <w:lang w:val="en-US" w:eastAsia="zh-CN"/>
        </w:rPr>
        <w:t>1.87hm</w:t>
      </w:r>
      <w:r>
        <w:rPr>
          <w:rFonts w:hint="eastAsia"/>
          <w:color w:val="auto"/>
          <w:szCs w:val="24"/>
          <w:highlight w:val="none"/>
          <w:vertAlign w:val="superscript"/>
          <w:lang w:val="en-US" w:eastAsia="zh-CN"/>
        </w:rPr>
        <w:t>2</w:t>
      </w:r>
      <w:r>
        <w:rPr>
          <w:color w:val="auto"/>
          <w:szCs w:val="24"/>
          <w:highlight w:val="none"/>
        </w:rPr>
        <w:t>，其中林地以</w:t>
      </w:r>
      <w:r>
        <w:rPr>
          <w:rFonts w:hint="eastAsia"/>
          <w:color w:val="auto"/>
          <w:szCs w:val="24"/>
          <w:highlight w:val="none"/>
          <w:lang w:eastAsia="zh-CN"/>
        </w:rPr>
        <w:t>枫杨林等乔木林地</w:t>
      </w:r>
      <w:r>
        <w:rPr>
          <w:color w:val="auto"/>
          <w:szCs w:val="24"/>
          <w:highlight w:val="none"/>
        </w:rPr>
        <w:t>为主。临时征用林地</w:t>
      </w:r>
      <w:r>
        <w:rPr>
          <w:rFonts w:hint="eastAsia"/>
          <w:color w:val="auto"/>
          <w:szCs w:val="24"/>
          <w:highlight w:val="none"/>
          <w:lang w:val="en-US" w:eastAsia="zh-CN"/>
        </w:rPr>
        <w:t>12.22hm</w:t>
      </w:r>
      <w:r>
        <w:rPr>
          <w:rFonts w:hint="eastAsia"/>
          <w:color w:val="auto"/>
          <w:szCs w:val="24"/>
          <w:highlight w:val="none"/>
          <w:vertAlign w:val="superscript"/>
          <w:lang w:val="en-US" w:eastAsia="zh-CN"/>
        </w:rPr>
        <w:t>2</w:t>
      </w:r>
      <w:r>
        <w:rPr>
          <w:color w:val="auto"/>
          <w:szCs w:val="24"/>
          <w:highlight w:val="none"/>
        </w:rPr>
        <w:t>、耕地</w:t>
      </w:r>
      <w:r>
        <w:rPr>
          <w:rFonts w:hint="eastAsia"/>
          <w:color w:val="auto"/>
          <w:szCs w:val="24"/>
          <w:highlight w:val="none"/>
          <w:lang w:val="en-US" w:eastAsia="zh-CN"/>
        </w:rPr>
        <w:t>9.67hm</w:t>
      </w:r>
      <w:r>
        <w:rPr>
          <w:rFonts w:hint="eastAsia"/>
          <w:color w:val="auto"/>
          <w:szCs w:val="24"/>
          <w:highlight w:val="none"/>
          <w:vertAlign w:val="superscript"/>
          <w:lang w:val="en-US" w:eastAsia="zh-CN"/>
        </w:rPr>
        <w:t>2</w:t>
      </w:r>
      <w:r>
        <w:rPr>
          <w:color w:val="auto"/>
          <w:szCs w:val="24"/>
          <w:highlight w:val="none"/>
        </w:rPr>
        <w:t>，其中林地主要为</w:t>
      </w:r>
      <w:r>
        <w:rPr>
          <w:rFonts w:hint="eastAsia"/>
          <w:color w:val="auto"/>
          <w:szCs w:val="24"/>
          <w:highlight w:val="none"/>
          <w:lang w:eastAsia="zh-CN"/>
        </w:rPr>
        <w:t>柏木林、构树灌丛等</w:t>
      </w:r>
      <w:r>
        <w:rPr>
          <w:color w:val="auto"/>
          <w:szCs w:val="24"/>
          <w:highlight w:val="none"/>
        </w:rPr>
        <w:t>，耕地主要为</w:t>
      </w:r>
      <w:r>
        <w:rPr>
          <w:rFonts w:hint="eastAsia"/>
          <w:color w:val="auto"/>
          <w:szCs w:val="24"/>
          <w:highlight w:val="none"/>
          <w:lang w:eastAsia="zh-CN"/>
        </w:rPr>
        <w:t>旱地、水田</w:t>
      </w:r>
      <w:r>
        <w:rPr>
          <w:color w:val="auto"/>
          <w:szCs w:val="24"/>
          <w:highlight w:val="none"/>
        </w:rPr>
        <w:t>，内有少量零星果木分布。</w:t>
      </w:r>
      <w:r>
        <w:rPr>
          <w:rFonts w:hint="eastAsia"/>
          <w:color w:val="auto"/>
          <w:szCs w:val="24"/>
          <w:highlight w:val="none"/>
        </w:rPr>
        <w:t>永久占地和</w:t>
      </w:r>
      <w:r>
        <w:rPr>
          <w:color w:val="auto"/>
          <w:szCs w:val="24"/>
          <w:highlight w:val="none"/>
        </w:rPr>
        <w:t>临时</w:t>
      </w:r>
      <w:r>
        <w:rPr>
          <w:rFonts w:hint="eastAsia"/>
          <w:color w:val="auto"/>
          <w:szCs w:val="24"/>
          <w:highlight w:val="none"/>
          <w:lang w:eastAsia="zh-CN"/>
        </w:rPr>
        <w:t>占地范围内</w:t>
      </w:r>
      <w:r>
        <w:rPr>
          <w:color w:val="auto"/>
          <w:szCs w:val="24"/>
          <w:highlight w:val="none"/>
        </w:rPr>
        <w:t>植被均为当地常见</w:t>
      </w:r>
      <w:r>
        <w:rPr>
          <w:rFonts w:hint="eastAsia"/>
          <w:color w:val="auto"/>
          <w:szCs w:val="24"/>
          <w:highlight w:val="none"/>
          <w:lang w:eastAsia="zh-CN"/>
        </w:rPr>
        <w:t>物种</w:t>
      </w:r>
      <w:r>
        <w:rPr>
          <w:color w:val="auto"/>
          <w:szCs w:val="24"/>
          <w:highlight w:val="none"/>
        </w:rPr>
        <w:t>，工程施工对该区域植被及陆生植物多样性不会造成较大影响。</w:t>
      </w:r>
    </w:p>
    <w:bookmarkEnd w:id="78"/>
    <w:bookmarkEnd w:id="79"/>
    <w:p>
      <w:pPr>
        <w:pStyle w:val="222"/>
        <w:adjustRightInd w:val="0"/>
        <w:spacing w:line="460" w:lineRule="exact"/>
        <w:ind w:firstLine="488"/>
        <w:rPr>
          <w:rFonts w:ascii="Times New Roman" w:hAnsi="Times New Roman"/>
          <w:color w:val="auto"/>
          <w:spacing w:val="2"/>
          <w:highlight w:val="none"/>
        </w:rPr>
      </w:pPr>
      <w:r>
        <w:rPr>
          <w:rFonts w:ascii="Times New Roman" w:hAnsi="Times New Roman"/>
          <w:color w:val="auto"/>
          <w:spacing w:val="2"/>
          <w:highlight w:val="none"/>
        </w:rPr>
        <w:t>施工活动对土壤环境最直接的影响就是施工期各类施工机械的碾压和建筑物占压对土壤结构、肥力、物理性质破坏的影响。工程</w:t>
      </w:r>
      <w:r>
        <w:rPr>
          <w:rFonts w:hint="eastAsia" w:ascii="Times New Roman" w:hAnsi="Times New Roman"/>
          <w:color w:val="auto"/>
          <w:spacing w:val="2"/>
          <w:highlight w:val="none"/>
          <w:lang w:eastAsia="zh-CN"/>
        </w:rPr>
        <w:t>占地范围内</w:t>
      </w:r>
      <w:r>
        <w:rPr>
          <w:rFonts w:ascii="Times New Roman" w:hAnsi="Times New Roman"/>
          <w:color w:val="auto"/>
          <w:spacing w:val="2"/>
          <w:highlight w:val="none"/>
        </w:rPr>
        <w:t>地表土壤在施工过程中彻底被占压覆盖，土壤性质永久改变不可恢复。施工临建设施占压及施工活动扰动区表层土壤结构、肥力、物理性质将被临时性破坏，需要较长时间才可恢复，若施工结束后配合恢复措施，则这一过程将被缩短。</w:t>
      </w:r>
    </w:p>
    <w:p>
      <w:pPr>
        <w:adjustRightInd w:val="0"/>
        <w:snapToGrid w:val="0"/>
        <w:spacing w:line="460" w:lineRule="exact"/>
        <w:ind w:firstLine="528" w:firstLineChars="200"/>
        <w:rPr>
          <w:color w:val="auto"/>
          <w:spacing w:val="2"/>
          <w:szCs w:val="24"/>
          <w:highlight w:val="none"/>
        </w:rPr>
      </w:pPr>
      <w:r>
        <w:rPr>
          <w:color w:val="auto"/>
          <w:spacing w:val="2"/>
          <w:szCs w:val="24"/>
          <w:highlight w:val="none"/>
        </w:rPr>
        <w:t>对地表植被而言，与土壤相同，工程永久占地将对原地表植被造成一次性永久破坏，施工临建设施占压和施工活动扰动区域等临时占地在施工结束后，通过采取一定的整治恢复措施，地表植被可以逐步得到恢复。</w:t>
      </w:r>
    </w:p>
    <w:p>
      <w:pPr>
        <w:adjustRightInd w:val="0"/>
        <w:snapToGrid w:val="0"/>
        <w:spacing w:line="460" w:lineRule="exact"/>
        <w:ind w:firstLine="528" w:firstLineChars="200"/>
        <w:rPr>
          <w:color w:val="auto"/>
          <w:spacing w:val="2"/>
          <w:szCs w:val="24"/>
          <w:highlight w:val="none"/>
        </w:rPr>
      </w:pPr>
      <w:r>
        <w:rPr>
          <w:color w:val="auto"/>
          <w:spacing w:val="2"/>
          <w:szCs w:val="24"/>
          <w:highlight w:val="none"/>
        </w:rPr>
        <w:t>对野生动物的影响主要表现为：工程施工活动可能干扰工程区内野生动物的正常栖息活动，施工噪声会对其产生</w:t>
      </w:r>
      <w:r>
        <w:rPr>
          <w:color w:val="auto"/>
          <w:spacing w:val="2"/>
          <w:szCs w:val="24"/>
          <w:highlight w:val="none"/>
          <w:shd w:val="clear" w:fill="FFFFFF"/>
        </w:rPr>
        <w:t>惊扰</w:t>
      </w:r>
      <w:r>
        <w:rPr>
          <w:color w:val="auto"/>
          <w:spacing w:val="2"/>
          <w:szCs w:val="24"/>
          <w:highlight w:val="none"/>
        </w:rPr>
        <w:t>。</w:t>
      </w:r>
    </w:p>
    <w:p>
      <w:pPr>
        <w:bidi w:val="0"/>
        <w:rPr>
          <w:color w:val="auto"/>
          <w:highlight w:val="none"/>
        </w:rPr>
      </w:pPr>
      <w:bookmarkStart w:id="80" w:name="_Toc219899434"/>
      <w:r>
        <w:rPr>
          <w:color w:val="auto"/>
          <w:spacing w:val="2"/>
          <w:szCs w:val="24"/>
          <w:highlight w:val="none"/>
        </w:rPr>
        <w:t>在施工期，由于开挖坡面、采石取料、机械碾压等原因，破坏了项目建设区原有地貌和植被，扰动了表土结构，致使土体抗蚀能力降低，土壤侵蚀加剧，排放弃土弃渣如不采取相应的水土流失防治措施将导致水土流失大量增加；在施工期</w:t>
      </w:r>
      <w:r>
        <w:rPr>
          <w:color w:val="auto"/>
          <w:highlight w:val="none"/>
        </w:rPr>
        <w:t>结束后，因施工破坏(因施工形成的裸露坡面、开采面、</w:t>
      </w:r>
      <w:r>
        <w:rPr>
          <w:color w:val="auto"/>
          <w:highlight w:val="none"/>
          <w:shd w:val="clear" w:fill="FFFFFF"/>
        </w:rPr>
        <w:t>弃渣渣</w:t>
      </w:r>
      <w:r>
        <w:rPr>
          <w:color w:val="auto"/>
          <w:highlight w:val="none"/>
        </w:rPr>
        <w:t>面)而影响水土流失的各种因素在自然封育下可逐渐消失，并且随着时间的推移，土壤固结及植被逐步恢复，水土保持功能得到日益发挥，生态环境将逐步得到恢复和改善，水土流失量逐渐减少直至达到新的稳定状态。</w:t>
      </w:r>
      <w:bookmarkEnd w:id="80"/>
    </w:p>
    <w:p>
      <w:pPr>
        <w:bidi w:val="0"/>
        <w:rPr>
          <w:color w:val="auto"/>
          <w:highlight w:val="none"/>
        </w:rPr>
      </w:pPr>
      <w:r>
        <w:rPr>
          <w:rFonts w:hint="eastAsia"/>
          <w:color w:val="auto"/>
          <w:highlight w:val="none"/>
        </w:rPr>
        <w:t>工程</w:t>
      </w:r>
      <w:r>
        <w:rPr>
          <w:rFonts w:hint="eastAsia"/>
          <w:color w:val="auto"/>
          <w:highlight w:val="none"/>
          <w:lang w:val="en-US" w:eastAsia="zh-CN"/>
        </w:rPr>
        <w:t>部分</w:t>
      </w:r>
      <w:r>
        <w:rPr>
          <w:color w:val="auto"/>
          <w:highlight w:val="none"/>
        </w:rPr>
        <w:t>施工活动范围在河道范围内</w:t>
      </w:r>
      <w:r>
        <w:rPr>
          <w:rFonts w:hint="eastAsia"/>
          <w:color w:val="auto"/>
          <w:highlight w:val="none"/>
        </w:rPr>
        <w:t>，</w:t>
      </w:r>
      <w:r>
        <w:rPr>
          <w:color w:val="auto"/>
          <w:highlight w:val="none"/>
        </w:rPr>
        <w:t>施工</w:t>
      </w:r>
      <w:r>
        <w:rPr>
          <w:rFonts w:hint="eastAsia"/>
          <w:color w:val="auto"/>
          <w:highlight w:val="none"/>
        </w:rPr>
        <w:t>活动可能</w:t>
      </w:r>
      <w:r>
        <w:rPr>
          <w:color w:val="auto"/>
          <w:highlight w:val="none"/>
        </w:rPr>
        <w:t>对</w:t>
      </w:r>
      <w:r>
        <w:rPr>
          <w:rFonts w:hint="eastAsia"/>
          <w:color w:val="auto"/>
          <w:highlight w:val="none"/>
        </w:rPr>
        <w:t>涪江</w:t>
      </w:r>
      <w:r>
        <w:rPr>
          <w:color w:val="auto"/>
          <w:highlight w:val="none"/>
        </w:rPr>
        <w:t>水质、水文、底质和地貌</w:t>
      </w:r>
      <w:r>
        <w:rPr>
          <w:rFonts w:hint="eastAsia"/>
          <w:color w:val="auto"/>
          <w:highlight w:val="none"/>
        </w:rPr>
        <w:t>造成</w:t>
      </w:r>
      <w:r>
        <w:rPr>
          <w:color w:val="auto"/>
          <w:highlight w:val="none"/>
        </w:rPr>
        <w:t>影响；</w:t>
      </w:r>
      <w:r>
        <w:rPr>
          <w:rFonts w:hint="eastAsia"/>
          <w:color w:val="auto"/>
          <w:highlight w:val="none"/>
        </w:rPr>
        <w:t>可能</w:t>
      </w:r>
      <w:r>
        <w:rPr>
          <w:color w:val="auto"/>
          <w:highlight w:val="none"/>
        </w:rPr>
        <w:t>对水生生态系统（鱼类、浮游生物、底栖动物、水生植物、鱼类资源和渔业生产）</w:t>
      </w:r>
      <w:r>
        <w:rPr>
          <w:rFonts w:hint="eastAsia"/>
          <w:color w:val="auto"/>
          <w:highlight w:val="none"/>
        </w:rPr>
        <w:t>造成</w:t>
      </w:r>
      <w:r>
        <w:rPr>
          <w:color w:val="auto"/>
          <w:highlight w:val="none"/>
        </w:rPr>
        <w:t>影响；</w:t>
      </w:r>
      <w:r>
        <w:rPr>
          <w:rFonts w:hint="eastAsia"/>
          <w:color w:val="auto"/>
          <w:highlight w:val="none"/>
        </w:rPr>
        <w:t>也可能</w:t>
      </w:r>
      <w:r>
        <w:rPr>
          <w:color w:val="auto"/>
          <w:highlight w:val="none"/>
        </w:rPr>
        <w:t>对</w:t>
      </w:r>
      <w:r>
        <w:rPr>
          <w:rFonts w:hint="eastAsia"/>
          <w:color w:val="auto"/>
          <w:highlight w:val="none"/>
        </w:rPr>
        <w:t>鱼类“三场”等造成</w:t>
      </w:r>
      <w:r>
        <w:rPr>
          <w:color w:val="auto"/>
          <w:highlight w:val="none"/>
        </w:rPr>
        <w:t>影响（产卵场、索饵场、越冬场）。</w:t>
      </w:r>
    </w:p>
    <w:p>
      <w:pPr>
        <w:pStyle w:val="5"/>
        <w:snapToGrid w:val="0"/>
        <w:ind w:firstLine="522"/>
        <w:rPr>
          <w:color w:val="auto"/>
          <w:highlight w:val="none"/>
        </w:rPr>
      </w:pPr>
      <w:r>
        <w:rPr>
          <w:rFonts w:hint="eastAsia"/>
          <w:color w:val="auto"/>
          <w:highlight w:val="none"/>
        </w:rPr>
        <w:t>运营期环境影响</w:t>
      </w:r>
      <w:r>
        <w:rPr>
          <w:color w:val="auto"/>
          <w:highlight w:val="none"/>
        </w:rPr>
        <w:t>因素分析</w:t>
      </w:r>
    </w:p>
    <w:p>
      <w:pPr>
        <w:pStyle w:val="6"/>
        <w:bidi w:val="0"/>
        <w:rPr>
          <w:rFonts w:hint="eastAsia"/>
          <w:color w:val="auto"/>
          <w:highlight w:val="none"/>
        </w:rPr>
      </w:pPr>
      <w:r>
        <w:rPr>
          <w:rFonts w:hint="eastAsia"/>
          <w:color w:val="auto"/>
          <w:highlight w:val="none"/>
        </w:rPr>
        <w:t>运营期工艺流程及产污环节</w:t>
      </w:r>
    </w:p>
    <w:p>
      <w:pPr>
        <w:keepNext w:val="0"/>
        <w:keepLines w:val="0"/>
        <w:pageBreakBefore w:val="0"/>
        <w:widowControl w:val="0"/>
        <w:kinsoku/>
        <w:wordWrap/>
        <w:overflowPunct/>
        <w:topLinePunct w:val="0"/>
        <w:autoSpaceDE/>
        <w:autoSpaceDN/>
        <w:bidi w:val="0"/>
        <w:adjustRightInd w:val="0"/>
        <w:snapToGrid w:val="0"/>
        <w:spacing w:line="480" w:lineRule="exact"/>
        <w:ind w:left="0" w:leftChars="0" w:firstLine="520" w:firstLineChars="200"/>
        <w:jc w:val="both"/>
        <w:textAlignment w:val="auto"/>
        <w:rPr>
          <w:rFonts w:hint="eastAsia"/>
          <w:color w:val="auto"/>
          <w:highlight w:val="none"/>
        </w:rPr>
      </w:pPr>
      <w:r>
        <w:rPr>
          <w:rFonts w:hint="eastAsia"/>
          <w:color w:val="auto"/>
          <w:highlight w:val="none"/>
          <w:lang w:eastAsia="zh-CN"/>
        </w:rPr>
        <w:t>工程建成投运后，原船闸改造为鱼道，船舶过闸全部由本次新建船闸承担。</w:t>
      </w:r>
      <w:r>
        <w:rPr>
          <w:rFonts w:hint="eastAsia"/>
          <w:color w:val="auto"/>
          <w:highlight w:val="none"/>
        </w:rPr>
        <w:t>根据船闸等级及实际需要，</w:t>
      </w:r>
      <w:r>
        <w:rPr>
          <w:rFonts w:hint="eastAsia"/>
          <w:color w:val="auto"/>
          <w:highlight w:val="none"/>
          <w:lang w:eastAsia="zh-CN"/>
        </w:rPr>
        <w:t>本次新建渭沱</w:t>
      </w:r>
      <w:r>
        <w:rPr>
          <w:rFonts w:hint="eastAsia"/>
          <w:color w:val="auto"/>
          <w:highlight w:val="none"/>
        </w:rPr>
        <w:t>船闸采用计算机系统进行运行控制。船闸运行控制系统按照特定的运行控制流程，通过对船闸上、下游的人字闸门和输水阀门启闭机组、进闸信号和出闸信号等现场设备实施循环有序的控制</w:t>
      </w:r>
      <w:r>
        <w:rPr>
          <w:rFonts w:hint="eastAsia"/>
          <w:color w:val="auto"/>
          <w:highlight w:val="none"/>
          <w:lang w:eastAsia="zh-CN"/>
        </w:rPr>
        <w:t>，</w:t>
      </w:r>
      <w:r>
        <w:rPr>
          <w:rFonts w:hint="eastAsia"/>
          <w:color w:val="auto"/>
          <w:highlight w:val="none"/>
        </w:rPr>
        <w:t>以保证过闸船舶的通航快速、安全，达到使船闸正常高效运行的目的。</w:t>
      </w:r>
    </w:p>
    <w:p>
      <w:pPr>
        <w:keepNext w:val="0"/>
        <w:keepLines w:val="0"/>
        <w:pageBreakBefore w:val="0"/>
        <w:widowControl w:val="0"/>
        <w:kinsoku/>
        <w:wordWrap/>
        <w:overflowPunct/>
        <w:topLinePunct w:val="0"/>
        <w:autoSpaceDE/>
        <w:autoSpaceDN/>
        <w:bidi w:val="0"/>
        <w:adjustRightInd w:val="0"/>
        <w:snapToGrid w:val="0"/>
        <w:spacing w:line="480" w:lineRule="exact"/>
        <w:ind w:left="0" w:leftChars="0" w:firstLine="520" w:firstLineChars="200"/>
        <w:jc w:val="both"/>
        <w:textAlignment w:val="auto"/>
        <w:rPr>
          <w:rFonts w:hint="eastAsia"/>
          <w:color w:val="auto"/>
          <w:highlight w:val="none"/>
        </w:rPr>
      </w:pPr>
      <w:r>
        <w:rPr>
          <w:rFonts w:hint="eastAsia"/>
          <w:color w:val="auto"/>
          <w:highlight w:val="none"/>
          <w:lang w:eastAsia="zh-CN"/>
        </w:rPr>
        <w:t>新建</w:t>
      </w:r>
      <w:r>
        <w:rPr>
          <w:rFonts w:hint="eastAsia"/>
          <w:color w:val="auto"/>
          <w:highlight w:val="none"/>
        </w:rPr>
        <w:t>船闸</w:t>
      </w:r>
      <w:r>
        <w:rPr>
          <w:rFonts w:hint="eastAsia"/>
          <w:color w:val="auto"/>
          <w:highlight w:val="none"/>
          <w:lang w:eastAsia="zh-CN"/>
        </w:rPr>
        <w:t>运行方式与现有船闸运行方式类似，</w:t>
      </w:r>
      <w:r>
        <w:rPr>
          <w:rFonts w:hint="eastAsia"/>
          <w:color w:val="auto"/>
          <w:highlight w:val="none"/>
        </w:rPr>
        <w:t>正常运行控制流程分为上行程序和下行程序，任一程序以该程序起始状态为起始点，该程序结束即进入另一程序起始状态。</w:t>
      </w:r>
    </w:p>
    <w:p>
      <w:pPr>
        <w:keepNext w:val="0"/>
        <w:keepLines w:val="0"/>
        <w:pageBreakBefore w:val="0"/>
        <w:widowControl w:val="0"/>
        <w:kinsoku/>
        <w:wordWrap/>
        <w:overflowPunct/>
        <w:topLinePunct w:val="0"/>
        <w:autoSpaceDE/>
        <w:autoSpaceDN/>
        <w:bidi w:val="0"/>
        <w:adjustRightInd w:val="0"/>
        <w:snapToGrid w:val="0"/>
        <w:spacing w:line="480" w:lineRule="exact"/>
        <w:ind w:left="0" w:leftChars="0" w:firstLine="520" w:firstLineChars="200"/>
        <w:jc w:val="both"/>
        <w:textAlignment w:val="auto"/>
        <w:rPr>
          <w:rFonts w:hint="eastAsia" w:eastAsia="宋体"/>
          <w:color w:val="auto"/>
          <w:highlight w:val="none"/>
          <w:lang w:eastAsia="zh-CN"/>
        </w:rPr>
      </w:pPr>
      <w:r>
        <w:rPr>
          <w:rFonts w:hint="eastAsia"/>
          <w:color w:val="auto"/>
          <w:highlight w:val="none"/>
        </w:rPr>
        <w:t>上行程序</w:t>
      </w:r>
      <w:r>
        <w:rPr>
          <w:rFonts w:hint="eastAsia"/>
          <w:color w:val="auto"/>
          <w:highlight w:val="none"/>
          <w:lang w:eastAsia="zh-CN"/>
        </w:rPr>
        <w:t>：</w:t>
      </w:r>
      <w:r>
        <w:rPr>
          <w:rFonts w:hint="eastAsia"/>
          <w:color w:val="auto"/>
          <w:highlight w:val="none"/>
        </w:rPr>
        <w:t>下游船舶进闸室→关下闸门→开上阀门→水位平→开上闸门→船出闸室→关上阀门</w:t>
      </w:r>
      <w:r>
        <w:rPr>
          <w:rFonts w:hint="eastAsia"/>
          <w:color w:val="auto"/>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480" w:lineRule="exact"/>
        <w:ind w:left="0" w:leftChars="0" w:firstLine="520" w:firstLineChars="200"/>
        <w:jc w:val="both"/>
        <w:textAlignment w:val="auto"/>
        <w:rPr>
          <w:rFonts w:hint="eastAsia"/>
          <w:color w:val="auto"/>
          <w:highlight w:val="none"/>
        </w:rPr>
      </w:pPr>
      <w:r>
        <w:rPr>
          <w:rFonts w:hint="eastAsia"/>
          <w:color w:val="auto"/>
          <w:highlight w:val="none"/>
        </w:rPr>
        <w:t>下行程序</w:t>
      </w:r>
      <w:r>
        <w:rPr>
          <w:rFonts w:hint="eastAsia"/>
          <w:color w:val="auto"/>
          <w:highlight w:val="none"/>
          <w:lang w:eastAsia="zh-CN"/>
        </w:rPr>
        <w:t>：</w:t>
      </w:r>
      <w:r>
        <w:rPr>
          <w:rFonts w:hint="eastAsia"/>
          <w:color w:val="auto"/>
          <w:highlight w:val="none"/>
        </w:rPr>
        <w:t>上游船舶进闸室→关上闸门→开下阀门→水位平→开下闸门→船出闸室→关下阀门。</w:t>
      </w:r>
    </w:p>
    <w:p>
      <w:pPr>
        <w:spacing w:line="240" w:lineRule="auto"/>
        <w:ind w:left="0" w:leftChars="0" w:firstLine="0" w:firstLineChars="0"/>
        <w:jc w:val="center"/>
        <w:rPr>
          <w:color w:val="auto"/>
          <w:highlight w:val="none"/>
        </w:rPr>
      </w:pPr>
      <w:r>
        <w:rPr>
          <w:color w:val="auto"/>
          <w:highlight w:val="none"/>
        </w:rPr>
        <w:drawing>
          <wp:inline distT="0" distB="0" distL="114300" distR="114300">
            <wp:extent cx="5095240" cy="2461895"/>
            <wp:effectExtent l="0" t="0" r="10160" b="14605"/>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42"/>
                    <a:stretch>
                      <a:fillRect/>
                    </a:stretch>
                  </pic:blipFill>
                  <pic:spPr>
                    <a:xfrm>
                      <a:off x="0" y="0"/>
                      <a:ext cx="5095240" cy="2461895"/>
                    </a:xfrm>
                    <a:prstGeom prst="rect">
                      <a:avLst/>
                    </a:prstGeom>
                    <a:noFill/>
                    <a:ln>
                      <a:noFill/>
                    </a:ln>
                  </pic:spPr>
                </pic:pic>
              </a:graphicData>
            </a:graphic>
          </wp:inline>
        </w:drawing>
      </w:r>
    </w:p>
    <w:p>
      <w:pPr>
        <w:pStyle w:val="2"/>
        <w:jc w:val="center"/>
        <w:rPr>
          <w:b/>
          <w:bCs/>
          <w:color w:val="auto"/>
          <w:highlight w:val="none"/>
        </w:rPr>
      </w:pPr>
      <w:r>
        <w:rPr>
          <w:rFonts w:hint="eastAsia"/>
          <w:b/>
          <w:bCs/>
          <w:color w:val="auto"/>
          <w:highlight w:val="none"/>
          <w:lang w:eastAsia="zh-CN"/>
        </w:rPr>
        <w:t>图</w:t>
      </w:r>
      <w:r>
        <w:rPr>
          <w:rFonts w:hint="eastAsia"/>
          <w:b/>
          <w:bCs/>
          <w:color w:val="auto"/>
          <w:highlight w:val="none"/>
          <w:lang w:val="en-US" w:eastAsia="zh-CN"/>
        </w:rPr>
        <w:t xml:space="preserve">2.6.2.1-1  </w:t>
      </w:r>
      <w:r>
        <w:rPr>
          <w:rFonts w:hint="eastAsia"/>
          <w:b/>
          <w:bCs/>
          <w:color w:val="auto"/>
          <w:highlight w:val="none"/>
        </w:rPr>
        <w:t>运营期工艺流程及产污环节示意图</w:t>
      </w:r>
    </w:p>
    <w:p>
      <w:pPr>
        <w:keepNext w:val="0"/>
        <w:keepLines w:val="0"/>
        <w:pageBreakBefore w:val="0"/>
        <w:widowControl w:val="0"/>
        <w:kinsoku/>
        <w:wordWrap/>
        <w:overflowPunct/>
        <w:topLinePunct w:val="0"/>
        <w:autoSpaceDE/>
        <w:autoSpaceDN/>
        <w:bidi w:val="0"/>
        <w:adjustRightInd w:val="0"/>
        <w:snapToGrid w:val="0"/>
        <w:spacing w:line="480" w:lineRule="exact"/>
        <w:ind w:left="0" w:leftChars="0" w:firstLine="520" w:firstLineChars="200"/>
        <w:jc w:val="both"/>
        <w:textAlignment w:val="auto"/>
        <w:rPr>
          <w:color w:val="auto"/>
          <w:highlight w:val="none"/>
        </w:rPr>
      </w:pPr>
      <w:r>
        <w:rPr>
          <w:rFonts w:hint="eastAsia"/>
          <w:color w:val="auto"/>
          <w:highlight w:val="none"/>
        </w:rPr>
        <w:t>本项目为船闸项目，仅供船舶通航，不提供船舶</w:t>
      </w:r>
      <w:r>
        <w:rPr>
          <w:rFonts w:hint="eastAsia"/>
          <w:color w:val="auto"/>
          <w:highlight w:val="none"/>
          <w:shd w:val="clear" w:fill="FFFFFF"/>
        </w:rPr>
        <w:t>停驻</w:t>
      </w:r>
      <w:r>
        <w:rPr>
          <w:rFonts w:hint="eastAsia"/>
          <w:color w:val="auto"/>
          <w:highlight w:val="none"/>
        </w:rPr>
        <w:t>和维护工作，不涉及船舶污染物。工程运行期所产生的污染物主要有：过闸船舶产生的废气；船闸管理人员生活污水</w:t>
      </w:r>
      <w:r>
        <w:rPr>
          <w:rFonts w:hint="eastAsia"/>
          <w:color w:val="auto"/>
          <w:highlight w:val="none"/>
          <w:lang w:eastAsia="zh-CN"/>
        </w:rPr>
        <w:t>；</w:t>
      </w:r>
      <w:r>
        <w:rPr>
          <w:rFonts w:hint="eastAsia"/>
          <w:color w:val="auto"/>
          <w:highlight w:val="none"/>
        </w:rPr>
        <w:t>过闸船舶产生的噪声；船闸管理人员产生的生活垃圾等。</w:t>
      </w:r>
    </w:p>
    <w:p>
      <w:pPr>
        <w:pStyle w:val="6"/>
        <w:bidi w:val="0"/>
        <w:rPr>
          <w:color w:val="auto"/>
          <w:highlight w:val="none"/>
        </w:rPr>
      </w:pPr>
      <w:r>
        <w:rPr>
          <w:color w:val="auto"/>
          <w:highlight w:val="none"/>
        </w:rPr>
        <w:t>运营期</w:t>
      </w:r>
      <w:r>
        <w:rPr>
          <w:rFonts w:hint="eastAsia"/>
          <w:color w:val="auto"/>
          <w:highlight w:val="none"/>
          <w:lang w:eastAsia="zh-CN"/>
        </w:rPr>
        <w:t>污染源强分析</w:t>
      </w:r>
    </w:p>
    <w:p>
      <w:pPr>
        <w:adjustRightInd w:val="0"/>
        <w:snapToGrid w:val="0"/>
        <w:spacing w:line="460" w:lineRule="exact"/>
        <w:ind w:firstLine="520"/>
        <w:rPr>
          <w:rFonts w:hint="default" w:ascii="Times New Roman" w:hAnsi="Times New Roman" w:cs="Times New Roman"/>
          <w:color w:val="auto"/>
          <w:szCs w:val="26"/>
          <w:highlight w:val="none"/>
        </w:rPr>
      </w:pPr>
      <w:r>
        <w:rPr>
          <w:rFonts w:hint="default" w:ascii="Times New Roman" w:hAnsi="Times New Roman" w:cs="Times New Roman"/>
          <w:color w:val="auto"/>
          <w:szCs w:val="26"/>
          <w:highlight w:val="none"/>
          <w:lang w:eastAsia="zh-CN"/>
        </w:rPr>
        <w:t>（</w:t>
      </w:r>
      <w:r>
        <w:rPr>
          <w:rFonts w:hint="default" w:ascii="Times New Roman" w:hAnsi="Times New Roman" w:cs="Times New Roman"/>
          <w:color w:val="auto"/>
          <w:szCs w:val="26"/>
          <w:highlight w:val="none"/>
          <w:lang w:val="en-US" w:eastAsia="zh-CN"/>
        </w:rPr>
        <w:t>1</w:t>
      </w:r>
      <w:r>
        <w:rPr>
          <w:rFonts w:hint="default" w:ascii="Times New Roman" w:hAnsi="Times New Roman" w:cs="Times New Roman"/>
          <w:color w:val="auto"/>
          <w:szCs w:val="26"/>
          <w:highlight w:val="none"/>
          <w:lang w:eastAsia="zh-CN"/>
        </w:rPr>
        <w:t>）</w:t>
      </w:r>
      <w:r>
        <w:rPr>
          <w:rFonts w:hint="default" w:ascii="Times New Roman" w:hAnsi="Times New Roman" w:cs="Times New Roman"/>
          <w:color w:val="auto"/>
          <w:szCs w:val="26"/>
          <w:highlight w:val="none"/>
        </w:rPr>
        <w:t>废水</w:t>
      </w:r>
    </w:p>
    <w:p>
      <w:pPr>
        <w:snapToGrid w:val="0"/>
        <w:ind w:firstLine="520"/>
        <w:rPr>
          <w:rFonts w:hint="default" w:ascii="Times New Roman" w:hAnsi="Times New Roman" w:cs="Times New Roman"/>
          <w:color w:val="auto"/>
          <w:szCs w:val="26"/>
          <w:highlight w:val="none"/>
        </w:rPr>
      </w:pPr>
      <w:r>
        <w:rPr>
          <w:rFonts w:hint="default" w:ascii="Times New Roman" w:hAnsi="Times New Roman" w:cs="Times New Roman"/>
          <w:color w:val="auto"/>
          <w:szCs w:val="26"/>
          <w:highlight w:val="none"/>
        </w:rPr>
        <w:t>本项目为船闸项目，仅供船舶通航，不提供船舶</w:t>
      </w:r>
      <w:r>
        <w:rPr>
          <w:rFonts w:hint="default" w:ascii="Times New Roman" w:hAnsi="Times New Roman" w:cs="Times New Roman"/>
          <w:color w:val="auto"/>
          <w:szCs w:val="26"/>
          <w:highlight w:val="none"/>
          <w:shd w:val="clear" w:fill="FFFFFF"/>
        </w:rPr>
        <w:t>停驻</w:t>
      </w:r>
      <w:r>
        <w:rPr>
          <w:rFonts w:hint="default" w:ascii="Times New Roman" w:hAnsi="Times New Roman" w:cs="Times New Roman"/>
          <w:color w:val="auto"/>
          <w:szCs w:val="26"/>
          <w:highlight w:val="none"/>
        </w:rPr>
        <w:t>和维护工作，不涉及船舶水污染物，运行期</w:t>
      </w:r>
      <w:r>
        <w:rPr>
          <w:rFonts w:hint="eastAsia" w:cs="Times New Roman"/>
          <w:color w:val="auto"/>
          <w:szCs w:val="26"/>
          <w:highlight w:val="none"/>
          <w:lang w:eastAsia="zh-CN"/>
        </w:rPr>
        <w:t>废水</w:t>
      </w:r>
      <w:r>
        <w:rPr>
          <w:rFonts w:hint="default" w:ascii="Times New Roman" w:hAnsi="Times New Roman" w:cs="Times New Roman"/>
          <w:color w:val="auto"/>
          <w:szCs w:val="26"/>
          <w:highlight w:val="none"/>
        </w:rPr>
        <w:t>主要为船闸管理人员产生的生活污水。</w:t>
      </w:r>
    </w:p>
    <w:p>
      <w:pPr>
        <w:keepNext w:val="0"/>
        <w:keepLines w:val="0"/>
        <w:pageBreakBefore w:val="0"/>
        <w:widowControl w:val="0"/>
        <w:kinsoku/>
        <w:wordWrap/>
        <w:overflowPunct/>
        <w:topLinePunct w:val="0"/>
        <w:autoSpaceDE/>
        <w:autoSpaceDN/>
        <w:bidi w:val="0"/>
        <w:adjustRightInd w:val="0"/>
        <w:snapToGrid w:val="0"/>
        <w:spacing w:line="480" w:lineRule="exact"/>
        <w:ind w:firstLine="520"/>
        <w:textAlignment w:val="auto"/>
        <w:rPr>
          <w:rFonts w:hint="default" w:ascii="Times New Roman" w:hAnsi="Times New Roman" w:cs="Times New Roman"/>
          <w:color w:val="auto"/>
          <w:szCs w:val="26"/>
          <w:highlight w:val="none"/>
        </w:rPr>
      </w:pPr>
      <w:r>
        <w:rPr>
          <w:rFonts w:hint="eastAsia" w:cs="Times New Roman"/>
          <w:color w:val="auto"/>
          <w:szCs w:val="26"/>
          <w:highlight w:val="none"/>
          <w:lang w:eastAsia="zh-CN"/>
        </w:rPr>
        <w:t>本次项目实施后，渭沱枢纽新增船闸管理人员</w:t>
      </w:r>
      <w:r>
        <w:rPr>
          <w:rFonts w:hint="eastAsia" w:cs="Times New Roman"/>
          <w:color w:val="auto"/>
          <w:szCs w:val="26"/>
          <w:highlight w:val="none"/>
          <w:lang w:val="en-US" w:eastAsia="zh-CN"/>
        </w:rPr>
        <w:t>9人</w:t>
      </w:r>
      <w:r>
        <w:rPr>
          <w:rFonts w:hint="eastAsia" w:cs="Times New Roman"/>
          <w:color w:val="auto"/>
          <w:szCs w:val="26"/>
          <w:highlight w:val="none"/>
          <w:lang w:eastAsia="zh-CN"/>
        </w:rPr>
        <w:t>，管理区工作人员合计约</w:t>
      </w:r>
      <w:r>
        <w:rPr>
          <w:rFonts w:hint="eastAsia" w:cs="Times New Roman"/>
          <w:color w:val="auto"/>
          <w:szCs w:val="26"/>
          <w:highlight w:val="none"/>
          <w:lang w:val="en-US" w:eastAsia="zh-CN"/>
        </w:rPr>
        <w:t>68</w:t>
      </w:r>
      <w:r>
        <w:rPr>
          <w:rFonts w:hint="eastAsia" w:cs="Times New Roman"/>
          <w:color w:val="auto"/>
          <w:szCs w:val="26"/>
          <w:highlight w:val="none"/>
          <w:lang w:eastAsia="zh-CN"/>
        </w:rPr>
        <w:t>人，生活用水按照</w:t>
      </w:r>
      <w:r>
        <w:rPr>
          <w:rFonts w:hint="eastAsia" w:cs="Times New Roman"/>
          <w:color w:val="auto"/>
          <w:szCs w:val="26"/>
          <w:highlight w:val="none"/>
          <w:lang w:val="en-US" w:eastAsia="zh-CN"/>
        </w:rPr>
        <w:t>120</w:t>
      </w:r>
      <w:r>
        <w:rPr>
          <w:rFonts w:hint="eastAsia" w:cs="Times New Roman"/>
          <w:color w:val="auto"/>
          <w:szCs w:val="26"/>
          <w:highlight w:val="none"/>
          <w:lang w:eastAsia="zh-CN"/>
        </w:rPr>
        <w:t>L/(人·d)计，</w:t>
      </w:r>
      <w:r>
        <w:rPr>
          <w:rFonts w:hint="eastAsia" w:cs="Times New Roman"/>
          <w:color w:val="auto"/>
          <w:szCs w:val="26"/>
          <w:highlight w:val="none"/>
          <w:lang w:val="en-US" w:eastAsia="zh-CN"/>
        </w:rPr>
        <w:t>新增用水量为1.08m³/d，排水系数取0.85，则新增废水量为0.92m³/d，主要污染物为</w:t>
      </w:r>
      <w:r>
        <w:rPr>
          <w:rFonts w:hint="eastAsia"/>
          <w:color w:val="auto"/>
          <w:highlight w:val="none"/>
          <w:lang w:val="en-US" w:eastAsia="zh-CN"/>
        </w:rPr>
        <w:t>COD、BOD</w:t>
      </w:r>
      <w:r>
        <w:rPr>
          <w:rFonts w:hint="eastAsia"/>
          <w:color w:val="auto"/>
          <w:highlight w:val="none"/>
          <w:vertAlign w:val="subscript"/>
          <w:lang w:val="en-US" w:eastAsia="zh-CN"/>
        </w:rPr>
        <w:t>5</w:t>
      </w:r>
      <w:r>
        <w:rPr>
          <w:rFonts w:hint="eastAsia"/>
          <w:color w:val="auto"/>
          <w:highlight w:val="none"/>
          <w:lang w:val="en-US" w:eastAsia="zh-CN"/>
        </w:rPr>
        <w:t>、SS、NH</w:t>
      </w:r>
      <w:r>
        <w:rPr>
          <w:rFonts w:hint="eastAsia"/>
          <w:color w:val="auto"/>
          <w:highlight w:val="none"/>
          <w:vertAlign w:val="subscript"/>
          <w:lang w:val="en-US" w:eastAsia="zh-CN"/>
        </w:rPr>
        <w:t>3</w:t>
      </w:r>
      <w:r>
        <w:rPr>
          <w:rFonts w:hint="eastAsia"/>
          <w:color w:val="auto"/>
          <w:highlight w:val="none"/>
          <w:lang w:val="en-US" w:eastAsia="zh-CN"/>
        </w:rPr>
        <w:t>-N、TP等</w:t>
      </w:r>
      <w:r>
        <w:rPr>
          <w:rFonts w:hint="default" w:ascii="Times New Roman" w:hAnsi="Times New Roman" w:cs="Times New Roman"/>
          <w:color w:val="auto"/>
          <w:szCs w:val="26"/>
          <w:highlight w:val="none"/>
        </w:rPr>
        <w:t>。</w:t>
      </w:r>
      <w:r>
        <w:rPr>
          <w:rFonts w:hint="eastAsia"/>
          <w:bCs/>
          <w:snapToGrid w:val="0"/>
          <w:color w:val="auto"/>
          <w:kern w:val="0"/>
          <w:highlight w:val="none"/>
          <w:lang w:eastAsia="zh-CN"/>
        </w:rPr>
        <w:t>管理区</w:t>
      </w:r>
      <w:r>
        <w:rPr>
          <w:rFonts w:hint="eastAsia"/>
          <w:bCs/>
          <w:snapToGrid w:val="0"/>
          <w:color w:val="auto"/>
          <w:kern w:val="0"/>
          <w:highlight w:val="none"/>
        </w:rPr>
        <w:t>工作人员生活污水经化粪池排入生活污水处理站，食堂含油废水</w:t>
      </w:r>
      <w:r>
        <w:rPr>
          <w:rFonts w:hint="eastAsia"/>
          <w:bCs/>
          <w:snapToGrid w:val="0"/>
          <w:color w:val="auto"/>
          <w:kern w:val="0"/>
          <w:highlight w:val="none"/>
          <w:lang w:eastAsia="zh-CN"/>
        </w:rPr>
        <w:t>经隔油池处理后进入污水处理站，生活污水、食堂废水</w:t>
      </w:r>
      <w:r>
        <w:rPr>
          <w:rFonts w:hint="eastAsia"/>
          <w:bCs/>
          <w:snapToGrid w:val="0"/>
          <w:color w:val="auto"/>
          <w:kern w:val="0"/>
          <w:highlight w:val="none"/>
        </w:rPr>
        <w:t>经污水处理站一体化污水处理装置处理</w:t>
      </w:r>
      <w:r>
        <w:rPr>
          <w:rFonts w:hint="eastAsia"/>
          <w:bCs/>
          <w:snapToGrid w:val="0"/>
          <w:color w:val="auto"/>
          <w:kern w:val="0"/>
          <w:highlight w:val="none"/>
          <w:shd w:val="clear" w:fill="FFFFFF"/>
        </w:rPr>
        <w:t>达</w:t>
      </w:r>
      <w:r>
        <w:rPr>
          <w:rFonts w:hint="eastAsia"/>
          <w:bCs/>
          <w:snapToGrid w:val="0"/>
          <w:color w:val="auto"/>
          <w:kern w:val="0"/>
          <w:highlight w:val="none"/>
        </w:rPr>
        <w:t>《城市污水再生利用</w:t>
      </w:r>
      <w:r>
        <w:rPr>
          <w:rFonts w:hint="eastAsia"/>
          <w:bCs/>
          <w:snapToGrid w:val="0"/>
          <w:color w:val="auto"/>
          <w:kern w:val="0"/>
          <w:highlight w:val="none"/>
          <w:lang w:val="en-US" w:eastAsia="zh-CN"/>
        </w:rPr>
        <w:t xml:space="preserve"> </w:t>
      </w:r>
      <w:r>
        <w:rPr>
          <w:rFonts w:hint="eastAsia"/>
          <w:bCs/>
          <w:snapToGrid w:val="0"/>
          <w:color w:val="auto"/>
          <w:kern w:val="0"/>
          <w:highlight w:val="none"/>
        </w:rPr>
        <w:t>城市杂用水水质》(GB/T18920-2020)相应标准后回用于绿化，不外排</w:t>
      </w:r>
      <w:r>
        <w:rPr>
          <w:rFonts w:hint="default" w:ascii="Times New Roman" w:hAnsi="Times New Roman" w:cs="Times New Roman"/>
          <w:color w:val="auto"/>
          <w:szCs w:val="26"/>
          <w:highlight w:val="none"/>
        </w:rPr>
        <w:t>。</w:t>
      </w:r>
    </w:p>
    <w:p>
      <w:pPr>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lang w:eastAsia="zh-CN"/>
        </w:rPr>
        <w:t>（</w:t>
      </w:r>
      <w:r>
        <w:rPr>
          <w:rFonts w:hint="default" w:ascii="Times New Roman" w:hAnsi="Times New Roman" w:cs="Times New Roman"/>
          <w:color w:val="auto"/>
          <w:sz w:val="26"/>
          <w:szCs w:val="26"/>
          <w:highlight w:val="none"/>
          <w:lang w:val="en-US" w:eastAsia="zh-CN"/>
        </w:rPr>
        <w:t>2</w:t>
      </w:r>
      <w:r>
        <w:rPr>
          <w:rFonts w:hint="default" w:ascii="Times New Roman" w:hAnsi="Times New Roman" w:cs="Times New Roman"/>
          <w:color w:val="auto"/>
          <w:sz w:val="26"/>
          <w:szCs w:val="26"/>
          <w:highlight w:val="none"/>
          <w:lang w:eastAsia="zh-CN"/>
        </w:rPr>
        <w:t>）</w:t>
      </w:r>
      <w:r>
        <w:rPr>
          <w:rFonts w:hint="default" w:ascii="Times New Roman" w:hAnsi="Times New Roman" w:cs="Times New Roman"/>
          <w:color w:val="auto"/>
          <w:sz w:val="26"/>
          <w:szCs w:val="26"/>
          <w:highlight w:val="none"/>
        </w:rPr>
        <w:t>废气</w:t>
      </w:r>
    </w:p>
    <w:p>
      <w:pPr>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cs="Times New Roman"/>
          <w:color w:val="auto"/>
          <w:sz w:val="26"/>
          <w:szCs w:val="26"/>
          <w:highlight w:val="none"/>
          <w:lang w:eastAsia="zh-CN"/>
        </w:rPr>
      </w:pPr>
      <w:r>
        <w:rPr>
          <w:rFonts w:hint="eastAsia" w:cs="Times New Roman"/>
          <w:color w:val="auto"/>
          <w:sz w:val="26"/>
          <w:szCs w:val="26"/>
          <w:highlight w:val="none"/>
          <w:lang w:eastAsia="zh-CN"/>
        </w:rPr>
        <w:t>项目</w:t>
      </w:r>
      <w:r>
        <w:rPr>
          <w:rFonts w:hint="default" w:ascii="Times New Roman" w:hAnsi="Times New Roman" w:cs="Times New Roman"/>
          <w:color w:val="auto"/>
          <w:sz w:val="26"/>
          <w:szCs w:val="26"/>
          <w:highlight w:val="none"/>
        </w:rPr>
        <w:t>运行</w:t>
      </w:r>
      <w:r>
        <w:rPr>
          <w:rFonts w:hint="default" w:ascii="Times New Roman" w:hAnsi="Times New Roman" w:cs="Times New Roman"/>
          <w:color w:val="auto"/>
          <w:sz w:val="26"/>
          <w:szCs w:val="26"/>
          <w:highlight w:val="none"/>
          <w:shd w:val="clear" w:fill="FFFFFF"/>
        </w:rPr>
        <w:t>期</w:t>
      </w:r>
      <w:r>
        <w:rPr>
          <w:rFonts w:hint="default" w:ascii="Times New Roman" w:hAnsi="Times New Roman" w:cs="Times New Roman"/>
          <w:color w:val="auto"/>
          <w:sz w:val="26"/>
          <w:szCs w:val="26"/>
          <w:highlight w:val="none"/>
        </w:rPr>
        <w:t>大气污染源主要是航行船舶无组织排放船舶废气</w:t>
      </w:r>
      <w:r>
        <w:rPr>
          <w:rFonts w:hint="eastAsia" w:cs="Times New Roman"/>
          <w:color w:val="auto"/>
          <w:sz w:val="26"/>
          <w:szCs w:val="26"/>
          <w:highlight w:val="none"/>
          <w:lang w:eastAsia="zh-CN"/>
        </w:rPr>
        <w:t>及食堂废气</w:t>
      </w:r>
    </w:p>
    <w:p>
      <w:pPr>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cs="Times New Roman"/>
          <w:color w:val="auto"/>
          <w:sz w:val="26"/>
          <w:szCs w:val="26"/>
          <w:highlight w:val="none"/>
          <w:lang w:eastAsia="zh-CN"/>
        </w:rPr>
      </w:pPr>
      <w:r>
        <w:rPr>
          <w:rFonts w:hint="eastAsia" w:cs="Times New Roman"/>
          <w:color w:val="auto"/>
          <w:sz w:val="26"/>
          <w:szCs w:val="26"/>
          <w:highlight w:val="none"/>
          <w:lang w:eastAsia="zh-CN"/>
        </w:rPr>
        <w:fldChar w:fldCharType="begin"/>
      </w:r>
      <w:r>
        <w:rPr>
          <w:rFonts w:hint="eastAsia" w:cs="Times New Roman"/>
          <w:color w:val="auto"/>
          <w:sz w:val="26"/>
          <w:szCs w:val="26"/>
          <w:highlight w:val="none"/>
          <w:lang w:eastAsia="zh-CN"/>
        </w:rPr>
        <w:instrText xml:space="preserve"> = 1 \* GB3 \* MERGEFORMAT </w:instrText>
      </w:r>
      <w:r>
        <w:rPr>
          <w:rFonts w:hint="eastAsia" w:cs="Times New Roman"/>
          <w:color w:val="auto"/>
          <w:sz w:val="26"/>
          <w:szCs w:val="26"/>
          <w:highlight w:val="none"/>
          <w:lang w:eastAsia="zh-CN"/>
        </w:rPr>
        <w:fldChar w:fldCharType="separate"/>
      </w:r>
      <w:r>
        <w:rPr>
          <w:color w:val="auto"/>
          <w:highlight w:val="none"/>
        </w:rPr>
        <w:t>①</w:t>
      </w:r>
      <w:r>
        <w:rPr>
          <w:rFonts w:hint="eastAsia" w:cs="Times New Roman"/>
          <w:color w:val="auto"/>
          <w:sz w:val="26"/>
          <w:szCs w:val="26"/>
          <w:highlight w:val="none"/>
          <w:lang w:eastAsia="zh-CN"/>
        </w:rPr>
        <w:fldChar w:fldCharType="end"/>
      </w:r>
      <w:r>
        <w:rPr>
          <w:rFonts w:hint="eastAsia" w:cs="Times New Roman"/>
          <w:color w:val="auto"/>
          <w:sz w:val="26"/>
          <w:szCs w:val="26"/>
          <w:highlight w:val="none"/>
          <w:lang w:eastAsia="zh-CN"/>
        </w:rPr>
        <w:t>船舶废气</w:t>
      </w: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cs="Times New Roman"/>
          <w:color w:val="auto"/>
          <w:sz w:val="26"/>
          <w:szCs w:val="26"/>
          <w:highlight w:val="none"/>
          <w:lang w:eastAsia="zh-CN"/>
        </w:rPr>
      </w:pPr>
      <w:r>
        <w:rPr>
          <w:rFonts w:hint="eastAsia" w:cs="Times New Roman"/>
          <w:color w:val="auto"/>
          <w:sz w:val="26"/>
          <w:szCs w:val="26"/>
          <w:highlight w:val="none"/>
          <w:lang w:eastAsia="zh-CN"/>
        </w:rPr>
        <w:t>船舶过闸期间由于柴油等燃料燃烧会产生少量船舶尾气，主要发生在上下引航道通行时及过闸过程中，主要污染物为SO</w:t>
      </w:r>
      <w:r>
        <w:rPr>
          <w:rFonts w:hint="eastAsia" w:cs="Times New Roman"/>
          <w:color w:val="auto"/>
          <w:sz w:val="26"/>
          <w:szCs w:val="26"/>
          <w:highlight w:val="none"/>
          <w:vertAlign w:val="subscript"/>
          <w:lang w:eastAsia="zh-CN"/>
        </w:rPr>
        <w:t>2</w:t>
      </w:r>
      <w:r>
        <w:rPr>
          <w:rFonts w:hint="eastAsia" w:cs="Times New Roman"/>
          <w:color w:val="auto"/>
          <w:sz w:val="26"/>
          <w:szCs w:val="26"/>
          <w:highlight w:val="none"/>
          <w:lang w:eastAsia="zh-CN"/>
        </w:rPr>
        <w:t>、NOx、颗粒物等。</w:t>
      </w: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cs="Times New Roman"/>
          <w:color w:val="auto"/>
          <w:sz w:val="26"/>
          <w:szCs w:val="26"/>
          <w:highlight w:val="none"/>
          <w:lang w:eastAsia="zh-CN"/>
        </w:rPr>
      </w:pPr>
      <w:r>
        <w:rPr>
          <w:rFonts w:hint="eastAsia" w:cs="Times New Roman"/>
          <w:color w:val="auto"/>
          <w:sz w:val="26"/>
          <w:szCs w:val="26"/>
          <w:highlight w:val="none"/>
          <w:lang w:eastAsia="zh-CN"/>
        </w:rPr>
        <w:t>根据项目设计方案，船闸设计代表船型组合（</w:t>
      </w:r>
      <w:r>
        <w:rPr>
          <w:rFonts w:hint="eastAsia" w:cs="Times New Roman"/>
          <w:color w:val="auto"/>
          <w:sz w:val="26"/>
          <w:szCs w:val="26"/>
          <w:highlight w:val="none"/>
          <w:lang w:val="en-US" w:eastAsia="zh-CN"/>
        </w:rPr>
        <w:t>2分节驳顶推</w:t>
      </w:r>
      <w:r>
        <w:rPr>
          <w:rFonts w:hint="eastAsia" w:cs="Times New Roman"/>
          <w:color w:val="auto"/>
          <w:sz w:val="26"/>
          <w:szCs w:val="26"/>
          <w:highlight w:val="none"/>
          <w:lang w:eastAsia="zh-CN"/>
        </w:rPr>
        <w:t>+2×</w:t>
      </w:r>
      <w:r>
        <w:rPr>
          <w:rFonts w:hint="eastAsia" w:cs="Times New Roman"/>
          <w:color w:val="auto"/>
          <w:sz w:val="26"/>
          <w:szCs w:val="26"/>
          <w:highlight w:val="none"/>
          <w:lang w:val="en-US" w:eastAsia="zh-CN"/>
        </w:rPr>
        <w:t>1</w:t>
      </w:r>
      <w:r>
        <w:rPr>
          <w:rFonts w:hint="eastAsia" w:cs="Times New Roman"/>
          <w:color w:val="auto"/>
          <w:sz w:val="26"/>
          <w:szCs w:val="26"/>
          <w:highlight w:val="none"/>
          <w:lang w:eastAsia="zh-CN"/>
        </w:rPr>
        <w:t>000t船队），一次过闸各船型平均总功率约为</w:t>
      </w:r>
      <w:r>
        <w:rPr>
          <w:rFonts w:hint="eastAsia" w:cs="Times New Roman"/>
          <w:color w:val="auto"/>
          <w:sz w:val="26"/>
          <w:szCs w:val="26"/>
          <w:highlight w:val="none"/>
          <w:lang w:val="en-US" w:eastAsia="zh-CN"/>
        </w:rPr>
        <w:t>1097</w:t>
      </w:r>
      <w:r>
        <w:rPr>
          <w:rFonts w:hint="eastAsia" w:cs="Times New Roman"/>
          <w:color w:val="auto"/>
          <w:sz w:val="26"/>
          <w:szCs w:val="26"/>
          <w:highlight w:val="none"/>
          <w:lang w:eastAsia="zh-CN"/>
        </w:rPr>
        <w:t>kW（</w:t>
      </w:r>
      <w:r>
        <w:rPr>
          <w:rFonts w:hint="eastAsia" w:cs="Times New Roman"/>
          <w:color w:val="auto"/>
          <w:sz w:val="26"/>
          <w:szCs w:val="26"/>
          <w:highlight w:val="none"/>
          <w:lang w:val="en-US" w:eastAsia="zh-CN"/>
        </w:rPr>
        <w:t>分节驳顶推</w:t>
      </w:r>
      <w:r>
        <w:rPr>
          <w:rFonts w:hint="eastAsia" w:cs="Times New Roman"/>
          <w:color w:val="auto"/>
          <w:sz w:val="26"/>
          <w:szCs w:val="26"/>
          <w:highlight w:val="none"/>
          <w:lang w:eastAsia="zh-CN"/>
        </w:rPr>
        <w:t>主机功率为</w:t>
      </w:r>
      <w:r>
        <w:rPr>
          <w:rFonts w:hint="eastAsia" w:cs="Times New Roman"/>
          <w:color w:val="auto"/>
          <w:sz w:val="26"/>
          <w:szCs w:val="26"/>
          <w:highlight w:val="none"/>
          <w:lang w:val="en-US" w:eastAsia="zh-CN"/>
        </w:rPr>
        <w:t>441</w:t>
      </w:r>
      <w:r>
        <w:rPr>
          <w:rFonts w:hint="eastAsia" w:cs="Times New Roman"/>
          <w:color w:val="auto"/>
          <w:sz w:val="26"/>
          <w:szCs w:val="26"/>
          <w:highlight w:val="none"/>
          <w:lang w:eastAsia="zh-CN"/>
        </w:rPr>
        <w:t>kW，</w:t>
      </w:r>
      <w:r>
        <w:rPr>
          <w:rFonts w:hint="eastAsia" w:cs="Times New Roman"/>
          <w:color w:val="auto"/>
          <w:sz w:val="26"/>
          <w:szCs w:val="26"/>
          <w:highlight w:val="none"/>
          <w:lang w:val="en-US" w:eastAsia="zh-CN"/>
        </w:rPr>
        <w:t>1</w:t>
      </w:r>
      <w:r>
        <w:rPr>
          <w:rFonts w:hint="eastAsia" w:cs="Times New Roman"/>
          <w:color w:val="auto"/>
          <w:sz w:val="26"/>
          <w:szCs w:val="26"/>
          <w:highlight w:val="none"/>
          <w:lang w:eastAsia="zh-CN"/>
        </w:rPr>
        <w:t>000t级货船推荐主机功率为</w:t>
      </w:r>
      <w:r>
        <w:rPr>
          <w:rFonts w:hint="eastAsia" w:cs="Times New Roman"/>
          <w:color w:val="auto"/>
          <w:sz w:val="26"/>
          <w:szCs w:val="26"/>
          <w:highlight w:val="none"/>
          <w:lang w:val="en-US" w:eastAsia="zh-CN"/>
        </w:rPr>
        <w:t>328</w:t>
      </w:r>
      <w:r>
        <w:rPr>
          <w:rFonts w:hint="eastAsia" w:cs="Times New Roman"/>
          <w:color w:val="auto"/>
          <w:sz w:val="26"/>
          <w:szCs w:val="26"/>
          <w:highlight w:val="none"/>
          <w:lang w:eastAsia="zh-CN"/>
        </w:rPr>
        <w:t>kW）。根据设计单位提供资料，过闸船舶的单缸排量（SV）在 5L≤SV＜15L范围内。</w:t>
      </w: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cs="Times New Roman"/>
          <w:color w:val="auto"/>
          <w:sz w:val="26"/>
          <w:szCs w:val="26"/>
          <w:highlight w:val="none"/>
          <w:lang w:eastAsia="zh-CN"/>
        </w:rPr>
      </w:pPr>
      <w:r>
        <w:rPr>
          <w:rFonts w:hint="eastAsia" w:cs="Times New Roman"/>
          <w:color w:val="auto"/>
          <w:sz w:val="26"/>
          <w:szCs w:val="26"/>
          <w:highlight w:val="none"/>
          <w:lang w:eastAsia="zh-CN"/>
        </w:rPr>
        <w:t>根据《船舶发动机排气污染物排放限值及测量方法（中国第一、二阶段）》（GB15097-2016）表2 船机排气污染物第二阶段排放限值，本项目过闸船舶的废气污染物排放参数具体见下表：</w:t>
      </w:r>
    </w:p>
    <w:p>
      <w:pPr>
        <w:pStyle w:val="2"/>
        <w:jc w:val="center"/>
        <w:rPr>
          <w:rFonts w:hint="eastAsia"/>
          <w:color w:val="auto"/>
          <w:sz w:val="26"/>
          <w:szCs w:val="26"/>
          <w:highlight w:val="none"/>
          <w:lang w:eastAsia="zh-CN"/>
        </w:rPr>
      </w:pPr>
    </w:p>
    <w:p>
      <w:pPr>
        <w:pStyle w:val="2"/>
        <w:jc w:val="center"/>
        <w:rPr>
          <w:rFonts w:hint="eastAsia"/>
          <w:color w:val="auto"/>
          <w:sz w:val="26"/>
          <w:szCs w:val="26"/>
          <w:highlight w:val="none"/>
          <w:lang w:eastAsia="zh-CN"/>
        </w:rPr>
      </w:pPr>
    </w:p>
    <w:p>
      <w:pPr>
        <w:pStyle w:val="2"/>
        <w:jc w:val="center"/>
        <w:rPr>
          <w:rFonts w:hint="eastAsia"/>
          <w:color w:val="auto"/>
          <w:sz w:val="26"/>
          <w:szCs w:val="26"/>
          <w:highlight w:val="none"/>
          <w:lang w:eastAsia="zh-CN"/>
        </w:rPr>
      </w:pPr>
    </w:p>
    <w:p>
      <w:pPr>
        <w:pStyle w:val="2"/>
        <w:jc w:val="center"/>
        <w:rPr>
          <w:rFonts w:hint="eastAsia"/>
          <w:color w:val="auto"/>
          <w:sz w:val="26"/>
          <w:szCs w:val="26"/>
          <w:highlight w:val="none"/>
          <w:lang w:eastAsia="zh-CN"/>
        </w:rPr>
      </w:pPr>
      <w:r>
        <w:rPr>
          <w:rFonts w:hint="eastAsia"/>
          <w:color w:val="auto"/>
          <w:sz w:val="26"/>
          <w:szCs w:val="26"/>
          <w:highlight w:val="none"/>
          <w:lang w:eastAsia="zh-CN"/>
        </w:rPr>
        <w:t>表</w:t>
      </w:r>
      <w:r>
        <w:rPr>
          <w:rFonts w:hint="eastAsia"/>
          <w:color w:val="auto"/>
          <w:sz w:val="26"/>
          <w:szCs w:val="26"/>
          <w:highlight w:val="none"/>
          <w:lang w:val="en-US" w:eastAsia="zh-CN"/>
        </w:rPr>
        <w:t xml:space="preserve">2.6.2.2-1  </w:t>
      </w:r>
      <w:r>
        <w:rPr>
          <w:rFonts w:hint="eastAsia"/>
          <w:color w:val="auto"/>
          <w:sz w:val="26"/>
          <w:szCs w:val="26"/>
          <w:highlight w:val="none"/>
          <w:lang w:eastAsia="zh-CN"/>
        </w:rPr>
        <w:t>过闸船舶</w:t>
      </w:r>
      <w:r>
        <w:rPr>
          <w:rFonts w:hint="eastAsia"/>
          <w:color w:val="auto"/>
          <w:sz w:val="26"/>
          <w:szCs w:val="26"/>
          <w:highlight w:val="none"/>
          <w:shd w:val="clear" w:fill="FFFFFF"/>
          <w:lang w:eastAsia="zh-CN"/>
        </w:rPr>
        <w:t>废气污染物</w:t>
      </w:r>
      <w:r>
        <w:rPr>
          <w:rFonts w:hint="eastAsia"/>
          <w:color w:val="auto"/>
          <w:sz w:val="26"/>
          <w:szCs w:val="26"/>
          <w:highlight w:val="none"/>
          <w:lang w:eastAsia="zh-CN"/>
        </w:rPr>
        <w:t>排放参数一览表</w:t>
      </w:r>
    </w:p>
    <w:tbl>
      <w:tblPr>
        <w:tblStyle w:val="28"/>
        <w:tblW w:w="4850"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128"/>
        <w:gridCol w:w="1725"/>
        <w:gridCol w:w="1525"/>
        <w:gridCol w:w="1187"/>
        <w:gridCol w:w="1788"/>
        <w:gridCol w:w="132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128"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snapToGrid w:val="0"/>
                <w:color w:val="auto"/>
                <w:sz w:val="22"/>
                <w:szCs w:val="22"/>
                <w:highlight w:val="none"/>
              </w:rPr>
            </w:pPr>
            <w:r>
              <w:rPr>
                <w:rFonts w:hint="eastAsia"/>
                <w:snapToGrid w:val="0"/>
                <w:color w:val="auto"/>
                <w:sz w:val="22"/>
                <w:szCs w:val="22"/>
                <w:highlight w:val="none"/>
              </w:rPr>
              <w:t>船机</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rFonts w:hint="eastAsia"/>
                <w:snapToGrid w:val="0"/>
                <w:color w:val="auto"/>
                <w:sz w:val="22"/>
                <w:szCs w:val="22"/>
                <w:highlight w:val="none"/>
              </w:rPr>
              <w:t>类型</w:t>
            </w:r>
          </w:p>
        </w:tc>
        <w:tc>
          <w:tcPr>
            <w:tcW w:w="172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rFonts w:hint="eastAsia"/>
                <w:snapToGrid w:val="0"/>
                <w:color w:val="auto"/>
                <w:sz w:val="22"/>
                <w:szCs w:val="22"/>
                <w:highlight w:val="none"/>
              </w:rPr>
              <w:t>单缸排量（SV）（L/缸）</w:t>
            </w:r>
          </w:p>
        </w:tc>
        <w:tc>
          <w:tcPr>
            <w:tcW w:w="152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snapToGrid w:val="0"/>
                <w:color w:val="auto"/>
                <w:sz w:val="22"/>
                <w:szCs w:val="22"/>
                <w:highlight w:val="none"/>
                <w:lang w:eastAsia="zh-CN"/>
              </w:rPr>
            </w:pPr>
            <w:r>
              <w:rPr>
                <w:rFonts w:hint="eastAsia"/>
                <w:snapToGrid w:val="0"/>
                <w:color w:val="auto"/>
                <w:sz w:val="22"/>
                <w:szCs w:val="22"/>
                <w:highlight w:val="none"/>
              </w:rPr>
              <w:t>额定净功率（P）（kW</w:t>
            </w:r>
            <w:r>
              <w:rPr>
                <w:rFonts w:hint="eastAsia"/>
                <w:snapToGrid w:val="0"/>
                <w:color w:val="auto"/>
                <w:sz w:val="22"/>
                <w:szCs w:val="22"/>
                <w:highlight w:val="none"/>
                <w:lang w:eastAsia="zh-CN"/>
              </w:rPr>
              <w:t>）</w:t>
            </w:r>
          </w:p>
        </w:tc>
        <w:tc>
          <w:tcPr>
            <w:tcW w:w="1187"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snapToGrid w:val="0"/>
                <w:color w:val="auto"/>
                <w:sz w:val="22"/>
                <w:szCs w:val="22"/>
                <w:highlight w:val="none"/>
              </w:rPr>
            </w:pPr>
            <w:r>
              <w:rPr>
                <w:rFonts w:hint="eastAsia"/>
                <w:snapToGrid w:val="0"/>
                <w:color w:val="auto"/>
                <w:sz w:val="22"/>
                <w:szCs w:val="22"/>
                <w:highlight w:val="none"/>
              </w:rPr>
              <w:t>CO</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rFonts w:hint="eastAsia"/>
                <w:snapToGrid w:val="0"/>
                <w:color w:val="auto"/>
                <w:sz w:val="22"/>
                <w:szCs w:val="22"/>
                <w:highlight w:val="none"/>
              </w:rPr>
              <w:t>(g/kWh)</w:t>
            </w:r>
          </w:p>
        </w:tc>
        <w:tc>
          <w:tcPr>
            <w:tcW w:w="1788"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snapToGrid w:val="0"/>
                <w:color w:val="auto"/>
                <w:sz w:val="22"/>
                <w:szCs w:val="22"/>
                <w:highlight w:val="none"/>
              </w:rPr>
            </w:pPr>
            <w:r>
              <w:rPr>
                <w:rFonts w:hint="eastAsia"/>
                <w:snapToGrid w:val="0"/>
                <w:color w:val="auto"/>
                <w:sz w:val="22"/>
                <w:szCs w:val="22"/>
                <w:highlight w:val="none"/>
              </w:rPr>
              <w:t>HC+NO</w:t>
            </w:r>
            <w:r>
              <w:rPr>
                <w:rFonts w:hint="eastAsia"/>
                <w:snapToGrid w:val="0"/>
                <w:color w:val="auto"/>
                <w:sz w:val="22"/>
                <w:szCs w:val="22"/>
                <w:highlight w:val="none"/>
                <w:vertAlign w:val="subscript"/>
              </w:rPr>
              <w:t>X</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rFonts w:hint="eastAsia"/>
                <w:snapToGrid w:val="0"/>
                <w:color w:val="auto"/>
                <w:sz w:val="22"/>
                <w:szCs w:val="22"/>
                <w:highlight w:val="none"/>
              </w:rPr>
              <w:t>(g/kWh)</w:t>
            </w:r>
          </w:p>
        </w:tc>
        <w:tc>
          <w:tcPr>
            <w:tcW w:w="132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snapToGrid w:val="0"/>
                <w:color w:val="auto"/>
                <w:sz w:val="22"/>
                <w:szCs w:val="22"/>
                <w:highlight w:val="none"/>
              </w:rPr>
            </w:pPr>
            <w:r>
              <w:rPr>
                <w:rFonts w:hint="eastAsia"/>
                <w:snapToGrid w:val="0"/>
                <w:color w:val="auto"/>
                <w:sz w:val="22"/>
                <w:szCs w:val="22"/>
                <w:highlight w:val="none"/>
              </w:rPr>
              <w:t>PM</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rFonts w:hint="eastAsia"/>
                <w:snapToGrid w:val="0"/>
                <w:color w:val="auto"/>
                <w:sz w:val="22"/>
                <w:szCs w:val="22"/>
                <w:highlight w:val="none"/>
              </w:rPr>
              <w:t>(g/kWh)</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128"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en-US" w:eastAsia="zh-CN"/>
              </w:rPr>
            </w:pPr>
            <w:r>
              <w:rPr>
                <w:rFonts w:hint="eastAsia"/>
                <w:snapToGrid w:val="0"/>
                <w:color w:val="auto"/>
                <w:sz w:val="22"/>
                <w:szCs w:val="22"/>
                <w:highlight w:val="none"/>
                <w:lang w:val="en-US" w:eastAsia="zh-CN"/>
              </w:rPr>
              <w:t>第二类</w:t>
            </w:r>
          </w:p>
        </w:tc>
        <w:tc>
          <w:tcPr>
            <w:tcW w:w="172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rFonts w:hint="eastAsia"/>
                <w:snapToGrid w:val="0"/>
                <w:color w:val="auto"/>
                <w:sz w:val="22"/>
                <w:szCs w:val="22"/>
                <w:highlight w:val="none"/>
              </w:rPr>
              <w:t>5≤SV＜15</w:t>
            </w:r>
          </w:p>
        </w:tc>
        <w:tc>
          <w:tcPr>
            <w:tcW w:w="152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snapToGrid w:val="0"/>
                <w:color w:val="auto"/>
                <w:sz w:val="22"/>
                <w:szCs w:val="22"/>
                <w:highlight w:val="none"/>
              </w:rPr>
            </w:pPr>
            <w:r>
              <w:rPr>
                <w:rFonts w:hint="eastAsia"/>
                <w:snapToGrid w:val="0"/>
                <w:color w:val="auto"/>
                <w:sz w:val="22"/>
                <w:szCs w:val="22"/>
                <w:highlight w:val="none"/>
              </w:rPr>
              <w:t>P＜2000</w:t>
            </w:r>
          </w:p>
        </w:tc>
        <w:tc>
          <w:tcPr>
            <w:tcW w:w="1187"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en-US" w:eastAsia="zh-CN"/>
              </w:rPr>
            </w:pPr>
            <w:r>
              <w:rPr>
                <w:rFonts w:hint="eastAsia"/>
                <w:snapToGrid w:val="0"/>
                <w:color w:val="auto"/>
                <w:sz w:val="22"/>
                <w:szCs w:val="22"/>
                <w:highlight w:val="none"/>
                <w:lang w:val="en-US" w:eastAsia="zh-CN"/>
              </w:rPr>
              <w:t>5.0</w:t>
            </w:r>
          </w:p>
        </w:tc>
        <w:tc>
          <w:tcPr>
            <w:tcW w:w="1788"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en-US" w:eastAsia="zh-CN"/>
              </w:rPr>
            </w:pPr>
            <w:r>
              <w:rPr>
                <w:rFonts w:hint="eastAsia"/>
                <w:snapToGrid w:val="0"/>
                <w:color w:val="auto"/>
                <w:sz w:val="22"/>
                <w:szCs w:val="22"/>
                <w:highlight w:val="none"/>
                <w:lang w:val="en-US" w:eastAsia="zh-CN"/>
              </w:rPr>
              <w:t>6.2</w:t>
            </w:r>
          </w:p>
        </w:tc>
        <w:tc>
          <w:tcPr>
            <w:tcW w:w="132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en-US" w:eastAsia="zh-CN"/>
              </w:rPr>
            </w:pPr>
            <w:r>
              <w:rPr>
                <w:rFonts w:hint="eastAsia"/>
                <w:snapToGrid w:val="0"/>
                <w:color w:val="auto"/>
                <w:sz w:val="22"/>
                <w:szCs w:val="22"/>
                <w:highlight w:val="none"/>
                <w:lang w:val="en-US" w:eastAsia="zh-CN"/>
              </w:rPr>
              <w:t>0.14</w:t>
            </w:r>
          </w:p>
        </w:tc>
      </w:tr>
    </w:tbl>
    <w:p>
      <w:pPr>
        <w:pStyle w:val="2"/>
        <w:keepNext w:val="0"/>
        <w:keepLines w:val="0"/>
        <w:pageBreakBefore w:val="0"/>
        <w:widowControl w:val="0"/>
        <w:kinsoku/>
        <w:wordWrap/>
        <w:overflowPunct/>
        <w:topLinePunct w:val="0"/>
        <w:autoSpaceDE/>
        <w:autoSpaceDN/>
        <w:bidi w:val="0"/>
        <w:adjustRightInd w:val="0"/>
        <w:snapToGrid w:val="0"/>
        <w:spacing w:line="240" w:lineRule="auto"/>
        <w:ind w:firstLine="520" w:firstLineChars="200"/>
        <w:textAlignment w:val="auto"/>
        <w:rPr>
          <w:rFonts w:hint="eastAsia" w:cs="Times New Roman"/>
          <w:color w:val="auto"/>
          <w:sz w:val="26"/>
          <w:szCs w:val="26"/>
          <w:highlight w:val="none"/>
          <w:lang w:eastAsia="zh-CN"/>
        </w:rPr>
      </w:pP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cs="Times New Roman"/>
          <w:color w:val="auto"/>
          <w:sz w:val="26"/>
          <w:szCs w:val="26"/>
          <w:highlight w:val="none"/>
          <w:lang w:eastAsia="zh-CN"/>
        </w:rPr>
      </w:pPr>
      <w:r>
        <w:rPr>
          <w:rFonts w:hint="eastAsia" w:cs="Times New Roman"/>
          <w:color w:val="auto"/>
          <w:sz w:val="26"/>
          <w:szCs w:val="26"/>
          <w:highlight w:val="none"/>
          <w:lang w:eastAsia="zh-CN"/>
        </w:rPr>
        <w:t>根据项目初步设计方案，单次过闸时间为</w:t>
      </w:r>
      <w:r>
        <w:rPr>
          <w:rFonts w:hint="eastAsia" w:cs="Times New Roman"/>
          <w:color w:val="auto"/>
          <w:sz w:val="26"/>
          <w:szCs w:val="26"/>
          <w:highlight w:val="none"/>
          <w:lang w:val="en-US" w:eastAsia="zh-CN"/>
        </w:rPr>
        <w:t>98.2min</w:t>
      </w:r>
      <w:r>
        <w:rPr>
          <w:rFonts w:hint="eastAsia" w:cs="Times New Roman"/>
          <w:color w:val="auto"/>
          <w:sz w:val="26"/>
          <w:szCs w:val="26"/>
          <w:highlight w:val="none"/>
          <w:lang w:eastAsia="zh-CN"/>
        </w:rPr>
        <w:t>，船闸日平均过闸次数为</w:t>
      </w:r>
      <w:r>
        <w:rPr>
          <w:rFonts w:hint="eastAsia" w:cs="Times New Roman"/>
          <w:color w:val="auto"/>
          <w:sz w:val="26"/>
          <w:szCs w:val="26"/>
          <w:highlight w:val="none"/>
          <w:lang w:val="en-US" w:eastAsia="zh-CN"/>
        </w:rPr>
        <w:t>28.1</w:t>
      </w:r>
      <w:r>
        <w:rPr>
          <w:rFonts w:hint="eastAsia" w:cs="Times New Roman"/>
          <w:color w:val="auto"/>
          <w:sz w:val="26"/>
          <w:szCs w:val="26"/>
          <w:highlight w:val="none"/>
          <w:lang w:eastAsia="zh-CN"/>
        </w:rPr>
        <w:t>次，日过闸时间为23h，船闸通航天数为</w:t>
      </w:r>
      <w:r>
        <w:rPr>
          <w:rFonts w:hint="eastAsia" w:cs="Times New Roman"/>
          <w:color w:val="auto"/>
          <w:sz w:val="26"/>
          <w:szCs w:val="26"/>
          <w:highlight w:val="none"/>
          <w:lang w:val="en-US" w:eastAsia="zh-CN"/>
        </w:rPr>
        <w:t>340</w:t>
      </w:r>
      <w:r>
        <w:rPr>
          <w:rFonts w:hint="eastAsia" w:cs="Times New Roman"/>
          <w:color w:val="auto"/>
          <w:sz w:val="26"/>
          <w:szCs w:val="26"/>
          <w:highlight w:val="none"/>
          <w:lang w:eastAsia="zh-CN"/>
        </w:rPr>
        <w:t>d，过闸船舶废气污染物排放量具体见下表：</w:t>
      </w:r>
    </w:p>
    <w:p>
      <w:pPr>
        <w:spacing w:line="240" w:lineRule="auto"/>
        <w:ind w:left="0" w:leftChars="0" w:firstLine="0" w:firstLineChars="0"/>
        <w:jc w:val="center"/>
        <w:rPr>
          <w:rFonts w:hint="eastAsia"/>
          <w:color w:val="auto"/>
          <w:highlight w:val="none"/>
          <w:lang w:eastAsia="zh-CN"/>
        </w:rPr>
      </w:pPr>
    </w:p>
    <w:p>
      <w:pPr>
        <w:spacing w:line="240" w:lineRule="auto"/>
        <w:ind w:left="0" w:leftChars="0" w:firstLine="0" w:firstLineChars="0"/>
        <w:jc w:val="center"/>
        <w:rPr>
          <w:rFonts w:hint="eastAsia"/>
          <w:color w:val="auto"/>
          <w:highlight w:val="none"/>
          <w:lang w:eastAsia="zh-CN"/>
        </w:rPr>
      </w:pPr>
      <w:r>
        <w:rPr>
          <w:rFonts w:hint="eastAsia"/>
          <w:color w:val="auto"/>
          <w:highlight w:val="none"/>
          <w:lang w:eastAsia="zh-CN"/>
        </w:rPr>
        <w:t>表</w:t>
      </w:r>
      <w:r>
        <w:rPr>
          <w:rFonts w:hint="eastAsia"/>
          <w:color w:val="auto"/>
          <w:highlight w:val="none"/>
          <w:lang w:val="en-US" w:eastAsia="zh-CN"/>
        </w:rPr>
        <w:t xml:space="preserve">2.6.2.2-2 </w:t>
      </w:r>
      <w:r>
        <w:rPr>
          <w:rFonts w:hint="eastAsia"/>
          <w:color w:val="auto"/>
          <w:highlight w:val="none"/>
          <w:lang w:eastAsia="zh-CN"/>
        </w:rPr>
        <w:t xml:space="preserve"> 本项目过闸船舶燃油</w:t>
      </w:r>
      <w:r>
        <w:rPr>
          <w:rFonts w:hint="eastAsia"/>
          <w:color w:val="auto"/>
          <w:highlight w:val="none"/>
          <w:shd w:val="clear" w:fill="FFFFFF"/>
          <w:lang w:eastAsia="zh-CN"/>
        </w:rPr>
        <w:t>废气污染物</w:t>
      </w:r>
      <w:r>
        <w:rPr>
          <w:rFonts w:hint="eastAsia"/>
          <w:color w:val="auto"/>
          <w:highlight w:val="none"/>
          <w:lang w:eastAsia="zh-CN"/>
        </w:rPr>
        <w:t>排放量</w:t>
      </w:r>
    </w:p>
    <w:tbl>
      <w:tblPr>
        <w:tblStyle w:val="28"/>
        <w:tblW w:w="4850"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840"/>
        <w:gridCol w:w="1303"/>
        <w:gridCol w:w="2178"/>
        <w:gridCol w:w="2178"/>
        <w:gridCol w:w="217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4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snapToGrid w:val="0"/>
                <w:color w:val="auto"/>
                <w:sz w:val="22"/>
                <w:szCs w:val="22"/>
                <w:highlight w:val="none"/>
                <w:lang w:eastAsia="zh-CN"/>
              </w:rPr>
            </w:pPr>
            <w:r>
              <w:rPr>
                <w:rFonts w:hint="eastAsia"/>
                <w:snapToGrid w:val="0"/>
                <w:color w:val="auto"/>
                <w:sz w:val="22"/>
                <w:szCs w:val="22"/>
                <w:highlight w:val="none"/>
                <w:lang w:eastAsia="zh-CN"/>
              </w:rPr>
              <w:t>序号</w:t>
            </w:r>
          </w:p>
        </w:tc>
        <w:tc>
          <w:tcPr>
            <w:tcW w:w="1303"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snapToGrid w:val="0"/>
                <w:color w:val="auto"/>
                <w:sz w:val="22"/>
                <w:szCs w:val="22"/>
                <w:highlight w:val="none"/>
                <w:lang w:eastAsia="zh-CN"/>
              </w:rPr>
            </w:pPr>
            <w:r>
              <w:rPr>
                <w:rFonts w:hint="eastAsia"/>
                <w:snapToGrid w:val="0"/>
                <w:color w:val="auto"/>
                <w:sz w:val="22"/>
                <w:szCs w:val="22"/>
                <w:highlight w:val="none"/>
                <w:lang w:eastAsia="zh-CN"/>
              </w:rPr>
              <w:t>污染物</w:t>
            </w:r>
          </w:p>
        </w:tc>
        <w:tc>
          <w:tcPr>
            <w:tcW w:w="2178"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snapToGrid w:val="0"/>
                <w:color w:val="auto"/>
                <w:sz w:val="22"/>
                <w:szCs w:val="22"/>
                <w:highlight w:val="none"/>
                <w:lang w:eastAsia="zh-CN"/>
              </w:rPr>
            </w:pPr>
            <w:r>
              <w:rPr>
                <w:rFonts w:hint="eastAsia"/>
                <w:snapToGrid w:val="0"/>
                <w:color w:val="auto"/>
                <w:sz w:val="22"/>
                <w:szCs w:val="22"/>
                <w:highlight w:val="none"/>
                <w:lang w:eastAsia="zh-CN"/>
              </w:rPr>
              <w:t>小时排放量（</w:t>
            </w:r>
            <w:r>
              <w:rPr>
                <w:rFonts w:hint="eastAsia"/>
                <w:snapToGrid w:val="0"/>
                <w:color w:val="auto"/>
                <w:sz w:val="22"/>
                <w:szCs w:val="22"/>
                <w:highlight w:val="none"/>
                <w:lang w:val="en-US" w:eastAsia="zh-CN"/>
              </w:rPr>
              <w:t>kg/h</w:t>
            </w:r>
            <w:r>
              <w:rPr>
                <w:rFonts w:hint="eastAsia"/>
                <w:snapToGrid w:val="0"/>
                <w:color w:val="auto"/>
                <w:sz w:val="22"/>
                <w:szCs w:val="22"/>
                <w:highlight w:val="none"/>
                <w:lang w:eastAsia="zh-CN"/>
              </w:rPr>
              <w:t>）</w:t>
            </w:r>
          </w:p>
        </w:tc>
        <w:tc>
          <w:tcPr>
            <w:tcW w:w="2178"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snapToGrid w:val="0"/>
                <w:color w:val="auto"/>
                <w:sz w:val="22"/>
                <w:szCs w:val="22"/>
                <w:highlight w:val="none"/>
                <w:lang w:eastAsia="zh-CN"/>
              </w:rPr>
            </w:pPr>
            <w:r>
              <w:rPr>
                <w:rFonts w:hint="eastAsia"/>
                <w:snapToGrid w:val="0"/>
                <w:color w:val="auto"/>
                <w:sz w:val="22"/>
                <w:szCs w:val="22"/>
                <w:highlight w:val="none"/>
                <w:lang w:eastAsia="zh-CN"/>
              </w:rPr>
              <w:t>日排放量（</w:t>
            </w:r>
            <w:r>
              <w:rPr>
                <w:rFonts w:hint="eastAsia"/>
                <w:snapToGrid w:val="0"/>
                <w:color w:val="auto"/>
                <w:sz w:val="22"/>
                <w:szCs w:val="22"/>
                <w:highlight w:val="none"/>
                <w:lang w:val="en-US" w:eastAsia="zh-CN"/>
              </w:rPr>
              <w:t>kg/d</w:t>
            </w:r>
            <w:r>
              <w:rPr>
                <w:rFonts w:hint="eastAsia"/>
                <w:snapToGrid w:val="0"/>
                <w:color w:val="auto"/>
                <w:sz w:val="22"/>
                <w:szCs w:val="22"/>
                <w:highlight w:val="none"/>
                <w:lang w:eastAsia="zh-CN"/>
              </w:rPr>
              <w:t>）</w:t>
            </w:r>
          </w:p>
        </w:tc>
        <w:tc>
          <w:tcPr>
            <w:tcW w:w="21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en-US" w:eastAsia="zh-CN"/>
              </w:rPr>
            </w:pPr>
            <w:r>
              <w:rPr>
                <w:rFonts w:hint="eastAsia"/>
                <w:snapToGrid w:val="0"/>
                <w:color w:val="auto"/>
                <w:sz w:val="22"/>
                <w:szCs w:val="22"/>
                <w:highlight w:val="none"/>
                <w:lang w:eastAsia="zh-CN"/>
              </w:rPr>
              <w:t>年排放量（</w:t>
            </w:r>
            <w:r>
              <w:rPr>
                <w:rFonts w:hint="eastAsia"/>
                <w:snapToGrid w:val="0"/>
                <w:color w:val="auto"/>
                <w:sz w:val="22"/>
                <w:szCs w:val="22"/>
                <w:highlight w:val="none"/>
                <w:lang w:val="en-US" w:eastAsia="zh-CN"/>
              </w:rPr>
              <w:t>t/a</w:t>
            </w:r>
            <w:r>
              <w:rPr>
                <w:rFonts w:hint="eastAsia"/>
                <w:snapToGrid w:val="0"/>
                <w:color w:val="auto"/>
                <w:sz w:val="22"/>
                <w:szCs w:val="22"/>
                <w:highlight w:val="none"/>
                <w:lang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4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en-US" w:eastAsia="zh-CN"/>
              </w:rPr>
            </w:pPr>
            <w:r>
              <w:rPr>
                <w:rFonts w:hint="eastAsia"/>
                <w:snapToGrid w:val="0"/>
                <w:color w:val="auto"/>
                <w:sz w:val="22"/>
                <w:szCs w:val="22"/>
                <w:highlight w:val="none"/>
                <w:lang w:val="en-US" w:eastAsia="zh-CN"/>
              </w:rPr>
              <w:t>1</w:t>
            </w:r>
          </w:p>
        </w:tc>
        <w:tc>
          <w:tcPr>
            <w:tcW w:w="1303"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snapToGrid w:val="0"/>
                <w:color w:val="auto"/>
                <w:sz w:val="22"/>
                <w:szCs w:val="22"/>
                <w:highlight w:val="none"/>
                <w:lang w:val="en-US" w:eastAsia="zh-CN"/>
              </w:rPr>
            </w:pPr>
            <w:r>
              <w:rPr>
                <w:rFonts w:hint="eastAsia"/>
                <w:snapToGrid w:val="0"/>
                <w:color w:val="auto"/>
                <w:sz w:val="22"/>
                <w:szCs w:val="22"/>
                <w:highlight w:val="none"/>
                <w:lang w:val="en-US" w:eastAsia="zh-CN"/>
              </w:rPr>
              <w:t>CO</w:t>
            </w:r>
          </w:p>
        </w:tc>
        <w:tc>
          <w:tcPr>
            <w:tcW w:w="2178"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snapToGrid w:val="0"/>
                <w:color w:val="auto"/>
                <w:sz w:val="22"/>
                <w:szCs w:val="22"/>
                <w:highlight w:val="none"/>
                <w:lang w:eastAsia="zh-CN"/>
              </w:rPr>
            </w:pPr>
            <w:r>
              <w:rPr>
                <w:rFonts w:hint="default"/>
                <w:snapToGrid w:val="0"/>
                <w:color w:val="auto"/>
                <w:sz w:val="22"/>
                <w:szCs w:val="22"/>
                <w:highlight w:val="none"/>
                <w:lang w:val="en-US" w:eastAsia="zh-CN"/>
              </w:rPr>
              <w:t>5.49</w:t>
            </w:r>
          </w:p>
        </w:tc>
        <w:tc>
          <w:tcPr>
            <w:tcW w:w="2178"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snapToGrid w:val="0"/>
                <w:color w:val="auto"/>
                <w:sz w:val="22"/>
                <w:szCs w:val="22"/>
                <w:highlight w:val="none"/>
                <w:lang w:val="en-US" w:eastAsia="zh-CN"/>
              </w:rPr>
            </w:pPr>
            <w:r>
              <w:rPr>
                <w:rFonts w:hint="default"/>
                <w:snapToGrid w:val="0"/>
                <w:color w:val="auto"/>
                <w:sz w:val="22"/>
                <w:szCs w:val="22"/>
                <w:highlight w:val="none"/>
                <w:lang w:val="en-US" w:eastAsia="zh-CN"/>
              </w:rPr>
              <w:t>126.16</w:t>
            </w:r>
          </w:p>
        </w:tc>
        <w:tc>
          <w:tcPr>
            <w:tcW w:w="21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snapToGrid w:val="0"/>
                <w:color w:val="auto"/>
                <w:sz w:val="22"/>
                <w:szCs w:val="22"/>
                <w:highlight w:val="none"/>
                <w:lang w:val="en-US" w:eastAsia="zh-CN"/>
              </w:rPr>
            </w:pPr>
            <w:r>
              <w:rPr>
                <w:rFonts w:hint="default"/>
                <w:snapToGrid w:val="0"/>
                <w:color w:val="auto"/>
                <w:sz w:val="22"/>
                <w:szCs w:val="22"/>
                <w:highlight w:val="none"/>
                <w:lang w:val="en-US" w:eastAsia="zh-CN"/>
              </w:rPr>
              <w:t>42.89</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4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snapToGrid w:val="0"/>
                <w:color w:val="auto"/>
                <w:sz w:val="22"/>
                <w:szCs w:val="22"/>
                <w:highlight w:val="none"/>
                <w:lang w:val="en-US" w:eastAsia="zh-CN"/>
              </w:rPr>
            </w:pPr>
            <w:r>
              <w:rPr>
                <w:rFonts w:hint="eastAsia"/>
                <w:snapToGrid w:val="0"/>
                <w:color w:val="auto"/>
                <w:sz w:val="22"/>
                <w:szCs w:val="22"/>
                <w:highlight w:val="none"/>
                <w:lang w:val="en-US" w:eastAsia="zh-CN"/>
              </w:rPr>
              <w:t>2</w:t>
            </w:r>
          </w:p>
        </w:tc>
        <w:tc>
          <w:tcPr>
            <w:tcW w:w="1303"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snapToGrid w:val="0"/>
                <w:color w:val="auto"/>
                <w:sz w:val="22"/>
                <w:szCs w:val="22"/>
                <w:highlight w:val="none"/>
                <w:lang w:val="en-US" w:eastAsia="zh-CN"/>
              </w:rPr>
            </w:pPr>
            <w:r>
              <w:rPr>
                <w:rFonts w:hint="eastAsia"/>
                <w:snapToGrid w:val="0"/>
                <w:color w:val="auto"/>
                <w:sz w:val="22"/>
                <w:szCs w:val="22"/>
                <w:highlight w:val="none"/>
                <w:lang w:val="en-US" w:eastAsia="zh-CN"/>
              </w:rPr>
              <w:t>HC+NOx</w:t>
            </w:r>
          </w:p>
        </w:tc>
        <w:tc>
          <w:tcPr>
            <w:tcW w:w="2178"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snapToGrid w:val="0"/>
                <w:color w:val="auto"/>
                <w:sz w:val="22"/>
                <w:szCs w:val="22"/>
                <w:highlight w:val="none"/>
                <w:lang w:eastAsia="zh-CN"/>
              </w:rPr>
            </w:pPr>
            <w:r>
              <w:rPr>
                <w:rFonts w:hint="default"/>
                <w:snapToGrid w:val="0"/>
                <w:color w:val="auto"/>
                <w:sz w:val="22"/>
                <w:szCs w:val="22"/>
                <w:highlight w:val="none"/>
                <w:lang w:val="en-US" w:eastAsia="zh-CN"/>
              </w:rPr>
              <w:t>6.80</w:t>
            </w:r>
          </w:p>
        </w:tc>
        <w:tc>
          <w:tcPr>
            <w:tcW w:w="2178"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snapToGrid w:val="0"/>
                <w:color w:val="auto"/>
                <w:sz w:val="22"/>
                <w:szCs w:val="22"/>
                <w:highlight w:val="none"/>
                <w:lang w:val="en-US" w:eastAsia="zh-CN"/>
              </w:rPr>
            </w:pPr>
            <w:r>
              <w:rPr>
                <w:rFonts w:hint="default"/>
                <w:snapToGrid w:val="0"/>
                <w:color w:val="auto"/>
                <w:sz w:val="22"/>
                <w:szCs w:val="22"/>
                <w:highlight w:val="none"/>
                <w:lang w:val="en-US" w:eastAsia="zh-CN"/>
              </w:rPr>
              <w:t>156.43</w:t>
            </w:r>
          </w:p>
        </w:tc>
        <w:tc>
          <w:tcPr>
            <w:tcW w:w="21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snapToGrid w:val="0"/>
                <w:color w:val="auto"/>
                <w:sz w:val="22"/>
                <w:szCs w:val="22"/>
                <w:highlight w:val="none"/>
                <w:lang w:val="en-US" w:eastAsia="zh-CN"/>
              </w:rPr>
            </w:pPr>
            <w:r>
              <w:rPr>
                <w:rFonts w:hint="default"/>
                <w:snapToGrid w:val="0"/>
                <w:color w:val="auto"/>
                <w:sz w:val="22"/>
                <w:szCs w:val="22"/>
                <w:highlight w:val="none"/>
                <w:lang w:val="en-US" w:eastAsia="zh-CN"/>
              </w:rPr>
              <w:t>53.19</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4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snapToGrid w:val="0"/>
                <w:color w:val="auto"/>
                <w:sz w:val="22"/>
                <w:szCs w:val="22"/>
                <w:highlight w:val="none"/>
                <w:lang w:val="en-US" w:eastAsia="zh-CN"/>
              </w:rPr>
            </w:pPr>
            <w:r>
              <w:rPr>
                <w:rFonts w:hint="eastAsia"/>
                <w:snapToGrid w:val="0"/>
                <w:color w:val="auto"/>
                <w:sz w:val="22"/>
                <w:szCs w:val="22"/>
                <w:highlight w:val="none"/>
                <w:lang w:val="en-US" w:eastAsia="zh-CN"/>
              </w:rPr>
              <w:t>3</w:t>
            </w:r>
          </w:p>
        </w:tc>
        <w:tc>
          <w:tcPr>
            <w:tcW w:w="1303"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snapToGrid w:val="0"/>
                <w:color w:val="auto"/>
                <w:sz w:val="22"/>
                <w:szCs w:val="22"/>
                <w:highlight w:val="none"/>
                <w:lang w:val="en-US" w:eastAsia="zh-CN"/>
              </w:rPr>
            </w:pPr>
            <w:r>
              <w:rPr>
                <w:rFonts w:hint="eastAsia"/>
                <w:snapToGrid w:val="0"/>
                <w:color w:val="auto"/>
                <w:sz w:val="22"/>
                <w:szCs w:val="22"/>
                <w:highlight w:val="none"/>
                <w:lang w:val="en-US" w:eastAsia="zh-CN"/>
              </w:rPr>
              <w:t>PM</w:t>
            </w:r>
          </w:p>
        </w:tc>
        <w:tc>
          <w:tcPr>
            <w:tcW w:w="2178"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snapToGrid w:val="0"/>
                <w:color w:val="auto"/>
                <w:sz w:val="22"/>
                <w:szCs w:val="22"/>
                <w:highlight w:val="none"/>
                <w:lang w:eastAsia="zh-CN"/>
              </w:rPr>
            </w:pPr>
            <w:r>
              <w:rPr>
                <w:rFonts w:hint="default"/>
                <w:snapToGrid w:val="0"/>
                <w:color w:val="auto"/>
                <w:sz w:val="22"/>
                <w:szCs w:val="22"/>
                <w:highlight w:val="none"/>
                <w:lang w:val="en-US" w:eastAsia="zh-CN"/>
              </w:rPr>
              <w:t>0.15</w:t>
            </w:r>
          </w:p>
        </w:tc>
        <w:tc>
          <w:tcPr>
            <w:tcW w:w="2178"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snapToGrid w:val="0"/>
                <w:color w:val="auto"/>
                <w:sz w:val="22"/>
                <w:szCs w:val="22"/>
                <w:highlight w:val="none"/>
                <w:lang w:val="en-US" w:eastAsia="zh-CN"/>
              </w:rPr>
            </w:pPr>
            <w:r>
              <w:rPr>
                <w:rFonts w:hint="default"/>
                <w:snapToGrid w:val="0"/>
                <w:color w:val="auto"/>
                <w:sz w:val="22"/>
                <w:szCs w:val="22"/>
                <w:highlight w:val="none"/>
                <w:lang w:val="en-US" w:eastAsia="zh-CN"/>
              </w:rPr>
              <w:t>3.53</w:t>
            </w:r>
          </w:p>
        </w:tc>
        <w:tc>
          <w:tcPr>
            <w:tcW w:w="21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snapToGrid w:val="0"/>
                <w:color w:val="auto"/>
                <w:sz w:val="22"/>
                <w:szCs w:val="22"/>
                <w:highlight w:val="none"/>
                <w:lang w:val="en-US" w:eastAsia="zh-CN"/>
              </w:rPr>
            </w:pPr>
            <w:r>
              <w:rPr>
                <w:rFonts w:hint="default"/>
                <w:snapToGrid w:val="0"/>
                <w:color w:val="auto"/>
                <w:sz w:val="22"/>
                <w:szCs w:val="22"/>
                <w:highlight w:val="none"/>
                <w:lang w:val="en-US" w:eastAsia="zh-CN"/>
              </w:rPr>
              <w:t>1.20</w:t>
            </w:r>
          </w:p>
        </w:tc>
      </w:tr>
    </w:tbl>
    <w:p>
      <w:pPr>
        <w:spacing w:line="240" w:lineRule="auto"/>
        <w:rPr>
          <w:rFonts w:hint="eastAsia" w:cs="Times New Roman"/>
          <w:color w:val="auto"/>
          <w:sz w:val="26"/>
          <w:szCs w:val="26"/>
          <w:highlight w:val="none"/>
          <w:lang w:eastAsia="zh-CN"/>
        </w:rPr>
      </w:pPr>
    </w:p>
    <w:p>
      <w:pPr>
        <w:rPr>
          <w:rFonts w:hint="eastAsia"/>
          <w:color w:val="auto"/>
          <w:highlight w:val="none"/>
          <w:lang w:eastAsia="zh-CN"/>
        </w:rPr>
      </w:pPr>
      <w:r>
        <w:rPr>
          <w:rFonts w:hint="eastAsia"/>
          <w:color w:val="auto"/>
          <w:highlight w:val="none"/>
          <w:shd w:val="clear" w:fill="FFFFFF"/>
          <w:lang w:eastAsia="zh-CN"/>
        </w:rPr>
        <w:t>本次</w:t>
      </w:r>
      <w:r>
        <w:rPr>
          <w:rFonts w:hint="eastAsia"/>
          <w:color w:val="auto"/>
          <w:highlight w:val="none"/>
          <w:lang w:eastAsia="zh-CN"/>
        </w:rPr>
        <w:t>根据</w:t>
      </w:r>
      <w:r>
        <w:rPr>
          <w:rFonts w:hint="eastAsia" w:cs="Times New Roman"/>
          <w:color w:val="auto"/>
          <w:sz w:val="26"/>
          <w:szCs w:val="26"/>
          <w:highlight w:val="none"/>
          <w:lang w:eastAsia="zh-CN"/>
        </w:rPr>
        <w:t>船闸设计代表船型组合进行理论</w:t>
      </w:r>
      <w:r>
        <w:rPr>
          <w:rFonts w:hint="eastAsia"/>
          <w:color w:val="auto"/>
          <w:highlight w:val="none"/>
          <w:lang w:eastAsia="zh-CN"/>
        </w:rPr>
        <w:t>计算，过闸船舶年船舶废气排放量为：CO</w:t>
      </w:r>
      <w:r>
        <w:rPr>
          <w:rFonts w:hint="eastAsia"/>
          <w:color w:val="auto"/>
          <w:highlight w:val="none"/>
          <w:lang w:val="en-US" w:eastAsia="zh-CN"/>
        </w:rPr>
        <w:t xml:space="preserve"> 42.89</w:t>
      </w:r>
      <w:r>
        <w:rPr>
          <w:rFonts w:hint="eastAsia"/>
          <w:color w:val="auto"/>
          <w:highlight w:val="none"/>
          <w:lang w:eastAsia="zh-CN"/>
        </w:rPr>
        <w:t>t/a、HC+NOx</w:t>
      </w:r>
      <w:r>
        <w:rPr>
          <w:rFonts w:hint="eastAsia"/>
          <w:color w:val="auto"/>
          <w:highlight w:val="none"/>
          <w:lang w:val="en-US" w:eastAsia="zh-CN"/>
        </w:rPr>
        <w:t xml:space="preserve"> 53.19</w:t>
      </w:r>
      <w:r>
        <w:rPr>
          <w:rFonts w:hint="eastAsia"/>
          <w:color w:val="auto"/>
          <w:highlight w:val="none"/>
          <w:lang w:eastAsia="zh-CN"/>
        </w:rPr>
        <w:t>t/a、颗粒物</w:t>
      </w:r>
      <w:r>
        <w:rPr>
          <w:rFonts w:hint="eastAsia"/>
          <w:color w:val="auto"/>
          <w:highlight w:val="none"/>
          <w:lang w:val="en-US" w:eastAsia="zh-CN"/>
        </w:rPr>
        <w:t>1.20</w:t>
      </w:r>
      <w:r>
        <w:rPr>
          <w:rFonts w:hint="eastAsia"/>
          <w:color w:val="auto"/>
          <w:highlight w:val="none"/>
          <w:lang w:eastAsia="zh-CN"/>
        </w:rPr>
        <w:t>t/a。随着油品质量提高、船舶发动机新技术推广、清洁能源船舶的使用，以及对废气排放标准要求的提高，将来内河船舶将向环保节能型更新，其排放的大气污染物将愈来愈小。</w:t>
      </w:r>
    </w:p>
    <w:p>
      <w:pPr>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2 \* GB3 \* MERGEFORMAT </w:instrText>
      </w:r>
      <w:r>
        <w:rPr>
          <w:rFonts w:hint="eastAsia"/>
          <w:color w:val="auto"/>
          <w:highlight w:val="none"/>
          <w:lang w:eastAsia="zh-CN"/>
        </w:rPr>
        <w:fldChar w:fldCharType="separate"/>
      </w:r>
      <w:r>
        <w:rPr>
          <w:color w:val="auto"/>
          <w:highlight w:val="none"/>
        </w:rPr>
        <w:t>②</w:t>
      </w:r>
      <w:r>
        <w:rPr>
          <w:rFonts w:hint="eastAsia"/>
          <w:color w:val="auto"/>
          <w:highlight w:val="none"/>
          <w:lang w:eastAsia="zh-CN"/>
        </w:rPr>
        <w:fldChar w:fldCharType="end"/>
      </w:r>
      <w:r>
        <w:rPr>
          <w:rFonts w:hint="eastAsia"/>
          <w:color w:val="auto"/>
          <w:highlight w:val="none"/>
          <w:lang w:eastAsia="zh-CN"/>
        </w:rPr>
        <w:t>食堂油烟</w:t>
      </w:r>
    </w:p>
    <w:p>
      <w:pPr>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eastAsia="宋体"/>
          <w:color w:val="auto"/>
          <w:sz w:val="26"/>
          <w:szCs w:val="26"/>
          <w:highlight w:val="none"/>
          <w:lang w:eastAsia="zh-CN"/>
        </w:rPr>
      </w:pPr>
      <w:r>
        <w:rPr>
          <w:rFonts w:hint="eastAsia" w:cs="Times New Roman"/>
          <w:color w:val="auto"/>
          <w:sz w:val="26"/>
          <w:szCs w:val="26"/>
          <w:highlight w:val="none"/>
          <w:lang w:eastAsia="zh-CN"/>
        </w:rPr>
        <w:t>项目在管理区设置食堂，</w:t>
      </w:r>
      <w:r>
        <w:rPr>
          <w:color w:val="auto"/>
          <w:sz w:val="26"/>
          <w:szCs w:val="26"/>
          <w:highlight w:val="none"/>
        </w:rPr>
        <w:t>采用天然气、电等清洁能源，在炒菜过程中会有少量油烟产生，经</w:t>
      </w:r>
      <w:r>
        <w:rPr>
          <w:rFonts w:hint="eastAsia"/>
          <w:color w:val="auto"/>
          <w:sz w:val="26"/>
          <w:szCs w:val="26"/>
          <w:highlight w:val="none"/>
          <w:lang w:eastAsia="zh-CN"/>
        </w:rPr>
        <w:t>油烟净化器处理</w:t>
      </w:r>
      <w:r>
        <w:rPr>
          <w:color w:val="auto"/>
          <w:sz w:val="26"/>
          <w:szCs w:val="26"/>
          <w:highlight w:val="none"/>
        </w:rPr>
        <w:t>后引至楼顶排放</w:t>
      </w:r>
      <w:r>
        <w:rPr>
          <w:rFonts w:hint="eastAsia"/>
          <w:color w:val="auto"/>
          <w:sz w:val="26"/>
          <w:szCs w:val="26"/>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lang w:eastAsia="zh-CN"/>
        </w:rPr>
        <w:t>（</w:t>
      </w:r>
      <w:r>
        <w:rPr>
          <w:rFonts w:hint="default" w:ascii="Times New Roman" w:hAnsi="Times New Roman" w:cs="Times New Roman"/>
          <w:color w:val="auto"/>
          <w:sz w:val="26"/>
          <w:szCs w:val="26"/>
          <w:highlight w:val="none"/>
          <w:lang w:val="en-US" w:eastAsia="zh-CN"/>
        </w:rPr>
        <w:t>3</w:t>
      </w:r>
      <w:r>
        <w:rPr>
          <w:rFonts w:hint="default" w:ascii="Times New Roman" w:hAnsi="Times New Roman" w:cs="Times New Roman"/>
          <w:color w:val="auto"/>
          <w:sz w:val="26"/>
          <w:szCs w:val="26"/>
          <w:highlight w:val="none"/>
          <w:lang w:eastAsia="zh-CN"/>
        </w:rPr>
        <w:t>）</w:t>
      </w:r>
      <w:r>
        <w:rPr>
          <w:rFonts w:hint="default" w:ascii="Times New Roman" w:hAnsi="Times New Roman" w:cs="Times New Roman"/>
          <w:color w:val="auto"/>
          <w:sz w:val="26"/>
          <w:szCs w:val="26"/>
          <w:highlight w:val="none"/>
        </w:rPr>
        <w:t>噪声</w:t>
      </w:r>
    </w:p>
    <w:p>
      <w:pPr>
        <w:pStyle w:val="214"/>
        <w:ind w:firstLine="520"/>
        <w:rPr>
          <w:rFonts w:hint="eastAsia" w:eastAsia="宋体"/>
          <w:color w:val="auto"/>
          <w:highlight w:val="none"/>
          <w:lang w:eastAsia="zh-CN"/>
        </w:rPr>
      </w:pPr>
      <w:r>
        <w:rPr>
          <w:rFonts w:hint="eastAsia" w:ascii="Times New Roman" w:hAnsi="Times New Roman"/>
          <w:color w:val="auto"/>
          <w:highlight w:val="none"/>
        </w:rPr>
        <w:t>运行期噪声主要包括来往船舶交通噪声。过闸船舶交通噪声是短期的、暂时的，且具有局部线性的。类比同类工程，</w:t>
      </w:r>
      <w:r>
        <w:rPr>
          <w:rFonts w:hint="eastAsia"/>
          <w:color w:val="auto"/>
          <w:highlight w:val="none"/>
        </w:rPr>
        <w:t>各类型船舶的噪声源强见</w:t>
      </w:r>
      <w:r>
        <w:rPr>
          <w:rFonts w:hint="eastAsia"/>
          <w:color w:val="auto"/>
          <w:highlight w:val="none"/>
          <w:lang w:eastAsia="zh-CN"/>
        </w:rPr>
        <w:t>下表：</w:t>
      </w:r>
    </w:p>
    <w:p>
      <w:pPr>
        <w:pStyle w:val="214"/>
        <w:spacing w:line="240" w:lineRule="auto"/>
        <w:ind w:firstLine="520"/>
        <w:rPr>
          <w:color w:val="auto"/>
          <w:highlight w:val="none"/>
        </w:rPr>
      </w:pPr>
    </w:p>
    <w:p>
      <w:pPr>
        <w:pStyle w:val="214"/>
        <w:spacing w:line="240" w:lineRule="auto"/>
        <w:ind w:left="0" w:leftChars="0" w:firstLine="0" w:firstLineChars="0"/>
        <w:jc w:val="right"/>
        <w:rPr>
          <w:color w:val="auto"/>
          <w:sz w:val="22"/>
          <w:szCs w:val="22"/>
          <w:highlight w:val="none"/>
        </w:rPr>
      </w:pPr>
      <w:r>
        <w:rPr>
          <w:rFonts w:hint="eastAsia"/>
          <w:color w:val="auto"/>
          <w:highlight w:val="none"/>
        </w:rPr>
        <w:t>表</w:t>
      </w:r>
      <w:r>
        <w:rPr>
          <w:rFonts w:hint="eastAsia"/>
          <w:color w:val="auto"/>
          <w:highlight w:val="none"/>
          <w:lang w:val="en-US" w:eastAsia="zh-CN"/>
        </w:rPr>
        <w:t xml:space="preserve">2.6.2.2-3  </w:t>
      </w:r>
      <w:r>
        <w:rPr>
          <w:rFonts w:hint="eastAsia"/>
          <w:color w:val="auto"/>
          <w:highlight w:val="none"/>
        </w:rPr>
        <w:t>各类型船舶暴露平均声级值（距船</w:t>
      </w:r>
      <w:r>
        <w:rPr>
          <w:color w:val="auto"/>
          <w:highlight w:val="none"/>
        </w:rPr>
        <w:t>5m</w:t>
      </w:r>
      <w:r>
        <w:rPr>
          <w:rFonts w:hint="eastAsia"/>
          <w:color w:val="auto"/>
          <w:highlight w:val="none"/>
        </w:rPr>
        <w:t xml:space="preserve">处）  </w:t>
      </w:r>
      <w:r>
        <w:rPr>
          <w:rFonts w:hint="eastAsia"/>
          <w:color w:val="auto"/>
          <w:sz w:val="22"/>
          <w:szCs w:val="22"/>
          <w:highlight w:val="none"/>
        </w:rPr>
        <w:t xml:space="preserve"> 单位：dB(A)</w:t>
      </w:r>
    </w:p>
    <w:tbl>
      <w:tblPr>
        <w:tblStyle w:val="28"/>
        <w:tblW w:w="485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2159"/>
        <w:gridCol w:w="2183"/>
        <w:gridCol w:w="2166"/>
        <w:gridCol w:w="2170"/>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42" w:type="dxa"/>
            <w:vAlign w:val="center"/>
          </w:tcPr>
          <w:p>
            <w:pPr>
              <w:pStyle w:val="197"/>
              <w:spacing w:line="240" w:lineRule="auto"/>
              <w:ind w:firstLine="0" w:firstLineChars="0"/>
              <w:jc w:val="center"/>
              <w:rPr>
                <w:color w:val="auto"/>
                <w:sz w:val="22"/>
                <w:szCs w:val="22"/>
                <w:highlight w:val="none"/>
              </w:rPr>
            </w:pPr>
            <w:r>
              <w:rPr>
                <w:rFonts w:hint="eastAsia"/>
                <w:color w:val="auto"/>
                <w:sz w:val="22"/>
                <w:szCs w:val="22"/>
                <w:highlight w:val="none"/>
              </w:rPr>
              <w:t>船舶类型</w:t>
            </w:r>
          </w:p>
        </w:tc>
        <w:tc>
          <w:tcPr>
            <w:tcW w:w="2266" w:type="dxa"/>
            <w:vAlign w:val="center"/>
          </w:tcPr>
          <w:p>
            <w:pPr>
              <w:pStyle w:val="197"/>
              <w:spacing w:line="240" w:lineRule="auto"/>
              <w:ind w:firstLine="0" w:firstLineChars="0"/>
              <w:jc w:val="center"/>
              <w:rPr>
                <w:color w:val="auto"/>
                <w:sz w:val="22"/>
                <w:szCs w:val="22"/>
                <w:highlight w:val="none"/>
              </w:rPr>
            </w:pPr>
            <w:r>
              <w:rPr>
                <w:rFonts w:hint="eastAsia"/>
                <w:color w:val="auto"/>
                <w:sz w:val="22"/>
                <w:szCs w:val="22"/>
                <w:highlight w:val="none"/>
              </w:rPr>
              <w:t>100~500吨级</w:t>
            </w:r>
          </w:p>
        </w:tc>
        <w:tc>
          <w:tcPr>
            <w:tcW w:w="2248" w:type="dxa"/>
            <w:vAlign w:val="center"/>
          </w:tcPr>
          <w:p>
            <w:pPr>
              <w:pStyle w:val="197"/>
              <w:spacing w:line="240" w:lineRule="auto"/>
              <w:ind w:firstLine="0" w:firstLineChars="0"/>
              <w:jc w:val="center"/>
              <w:rPr>
                <w:color w:val="auto"/>
                <w:sz w:val="22"/>
                <w:szCs w:val="22"/>
                <w:highlight w:val="none"/>
              </w:rPr>
            </w:pPr>
            <w:r>
              <w:rPr>
                <w:rFonts w:hint="eastAsia"/>
                <w:color w:val="auto"/>
                <w:sz w:val="22"/>
                <w:szCs w:val="22"/>
                <w:highlight w:val="none"/>
              </w:rPr>
              <w:t>500吨级</w:t>
            </w:r>
          </w:p>
        </w:tc>
        <w:tc>
          <w:tcPr>
            <w:tcW w:w="2252" w:type="dxa"/>
            <w:vAlign w:val="center"/>
          </w:tcPr>
          <w:p>
            <w:pPr>
              <w:pStyle w:val="197"/>
              <w:spacing w:line="240" w:lineRule="auto"/>
              <w:ind w:firstLine="0" w:firstLineChars="0"/>
              <w:jc w:val="center"/>
              <w:rPr>
                <w:color w:val="auto"/>
                <w:sz w:val="22"/>
                <w:szCs w:val="22"/>
                <w:highlight w:val="none"/>
              </w:rPr>
            </w:pPr>
            <w:r>
              <w:rPr>
                <w:rFonts w:hint="eastAsia"/>
                <w:color w:val="auto"/>
                <w:sz w:val="22"/>
                <w:szCs w:val="22"/>
                <w:highlight w:val="none"/>
              </w:rPr>
              <w:t>1000吨级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42" w:type="dxa"/>
            <w:vAlign w:val="center"/>
          </w:tcPr>
          <w:p>
            <w:pPr>
              <w:pStyle w:val="197"/>
              <w:spacing w:line="240" w:lineRule="auto"/>
              <w:ind w:firstLine="0" w:firstLineChars="0"/>
              <w:jc w:val="center"/>
              <w:rPr>
                <w:color w:val="auto"/>
                <w:sz w:val="22"/>
                <w:szCs w:val="22"/>
                <w:highlight w:val="none"/>
              </w:rPr>
            </w:pPr>
            <w:r>
              <w:rPr>
                <w:rFonts w:hint="eastAsia"/>
                <w:color w:val="auto"/>
                <w:sz w:val="22"/>
                <w:szCs w:val="22"/>
                <w:highlight w:val="none"/>
              </w:rPr>
              <w:t>暴露平均声级值</w:t>
            </w:r>
          </w:p>
        </w:tc>
        <w:tc>
          <w:tcPr>
            <w:tcW w:w="2266" w:type="dxa"/>
            <w:vAlign w:val="center"/>
          </w:tcPr>
          <w:p>
            <w:pPr>
              <w:pStyle w:val="197"/>
              <w:spacing w:line="240" w:lineRule="auto"/>
              <w:ind w:firstLine="0" w:firstLineChars="0"/>
              <w:jc w:val="center"/>
              <w:rPr>
                <w:color w:val="auto"/>
                <w:sz w:val="22"/>
                <w:szCs w:val="22"/>
                <w:highlight w:val="none"/>
              </w:rPr>
            </w:pPr>
            <w:r>
              <w:rPr>
                <w:rFonts w:hint="eastAsia"/>
                <w:color w:val="auto"/>
                <w:sz w:val="22"/>
                <w:szCs w:val="22"/>
                <w:highlight w:val="none"/>
              </w:rPr>
              <w:t>68~70</w:t>
            </w:r>
          </w:p>
        </w:tc>
        <w:tc>
          <w:tcPr>
            <w:tcW w:w="2248" w:type="dxa"/>
            <w:vAlign w:val="center"/>
          </w:tcPr>
          <w:p>
            <w:pPr>
              <w:pStyle w:val="197"/>
              <w:spacing w:line="240" w:lineRule="auto"/>
              <w:ind w:firstLine="0" w:firstLineChars="0"/>
              <w:jc w:val="center"/>
              <w:rPr>
                <w:color w:val="auto"/>
                <w:sz w:val="22"/>
                <w:szCs w:val="22"/>
                <w:highlight w:val="none"/>
              </w:rPr>
            </w:pPr>
            <w:r>
              <w:rPr>
                <w:rFonts w:hint="eastAsia"/>
                <w:color w:val="auto"/>
                <w:sz w:val="22"/>
                <w:szCs w:val="22"/>
                <w:highlight w:val="none"/>
              </w:rPr>
              <w:t>71</w:t>
            </w:r>
          </w:p>
        </w:tc>
        <w:tc>
          <w:tcPr>
            <w:tcW w:w="2252" w:type="dxa"/>
            <w:vAlign w:val="center"/>
          </w:tcPr>
          <w:p>
            <w:pPr>
              <w:pStyle w:val="197"/>
              <w:spacing w:line="240" w:lineRule="auto"/>
              <w:ind w:firstLine="0" w:firstLineChars="0"/>
              <w:jc w:val="center"/>
              <w:rPr>
                <w:color w:val="auto"/>
                <w:sz w:val="22"/>
                <w:szCs w:val="22"/>
                <w:highlight w:val="none"/>
              </w:rPr>
            </w:pPr>
            <w:r>
              <w:rPr>
                <w:rFonts w:hint="eastAsia"/>
                <w:color w:val="auto"/>
                <w:sz w:val="22"/>
                <w:szCs w:val="22"/>
                <w:highlight w:val="none"/>
              </w:rPr>
              <w:t>73</w:t>
            </w:r>
          </w:p>
        </w:tc>
      </w:tr>
    </w:tbl>
    <w:p>
      <w:pPr>
        <w:keepNext w:val="0"/>
        <w:keepLines w:val="0"/>
        <w:pageBreakBefore w:val="0"/>
        <w:widowControl w:val="0"/>
        <w:kinsoku/>
        <w:wordWrap/>
        <w:overflowPunct/>
        <w:topLinePunct w:val="0"/>
        <w:autoSpaceDE/>
        <w:autoSpaceDN/>
        <w:bidi w:val="0"/>
        <w:adjustRightInd w:val="0"/>
        <w:snapToGrid w:val="0"/>
        <w:spacing w:line="240" w:lineRule="auto"/>
        <w:ind w:firstLine="520" w:firstLineChars="200"/>
        <w:textAlignment w:val="auto"/>
        <w:rPr>
          <w:rFonts w:hint="eastAsia"/>
          <w:color w:val="auto"/>
          <w:sz w:val="26"/>
          <w:szCs w:val="26"/>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color w:val="auto"/>
          <w:sz w:val="26"/>
          <w:szCs w:val="26"/>
          <w:highlight w:val="none"/>
          <w:lang w:eastAsia="zh-CN"/>
        </w:rPr>
      </w:pPr>
      <w:r>
        <w:rPr>
          <w:rFonts w:hint="eastAsia"/>
          <w:color w:val="auto"/>
          <w:sz w:val="26"/>
          <w:szCs w:val="26"/>
          <w:highlight w:val="none"/>
          <w:lang w:eastAsia="zh-CN"/>
        </w:rPr>
        <w:t>（</w:t>
      </w:r>
      <w:r>
        <w:rPr>
          <w:rFonts w:hint="eastAsia"/>
          <w:color w:val="auto"/>
          <w:sz w:val="26"/>
          <w:szCs w:val="26"/>
          <w:highlight w:val="none"/>
          <w:lang w:val="en-US" w:eastAsia="zh-CN"/>
        </w:rPr>
        <w:t>4</w:t>
      </w:r>
      <w:r>
        <w:rPr>
          <w:rFonts w:hint="eastAsia"/>
          <w:color w:val="auto"/>
          <w:sz w:val="26"/>
          <w:szCs w:val="26"/>
          <w:highlight w:val="none"/>
          <w:lang w:eastAsia="zh-CN"/>
        </w:rPr>
        <w:t>）固体废物</w:t>
      </w: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color w:val="auto"/>
          <w:sz w:val="26"/>
          <w:szCs w:val="26"/>
          <w:highlight w:val="none"/>
        </w:rPr>
      </w:pPr>
      <w:r>
        <w:rPr>
          <w:rFonts w:hint="eastAsia"/>
          <w:color w:val="auto"/>
          <w:sz w:val="26"/>
          <w:szCs w:val="26"/>
          <w:highlight w:val="none"/>
          <w:lang w:eastAsia="zh-CN"/>
        </w:rPr>
        <w:t>项目建成运行后，船闸区域不接收过闸船舶垃圾，故项目运营期固体废物主要为管理人员生活垃圾、船闸检修含油固废等</w:t>
      </w:r>
      <w:r>
        <w:rPr>
          <w:rFonts w:hint="eastAsia"/>
          <w:color w:val="auto"/>
          <w:sz w:val="26"/>
          <w:szCs w:val="26"/>
          <w:highlight w:val="none"/>
        </w:rPr>
        <w:t>。</w:t>
      </w: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color w:val="auto"/>
          <w:sz w:val="26"/>
          <w:szCs w:val="26"/>
          <w:highlight w:val="none"/>
        </w:rPr>
      </w:pPr>
      <w:r>
        <w:rPr>
          <w:rFonts w:hint="eastAsia"/>
          <w:color w:val="auto"/>
          <w:sz w:val="26"/>
          <w:szCs w:val="26"/>
          <w:highlight w:val="none"/>
        </w:rPr>
        <w:fldChar w:fldCharType="begin"/>
      </w:r>
      <w:r>
        <w:rPr>
          <w:rFonts w:hint="eastAsia"/>
          <w:color w:val="auto"/>
          <w:sz w:val="26"/>
          <w:szCs w:val="26"/>
          <w:highlight w:val="none"/>
        </w:rPr>
        <w:instrText xml:space="preserve"> = 1 \* GB3 \* MERGEFORMAT </w:instrText>
      </w:r>
      <w:r>
        <w:rPr>
          <w:rFonts w:hint="eastAsia"/>
          <w:color w:val="auto"/>
          <w:sz w:val="26"/>
          <w:szCs w:val="26"/>
          <w:highlight w:val="none"/>
        </w:rPr>
        <w:fldChar w:fldCharType="separate"/>
      </w:r>
      <w:r>
        <w:rPr>
          <w:color w:val="auto"/>
          <w:sz w:val="26"/>
          <w:szCs w:val="26"/>
          <w:highlight w:val="none"/>
        </w:rPr>
        <w:t>①</w:t>
      </w:r>
      <w:r>
        <w:rPr>
          <w:rFonts w:hint="eastAsia"/>
          <w:color w:val="auto"/>
          <w:sz w:val="26"/>
          <w:szCs w:val="26"/>
          <w:highlight w:val="none"/>
        </w:rPr>
        <w:fldChar w:fldCharType="end"/>
      </w:r>
      <w:r>
        <w:rPr>
          <w:rFonts w:hint="eastAsia"/>
          <w:color w:val="auto"/>
          <w:sz w:val="26"/>
          <w:szCs w:val="26"/>
          <w:highlight w:val="none"/>
        </w:rPr>
        <w:t>管理区生活垃圾</w:t>
      </w: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color w:val="auto"/>
          <w:sz w:val="26"/>
          <w:szCs w:val="26"/>
          <w:highlight w:val="none"/>
        </w:rPr>
      </w:pPr>
      <w:r>
        <w:rPr>
          <w:rFonts w:hint="eastAsia" w:cs="Times New Roman"/>
          <w:color w:val="auto"/>
          <w:sz w:val="26"/>
          <w:szCs w:val="26"/>
          <w:highlight w:val="none"/>
          <w:lang w:eastAsia="zh-CN"/>
        </w:rPr>
        <w:t>渭沱枢纽新增船闸管理人员</w:t>
      </w:r>
      <w:r>
        <w:rPr>
          <w:rFonts w:hint="eastAsia" w:cs="Times New Roman"/>
          <w:color w:val="auto"/>
          <w:sz w:val="26"/>
          <w:szCs w:val="26"/>
          <w:highlight w:val="none"/>
          <w:lang w:val="en-US" w:eastAsia="zh-CN"/>
        </w:rPr>
        <w:t>9人</w:t>
      </w:r>
      <w:r>
        <w:rPr>
          <w:rFonts w:hint="eastAsia" w:cs="Times New Roman"/>
          <w:color w:val="auto"/>
          <w:sz w:val="26"/>
          <w:szCs w:val="26"/>
          <w:highlight w:val="none"/>
          <w:lang w:eastAsia="zh-CN"/>
        </w:rPr>
        <w:t>，管理区工作人员合计约</w:t>
      </w:r>
      <w:r>
        <w:rPr>
          <w:rFonts w:hint="eastAsia" w:cs="Times New Roman"/>
          <w:color w:val="auto"/>
          <w:sz w:val="26"/>
          <w:szCs w:val="26"/>
          <w:highlight w:val="none"/>
          <w:lang w:val="en-US" w:eastAsia="zh-CN"/>
        </w:rPr>
        <w:t>68</w:t>
      </w:r>
      <w:r>
        <w:rPr>
          <w:rFonts w:hint="eastAsia" w:cs="Times New Roman"/>
          <w:color w:val="auto"/>
          <w:sz w:val="26"/>
          <w:szCs w:val="26"/>
          <w:highlight w:val="none"/>
          <w:lang w:eastAsia="zh-CN"/>
        </w:rPr>
        <w:t>人，人均生活垃圾按</w:t>
      </w:r>
      <w:r>
        <w:rPr>
          <w:rFonts w:hint="eastAsia" w:cs="Times New Roman"/>
          <w:color w:val="auto"/>
          <w:sz w:val="26"/>
          <w:szCs w:val="26"/>
          <w:highlight w:val="none"/>
          <w:lang w:val="en-US" w:eastAsia="zh-CN"/>
        </w:rPr>
        <w:t>0.5</w:t>
      </w:r>
      <w:r>
        <w:rPr>
          <w:rFonts w:hint="eastAsia" w:cs="Times New Roman"/>
          <w:color w:val="auto"/>
          <w:sz w:val="26"/>
          <w:szCs w:val="26"/>
          <w:highlight w:val="none"/>
          <w:lang w:eastAsia="zh-CN"/>
        </w:rPr>
        <w:t>kg/d计，产生量约</w:t>
      </w:r>
      <w:r>
        <w:rPr>
          <w:rFonts w:hint="eastAsia" w:cs="Times New Roman"/>
          <w:color w:val="auto"/>
          <w:sz w:val="26"/>
          <w:szCs w:val="26"/>
          <w:highlight w:val="none"/>
          <w:lang w:val="en-US" w:eastAsia="zh-CN"/>
        </w:rPr>
        <w:t>34</w:t>
      </w:r>
      <w:r>
        <w:rPr>
          <w:rFonts w:hint="eastAsia" w:cs="Times New Roman"/>
          <w:color w:val="auto"/>
          <w:sz w:val="26"/>
          <w:szCs w:val="26"/>
          <w:highlight w:val="none"/>
          <w:lang w:eastAsia="zh-CN"/>
        </w:rPr>
        <w:t>kg/d（</w:t>
      </w:r>
      <w:r>
        <w:rPr>
          <w:rFonts w:hint="eastAsia" w:cs="Times New Roman"/>
          <w:color w:val="auto"/>
          <w:sz w:val="26"/>
          <w:szCs w:val="26"/>
          <w:highlight w:val="none"/>
          <w:lang w:val="en-US" w:eastAsia="zh-CN"/>
        </w:rPr>
        <w:t>12.42t/a</w:t>
      </w:r>
      <w:r>
        <w:rPr>
          <w:rFonts w:hint="eastAsia" w:cs="Times New Roman"/>
          <w:color w:val="auto"/>
          <w:sz w:val="26"/>
          <w:szCs w:val="26"/>
          <w:highlight w:val="none"/>
          <w:lang w:eastAsia="zh-CN"/>
        </w:rPr>
        <w:t>），新增产生量约</w:t>
      </w:r>
      <w:r>
        <w:rPr>
          <w:rFonts w:hint="eastAsia" w:cs="Times New Roman"/>
          <w:color w:val="auto"/>
          <w:sz w:val="26"/>
          <w:szCs w:val="26"/>
          <w:highlight w:val="none"/>
          <w:lang w:val="en-US" w:eastAsia="zh-CN"/>
        </w:rPr>
        <w:t>4.5kg/d（1.64t/a），</w:t>
      </w:r>
      <w:r>
        <w:rPr>
          <w:rFonts w:hint="eastAsia" w:cs="Times New Roman"/>
          <w:color w:val="auto"/>
          <w:sz w:val="26"/>
          <w:szCs w:val="26"/>
          <w:highlight w:val="none"/>
          <w:lang w:eastAsia="zh-CN"/>
        </w:rPr>
        <w:t>集中收集后由当地环卫部门定期清运处置</w:t>
      </w:r>
      <w:r>
        <w:rPr>
          <w:rFonts w:hint="eastAsia"/>
          <w:color w:val="auto"/>
          <w:sz w:val="26"/>
          <w:szCs w:val="26"/>
          <w:highlight w:val="none"/>
        </w:rPr>
        <w:t>。</w:t>
      </w: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eastAsia="宋体"/>
          <w:color w:val="auto"/>
          <w:sz w:val="26"/>
          <w:szCs w:val="26"/>
          <w:highlight w:val="none"/>
          <w:lang w:eastAsia="zh-CN"/>
        </w:rPr>
      </w:pPr>
      <w:r>
        <w:rPr>
          <w:rFonts w:hint="eastAsia"/>
          <w:color w:val="auto"/>
          <w:sz w:val="26"/>
          <w:szCs w:val="26"/>
          <w:highlight w:val="none"/>
        </w:rPr>
        <w:fldChar w:fldCharType="begin"/>
      </w:r>
      <w:r>
        <w:rPr>
          <w:rFonts w:hint="eastAsia"/>
          <w:color w:val="auto"/>
          <w:sz w:val="26"/>
          <w:szCs w:val="26"/>
          <w:highlight w:val="none"/>
        </w:rPr>
        <w:instrText xml:space="preserve"> = 2 \* GB3 \* MERGEFORMAT </w:instrText>
      </w:r>
      <w:r>
        <w:rPr>
          <w:rFonts w:hint="eastAsia"/>
          <w:color w:val="auto"/>
          <w:sz w:val="26"/>
          <w:szCs w:val="26"/>
          <w:highlight w:val="none"/>
        </w:rPr>
        <w:fldChar w:fldCharType="separate"/>
      </w:r>
      <w:r>
        <w:rPr>
          <w:color w:val="auto"/>
          <w:sz w:val="26"/>
          <w:szCs w:val="26"/>
          <w:highlight w:val="none"/>
        </w:rPr>
        <w:t>②</w:t>
      </w:r>
      <w:r>
        <w:rPr>
          <w:rFonts w:hint="eastAsia"/>
          <w:color w:val="auto"/>
          <w:sz w:val="26"/>
          <w:szCs w:val="26"/>
          <w:highlight w:val="none"/>
        </w:rPr>
        <w:fldChar w:fldCharType="end"/>
      </w:r>
      <w:r>
        <w:rPr>
          <w:rFonts w:hint="eastAsia"/>
          <w:color w:val="auto"/>
          <w:sz w:val="26"/>
          <w:szCs w:val="26"/>
          <w:highlight w:val="none"/>
          <w:lang w:eastAsia="zh-CN"/>
        </w:rPr>
        <w:t>危险废物</w:t>
      </w: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color w:val="auto"/>
          <w:sz w:val="26"/>
          <w:szCs w:val="26"/>
          <w:highlight w:val="none"/>
          <w:lang w:val="en-US" w:eastAsia="zh-CN"/>
        </w:rPr>
      </w:pPr>
      <w:r>
        <w:rPr>
          <w:rFonts w:hint="eastAsia"/>
          <w:color w:val="auto"/>
          <w:sz w:val="26"/>
          <w:szCs w:val="26"/>
          <w:highlight w:val="none"/>
        </w:rPr>
        <w:t>船闸运行期间检修会产生废矿物油</w:t>
      </w:r>
      <w:r>
        <w:rPr>
          <w:rFonts w:hint="eastAsia"/>
          <w:color w:val="auto"/>
          <w:sz w:val="26"/>
          <w:szCs w:val="26"/>
          <w:highlight w:val="none"/>
          <w:lang w:eastAsia="zh-CN"/>
        </w:rPr>
        <w:t>、含油固废等危险废物产生</w:t>
      </w:r>
      <w:r>
        <w:rPr>
          <w:rFonts w:hint="eastAsia"/>
          <w:color w:val="auto"/>
          <w:sz w:val="26"/>
          <w:szCs w:val="26"/>
          <w:highlight w:val="none"/>
        </w:rPr>
        <w:t>。根据类似通航建筑物、船闸检修情况类比分析，</w:t>
      </w:r>
      <w:r>
        <w:rPr>
          <w:rFonts w:hint="eastAsia"/>
          <w:color w:val="auto"/>
          <w:sz w:val="26"/>
          <w:szCs w:val="26"/>
          <w:highlight w:val="none"/>
          <w:lang w:eastAsia="zh-CN"/>
        </w:rPr>
        <w:t>船闸</w:t>
      </w:r>
      <w:r>
        <w:rPr>
          <w:rFonts w:hint="eastAsia"/>
          <w:color w:val="auto"/>
          <w:sz w:val="26"/>
          <w:szCs w:val="26"/>
          <w:highlight w:val="none"/>
        </w:rPr>
        <w:t>每年</w:t>
      </w:r>
      <w:r>
        <w:rPr>
          <w:rFonts w:hint="eastAsia"/>
          <w:color w:val="auto"/>
          <w:sz w:val="26"/>
          <w:szCs w:val="26"/>
          <w:highlight w:val="none"/>
          <w:lang w:eastAsia="zh-CN"/>
        </w:rPr>
        <w:t>新增产生废矿物油及含油固废约</w:t>
      </w:r>
      <w:r>
        <w:rPr>
          <w:rFonts w:hint="eastAsia"/>
          <w:color w:val="auto"/>
          <w:sz w:val="26"/>
          <w:szCs w:val="26"/>
          <w:highlight w:val="none"/>
          <w:lang w:val="en-US" w:eastAsia="zh-CN"/>
        </w:rPr>
        <w:t>1.0t，在管理区新建的危废暂存间暂存后定期交有危废处理资质的单位处置。</w:t>
      </w:r>
    </w:p>
    <w:p>
      <w:pPr>
        <w:adjustRightInd w:val="0"/>
        <w:snapToGrid w:val="0"/>
        <w:spacing w:line="240" w:lineRule="auto"/>
        <w:jc w:val="center"/>
        <w:rPr>
          <w:bCs/>
          <w:color w:val="auto"/>
          <w:sz w:val="26"/>
          <w:szCs w:val="26"/>
          <w:highlight w:val="none"/>
        </w:rPr>
      </w:pPr>
    </w:p>
    <w:p>
      <w:pPr>
        <w:adjustRightInd w:val="0"/>
        <w:snapToGrid w:val="0"/>
        <w:spacing w:line="240" w:lineRule="auto"/>
        <w:jc w:val="center"/>
        <w:rPr>
          <w:bCs/>
          <w:color w:val="auto"/>
          <w:sz w:val="26"/>
          <w:szCs w:val="26"/>
          <w:highlight w:val="none"/>
        </w:rPr>
      </w:pPr>
      <w:r>
        <w:rPr>
          <w:bCs/>
          <w:color w:val="auto"/>
          <w:sz w:val="26"/>
          <w:szCs w:val="26"/>
          <w:highlight w:val="none"/>
        </w:rPr>
        <w:t>表</w:t>
      </w:r>
      <w:r>
        <w:rPr>
          <w:rFonts w:hint="eastAsia"/>
          <w:bCs/>
          <w:color w:val="auto"/>
          <w:sz w:val="26"/>
          <w:szCs w:val="26"/>
          <w:highlight w:val="none"/>
          <w:lang w:val="en-US" w:eastAsia="zh-CN"/>
        </w:rPr>
        <w:t>2.6.2.2-4</w:t>
      </w:r>
      <w:r>
        <w:rPr>
          <w:bCs/>
          <w:color w:val="auto"/>
          <w:sz w:val="26"/>
          <w:szCs w:val="26"/>
          <w:highlight w:val="none"/>
        </w:rPr>
        <w:t xml:space="preserve">  项目</w:t>
      </w:r>
      <w:r>
        <w:rPr>
          <w:rFonts w:hint="eastAsia"/>
          <w:bCs/>
          <w:color w:val="auto"/>
          <w:sz w:val="26"/>
          <w:szCs w:val="26"/>
          <w:highlight w:val="none"/>
        </w:rPr>
        <w:t>运营期</w:t>
      </w:r>
      <w:r>
        <w:rPr>
          <w:bCs/>
          <w:color w:val="auto"/>
          <w:sz w:val="26"/>
          <w:szCs w:val="26"/>
          <w:highlight w:val="none"/>
        </w:rPr>
        <w:t>危险</w:t>
      </w:r>
      <w:r>
        <w:rPr>
          <w:rFonts w:hint="eastAsia"/>
          <w:bCs/>
          <w:color w:val="auto"/>
          <w:sz w:val="26"/>
          <w:szCs w:val="26"/>
          <w:highlight w:val="none"/>
        </w:rPr>
        <w:t>废物</w:t>
      </w:r>
      <w:r>
        <w:rPr>
          <w:bCs/>
          <w:color w:val="auto"/>
          <w:sz w:val="26"/>
          <w:szCs w:val="26"/>
          <w:highlight w:val="none"/>
        </w:rPr>
        <w:t>产生情况一览表</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9"/>
        <w:gridCol w:w="684"/>
        <w:gridCol w:w="660"/>
        <w:gridCol w:w="860"/>
        <w:gridCol w:w="770"/>
        <w:gridCol w:w="750"/>
        <w:gridCol w:w="900"/>
        <w:gridCol w:w="540"/>
        <w:gridCol w:w="705"/>
        <w:gridCol w:w="716"/>
        <w:gridCol w:w="769"/>
        <w:gridCol w:w="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9"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color w:val="auto"/>
                <w:sz w:val="22"/>
                <w:szCs w:val="22"/>
                <w:highlight w:val="none"/>
              </w:rPr>
              <w:t>序号</w:t>
            </w:r>
          </w:p>
        </w:tc>
        <w:tc>
          <w:tcPr>
            <w:tcW w:w="684"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rFonts w:hint="eastAsia"/>
                <w:color w:val="auto"/>
                <w:sz w:val="22"/>
                <w:szCs w:val="22"/>
                <w:highlight w:val="none"/>
              </w:rPr>
              <w:t>产生环节</w:t>
            </w:r>
          </w:p>
        </w:tc>
        <w:tc>
          <w:tcPr>
            <w:tcW w:w="660"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color w:val="auto"/>
                <w:sz w:val="22"/>
                <w:szCs w:val="22"/>
                <w:highlight w:val="none"/>
              </w:rPr>
              <w:t>危险废物名称</w:t>
            </w:r>
          </w:p>
        </w:tc>
        <w:tc>
          <w:tcPr>
            <w:tcW w:w="860"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color w:val="auto"/>
                <w:sz w:val="22"/>
                <w:szCs w:val="22"/>
                <w:highlight w:val="none"/>
              </w:rPr>
              <w:t>危险废物类别</w:t>
            </w:r>
          </w:p>
        </w:tc>
        <w:tc>
          <w:tcPr>
            <w:tcW w:w="770"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color w:val="auto"/>
                <w:sz w:val="22"/>
                <w:szCs w:val="22"/>
                <w:highlight w:val="none"/>
              </w:rPr>
              <w:t>危险废物代码</w:t>
            </w:r>
          </w:p>
        </w:tc>
        <w:tc>
          <w:tcPr>
            <w:tcW w:w="750"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color w:val="auto"/>
                <w:sz w:val="22"/>
                <w:szCs w:val="22"/>
                <w:highlight w:val="none"/>
              </w:rPr>
              <w:t>产生量</w:t>
            </w:r>
            <w:r>
              <w:rPr>
                <w:rFonts w:hint="eastAsia"/>
                <w:color w:val="auto"/>
                <w:sz w:val="22"/>
                <w:szCs w:val="22"/>
                <w:highlight w:val="none"/>
              </w:rPr>
              <w:t>（</w:t>
            </w:r>
            <w:r>
              <w:rPr>
                <w:color w:val="auto"/>
                <w:sz w:val="22"/>
                <w:szCs w:val="22"/>
                <w:highlight w:val="none"/>
              </w:rPr>
              <w:t>t</w:t>
            </w:r>
            <w:r>
              <w:rPr>
                <w:rFonts w:hint="eastAsia"/>
                <w:color w:val="auto"/>
                <w:sz w:val="22"/>
                <w:szCs w:val="22"/>
                <w:highlight w:val="none"/>
              </w:rPr>
              <w:t>）</w:t>
            </w:r>
          </w:p>
        </w:tc>
        <w:tc>
          <w:tcPr>
            <w:tcW w:w="900"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color w:val="auto"/>
                <w:sz w:val="22"/>
                <w:szCs w:val="22"/>
                <w:highlight w:val="none"/>
              </w:rPr>
              <w:t>产生工序及装置</w:t>
            </w:r>
          </w:p>
        </w:tc>
        <w:tc>
          <w:tcPr>
            <w:tcW w:w="540"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color w:val="auto"/>
                <w:sz w:val="22"/>
                <w:szCs w:val="22"/>
                <w:highlight w:val="none"/>
              </w:rPr>
              <w:t>形态</w:t>
            </w:r>
          </w:p>
        </w:tc>
        <w:tc>
          <w:tcPr>
            <w:tcW w:w="705"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color w:val="auto"/>
                <w:sz w:val="22"/>
                <w:szCs w:val="22"/>
                <w:highlight w:val="none"/>
              </w:rPr>
              <w:t>有害成分</w:t>
            </w:r>
          </w:p>
        </w:tc>
        <w:tc>
          <w:tcPr>
            <w:tcW w:w="716"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color w:val="auto"/>
                <w:sz w:val="22"/>
                <w:szCs w:val="22"/>
                <w:highlight w:val="none"/>
              </w:rPr>
              <w:t>产废周期</w:t>
            </w:r>
          </w:p>
        </w:tc>
        <w:tc>
          <w:tcPr>
            <w:tcW w:w="769"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color w:val="auto"/>
                <w:sz w:val="22"/>
                <w:szCs w:val="22"/>
                <w:highlight w:val="none"/>
              </w:rPr>
              <w:t>危险特性</w:t>
            </w:r>
          </w:p>
        </w:tc>
        <w:tc>
          <w:tcPr>
            <w:tcW w:w="925"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rFonts w:hint="eastAsia"/>
                <w:color w:val="auto"/>
                <w:sz w:val="22"/>
                <w:szCs w:val="22"/>
                <w:highlight w:val="none"/>
              </w:rPr>
              <w:t>处置</w:t>
            </w:r>
            <w:r>
              <w:rPr>
                <w:color w:val="auto"/>
                <w:sz w:val="22"/>
                <w:szCs w:val="22"/>
                <w:highlight w:val="none"/>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9"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rFonts w:hint="eastAsia"/>
                <w:color w:val="auto"/>
                <w:sz w:val="22"/>
                <w:szCs w:val="22"/>
                <w:highlight w:val="none"/>
              </w:rPr>
              <w:t>1</w:t>
            </w:r>
          </w:p>
        </w:tc>
        <w:tc>
          <w:tcPr>
            <w:tcW w:w="684" w:type="dxa"/>
            <w:vMerge w:val="restart"/>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eastAsia" w:eastAsia="宋体"/>
                <w:color w:val="auto"/>
                <w:sz w:val="22"/>
                <w:szCs w:val="22"/>
                <w:highlight w:val="none"/>
                <w:lang w:eastAsia="zh-CN"/>
              </w:rPr>
            </w:pPr>
            <w:r>
              <w:rPr>
                <w:rFonts w:hint="eastAsia"/>
                <w:color w:val="auto"/>
                <w:sz w:val="22"/>
                <w:szCs w:val="22"/>
                <w:highlight w:val="none"/>
                <w:lang w:eastAsia="zh-CN"/>
              </w:rPr>
              <w:t>船闸维修</w:t>
            </w:r>
          </w:p>
        </w:tc>
        <w:tc>
          <w:tcPr>
            <w:tcW w:w="660"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eastAsia" w:eastAsia="宋体"/>
                <w:color w:val="auto"/>
                <w:sz w:val="22"/>
                <w:szCs w:val="22"/>
                <w:highlight w:val="none"/>
                <w:lang w:eastAsia="zh-CN"/>
              </w:rPr>
            </w:pPr>
            <w:r>
              <w:rPr>
                <w:rFonts w:hint="eastAsia"/>
                <w:color w:val="auto"/>
                <w:sz w:val="22"/>
                <w:szCs w:val="22"/>
                <w:highlight w:val="none"/>
                <w:lang w:eastAsia="zh-CN"/>
              </w:rPr>
              <w:t>废矿物油</w:t>
            </w:r>
          </w:p>
        </w:tc>
        <w:tc>
          <w:tcPr>
            <w:tcW w:w="860"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eastAsia="宋体"/>
                <w:color w:val="auto"/>
                <w:sz w:val="22"/>
                <w:szCs w:val="22"/>
                <w:highlight w:val="none"/>
                <w:lang w:val="en-US" w:eastAsia="zh-CN"/>
              </w:rPr>
            </w:pPr>
            <w:r>
              <w:rPr>
                <w:rFonts w:hint="eastAsia"/>
                <w:color w:val="auto"/>
                <w:sz w:val="22"/>
                <w:szCs w:val="22"/>
                <w:highlight w:val="none"/>
                <w:lang w:val="en-US" w:eastAsia="zh-CN"/>
              </w:rPr>
              <w:t>HW08</w:t>
            </w:r>
          </w:p>
        </w:tc>
        <w:tc>
          <w:tcPr>
            <w:tcW w:w="770"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rFonts w:hint="eastAsia"/>
                <w:color w:val="auto"/>
                <w:sz w:val="22"/>
                <w:szCs w:val="22"/>
                <w:highlight w:val="none"/>
              </w:rPr>
              <w:t>900-214-08</w:t>
            </w:r>
          </w:p>
        </w:tc>
        <w:tc>
          <w:tcPr>
            <w:tcW w:w="750"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eastAsia="宋体"/>
                <w:color w:val="auto"/>
                <w:sz w:val="22"/>
                <w:szCs w:val="22"/>
                <w:highlight w:val="none"/>
                <w:lang w:val="en-US" w:eastAsia="zh-CN"/>
              </w:rPr>
            </w:pPr>
            <w:r>
              <w:rPr>
                <w:rFonts w:hint="eastAsia"/>
                <w:color w:val="auto"/>
                <w:sz w:val="22"/>
                <w:szCs w:val="22"/>
                <w:highlight w:val="none"/>
                <w:lang w:val="en-US" w:eastAsia="zh-CN"/>
              </w:rPr>
              <w:t>0.5</w:t>
            </w:r>
          </w:p>
        </w:tc>
        <w:tc>
          <w:tcPr>
            <w:tcW w:w="900" w:type="dxa"/>
            <w:vMerge w:val="restart"/>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eastAsia"/>
                <w:color w:val="auto"/>
                <w:sz w:val="22"/>
                <w:szCs w:val="22"/>
                <w:highlight w:val="none"/>
                <w:lang w:eastAsia="zh-CN"/>
              </w:rPr>
            </w:pPr>
            <w:r>
              <w:rPr>
                <w:rFonts w:hint="eastAsia"/>
                <w:color w:val="auto"/>
                <w:sz w:val="22"/>
                <w:szCs w:val="22"/>
                <w:highlight w:val="none"/>
                <w:lang w:eastAsia="zh-CN"/>
              </w:rPr>
              <w:t>船闸</w:t>
            </w:r>
          </w:p>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eastAsia" w:eastAsia="宋体"/>
                <w:color w:val="auto"/>
                <w:sz w:val="22"/>
                <w:szCs w:val="22"/>
                <w:highlight w:val="none"/>
                <w:lang w:eastAsia="zh-CN"/>
              </w:rPr>
            </w:pPr>
            <w:r>
              <w:rPr>
                <w:rFonts w:hint="eastAsia"/>
                <w:color w:val="auto"/>
                <w:sz w:val="22"/>
                <w:szCs w:val="22"/>
                <w:highlight w:val="none"/>
                <w:lang w:eastAsia="zh-CN"/>
              </w:rPr>
              <w:t>维修</w:t>
            </w:r>
          </w:p>
        </w:tc>
        <w:tc>
          <w:tcPr>
            <w:tcW w:w="540"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rFonts w:hint="eastAsia"/>
                <w:color w:val="auto"/>
                <w:sz w:val="22"/>
                <w:szCs w:val="22"/>
                <w:highlight w:val="none"/>
              </w:rPr>
              <w:t>液态</w:t>
            </w:r>
          </w:p>
        </w:tc>
        <w:tc>
          <w:tcPr>
            <w:tcW w:w="705" w:type="dxa"/>
            <w:vMerge w:val="restart"/>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eastAsia" w:eastAsia="宋体"/>
                <w:color w:val="auto"/>
                <w:sz w:val="22"/>
                <w:szCs w:val="22"/>
                <w:highlight w:val="none"/>
                <w:lang w:eastAsia="zh-CN"/>
              </w:rPr>
            </w:pPr>
            <w:r>
              <w:rPr>
                <w:rFonts w:hint="eastAsia"/>
                <w:color w:val="auto"/>
                <w:sz w:val="22"/>
                <w:szCs w:val="22"/>
                <w:highlight w:val="none"/>
                <w:lang w:eastAsia="zh-CN"/>
              </w:rPr>
              <w:t>废矿物油</w:t>
            </w:r>
          </w:p>
        </w:tc>
        <w:tc>
          <w:tcPr>
            <w:tcW w:w="716"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rFonts w:hint="eastAsia"/>
                <w:color w:val="auto"/>
                <w:sz w:val="22"/>
                <w:szCs w:val="22"/>
                <w:highlight w:val="none"/>
              </w:rPr>
              <w:t>不定期</w:t>
            </w:r>
          </w:p>
        </w:tc>
        <w:tc>
          <w:tcPr>
            <w:tcW w:w="769"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rFonts w:hint="eastAsia"/>
                <w:color w:val="auto"/>
                <w:sz w:val="22"/>
                <w:szCs w:val="22"/>
                <w:highlight w:val="none"/>
              </w:rPr>
              <w:t>T，I</w:t>
            </w:r>
          </w:p>
        </w:tc>
        <w:tc>
          <w:tcPr>
            <w:tcW w:w="925" w:type="dxa"/>
            <w:vMerge w:val="restart"/>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rFonts w:hint="eastAsia"/>
                <w:color w:val="auto"/>
                <w:sz w:val="22"/>
                <w:szCs w:val="22"/>
                <w:highlight w:val="none"/>
                <w:lang w:eastAsia="zh-CN"/>
              </w:rPr>
              <w:t>在危废储存间暂存</w:t>
            </w:r>
            <w:r>
              <w:rPr>
                <w:rFonts w:hint="eastAsia"/>
                <w:color w:val="auto"/>
                <w:sz w:val="22"/>
                <w:szCs w:val="22"/>
                <w:highlight w:val="none"/>
              </w:rPr>
              <w:t>，</w:t>
            </w:r>
            <w:r>
              <w:rPr>
                <w:color w:val="auto"/>
                <w:sz w:val="22"/>
                <w:szCs w:val="22"/>
                <w:highlight w:val="none"/>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9"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rFonts w:hint="eastAsia"/>
                <w:color w:val="auto"/>
                <w:sz w:val="22"/>
                <w:szCs w:val="22"/>
                <w:highlight w:val="none"/>
              </w:rPr>
              <w:t>2</w:t>
            </w:r>
          </w:p>
        </w:tc>
        <w:tc>
          <w:tcPr>
            <w:tcW w:w="684" w:type="dxa"/>
            <w:vMerge w:val="continue"/>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p>
        </w:tc>
        <w:tc>
          <w:tcPr>
            <w:tcW w:w="660"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eastAsia="宋体"/>
                <w:color w:val="auto"/>
                <w:sz w:val="22"/>
                <w:szCs w:val="22"/>
                <w:highlight w:val="none"/>
                <w:lang w:val="en-US" w:eastAsia="zh-CN"/>
              </w:rPr>
            </w:pPr>
            <w:r>
              <w:rPr>
                <w:rFonts w:hint="eastAsia"/>
                <w:color w:val="auto"/>
                <w:sz w:val="22"/>
                <w:szCs w:val="22"/>
                <w:highlight w:val="none"/>
                <w:lang w:val="en-US" w:eastAsia="zh-CN"/>
              </w:rPr>
              <w:t>含油固废</w:t>
            </w:r>
          </w:p>
        </w:tc>
        <w:tc>
          <w:tcPr>
            <w:tcW w:w="860"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rFonts w:hint="eastAsia"/>
                <w:color w:val="auto"/>
                <w:sz w:val="22"/>
                <w:szCs w:val="22"/>
                <w:highlight w:val="none"/>
                <w:lang w:val="en-US" w:eastAsia="zh-CN"/>
              </w:rPr>
              <w:t>HW08</w:t>
            </w:r>
          </w:p>
        </w:tc>
        <w:tc>
          <w:tcPr>
            <w:tcW w:w="770"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rFonts w:hint="eastAsia"/>
                <w:color w:val="auto"/>
                <w:sz w:val="22"/>
                <w:szCs w:val="22"/>
                <w:highlight w:val="none"/>
              </w:rPr>
              <w:t>900-249-08</w:t>
            </w:r>
          </w:p>
        </w:tc>
        <w:tc>
          <w:tcPr>
            <w:tcW w:w="750"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eastAsia="宋体"/>
                <w:color w:val="auto"/>
                <w:sz w:val="22"/>
                <w:szCs w:val="22"/>
                <w:highlight w:val="none"/>
                <w:lang w:val="en-US" w:eastAsia="zh-CN"/>
              </w:rPr>
            </w:pPr>
            <w:r>
              <w:rPr>
                <w:rFonts w:hint="eastAsia"/>
                <w:color w:val="auto"/>
                <w:sz w:val="22"/>
                <w:szCs w:val="22"/>
                <w:highlight w:val="none"/>
                <w:lang w:val="en-US" w:eastAsia="zh-CN"/>
              </w:rPr>
              <w:t>0.5</w:t>
            </w:r>
          </w:p>
        </w:tc>
        <w:tc>
          <w:tcPr>
            <w:tcW w:w="900" w:type="dxa"/>
            <w:vMerge w:val="continue"/>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p>
        </w:tc>
        <w:tc>
          <w:tcPr>
            <w:tcW w:w="540"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rFonts w:hint="eastAsia"/>
                <w:color w:val="auto"/>
                <w:sz w:val="22"/>
                <w:szCs w:val="22"/>
                <w:highlight w:val="none"/>
              </w:rPr>
              <w:t>固体</w:t>
            </w:r>
          </w:p>
        </w:tc>
        <w:tc>
          <w:tcPr>
            <w:tcW w:w="705" w:type="dxa"/>
            <w:vMerge w:val="continue"/>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p>
        </w:tc>
        <w:tc>
          <w:tcPr>
            <w:tcW w:w="716"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rFonts w:hint="eastAsia"/>
                <w:color w:val="auto"/>
                <w:sz w:val="22"/>
                <w:szCs w:val="22"/>
                <w:highlight w:val="none"/>
              </w:rPr>
              <w:t>不定期</w:t>
            </w:r>
          </w:p>
        </w:tc>
        <w:tc>
          <w:tcPr>
            <w:tcW w:w="769" w:type="dxa"/>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r>
              <w:rPr>
                <w:rFonts w:hint="eastAsia"/>
                <w:color w:val="auto"/>
                <w:sz w:val="22"/>
                <w:szCs w:val="22"/>
                <w:highlight w:val="none"/>
              </w:rPr>
              <w:t>T，I</w:t>
            </w:r>
          </w:p>
        </w:tc>
        <w:tc>
          <w:tcPr>
            <w:tcW w:w="925" w:type="dxa"/>
            <w:vMerge w:val="continue"/>
            <w:vAlign w:val="center"/>
          </w:tcPr>
          <w:p>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color w:val="auto"/>
                <w:sz w:val="22"/>
                <w:szCs w:val="22"/>
                <w:highlight w:val="none"/>
              </w:rPr>
            </w:pPr>
          </w:p>
        </w:tc>
      </w:tr>
    </w:tbl>
    <w:p>
      <w:pPr>
        <w:pStyle w:val="17"/>
        <w:spacing w:line="240" w:lineRule="auto"/>
        <w:rPr>
          <w:rFonts w:hint="eastAsia"/>
          <w:color w:val="auto"/>
          <w:highlight w:val="none"/>
        </w:rPr>
      </w:pPr>
    </w:p>
    <w:p>
      <w:pPr>
        <w:pStyle w:val="4"/>
        <w:rPr>
          <w:color w:val="auto"/>
          <w:highlight w:val="none"/>
        </w:rPr>
      </w:pPr>
      <w:bookmarkStart w:id="81" w:name="_Toc6820"/>
      <w:r>
        <w:rPr>
          <w:rFonts w:hint="eastAsia"/>
          <w:color w:val="auto"/>
          <w:highlight w:val="none"/>
        </w:rPr>
        <w:t>项目污染物</w:t>
      </w:r>
      <w:r>
        <w:rPr>
          <w:color w:val="auto"/>
          <w:highlight w:val="none"/>
        </w:rPr>
        <w:t>排放汇总</w:t>
      </w:r>
      <w:bookmarkEnd w:id="81"/>
    </w:p>
    <w:p>
      <w:pPr>
        <w:ind w:firstLine="520"/>
        <w:rPr>
          <w:rFonts w:ascii="Times New Roman" w:hAnsi="Times New Roman" w:eastAsiaTheme="minorEastAsia"/>
          <w:color w:val="auto"/>
          <w:kern w:val="2"/>
          <w:sz w:val="26"/>
          <w:szCs w:val="24"/>
          <w:highlight w:val="none"/>
        </w:rPr>
        <w:sectPr>
          <w:pgSz w:w="11906" w:h="16838"/>
          <w:pgMar w:top="1701" w:right="1588" w:bottom="1588" w:left="1588" w:header="1304" w:footer="1247" w:gutter="0"/>
          <w:cols w:space="425" w:num="1"/>
          <w:docGrid w:linePitch="312" w:charSpace="0"/>
        </w:sectPr>
      </w:pPr>
      <w:r>
        <w:rPr>
          <w:rFonts w:eastAsiaTheme="minorEastAsia"/>
          <w:color w:val="auto"/>
          <w:highlight w:val="none"/>
        </w:rPr>
        <w:t>拟建项目</w:t>
      </w:r>
      <w:r>
        <w:rPr>
          <w:rFonts w:hint="eastAsia" w:eastAsiaTheme="minorEastAsia"/>
          <w:color w:val="auto"/>
          <w:highlight w:val="none"/>
        </w:rPr>
        <w:t>施工期</w:t>
      </w:r>
      <w:r>
        <w:rPr>
          <w:rFonts w:eastAsiaTheme="minorEastAsia"/>
          <w:color w:val="auto"/>
          <w:highlight w:val="none"/>
        </w:rPr>
        <w:t>、运营期</w:t>
      </w:r>
      <w:r>
        <w:rPr>
          <w:rFonts w:hint="eastAsia" w:eastAsiaTheme="minorEastAsia"/>
          <w:color w:val="auto"/>
          <w:highlight w:val="none"/>
          <w:lang w:eastAsia="zh-CN"/>
        </w:rPr>
        <w:t>新增</w:t>
      </w:r>
      <w:r>
        <w:rPr>
          <w:rFonts w:eastAsiaTheme="minorEastAsia"/>
          <w:color w:val="auto"/>
          <w:highlight w:val="none"/>
        </w:rPr>
        <w:t>污染物产生量及排放量见</w:t>
      </w:r>
      <w:r>
        <w:rPr>
          <w:rFonts w:hint="eastAsia"/>
          <w:color w:val="auto"/>
          <w:highlight w:val="none"/>
        </w:rPr>
        <w:t>表</w:t>
      </w:r>
      <w:r>
        <w:rPr>
          <w:rFonts w:hint="eastAsia"/>
          <w:color w:val="auto"/>
          <w:highlight w:val="none"/>
          <w:lang w:val="en-US" w:eastAsia="zh-CN"/>
        </w:rPr>
        <w:t>2.6</w:t>
      </w:r>
      <w:r>
        <w:rPr>
          <w:rFonts w:hint="eastAsia"/>
          <w:color w:val="auto"/>
          <w:highlight w:val="none"/>
        </w:rPr>
        <w:t>-1</w:t>
      </w:r>
      <w:r>
        <w:rPr>
          <w:rFonts w:eastAsiaTheme="minorEastAsia"/>
          <w:color w:val="auto"/>
          <w:highlight w:val="none"/>
        </w:rPr>
        <w:t>。</w:t>
      </w:r>
      <w:r>
        <w:rPr>
          <w:rFonts w:hint="eastAsia" w:eastAsiaTheme="minorEastAsia"/>
          <w:color w:val="auto"/>
          <w:highlight w:val="none"/>
          <w:lang w:eastAsia="zh-CN"/>
        </w:rPr>
        <w:t>根据与现有渭沱枢纽工程污染物产生情况对比</w:t>
      </w:r>
      <w:r>
        <w:rPr>
          <w:rFonts w:hint="eastAsia" w:ascii="Times New Roman" w:hAnsi="Times New Roman" w:eastAsiaTheme="minorEastAsia"/>
          <w:color w:val="auto"/>
          <w:kern w:val="2"/>
          <w:sz w:val="26"/>
          <w:szCs w:val="24"/>
          <w:highlight w:val="none"/>
        </w:rPr>
        <w:t>，核算出项目实施前后污染物增减的“三本账”见</w:t>
      </w:r>
      <w:r>
        <w:rPr>
          <w:rFonts w:hint="eastAsia" w:eastAsiaTheme="minorEastAsia"/>
          <w:color w:val="auto"/>
          <w:kern w:val="2"/>
          <w:sz w:val="26"/>
          <w:szCs w:val="24"/>
          <w:highlight w:val="none"/>
          <w:lang w:eastAsia="zh-CN"/>
        </w:rPr>
        <w:t>表</w:t>
      </w:r>
      <w:r>
        <w:rPr>
          <w:rFonts w:hint="eastAsia" w:eastAsiaTheme="minorEastAsia"/>
          <w:color w:val="auto"/>
          <w:kern w:val="2"/>
          <w:sz w:val="26"/>
          <w:szCs w:val="24"/>
          <w:highlight w:val="none"/>
          <w:lang w:val="en-US" w:eastAsia="zh-CN"/>
        </w:rPr>
        <w:t>2.7</w:t>
      </w:r>
      <w:r>
        <w:rPr>
          <w:rFonts w:hint="eastAsia" w:ascii="Times New Roman" w:hAnsi="Times New Roman" w:eastAsiaTheme="minorEastAsia"/>
          <w:color w:val="auto"/>
          <w:kern w:val="2"/>
          <w:sz w:val="26"/>
          <w:szCs w:val="24"/>
          <w:highlight w:val="none"/>
        </w:rPr>
        <w:t>-2。</w:t>
      </w:r>
    </w:p>
    <w:p>
      <w:pPr>
        <w:adjustRightInd w:val="0"/>
        <w:snapToGrid w:val="0"/>
        <w:spacing w:line="240" w:lineRule="auto"/>
        <w:ind w:firstLine="520"/>
        <w:jc w:val="center"/>
        <w:rPr>
          <w:color w:val="auto"/>
          <w:szCs w:val="26"/>
          <w:highlight w:val="none"/>
        </w:rPr>
      </w:pPr>
      <w:r>
        <w:rPr>
          <w:color w:val="auto"/>
          <w:szCs w:val="26"/>
          <w:highlight w:val="none"/>
        </w:rPr>
        <w:t>表</w:t>
      </w:r>
      <w:r>
        <w:rPr>
          <w:rFonts w:hint="eastAsia"/>
          <w:color w:val="auto"/>
          <w:szCs w:val="26"/>
          <w:highlight w:val="none"/>
          <w:lang w:val="en-US" w:eastAsia="zh-CN"/>
        </w:rPr>
        <w:t>2.7</w:t>
      </w:r>
      <w:r>
        <w:rPr>
          <w:rFonts w:hint="eastAsia"/>
          <w:color w:val="auto"/>
          <w:szCs w:val="26"/>
          <w:highlight w:val="none"/>
        </w:rPr>
        <w:t>-1</w:t>
      </w:r>
      <w:r>
        <w:rPr>
          <w:color w:val="auto"/>
          <w:szCs w:val="26"/>
          <w:highlight w:val="none"/>
        </w:rPr>
        <w:t xml:space="preserve">   </w:t>
      </w:r>
      <w:r>
        <w:rPr>
          <w:rFonts w:hint="eastAsia"/>
          <w:color w:val="auto"/>
          <w:szCs w:val="26"/>
          <w:highlight w:val="none"/>
        </w:rPr>
        <w:t>拟建项目</w:t>
      </w:r>
      <w:r>
        <w:rPr>
          <w:color w:val="auto"/>
          <w:szCs w:val="26"/>
          <w:highlight w:val="none"/>
        </w:rPr>
        <w:t>“三废”产生及排放情况统计表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7"/>
        <w:gridCol w:w="704"/>
        <w:gridCol w:w="1636"/>
        <w:gridCol w:w="1241"/>
        <w:gridCol w:w="1869"/>
        <w:gridCol w:w="1506"/>
        <w:gridCol w:w="3596"/>
        <w:gridCol w:w="1444"/>
        <w:gridCol w:w="14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37"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环节</w:t>
            </w:r>
          </w:p>
        </w:tc>
        <w:tc>
          <w:tcPr>
            <w:tcW w:w="704" w:type="dxa"/>
            <w:vAlign w:val="center"/>
          </w:tcPr>
          <w:p>
            <w:pPr>
              <w:adjustRightInd w:val="0"/>
              <w:snapToGrid w:val="0"/>
              <w:spacing w:line="240" w:lineRule="auto"/>
              <w:ind w:firstLine="0" w:firstLineChars="0"/>
              <w:jc w:val="center"/>
              <w:rPr>
                <w:color w:val="auto"/>
                <w:kern w:val="0"/>
                <w:sz w:val="20"/>
                <w:szCs w:val="20"/>
                <w:highlight w:val="none"/>
              </w:rPr>
            </w:pPr>
            <w:r>
              <w:rPr>
                <w:color w:val="auto"/>
                <w:kern w:val="0"/>
                <w:sz w:val="20"/>
                <w:szCs w:val="20"/>
                <w:highlight w:val="none"/>
              </w:rPr>
              <w:t>要素</w:t>
            </w:r>
          </w:p>
        </w:tc>
        <w:tc>
          <w:tcPr>
            <w:tcW w:w="163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产生源</w:t>
            </w:r>
          </w:p>
        </w:tc>
        <w:tc>
          <w:tcPr>
            <w:tcW w:w="1241" w:type="dxa"/>
            <w:vAlign w:val="center"/>
          </w:tcPr>
          <w:p>
            <w:pPr>
              <w:adjustRightInd w:val="0"/>
              <w:snapToGrid w:val="0"/>
              <w:spacing w:line="240" w:lineRule="auto"/>
              <w:ind w:firstLine="0" w:firstLineChars="0"/>
              <w:jc w:val="center"/>
              <w:rPr>
                <w:color w:val="auto"/>
                <w:kern w:val="0"/>
                <w:sz w:val="20"/>
                <w:szCs w:val="20"/>
                <w:highlight w:val="none"/>
              </w:rPr>
            </w:pPr>
            <w:r>
              <w:rPr>
                <w:color w:val="auto"/>
                <w:kern w:val="0"/>
                <w:sz w:val="20"/>
                <w:szCs w:val="20"/>
                <w:highlight w:val="none"/>
              </w:rPr>
              <w:t>污染物种类</w:t>
            </w:r>
          </w:p>
        </w:tc>
        <w:tc>
          <w:tcPr>
            <w:tcW w:w="1869"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lang w:eastAsia="zh-CN"/>
              </w:rPr>
              <w:t>主要</w:t>
            </w:r>
            <w:r>
              <w:rPr>
                <w:color w:val="auto"/>
                <w:kern w:val="0"/>
                <w:sz w:val="20"/>
                <w:szCs w:val="20"/>
                <w:highlight w:val="none"/>
              </w:rPr>
              <w:t>污染因子</w:t>
            </w:r>
          </w:p>
        </w:tc>
        <w:tc>
          <w:tcPr>
            <w:tcW w:w="1506" w:type="dxa"/>
            <w:vAlign w:val="center"/>
          </w:tcPr>
          <w:p>
            <w:pPr>
              <w:adjustRightInd w:val="0"/>
              <w:snapToGrid w:val="0"/>
              <w:spacing w:line="240" w:lineRule="auto"/>
              <w:ind w:firstLine="0" w:firstLineChars="0"/>
              <w:jc w:val="center"/>
              <w:rPr>
                <w:color w:val="auto"/>
                <w:kern w:val="0"/>
                <w:sz w:val="20"/>
                <w:szCs w:val="20"/>
                <w:highlight w:val="none"/>
              </w:rPr>
            </w:pPr>
            <w:r>
              <w:rPr>
                <w:color w:val="auto"/>
                <w:kern w:val="0"/>
                <w:sz w:val="20"/>
                <w:szCs w:val="20"/>
                <w:highlight w:val="none"/>
              </w:rPr>
              <w:t>产生量</w:t>
            </w:r>
          </w:p>
        </w:tc>
        <w:tc>
          <w:tcPr>
            <w:tcW w:w="359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color w:val="auto"/>
                <w:kern w:val="0"/>
                <w:sz w:val="20"/>
                <w:szCs w:val="20"/>
                <w:highlight w:val="none"/>
              </w:rPr>
              <w:t>处理措施</w:t>
            </w:r>
            <w:r>
              <w:rPr>
                <w:rFonts w:hint="eastAsia"/>
                <w:color w:val="auto"/>
                <w:kern w:val="0"/>
                <w:sz w:val="20"/>
                <w:szCs w:val="20"/>
                <w:highlight w:val="none"/>
                <w:lang w:eastAsia="zh-CN"/>
              </w:rPr>
              <w:t>及排放去向</w:t>
            </w:r>
          </w:p>
        </w:tc>
        <w:tc>
          <w:tcPr>
            <w:tcW w:w="1444" w:type="dxa"/>
            <w:vAlign w:val="center"/>
          </w:tcPr>
          <w:p>
            <w:pPr>
              <w:adjustRightInd w:val="0"/>
              <w:snapToGrid w:val="0"/>
              <w:spacing w:line="240" w:lineRule="auto"/>
              <w:ind w:firstLine="0" w:firstLineChars="0"/>
              <w:jc w:val="center"/>
              <w:rPr>
                <w:color w:val="auto"/>
                <w:kern w:val="0"/>
                <w:sz w:val="20"/>
                <w:szCs w:val="20"/>
                <w:highlight w:val="none"/>
              </w:rPr>
            </w:pPr>
            <w:r>
              <w:rPr>
                <w:color w:val="auto"/>
                <w:kern w:val="0"/>
                <w:sz w:val="20"/>
                <w:szCs w:val="20"/>
                <w:highlight w:val="none"/>
              </w:rPr>
              <w:t>排放量</w:t>
            </w:r>
          </w:p>
        </w:tc>
        <w:tc>
          <w:tcPr>
            <w:tcW w:w="1445"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restart"/>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施工期</w:t>
            </w:r>
          </w:p>
        </w:tc>
        <w:tc>
          <w:tcPr>
            <w:tcW w:w="704" w:type="dxa"/>
            <w:vMerge w:val="restar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eastAsia="zh-CN"/>
              </w:rPr>
              <w:t>废气</w:t>
            </w:r>
          </w:p>
          <w:p>
            <w:pPr>
              <w:adjustRightInd w:val="0"/>
              <w:snapToGrid w:val="0"/>
              <w:spacing w:line="240" w:lineRule="auto"/>
              <w:ind w:firstLine="0" w:firstLineChars="0"/>
              <w:jc w:val="center"/>
              <w:rPr>
                <w:rFonts w:hint="eastAsia" w:eastAsia="宋体"/>
                <w:color w:val="auto"/>
                <w:kern w:val="0"/>
                <w:sz w:val="20"/>
                <w:szCs w:val="20"/>
                <w:highlight w:val="none"/>
                <w:lang w:eastAsia="zh-CN"/>
              </w:rPr>
            </w:pPr>
          </w:p>
        </w:tc>
        <w:tc>
          <w:tcPr>
            <w:tcW w:w="1636"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lang w:eastAsia="zh-CN"/>
              </w:rPr>
              <w:t>混凝土</w:t>
            </w:r>
            <w:r>
              <w:rPr>
                <w:rFonts w:hint="eastAsia"/>
                <w:color w:val="auto"/>
                <w:kern w:val="0"/>
                <w:sz w:val="20"/>
                <w:szCs w:val="20"/>
                <w:highlight w:val="none"/>
                <w:shd w:val="clear" w:fill="FFFFFF"/>
                <w:lang w:eastAsia="zh-CN"/>
              </w:rPr>
              <w:t>拌合系统</w:t>
            </w:r>
          </w:p>
        </w:tc>
        <w:tc>
          <w:tcPr>
            <w:tcW w:w="1241"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rPr>
              <w:t>混凝土</w:t>
            </w:r>
            <w:r>
              <w:rPr>
                <w:rFonts w:hint="eastAsia"/>
                <w:color w:val="auto"/>
                <w:sz w:val="20"/>
                <w:szCs w:val="20"/>
                <w:highlight w:val="none"/>
                <w:shd w:val="clear" w:fill="FFFFFF"/>
              </w:rPr>
              <w:t>拌和</w:t>
            </w:r>
            <w:r>
              <w:rPr>
                <w:rFonts w:hint="eastAsia"/>
                <w:color w:val="auto"/>
                <w:sz w:val="20"/>
                <w:szCs w:val="20"/>
                <w:highlight w:val="none"/>
              </w:rPr>
              <w:t>系统废气</w:t>
            </w:r>
          </w:p>
        </w:tc>
        <w:tc>
          <w:tcPr>
            <w:tcW w:w="1869"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eastAsia="zh-CN"/>
              </w:rPr>
              <w:t>颗粒物</w:t>
            </w:r>
          </w:p>
        </w:tc>
        <w:tc>
          <w:tcPr>
            <w:tcW w:w="1506"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1575kg/d</w:t>
            </w:r>
          </w:p>
        </w:tc>
        <w:tc>
          <w:tcPr>
            <w:tcW w:w="3596" w:type="dxa"/>
            <w:vAlign w:val="center"/>
          </w:tcPr>
          <w:p>
            <w:pPr>
              <w:adjustRightInd w:val="0"/>
              <w:snapToGrid w:val="0"/>
              <w:spacing w:line="240" w:lineRule="auto"/>
              <w:ind w:firstLine="0" w:firstLineChars="0"/>
              <w:jc w:val="center"/>
              <w:rPr>
                <w:rFonts w:ascii="Times New Roman" w:hAnsi="Times New Roman" w:eastAsia="宋体" w:cs="Times New Roman"/>
                <w:color w:val="auto"/>
                <w:kern w:val="0"/>
                <w:sz w:val="20"/>
                <w:szCs w:val="20"/>
                <w:highlight w:val="none"/>
                <w:lang w:val="en-US" w:eastAsia="zh-CN" w:bidi="ar-SA"/>
              </w:rPr>
            </w:pPr>
            <w:r>
              <w:rPr>
                <w:rFonts w:hint="eastAsia" w:ascii="Times New Roman" w:hAnsi="Times New Roman" w:eastAsia="宋体" w:cs="Times New Roman"/>
                <w:color w:val="auto"/>
                <w:kern w:val="0"/>
                <w:sz w:val="20"/>
                <w:szCs w:val="20"/>
                <w:highlight w:val="none"/>
                <w:lang w:val="en-US" w:eastAsia="zh-CN" w:bidi="ar-SA"/>
              </w:rPr>
              <w:t>采用全封闭</w:t>
            </w:r>
            <w:r>
              <w:rPr>
                <w:rFonts w:hint="eastAsia" w:ascii="Times New Roman" w:hAnsi="Times New Roman" w:eastAsia="宋体" w:cs="Times New Roman"/>
                <w:color w:val="auto"/>
                <w:kern w:val="0"/>
                <w:sz w:val="20"/>
                <w:szCs w:val="20"/>
                <w:highlight w:val="none"/>
                <w:shd w:val="clear" w:fill="FFFFFF"/>
                <w:lang w:val="en-US" w:eastAsia="zh-CN" w:bidi="ar-SA"/>
              </w:rPr>
              <w:t>拌和</w:t>
            </w:r>
            <w:r>
              <w:rPr>
                <w:rFonts w:hint="eastAsia" w:ascii="Times New Roman" w:hAnsi="Times New Roman" w:eastAsia="宋体" w:cs="Times New Roman"/>
                <w:color w:val="auto"/>
                <w:kern w:val="0"/>
                <w:sz w:val="20"/>
                <w:szCs w:val="20"/>
                <w:highlight w:val="none"/>
                <w:lang w:val="en-US" w:eastAsia="zh-CN" w:bidi="ar-SA"/>
              </w:rPr>
              <w:t>楼，配</w:t>
            </w:r>
            <w:r>
              <w:rPr>
                <w:rFonts w:hint="eastAsia" w:cs="Times New Roman"/>
                <w:color w:val="auto"/>
                <w:kern w:val="0"/>
                <w:sz w:val="20"/>
                <w:szCs w:val="20"/>
                <w:highlight w:val="none"/>
                <w:lang w:val="en-US" w:eastAsia="zh-CN" w:bidi="ar-SA"/>
              </w:rPr>
              <w:t>备</w:t>
            </w:r>
            <w:r>
              <w:rPr>
                <w:rFonts w:hint="eastAsia" w:ascii="Times New Roman" w:hAnsi="Times New Roman" w:eastAsia="宋体" w:cs="Times New Roman"/>
                <w:color w:val="auto"/>
                <w:kern w:val="0"/>
                <w:sz w:val="20"/>
                <w:szCs w:val="20"/>
                <w:highlight w:val="none"/>
                <w:lang w:val="en-US" w:eastAsia="zh-CN" w:bidi="ar-SA"/>
              </w:rPr>
              <w:t>除尘设备</w:t>
            </w:r>
            <w:r>
              <w:rPr>
                <w:rFonts w:hint="eastAsia" w:cs="Times New Roman"/>
                <w:color w:val="auto"/>
                <w:kern w:val="0"/>
                <w:sz w:val="20"/>
                <w:szCs w:val="20"/>
                <w:highlight w:val="none"/>
                <w:lang w:val="en-US" w:eastAsia="zh-CN" w:bidi="ar-SA"/>
              </w:rPr>
              <w:t>处理</w:t>
            </w:r>
          </w:p>
        </w:tc>
        <w:tc>
          <w:tcPr>
            <w:tcW w:w="1444"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15.75kg/d</w:t>
            </w:r>
          </w:p>
        </w:tc>
        <w:tc>
          <w:tcPr>
            <w:tcW w:w="1445" w:type="dxa"/>
            <w:vAlign w:val="center"/>
          </w:tcPr>
          <w:p>
            <w:pPr>
              <w:adjustRightInd w:val="0"/>
              <w:snapToGrid w:val="0"/>
              <w:spacing w:line="240" w:lineRule="auto"/>
              <w:ind w:firstLine="0" w:firstLineChars="0"/>
              <w:jc w:val="center"/>
              <w:rPr>
                <w:rFonts w:hint="eastAsia" w:cs="Times New Roman"/>
                <w:color w:val="auto"/>
                <w:kern w:val="0"/>
                <w:sz w:val="20"/>
                <w:szCs w:val="20"/>
                <w:highlight w:val="none"/>
                <w:lang w:val="en-US" w:eastAsia="zh-CN" w:bidi="ar-SA"/>
              </w:rPr>
            </w:pPr>
            <w:r>
              <w:rPr>
                <w:rFonts w:hint="eastAsia"/>
                <w:color w:val="auto"/>
                <w:sz w:val="20"/>
                <w:szCs w:val="20"/>
                <w:highlight w:val="none"/>
                <w:lang w:val="en-US" w:eastAsia="zh-CN"/>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Merge w:val="restar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eastAsia="zh-CN"/>
              </w:rPr>
              <w:t>土石方开挖</w:t>
            </w:r>
          </w:p>
        </w:tc>
        <w:tc>
          <w:tcPr>
            <w:tcW w:w="1241"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eastAsia="zh-CN"/>
              </w:rPr>
              <w:t>开挖废气</w:t>
            </w:r>
          </w:p>
        </w:tc>
        <w:tc>
          <w:tcPr>
            <w:tcW w:w="1869" w:type="dxa"/>
            <w:vAlign w:val="center"/>
          </w:tcPr>
          <w:p>
            <w:pPr>
              <w:adjustRightInd w:val="0"/>
              <w:snapToGrid w:val="0"/>
              <w:spacing w:line="240" w:lineRule="auto"/>
              <w:ind w:firstLine="0" w:firstLineChars="0"/>
              <w:jc w:val="center"/>
              <w:rPr>
                <w:rFonts w:ascii="Times New Roman" w:hAnsi="Times New Roman" w:eastAsia="宋体" w:cs="Times New Roman"/>
                <w:color w:val="auto"/>
                <w:kern w:val="0"/>
                <w:sz w:val="20"/>
                <w:szCs w:val="20"/>
                <w:highlight w:val="none"/>
                <w:lang w:val="en-US" w:eastAsia="zh-CN" w:bidi="ar-SA"/>
              </w:rPr>
            </w:pPr>
            <w:r>
              <w:rPr>
                <w:rFonts w:hint="eastAsia"/>
                <w:color w:val="auto"/>
                <w:sz w:val="20"/>
                <w:szCs w:val="20"/>
                <w:highlight w:val="none"/>
                <w:lang w:eastAsia="zh-CN"/>
              </w:rPr>
              <w:t>颗粒物</w:t>
            </w:r>
          </w:p>
        </w:tc>
        <w:tc>
          <w:tcPr>
            <w:tcW w:w="1506" w:type="dxa"/>
            <w:vAlign w:val="center"/>
          </w:tcPr>
          <w:p>
            <w:pPr>
              <w:adjustRightInd w:val="0"/>
              <w:snapToGrid w:val="0"/>
              <w:spacing w:line="240" w:lineRule="auto"/>
              <w:ind w:firstLine="0" w:firstLineChars="0"/>
              <w:jc w:val="center"/>
              <w:rPr>
                <w:rFonts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187.65t</w:t>
            </w:r>
          </w:p>
        </w:tc>
        <w:tc>
          <w:tcPr>
            <w:tcW w:w="3596" w:type="dxa"/>
            <w:vAlign w:val="center"/>
          </w:tcPr>
          <w:p>
            <w:pPr>
              <w:adjustRightInd w:val="0"/>
              <w:snapToGrid w:val="0"/>
              <w:spacing w:line="240" w:lineRule="auto"/>
              <w:ind w:firstLine="0" w:firstLineChars="0"/>
              <w:jc w:val="center"/>
              <w:rPr>
                <w:rFonts w:ascii="Times New Roman" w:hAnsi="Times New Roman" w:eastAsia="宋体" w:cs="Times New Roman"/>
                <w:color w:val="auto"/>
                <w:kern w:val="0"/>
                <w:sz w:val="20"/>
                <w:szCs w:val="20"/>
                <w:highlight w:val="none"/>
                <w:lang w:val="en-US" w:eastAsia="zh-CN" w:bidi="ar-SA"/>
              </w:rPr>
            </w:pPr>
            <w:r>
              <w:rPr>
                <w:rFonts w:ascii="Times New Roman" w:hAnsi="Times New Roman"/>
                <w:color w:val="auto"/>
                <w:sz w:val="20"/>
                <w:szCs w:val="20"/>
                <w:highlight w:val="none"/>
              </w:rPr>
              <w:t>配备无尘钻机</w:t>
            </w:r>
            <w:r>
              <w:rPr>
                <w:rFonts w:hint="eastAsia" w:ascii="Times New Roman" w:hAnsi="Times New Roman"/>
                <w:color w:val="auto"/>
                <w:sz w:val="20"/>
                <w:szCs w:val="20"/>
                <w:highlight w:val="none"/>
                <w:lang w:eastAsia="zh-CN"/>
              </w:rPr>
              <w:t>，及时进行洒水抑尘</w:t>
            </w:r>
          </w:p>
        </w:tc>
        <w:tc>
          <w:tcPr>
            <w:tcW w:w="1444"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187.65t</w:t>
            </w:r>
          </w:p>
        </w:tc>
        <w:tc>
          <w:tcPr>
            <w:tcW w:w="1445" w:type="dxa"/>
            <w:vAlign w:val="center"/>
          </w:tcPr>
          <w:p>
            <w:pPr>
              <w:adjustRightInd w:val="0"/>
              <w:snapToGrid w:val="0"/>
              <w:spacing w:line="240" w:lineRule="auto"/>
              <w:ind w:firstLine="0" w:firstLineChars="0"/>
              <w:jc w:val="center"/>
              <w:rPr>
                <w:rFonts w:ascii="Times New Roman" w:hAnsi="Times New Roman" w:eastAsia="宋体" w:cs="Times New Roman"/>
                <w:color w:val="auto"/>
                <w:kern w:val="0"/>
                <w:sz w:val="20"/>
                <w:szCs w:val="20"/>
                <w:highlight w:val="none"/>
                <w:lang w:val="en-US" w:eastAsia="zh-CN" w:bidi="ar-SA"/>
              </w:rPr>
            </w:pPr>
            <w:r>
              <w:rPr>
                <w:rFonts w:hint="eastAsia"/>
                <w:color w:val="auto"/>
                <w:sz w:val="20"/>
                <w:szCs w:val="20"/>
                <w:highlight w:val="none"/>
                <w:lang w:val="en-US" w:eastAsia="zh-CN"/>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Merge w:val="continue"/>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p>
        </w:tc>
        <w:tc>
          <w:tcPr>
            <w:tcW w:w="1241" w:type="dxa"/>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r>
              <w:rPr>
                <w:rFonts w:hint="eastAsia"/>
                <w:color w:val="auto"/>
                <w:kern w:val="0"/>
                <w:sz w:val="20"/>
                <w:szCs w:val="20"/>
                <w:highlight w:val="none"/>
                <w:lang w:eastAsia="zh-CN"/>
              </w:rPr>
              <w:t>爆破废气</w:t>
            </w:r>
          </w:p>
        </w:tc>
        <w:tc>
          <w:tcPr>
            <w:tcW w:w="1869" w:type="dxa"/>
            <w:vAlign w:val="center"/>
          </w:tcPr>
          <w:p>
            <w:pPr>
              <w:adjustRightInd w:val="0"/>
              <w:snapToGrid w:val="0"/>
              <w:spacing w:line="240" w:lineRule="auto"/>
              <w:ind w:firstLine="0" w:firstLineChars="0"/>
              <w:jc w:val="center"/>
              <w:rPr>
                <w:rFonts w:hint="eastAsia"/>
                <w:color w:val="auto"/>
                <w:sz w:val="20"/>
                <w:szCs w:val="20"/>
                <w:highlight w:val="none"/>
                <w:lang w:eastAsia="zh-CN"/>
              </w:rPr>
            </w:pPr>
            <w:r>
              <w:rPr>
                <w:rFonts w:ascii="Times New Roman" w:hAnsi="Times New Roman"/>
                <w:color w:val="auto"/>
                <w:sz w:val="20"/>
                <w:szCs w:val="20"/>
                <w:highlight w:val="none"/>
              </w:rPr>
              <w:t>NO</w:t>
            </w:r>
            <w:r>
              <w:rPr>
                <w:rFonts w:ascii="Times New Roman" w:hAnsi="Times New Roman"/>
                <w:color w:val="auto"/>
                <w:sz w:val="20"/>
                <w:szCs w:val="20"/>
                <w:highlight w:val="none"/>
                <w:vertAlign w:val="subscript"/>
              </w:rPr>
              <w:t>x</w:t>
            </w:r>
          </w:p>
        </w:tc>
        <w:tc>
          <w:tcPr>
            <w:tcW w:w="1506"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1.33t</w:t>
            </w:r>
          </w:p>
        </w:tc>
        <w:tc>
          <w:tcPr>
            <w:tcW w:w="3596" w:type="dxa"/>
            <w:vAlign w:val="center"/>
          </w:tcPr>
          <w:p>
            <w:pPr>
              <w:adjustRightInd w:val="0"/>
              <w:snapToGrid w:val="0"/>
              <w:spacing w:line="240" w:lineRule="auto"/>
              <w:ind w:firstLine="0" w:firstLineChars="0"/>
              <w:jc w:val="center"/>
              <w:rPr>
                <w:rFonts w:hint="eastAsia" w:ascii="Times New Roman" w:hAnsi="Times New Roman" w:eastAsia="宋体"/>
                <w:color w:val="auto"/>
                <w:sz w:val="20"/>
                <w:szCs w:val="20"/>
                <w:highlight w:val="none"/>
                <w:lang w:eastAsia="zh-CN"/>
              </w:rPr>
            </w:pPr>
            <w:r>
              <w:rPr>
                <w:rFonts w:hint="eastAsia"/>
                <w:color w:val="auto"/>
                <w:sz w:val="20"/>
                <w:szCs w:val="20"/>
                <w:highlight w:val="none"/>
                <w:lang w:eastAsia="zh-CN"/>
              </w:rPr>
              <w:t>采用先进爆破技术，控制炸药用量</w:t>
            </w:r>
          </w:p>
        </w:tc>
        <w:tc>
          <w:tcPr>
            <w:tcW w:w="1444"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1.33t</w:t>
            </w:r>
          </w:p>
        </w:tc>
        <w:tc>
          <w:tcPr>
            <w:tcW w:w="1445" w:type="dxa"/>
            <w:vAlign w:val="center"/>
          </w:tcPr>
          <w:p>
            <w:pPr>
              <w:adjustRightInd w:val="0"/>
              <w:snapToGrid w:val="0"/>
              <w:spacing w:line="240" w:lineRule="auto"/>
              <w:ind w:firstLine="0" w:firstLineChars="0"/>
              <w:jc w:val="center"/>
              <w:rPr>
                <w:rFonts w:hint="eastAsia" w:cs="Times New Roman"/>
                <w:color w:val="auto"/>
                <w:kern w:val="0"/>
                <w:sz w:val="20"/>
                <w:szCs w:val="20"/>
                <w:highlight w:val="none"/>
                <w:lang w:val="en-US" w:eastAsia="zh-CN" w:bidi="ar-SA"/>
              </w:rPr>
            </w:pPr>
            <w:r>
              <w:rPr>
                <w:rFonts w:hint="eastAsia"/>
                <w:color w:val="auto"/>
                <w:sz w:val="20"/>
                <w:szCs w:val="20"/>
                <w:highlight w:val="none"/>
                <w:lang w:val="en-US" w:eastAsia="zh-CN"/>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lang w:eastAsia="zh-CN"/>
              </w:rPr>
              <w:t>交通运输</w:t>
            </w:r>
          </w:p>
        </w:tc>
        <w:tc>
          <w:tcPr>
            <w:tcW w:w="1241"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eastAsia="zh-CN"/>
              </w:rPr>
              <w:t>运输扬尘</w:t>
            </w:r>
          </w:p>
        </w:tc>
        <w:tc>
          <w:tcPr>
            <w:tcW w:w="1869"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eastAsia="zh-CN"/>
              </w:rPr>
              <w:t>颗粒物</w:t>
            </w:r>
          </w:p>
        </w:tc>
        <w:tc>
          <w:tcPr>
            <w:tcW w:w="1506"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58.18</w:t>
            </w:r>
            <w:r>
              <w:rPr>
                <w:rFonts w:hint="eastAsia" w:ascii="Times New Roman" w:hAnsi="Times New Roman"/>
                <w:color w:val="auto"/>
                <w:sz w:val="20"/>
                <w:szCs w:val="20"/>
                <w:highlight w:val="none"/>
                <w:lang w:val="en-US" w:eastAsia="zh-CN"/>
              </w:rPr>
              <w:t>kg/d</w:t>
            </w:r>
          </w:p>
        </w:tc>
        <w:tc>
          <w:tcPr>
            <w:tcW w:w="3596" w:type="dxa"/>
            <w:vAlign w:val="center"/>
          </w:tcPr>
          <w:p>
            <w:pPr>
              <w:adjustRightInd w:val="0"/>
              <w:snapToGrid w:val="0"/>
              <w:spacing w:line="240" w:lineRule="auto"/>
              <w:ind w:firstLine="0" w:firstLineChars="0"/>
              <w:jc w:val="center"/>
              <w:rPr>
                <w:rFonts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对道路进行洒水抑尘，无组织</w:t>
            </w:r>
          </w:p>
        </w:tc>
        <w:tc>
          <w:tcPr>
            <w:tcW w:w="1444"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ascii="Times New Roman" w:hAnsi="Times New Roman"/>
                <w:color w:val="auto"/>
                <w:sz w:val="20"/>
                <w:szCs w:val="20"/>
                <w:highlight w:val="none"/>
                <w:lang w:val="en-US" w:eastAsia="zh-CN"/>
              </w:rPr>
              <w:t>19.78kg/d</w:t>
            </w:r>
          </w:p>
        </w:tc>
        <w:tc>
          <w:tcPr>
            <w:tcW w:w="1445" w:type="dxa"/>
            <w:vAlign w:val="center"/>
          </w:tcPr>
          <w:p>
            <w:pPr>
              <w:adjustRightInd w:val="0"/>
              <w:snapToGrid w:val="0"/>
              <w:spacing w:line="240" w:lineRule="auto"/>
              <w:ind w:firstLine="0" w:firstLineChars="0"/>
              <w:jc w:val="center"/>
              <w:rPr>
                <w:rFonts w:hint="eastAsia" w:ascii="Times New Roman" w:hAnsi="Times New Roman"/>
                <w:color w:val="auto"/>
                <w:sz w:val="20"/>
                <w:szCs w:val="20"/>
                <w:highlight w:val="none"/>
                <w:lang w:val="en-US" w:eastAsia="zh-CN"/>
              </w:rPr>
            </w:pPr>
            <w:r>
              <w:rPr>
                <w:rFonts w:hint="eastAsia"/>
                <w:color w:val="auto"/>
                <w:sz w:val="20"/>
                <w:szCs w:val="20"/>
                <w:highlight w:val="none"/>
                <w:lang w:val="en-US" w:eastAsia="zh-CN"/>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Merge w:val="restar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eastAsia="zh-CN"/>
              </w:rPr>
              <w:t>施工机械及车辆</w:t>
            </w:r>
          </w:p>
        </w:tc>
        <w:tc>
          <w:tcPr>
            <w:tcW w:w="1241" w:type="dxa"/>
            <w:vMerge w:val="restart"/>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r>
              <w:rPr>
                <w:rFonts w:hint="eastAsia"/>
                <w:color w:val="auto"/>
                <w:kern w:val="0"/>
                <w:sz w:val="20"/>
                <w:szCs w:val="20"/>
                <w:highlight w:val="none"/>
                <w:lang w:eastAsia="zh-CN"/>
              </w:rPr>
              <w:t>燃油废气</w:t>
            </w:r>
          </w:p>
        </w:tc>
        <w:tc>
          <w:tcPr>
            <w:tcW w:w="1869"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颗粒物</w:t>
            </w:r>
          </w:p>
        </w:tc>
        <w:tc>
          <w:tcPr>
            <w:tcW w:w="1506"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8.53kg/d</w:t>
            </w:r>
          </w:p>
        </w:tc>
        <w:tc>
          <w:tcPr>
            <w:tcW w:w="3596" w:type="dxa"/>
            <w:vMerge w:val="restart"/>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使用符合要求的燃料，定期对设备进行维护保养</w:t>
            </w:r>
          </w:p>
        </w:tc>
        <w:tc>
          <w:tcPr>
            <w:tcW w:w="1444"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8.53kg/d</w:t>
            </w:r>
          </w:p>
        </w:tc>
        <w:tc>
          <w:tcPr>
            <w:tcW w:w="1445" w:type="dxa"/>
            <w:vMerge w:val="restart"/>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sz w:val="20"/>
                <w:szCs w:val="20"/>
                <w:highlight w:val="none"/>
                <w:lang w:val="en-US" w:eastAsia="zh-CN"/>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Merge w:val="continue"/>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p>
        </w:tc>
        <w:tc>
          <w:tcPr>
            <w:tcW w:w="1241" w:type="dxa"/>
            <w:vMerge w:val="continue"/>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p>
        </w:tc>
        <w:tc>
          <w:tcPr>
            <w:tcW w:w="1869"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ascii="Times New Roman" w:hAnsi="Times New Roman"/>
                <w:color w:val="auto"/>
                <w:sz w:val="20"/>
                <w:szCs w:val="20"/>
                <w:highlight w:val="none"/>
              </w:rPr>
              <w:t>THC</w:t>
            </w:r>
          </w:p>
        </w:tc>
        <w:tc>
          <w:tcPr>
            <w:tcW w:w="1506"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13.90kg/d</w:t>
            </w:r>
          </w:p>
        </w:tc>
        <w:tc>
          <w:tcPr>
            <w:tcW w:w="3596" w:type="dxa"/>
            <w:vMerge w:val="continue"/>
            <w:vAlign w:val="center"/>
          </w:tcPr>
          <w:p>
            <w:pPr>
              <w:adjustRightInd w:val="0"/>
              <w:snapToGrid w:val="0"/>
              <w:spacing w:line="240" w:lineRule="auto"/>
              <w:ind w:firstLine="0" w:firstLineChars="0"/>
              <w:jc w:val="center"/>
              <w:rPr>
                <w:rFonts w:ascii="Times New Roman" w:hAnsi="Times New Roman" w:eastAsia="宋体" w:cs="Times New Roman"/>
                <w:color w:val="auto"/>
                <w:kern w:val="0"/>
                <w:sz w:val="20"/>
                <w:szCs w:val="20"/>
                <w:highlight w:val="none"/>
                <w:lang w:val="en-US" w:eastAsia="zh-CN" w:bidi="ar-SA"/>
              </w:rPr>
            </w:pPr>
          </w:p>
        </w:tc>
        <w:tc>
          <w:tcPr>
            <w:tcW w:w="1444"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13.90kg/d</w:t>
            </w:r>
          </w:p>
        </w:tc>
        <w:tc>
          <w:tcPr>
            <w:tcW w:w="1445"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Merge w:val="continue"/>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p>
        </w:tc>
        <w:tc>
          <w:tcPr>
            <w:tcW w:w="1241" w:type="dxa"/>
            <w:vMerge w:val="continue"/>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p>
        </w:tc>
        <w:tc>
          <w:tcPr>
            <w:tcW w:w="1869"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ascii="Times New Roman" w:hAnsi="Times New Roman"/>
                <w:color w:val="auto"/>
                <w:sz w:val="20"/>
                <w:szCs w:val="20"/>
                <w:highlight w:val="none"/>
              </w:rPr>
              <w:t>NOx</w:t>
            </w:r>
          </w:p>
        </w:tc>
        <w:tc>
          <w:tcPr>
            <w:tcW w:w="1506"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134.44kg/d</w:t>
            </w:r>
          </w:p>
        </w:tc>
        <w:tc>
          <w:tcPr>
            <w:tcW w:w="3596" w:type="dxa"/>
            <w:vMerge w:val="continue"/>
            <w:vAlign w:val="center"/>
          </w:tcPr>
          <w:p>
            <w:pPr>
              <w:adjustRightInd w:val="0"/>
              <w:snapToGrid w:val="0"/>
              <w:spacing w:line="240" w:lineRule="auto"/>
              <w:ind w:firstLine="0" w:firstLineChars="0"/>
              <w:jc w:val="center"/>
              <w:rPr>
                <w:rFonts w:ascii="Times New Roman" w:hAnsi="Times New Roman" w:eastAsia="宋体" w:cs="Times New Roman"/>
                <w:color w:val="auto"/>
                <w:kern w:val="0"/>
                <w:sz w:val="20"/>
                <w:szCs w:val="20"/>
                <w:highlight w:val="none"/>
                <w:lang w:val="en-US" w:eastAsia="zh-CN" w:bidi="ar-SA"/>
              </w:rPr>
            </w:pPr>
          </w:p>
        </w:tc>
        <w:tc>
          <w:tcPr>
            <w:tcW w:w="1444"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134.44kg/d</w:t>
            </w:r>
          </w:p>
        </w:tc>
        <w:tc>
          <w:tcPr>
            <w:tcW w:w="1445"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Merge w:val="continue"/>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p>
        </w:tc>
        <w:tc>
          <w:tcPr>
            <w:tcW w:w="1241" w:type="dxa"/>
            <w:vMerge w:val="continue"/>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p>
        </w:tc>
        <w:tc>
          <w:tcPr>
            <w:tcW w:w="1869"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ascii="Times New Roman" w:hAnsi="Times New Roman"/>
                <w:color w:val="auto"/>
                <w:sz w:val="20"/>
                <w:szCs w:val="20"/>
                <w:highlight w:val="none"/>
              </w:rPr>
              <w:t>CO</w:t>
            </w:r>
          </w:p>
        </w:tc>
        <w:tc>
          <w:tcPr>
            <w:tcW w:w="1506"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43.95kg/d</w:t>
            </w:r>
          </w:p>
        </w:tc>
        <w:tc>
          <w:tcPr>
            <w:tcW w:w="3596" w:type="dxa"/>
            <w:vMerge w:val="continue"/>
            <w:vAlign w:val="center"/>
          </w:tcPr>
          <w:p>
            <w:pPr>
              <w:adjustRightInd w:val="0"/>
              <w:snapToGrid w:val="0"/>
              <w:spacing w:line="240" w:lineRule="auto"/>
              <w:ind w:firstLine="0" w:firstLineChars="0"/>
              <w:jc w:val="center"/>
              <w:rPr>
                <w:rFonts w:ascii="Times New Roman" w:hAnsi="Times New Roman" w:eastAsia="宋体" w:cs="Times New Roman"/>
                <w:color w:val="auto"/>
                <w:kern w:val="0"/>
                <w:sz w:val="20"/>
                <w:szCs w:val="20"/>
                <w:highlight w:val="none"/>
                <w:lang w:val="en-US" w:eastAsia="zh-CN" w:bidi="ar-SA"/>
              </w:rPr>
            </w:pPr>
          </w:p>
        </w:tc>
        <w:tc>
          <w:tcPr>
            <w:tcW w:w="1444"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43.95kg/d</w:t>
            </w:r>
          </w:p>
        </w:tc>
        <w:tc>
          <w:tcPr>
            <w:tcW w:w="1445"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restar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eastAsia="zh-CN"/>
              </w:rPr>
              <w:t>废水</w:t>
            </w:r>
          </w:p>
          <w:p>
            <w:pPr>
              <w:adjustRightInd w:val="0"/>
              <w:snapToGrid w:val="0"/>
              <w:spacing w:line="240" w:lineRule="auto"/>
              <w:ind w:firstLine="0" w:firstLineChars="0"/>
              <w:jc w:val="center"/>
              <w:rPr>
                <w:rFonts w:hint="eastAsia" w:eastAsia="宋体"/>
                <w:color w:val="auto"/>
                <w:kern w:val="0"/>
                <w:sz w:val="20"/>
                <w:szCs w:val="20"/>
                <w:highlight w:val="none"/>
                <w:lang w:eastAsia="zh-CN"/>
              </w:rPr>
            </w:pPr>
          </w:p>
        </w:tc>
        <w:tc>
          <w:tcPr>
            <w:tcW w:w="1636"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eastAsia="zh-CN"/>
              </w:rPr>
              <w:t>围堰施工</w:t>
            </w:r>
          </w:p>
        </w:tc>
        <w:tc>
          <w:tcPr>
            <w:tcW w:w="1241"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eastAsia="zh-CN"/>
              </w:rPr>
              <w:t>基坑排水</w:t>
            </w:r>
          </w:p>
        </w:tc>
        <w:tc>
          <w:tcPr>
            <w:tcW w:w="1869" w:type="dxa"/>
            <w:vAlign w:val="center"/>
          </w:tcPr>
          <w:p>
            <w:pPr>
              <w:adjustRightInd w:val="0"/>
              <w:snapToGrid w:val="0"/>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SS</w:t>
            </w:r>
          </w:p>
        </w:tc>
        <w:tc>
          <w:tcPr>
            <w:tcW w:w="1506"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ascii="Times New Roman" w:hAnsi="Times New Roman"/>
                <w:snapToGrid w:val="0"/>
                <w:color w:val="auto"/>
                <w:sz w:val="20"/>
                <w:szCs w:val="20"/>
                <w:highlight w:val="none"/>
                <w:lang w:val="en-US" w:eastAsia="zh-CN"/>
              </w:rPr>
              <w:t>247</w:t>
            </w:r>
            <w:r>
              <w:rPr>
                <w:rFonts w:ascii="Times New Roman" w:hAnsi="Times New Roman"/>
                <w:snapToGrid w:val="0"/>
                <w:color w:val="auto"/>
                <w:sz w:val="20"/>
                <w:szCs w:val="20"/>
                <w:highlight w:val="none"/>
              </w:rPr>
              <w:t>m</w:t>
            </w:r>
            <w:r>
              <w:rPr>
                <w:rFonts w:ascii="Times New Roman" w:hAnsi="Times New Roman"/>
                <w:snapToGrid w:val="0"/>
                <w:color w:val="auto"/>
                <w:sz w:val="20"/>
                <w:szCs w:val="20"/>
                <w:highlight w:val="none"/>
                <w:vertAlign w:val="superscript"/>
              </w:rPr>
              <w:t>3</w:t>
            </w:r>
            <w:r>
              <w:rPr>
                <w:rFonts w:ascii="Times New Roman" w:hAnsi="Times New Roman"/>
                <w:snapToGrid w:val="0"/>
                <w:color w:val="auto"/>
                <w:sz w:val="20"/>
                <w:szCs w:val="20"/>
                <w:highlight w:val="none"/>
              </w:rPr>
              <w:t>/h</w:t>
            </w:r>
          </w:p>
        </w:tc>
        <w:tc>
          <w:tcPr>
            <w:tcW w:w="359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絮凝沉淀后外排</w:t>
            </w:r>
          </w:p>
        </w:tc>
        <w:tc>
          <w:tcPr>
            <w:tcW w:w="1444"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ascii="Times New Roman" w:hAnsi="Times New Roman"/>
                <w:snapToGrid w:val="0"/>
                <w:color w:val="auto"/>
                <w:sz w:val="20"/>
                <w:szCs w:val="20"/>
                <w:highlight w:val="none"/>
                <w:lang w:val="en-US" w:eastAsia="zh-CN"/>
              </w:rPr>
              <w:t>247</w:t>
            </w:r>
            <w:r>
              <w:rPr>
                <w:rFonts w:ascii="Times New Roman" w:hAnsi="Times New Roman"/>
                <w:snapToGrid w:val="0"/>
                <w:color w:val="auto"/>
                <w:sz w:val="20"/>
                <w:szCs w:val="20"/>
                <w:highlight w:val="none"/>
              </w:rPr>
              <w:t>m</w:t>
            </w:r>
            <w:r>
              <w:rPr>
                <w:rFonts w:ascii="Times New Roman" w:hAnsi="Times New Roman"/>
                <w:snapToGrid w:val="0"/>
                <w:color w:val="auto"/>
                <w:sz w:val="20"/>
                <w:szCs w:val="20"/>
                <w:highlight w:val="none"/>
                <w:vertAlign w:val="superscript"/>
              </w:rPr>
              <w:t>3</w:t>
            </w:r>
            <w:r>
              <w:rPr>
                <w:rFonts w:ascii="Times New Roman" w:hAnsi="Times New Roman"/>
                <w:snapToGrid w:val="0"/>
                <w:color w:val="auto"/>
                <w:sz w:val="20"/>
                <w:szCs w:val="20"/>
                <w:highlight w:val="none"/>
              </w:rPr>
              <w:t>/h</w:t>
            </w:r>
          </w:p>
        </w:tc>
        <w:tc>
          <w:tcPr>
            <w:tcW w:w="1445"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外排至涪江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混凝土拌合</w:t>
            </w:r>
          </w:p>
        </w:tc>
        <w:tc>
          <w:tcPr>
            <w:tcW w:w="124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施工废水</w:t>
            </w:r>
          </w:p>
        </w:tc>
        <w:tc>
          <w:tcPr>
            <w:tcW w:w="1869" w:type="dxa"/>
            <w:vAlign w:val="center"/>
          </w:tcPr>
          <w:p>
            <w:pPr>
              <w:adjustRightInd w:val="0"/>
              <w:snapToGrid w:val="0"/>
              <w:spacing w:line="240" w:lineRule="auto"/>
              <w:ind w:firstLine="0" w:firstLineChars="0"/>
              <w:jc w:val="center"/>
              <w:rPr>
                <w:rFonts w:hint="default" w:eastAsia="宋体"/>
                <w:color w:val="auto"/>
                <w:kern w:val="0"/>
                <w:sz w:val="20"/>
                <w:szCs w:val="20"/>
                <w:highlight w:val="none"/>
                <w:lang w:val="en-US" w:eastAsia="zh-CN"/>
              </w:rPr>
            </w:pPr>
            <w:r>
              <w:rPr>
                <w:rFonts w:hint="eastAsia"/>
                <w:color w:val="auto"/>
                <w:kern w:val="0"/>
                <w:sz w:val="20"/>
                <w:szCs w:val="20"/>
                <w:highlight w:val="none"/>
                <w:lang w:val="en-US" w:eastAsia="zh-CN"/>
              </w:rPr>
              <w:t>SS</w:t>
            </w:r>
          </w:p>
        </w:tc>
        <w:tc>
          <w:tcPr>
            <w:tcW w:w="1506" w:type="dxa"/>
            <w:vAlign w:val="center"/>
          </w:tcPr>
          <w:p>
            <w:pPr>
              <w:adjustRightInd w:val="0"/>
              <w:snapToGrid w:val="0"/>
              <w:spacing w:line="240" w:lineRule="auto"/>
              <w:ind w:firstLine="0" w:firstLineChars="0"/>
              <w:jc w:val="center"/>
              <w:rPr>
                <w:rFonts w:hint="default" w:eastAsia="宋体"/>
                <w:color w:val="auto"/>
                <w:kern w:val="0"/>
                <w:sz w:val="20"/>
                <w:szCs w:val="20"/>
                <w:highlight w:val="none"/>
                <w:lang w:val="en-US" w:eastAsia="zh-CN"/>
              </w:rPr>
            </w:pPr>
            <w:r>
              <w:rPr>
                <w:rFonts w:hint="eastAsia"/>
                <w:color w:val="auto"/>
                <w:kern w:val="0"/>
                <w:sz w:val="20"/>
                <w:szCs w:val="20"/>
                <w:highlight w:val="none"/>
                <w:lang w:val="en-US" w:eastAsia="zh-CN"/>
              </w:rPr>
              <w:t>15m³/d</w:t>
            </w:r>
          </w:p>
        </w:tc>
        <w:tc>
          <w:tcPr>
            <w:tcW w:w="3596"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rPr>
              <w:t>沉淀处理之后回用于混凝土搅拌系统</w:t>
            </w:r>
          </w:p>
        </w:tc>
        <w:tc>
          <w:tcPr>
            <w:tcW w:w="1444"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lang w:val="en-US" w:eastAsia="zh-CN"/>
              </w:rPr>
              <w:t>0</w:t>
            </w:r>
          </w:p>
        </w:tc>
        <w:tc>
          <w:tcPr>
            <w:tcW w:w="1445"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航道疏浚</w:t>
            </w:r>
          </w:p>
        </w:tc>
        <w:tc>
          <w:tcPr>
            <w:tcW w:w="124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施工船舶废水</w:t>
            </w:r>
          </w:p>
        </w:tc>
        <w:tc>
          <w:tcPr>
            <w:tcW w:w="1869" w:type="dxa"/>
            <w:vAlign w:val="center"/>
          </w:tcPr>
          <w:p>
            <w:pPr>
              <w:adjustRightInd w:val="0"/>
              <w:snapToGrid w:val="0"/>
              <w:spacing w:line="240" w:lineRule="auto"/>
              <w:ind w:firstLine="0" w:firstLineChars="0"/>
              <w:jc w:val="center"/>
              <w:rPr>
                <w:rFonts w:hint="default" w:eastAsia="宋体"/>
                <w:color w:val="auto"/>
                <w:kern w:val="0"/>
                <w:sz w:val="20"/>
                <w:szCs w:val="20"/>
                <w:highlight w:val="none"/>
                <w:lang w:val="en-US" w:eastAsia="zh-CN"/>
              </w:rPr>
            </w:pPr>
            <w:r>
              <w:rPr>
                <w:rFonts w:hint="eastAsia"/>
                <w:color w:val="auto"/>
                <w:kern w:val="0"/>
                <w:sz w:val="20"/>
                <w:szCs w:val="20"/>
                <w:highlight w:val="none"/>
                <w:lang w:eastAsia="zh-CN"/>
              </w:rPr>
              <w:t>石油类</w:t>
            </w:r>
          </w:p>
        </w:tc>
        <w:tc>
          <w:tcPr>
            <w:tcW w:w="1506"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lang w:val="en-US" w:eastAsia="zh-CN"/>
              </w:rPr>
              <w:t>0.56m³/d</w:t>
            </w:r>
          </w:p>
        </w:tc>
        <w:tc>
          <w:tcPr>
            <w:tcW w:w="3596"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rPr>
              <w:t>由船舶自带的油水分离器处理后委托有资质单位接收</w:t>
            </w:r>
          </w:p>
        </w:tc>
        <w:tc>
          <w:tcPr>
            <w:tcW w:w="1444"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val="en-US" w:eastAsia="zh-CN"/>
              </w:rPr>
            </w:pPr>
            <w:r>
              <w:rPr>
                <w:rFonts w:hint="eastAsia"/>
                <w:color w:val="auto"/>
                <w:kern w:val="0"/>
                <w:sz w:val="20"/>
                <w:szCs w:val="20"/>
                <w:highlight w:val="none"/>
                <w:lang w:val="en-US" w:eastAsia="zh-CN"/>
              </w:rPr>
              <w:t>0</w:t>
            </w:r>
          </w:p>
        </w:tc>
        <w:tc>
          <w:tcPr>
            <w:tcW w:w="1445"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eastAsia="宋体"/>
                <w:color w:val="auto"/>
                <w:kern w:val="0"/>
                <w:sz w:val="20"/>
                <w:szCs w:val="20"/>
                <w:highlight w:val="none"/>
                <w:lang w:eastAsia="zh-CN"/>
              </w:rPr>
              <w:t>委托有资质单位接收</w:t>
            </w:r>
            <w:r>
              <w:rPr>
                <w:rFonts w:hint="eastAsia"/>
                <w:color w:val="auto"/>
                <w:kern w:val="0"/>
                <w:sz w:val="20"/>
                <w:szCs w:val="20"/>
                <w:highlight w:val="none"/>
                <w:lang w:eastAsia="zh-CN"/>
              </w:rPr>
              <w:t>，不直接外排。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Align w:val="center"/>
          </w:tcPr>
          <w:p>
            <w:pPr>
              <w:adjustRightInd w:val="0"/>
              <w:snapToGrid w:val="0"/>
              <w:spacing w:line="240" w:lineRule="auto"/>
              <w:ind w:firstLine="0" w:firstLineChars="0"/>
              <w:jc w:val="center"/>
              <w:rPr>
                <w:rFonts w:hint="eastAsia"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车辆冲洗</w:t>
            </w:r>
          </w:p>
        </w:tc>
        <w:tc>
          <w:tcPr>
            <w:tcW w:w="124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冲洗废水</w:t>
            </w:r>
          </w:p>
        </w:tc>
        <w:tc>
          <w:tcPr>
            <w:tcW w:w="1869" w:type="dxa"/>
            <w:vAlign w:val="center"/>
          </w:tcPr>
          <w:p>
            <w:pPr>
              <w:adjustRightInd w:val="0"/>
              <w:snapToGrid w:val="0"/>
              <w:spacing w:line="240" w:lineRule="auto"/>
              <w:ind w:firstLine="0" w:firstLineChars="0"/>
              <w:jc w:val="center"/>
              <w:rPr>
                <w:rFonts w:hint="default"/>
                <w:color w:val="auto"/>
                <w:kern w:val="0"/>
                <w:sz w:val="20"/>
                <w:szCs w:val="20"/>
                <w:highlight w:val="none"/>
                <w:lang w:val="en-US" w:eastAsia="zh-CN"/>
              </w:rPr>
            </w:pPr>
            <w:r>
              <w:rPr>
                <w:rFonts w:hint="eastAsia"/>
                <w:color w:val="auto"/>
                <w:kern w:val="0"/>
                <w:sz w:val="20"/>
                <w:szCs w:val="20"/>
                <w:highlight w:val="none"/>
                <w:lang w:val="en-US" w:eastAsia="zh-CN"/>
              </w:rPr>
              <w:t>SS</w:t>
            </w:r>
          </w:p>
        </w:tc>
        <w:tc>
          <w:tcPr>
            <w:tcW w:w="1506" w:type="dxa"/>
            <w:vAlign w:val="center"/>
          </w:tcPr>
          <w:p>
            <w:pPr>
              <w:adjustRightInd w:val="0"/>
              <w:snapToGrid w:val="0"/>
              <w:spacing w:line="240" w:lineRule="auto"/>
              <w:ind w:firstLine="0" w:firstLineChars="0"/>
              <w:jc w:val="center"/>
              <w:rPr>
                <w:rFonts w:hint="default"/>
                <w:color w:val="auto"/>
                <w:kern w:val="0"/>
                <w:sz w:val="20"/>
                <w:szCs w:val="20"/>
                <w:highlight w:val="none"/>
                <w:lang w:val="en-US" w:eastAsia="zh-CN"/>
              </w:rPr>
            </w:pPr>
            <w:r>
              <w:rPr>
                <w:rFonts w:hint="eastAsia"/>
                <w:color w:val="auto"/>
                <w:kern w:val="0"/>
                <w:sz w:val="20"/>
                <w:szCs w:val="20"/>
                <w:highlight w:val="none"/>
                <w:lang w:val="en-US" w:eastAsia="zh-CN"/>
              </w:rPr>
              <w:t>14.4m³/d</w:t>
            </w:r>
          </w:p>
        </w:tc>
        <w:tc>
          <w:tcPr>
            <w:tcW w:w="3596" w:type="dxa"/>
            <w:vAlign w:val="center"/>
          </w:tcPr>
          <w:p>
            <w:pPr>
              <w:adjustRightInd w:val="0"/>
              <w:snapToGrid w:val="0"/>
              <w:spacing w:line="240" w:lineRule="auto"/>
              <w:ind w:firstLine="0" w:firstLineChars="0"/>
              <w:jc w:val="center"/>
              <w:rPr>
                <w:rFonts w:hint="default" w:eastAsia="宋体"/>
                <w:color w:val="auto"/>
                <w:kern w:val="0"/>
                <w:sz w:val="20"/>
                <w:szCs w:val="20"/>
                <w:highlight w:val="none"/>
                <w:lang w:val="en-US" w:eastAsia="zh-CN"/>
              </w:rPr>
            </w:pPr>
            <w:r>
              <w:rPr>
                <w:rFonts w:hint="eastAsia"/>
                <w:color w:val="auto"/>
                <w:kern w:val="0"/>
                <w:sz w:val="20"/>
                <w:szCs w:val="20"/>
                <w:highlight w:val="none"/>
                <w:lang w:val="en-US" w:eastAsia="zh-CN"/>
              </w:rPr>
              <w:t>回用于车辆冲洗</w:t>
            </w:r>
          </w:p>
        </w:tc>
        <w:tc>
          <w:tcPr>
            <w:tcW w:w="1444" w:type="dxa"/>
            <w:vAlign w:val="center"/>
          </w:tcPr>
          <w:p>
            <w:pPr>
              <w:adjustRightInd w:val="0"/>
              <w:snapToGrid w:val="0"/>
              <w:spacing w:line="240" w:lineRule="auto"/>
              <w:ind w:firstLine="0" w:firstLineChars="0"/>
              <w:jc w:val="center"/>
              <w:rPr>
                <w:rFonts w:hint="default"/>
                <w:color w:val="auto"/>
                <w:kern w:val="0"/>
                <w:sz w:val="20"/>
                <w:szCs w:val="20"/>
                <w:highlight w:val="none"/>
                <w:lang w:val="en-US" w:eastAsia="zh-CN"/>
              </w:rPr>
            </w:pPr>
            <w:r>
              <w:rPr>
                <w:rFonts w:hint="eastAsia"/>
                <w:color w:val="auto"/>
                <w:kern w:val="0"/>
                <w:sz w:val="20"/>
                <w:szCs w:val="20"/>
                <w:highlight w:val="none"/>
                <w:lang w:val="en-US" w:eastAsia="zh-CN"/>
              </w:rPr>
              <w:t>0</w:t>
            </w:r>
          </w:p>
        </w:tc>
        <w:tc>
          <w:tcPr>
            <w:tcW w:w="1445"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Align w:val="center"/>
          </w:tcPr>
          <w:p>
            <w:pPr>
              <w:adjustRightInd w:val="0"/>
              <w:snapToGrid w:val="0"/>
              <w:spacing w:line="240" w:lineRule="auto"/>
              <w:ind w:firstLine="0" w:firstLineChars="0"/>
              <w:jc w:val="center"/>
              <w:rPr>
                <w:rFonts w:hint="default"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疏浚渣临时堆存</w:t>
            </w:r>
          </w:p>
        </w:tc>
        <w:tc>
          <w:tcPr>
            <w:tcW w:w="124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堆存余水</w:t>
            </w:r>
          </w:p>
        </w:tc>
        <w:tc>
          <w:tcPr>
            <w:tcW w:w="1869" w:type="dxa"/>
            <w:vAlign w:val="center"/>
          </w:tcPr>
          <w:p>
            <w:pPr>
              <w:adjustRightInd w:val="0"/>
              <w:snapToGrid w:val="0"/>
              <w:spacing w:line="240" w:lineRule="auto"/>
              <w:ind w:firstLine="0" w:firstLineChars="0"/>
              <w:jc w:val="center"/>
              <w:rPr>
                <w:rFonts w:hint="default"/>
                <w:color w:val="auto"/>
                <w:kern w:val="0"/>
                <w:sz w:val="20"/>
                <w:szCs w:val="20"/>
                <w:highlight w:val="none"/>
                <w:lang w:val="en-US" w:eastAsia="zh-CN"/>
              </w:rPr>
            </w:pPr>
            <w:r>
              <w:rPr>
                <w:rFonts w:hint="eastAsia"/>
                <w:color w:val="auto"/>
                <w:kern w:val="0"/>
                <w:sz w:val="20"/>
                <w:szCs w:val="20"/>
                <w:highlight w:val="none"/>
                <w:lang w:val="en-US" w:eastAsia="zh-CN"/>
              </w:rPr>
              <w:t>SS</w:t>
            </w:r>
          </w:p>
        </w:tc>
        <w:tc>
          <w:tcPr>
            <w:tcW w:w="1506" w:type="dxa"/>
            <w:vAlign w:val="center"/>
          </w:tcPr>
          <w:p>
            <w:pPr>
              <w:adjustRightInd w:val="0"/>
              <w:snapToGrid w:val="0"/>
              <w:spacing w:line="240" w:lineRule="auto"/>
              <w:ind w:firstLine="0" w:firstLineChars="0"/>
              <w:jc w:val="center"/>
              <w:rPr>
                <w:rFonts w:hint="default"/>
                <w:color w:val="auto"/>
                <w:kern w:val="0"/>
                <w:sz w:val="20"/>
                <w:szCs w:val="20"/>
                <w:highlight w:val="none"/>
                <w:lang w:val="en-US" w:eastAsia="zh-CN"/>
              </w:rPr>
            </w:pPr>
            <w:r>
              <w:rPr>
                <w:rFonts w:hint="eastAsia"/>
                <w:color w:val="auto"/>
                <w:kern w:val="0"/>
                <w:sz w:val="20"/>
                <w:szCs w:val="20"/>
                <w:highlight w:val="none"/>
                <w:lang w:val="en-US" w:eastAsia="zh-CN"/>
              </w:rPr>
              <w:t>30m³/d</w:t>
            </w:r>
          </w:p>
        </w:tc>
        <w:tc>
          <w:tcPr>
            <w:tcW w:w="359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回用于施工期洒水抑尘</w:t>
            </w:r>
          </w:p>
        </w:tc>
        <w:tc>
          <w:tcPr>
            <w:tcW w:w="1444" w:type="dxa"/>
            <w:vAlign w:val="center"/>
          </w:tcPr>
          <w:p>
            <w:pPr>
              <w:adjustRightInd w:val="0"/>
              <w:snapToGrid w:val="0"/>
              <w:spacing w:line="240" w:lineRule="auto"/>
              <w:ind w:firstLine="0" w:firstLineChars="0"/>
              <w:jc w:val="center"/>
              <w:rPr>
                <w:rFonts w:hint="default"/>
                <w:color w:val="auto"/>
                <w:kern w:val="0"/>
                <w:sz w:val="20"/>
                <w:szCs w:val="20"/>
                <w:highlight w:val="none"/>
                <w:lang w:val="en-US" w:eastAsia="zh-CN"/>
              </w:rPr>
            </w:pPr>
            <w:r>
              <w:rPr>
                <w:rFonts w:hint="eastAsia"/>
                <w:color w:val="auto"/>
                <w:kern w:val="0"/>
                <w:sz w:val="20"/>
                <w:szCs w:val="20"/>
                <w:highlight w:val="none"/>
                <w:lang w:val="en-US" w:eastAsia="zh-CN"/>
              </w:rPr>
              <w:t>0</w:t>
            </w:r>
          </w:p>
        </w:tc>
        <w:tc>
          <w:tcPr>
            <w:tcW w:w="1445"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r>
              <w:rPr>
                <w:rFonts w:hint="eastAsia"/>
                <w:color w:val="auto"/>
                <w:kern w:val="0"/>
                <w:sz w:val="20"/>
                <w:szCs w:val="20"/>
                <w:highlight w:val="none"/>
                <w:lang w:eastAsia="zh-CN"/>
              </w:rPr>
              <w:t>施工人员</w:t>
            </w:r>
          </w:p>
        </w:tc>
        <w:tc>
          <w:tcPr>
            <w:tcW w:w="1241"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eastAsia="zh-CN"/>
              </w:rPr>
              <w:t>生活污水</w:t>
            </w:r>
          </w:p>
        </w:tc>
        <w:tc>
          <w:tcPr>
            <w:tcW w:w="1869" w:type="dxa"/>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r>
              <w:rPr>
                <w:rFonts w:ascii="Times New Roman" w:hAnsi="Times New Roman"/>
                <w:snapToGrid w:val="0"/>
                <w:color w:val="auto"/>
                <w:sz w:val="20"/>
                <w:szCs w:val="20"/>
                <w:highlight w:val="none"/>
              </w:rPr>
              <w:t>COD、BOD</w:t>
            </w:r>
            <w:r>
              <w:rPr>
                <w:rFonts w:ascii="Times New Roman" w:hAnsi="Times New Roman"/>
                <w:snapToGrid w:val="0"/>
                <w:color w:val="auto"/>
                <w:sz w:val="20"/>
                <w:szCs w:val="20"/>
                <w:highlight w:val="none"/>
                <w:vertAlign w:val="subscript"/>
              </w:rPr>
              <w:t>5</w:t>
            </w:r>
            <w:r>
              <w:rPr>
                <w:rFonts w:ascii="Times New Roman" w:hAnsi="Times New Roman"/>
                <w:snapToGrid w:val="0"/>
                <w:color w:val="auto"/>
                <w:sz w:val="20"/>
                <w:szCs w:val="20"/>
                <w:highlight w:val="none"/>
              </w:rPr>
              <w:t>、SS</w:t>
            </w:r>
            <w:r>
              <w:rPr>
                <w:rFonts w:hint="eastAsia" w:ascii="Times New Roman" w:hAnsi="Times New Roman"/>
                <w:snapToGrid w:val="0"/>
                <w:color w:val="auto"/>
                <w:sz w:val="20"/>
                <w:szCs w:val="20"/>
                <w:highlight w:val="none"/>
                <w:lang w:eastAsia="zh-CN"/>
              </w:rPr>
              <w:t>、</w:t>
            </w:r>
            <w:r>
              <w:rPr>
                <w:rFonts w:ascii="Times New Roman" w:hAnsi="Times New Roman"/>
                <w:color w:val="auto"/>
                <w:spacing w:val="-3"/>
                <w:sz w:val="20"/>
                <w:szCs w:val="20"/>
                <w:highlight w:val="none"/>
              </w:rPr>
              <w:t>NH</w:t>
            </w:r>
            <w:r>
              <w:rPr>
                <w:rFonts w:ascii="Times New Roman" w:hAnsi="Times New Roman"/>
                <w:color w:val="auto"/>
                <w:spacing w:val="-3"/>
                <w:sz w:val="20"/>
                <w:szCs w:val="20"/>
                <w:highlight w:val="none"/>
                <w:vertAlign w:val="subscript"/>
              </w:rPr>
              <w:t>3</w:t>
            </w:r>
            <w:r>
              <w:rPr>
                <w:rFonts w:ascii="Times New Roman" w:hAnsi="Times New Roman"/>
                <w:color w:val="auto"/>
                <w:spacing w:val="-3"/>
                <w:sz w:val="20"/>
                <w:szCs w:val="20"/>
                <w:highlight w:val="none"/>
              </w:rPr>
              <w:t>-N</w:t>
            </w:r>
            <w:r>
              <w:rPr>
                <w:rFonts w:hint="eastAsia" w:ascii="Times New Roman" w:hAnsi="Times New Roman"/>
                <w:color w:val="auto"/>
                <w:spacing w:val="-3"/>
                <w:sz w:val="20"/>
                <w:szCs w:val="20"/>
                <w:highlight w:val="none"/>
                <w:lang w:eastAsia="zh-CN"/>
              </w:rPr>
              <w:t>、</w:t>
            </w:r>
            <w:r>
              <w:rPr>
                <w:rFonts w:ascii="Times New Roman" w:hAnsi="Times New Roman"/>
                <w:color w:val="auto"/>
                <w:spacing w:val="-3"/>
                <w:sz w:val="20"/>
                <w:szCs w:val="20"/>
                <w:highlight w:val="none"/>
              </w:rPr>
              <w:t>TP</w:t>
            </w:r>
          </w:p>
        </w:tc>
        <w:tc>
          <w:tcPr>
            <w:tcW w:w="1506" w:type="dxa"/>
            <w:vAlign w:val="center"/>
          </w:tcPr>
          <w:p>
            <w:pPr>
              <w:adjustRightInd w:val="0"/>
              <w:snapToGrid w:val="0"/>
              <w:spacing w:line="240" w:lineRule="auto"/>
              <w:ind w:firstLine="0" w:firstLineChars="0"/>
              <w:jc w:val="center"/>
              <w:rPr>
                <w:rFonts w:hint="default" w:eastAsia="宋体"/>
                <w:color w:val="auto"/>
                <w:kern w:val="0"/>
                <w:sz w:val="20"/>
                <w:szCs w:val="20"/>
                <w:highlight w:val="none"/>
                <w:lang w:val="en-US" w:eastAsia="zh-CN"/>
              </w:rPr>
            </w:pPr>
            <w:r>
              <w:rPr>
                <w:rFonts w:hint="eastAsia"/>
                <w:color w:val="auto"/>
                <w:kern w:val="0"/>
                <w:sz w:val="20"/>
                <w:szCs w:val="20"/>
                <w:highlight w:val="none"/>
                <w:lang w:val="en-US" w:eastAsia="zh-CN"/>
              </w:rPr>
              <w:t>60m³/d</w:t>
            </w:r>
          </w:p>
        </w:tc>
        <w:tc>
          <w:tcPr>
            <w:tcW w:w="3596"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shd w:val="clear" w:fill="FFFFFF"/>
                <w:lang w:eastAsia="zh-CN"/>
              </w:rPr>
              <w:t>采用</w:t>
            </w:r>
            <w:r>
              <w:rPr>
                <w:rFonts w:hint="eastAsia"/>
                <w:color w:val="auto"/>
                <w:kern w:val="0"/>
                <w:sz w:val="20"/>
                <w:szCs w:val="20"/>
                <w:highlight w:val="none"/>
              </w:rPr>
              <w:t>一体化污水处理系统处理后回用于绿化、道路清扫和施工生产等</w:t>
            </w:r>
          </w:p>
        </w:tc>
        <w:tc>
          <w:tcPr>
            <w:tcW w:w="1444"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val="en-US" w:eastAsia="zh-CN"/>
              </w:rPr>
            </w:pPr>
            <w:r>
              <w:rPr>
                <w:rFonts w:hint="eastAsia"/>
                <w:color w:val="auto"/>
                <w:kern w:val="0"/>
                <w:sz w:val="20"/>
                <w:szCs w:val="20"/>
                <w:highlight w:val="none"/>
                <w:lang w:val="en-US" w:eastAsia="zh-CN"/>
              </w:rPr>
              <w:t>0</w:t>
            </w:r>
          </w:p>
        </w:tc>
        <w:tc>
          <w:tcPr>
            <w:tcW w:w="1445"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restart"/>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固废</w:t>
            </w:r>
          </w:p>
        </w:tc>
        <w:tc>
          <w:tcPr>
            <w:tcW w:w="163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土石方开挖</w:t>
            </w:r>
          </w:p>
        </w:tc>
        <w:tc>
          <w:tcPr>
            <w:tcW w:w="3110" w:type="dxa"/>
            <w:gridSpan w:val="2"/>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施工弃渣</w:t>
            </w:r>
          </w:p>
        </w:tc>
        <w:tc>
          <w:tcPr>
            <w:tcW w:w="1506" w:type="dxa"/>
            <w:vAlign w:val="center"/>
          </w:tcPr>
          <w:p>
            <w:pPr>
              <w:adjustRightInd w:val="0"/>
              <w:snapToGrid w:val="0"/>
              <w:spacing w:line="240" w:lineRule="auto"/>
              <w:ind w:firstLine="0" w:firstLineChars="0"/>
              <w:jc w:val="center"/>
              <w:rPr>
                <w:rFonts w:hint="default" w:eastAsia="宋体"/>
                <w:color w:val="auto"/>
                <w:kern w:val="0"/>
                <w:sz w:val="20"/>
                <w:szCs w:val="20"/>
                <w:highlight w:val="none"/>
                <w:lang w:val="en-US" w:eastAsia="zh-CN"/>
              </w:rPr>
            </w:pPr>
            <w:r>
              <w:rPr>
                <w:rFonts w:hint="eastAsia"/>
                <w:color w:val="auto"/>
                <w:kern w:val="0"/>
                <w:sz w:val="20"/>
                <w:szCs w:val="20"/>
                <w:highlight w:val="none"/>
                <w:lang w:val="en-US" w:eastAsia="zh-CN"/>
              </w:rPr>
              <w:t>195.47万m³</w:t>
            </w:r>
          </w:p>
        </w:tc>
        <w:tc>
          <w:tcPr>
            <w:tcW w:w="359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优先用于回填利用，不能利用的运输至临时弃渣场堆放</w:t>
            </w:r>
          </w:p>
        </w:tc>
        <w:tc>
          <w:tcPr>
            <w:tcW w:w="1444" w:type="dxa"/>
            <w:vAlign w:val="center"/>
          </w:tcPr>
          <w:p>
            <w:pPr>
              <w:adjustRightInd w:val="0"/>
              <w:snapToGrid w:val="0"/>
              <w:spacing w:line="240" w:lineRule="auto"/>
              <w:ind w:firstLine="0" w:firstLineChars="0"/>
              <w:jc w:val="center"/>
              <w:rPr>
                <w:rFonts w:hint="default"/>
                <w:color w:val="auto"/>
                <w:kern w:val="0"/>
                <w:sz w:val="20"/>
                <w:szCs w:val="20"/>
                <w:highlight w:val="none"/>
                <w:lang w:val="en-US" w:eastAsia="zh-CN"/>
              </w:rPr>
            </w:pPr>
            <w:r>
              <w:rPr>
                <w:rFonts w:hint="eastAsia"/>
                <w:color w:val="auto"/>
                <w:kern w:val="0"/>
                <w:sz w:val="20"/>
                <w:szCs w:val="20"/>
                <w:highlight w:val="none"/>
                <w:lang w:val="en-US" w:eastAsia="zh-CN"/>
              </w:rPr>
              <w:t>172.20万m³</w:t>
            </w:r>
          </w:p>
        </w:tc>
        <w:tc>
          <w:tcPr>
            <w:tcW w:w="1445"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临时弃渣场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建筑物拆除</w:t>
            </w:r>
          </w:p>
        </w:tc>
        <w:tc>
          <w:tcPr>
            <w:tcW w:w="3110" w:type="dxa"/>
            <w:gridSpan w:val="2"/>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拆除垃圾</w:t>
            </w:r>
          </w:p>
        </w:tc>
        <w:tc>
          <w:tcPr>
            <w:tcW w:w="1506" w:type="dxa"/>
            <w:vAlign w:val="center"/>
          </w:tcPr>
          <w:p>
            <w:pPr>
              <w:adjustRightInd w:val="0"/>
              <w:snapToGrid w:val="0"/>
              <w:spacing w:line="240" w:lineRule="auto"/>
              <w:ind w:firstLine="0" w:firstLineChars="0"/>
              <w:jc w:val="center"/>
              <w:rPr>
                <w:rFonts w:hint="default" w:eastAsia="宋体"/>
                <w:color w:val="auto"/>
                <w:kern w:val="0"/>
                <w:sz w:val="20"/>
                <w:szCs w:val="20"/>
                <w:highlight w:val="none"/>
                <w:lang w:val="en-US" w:eastAsia="zh-CN"/>
              </w:rPr>
            </w:pPr>
            <w:r>
              <w:rPr>
                <w:rFonts w:hint="eastAsia"/>
                <w:color w:val="auto"/>
                <w:kern w:val="0"/>
                <w:sz w:val="20"/>
                <w:szCs w:val="20"/>
                <w:highlight w:val="none"/>
                <w:lang w:val="en-US" w:eastAsia="zh-CN"/>
              </w:rPr>
              <w:t>6000t</w:t>
            </w:r>
          </w:p>
        </w:tc>
        <w:tc>
          <w:tcPr>
            <w:tcW w:w="3596"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rPr>
              <w:t>优先进行回收利用，不能回收利用的运送至合法的建筑垃圾消纳场进行处置</w:t>
            </w:r>
          </w:p>
        </w:tc>
        <w:tc>
          <w:tcPr>
            <w:tcW w:w="1444"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val="en-US" w:eastAsia="zh-CN"/>
              </w:rPr>
              <w:t>6000t</w:t>
            </w:r>
          </w:p>
        </w:tc>
        <w:tc>
          <w:tcPr>
            <w:tcW w:w="1445"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合法的建筑垃圾消纳场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r>
              <w:rPr>
                <w:rFonts w:hint="eastAsia"/>
                <w:color w:val="auto"/>
                <w:kern w:val="0"/>
                <w:sz w:val="20"/>
                <w:szCs w:val="20"/>
                <w:highlight w:val="none"/>
                <w:lang w:eastAsia="zh-CN"/>
              </w:rPr>
              <w:t>施工人员</w:t>
            </w:r>
          </w:p>
        </w:tc>
        <w:tc>
          <w:tcPr>
            <w:tcW w:w="3110" w:type="dxa"/>
            <w:gridSpan w:val="2"/>
            <w:vAlign w:val="center"/>
          </w:tcPr>
          <w:p>
            <w:pPr>
              <w:adjustRightInd w:val="0"/>
              <w:snapToGrid w:val="0"/>
              <w:spacing w:line="240" w:lineRule="auto"/>
              <w:ind w:firstLine="0" w:firstLineChars="0"/>
              <w:jc w:val="center"/>
              <w:rPr>
                <w:rFonts w:hint="default"/>
                <w:color w:val="auto"/>
                <w:kern w:val="0"/>
                <w:sz w:val="20"/>
                <w:szCs w:val="20"/>
                <w:highlight w:val="none"/>
                <w:lang w:val="en-US" w:eastAsia="zh-CN"/>
              </w:rPr>
            </w:pPr>
            <w:r>
              <w:rPr>
                <w:rFonts w:hint="eastAsia"/>
                <w:color w:val="auto"/>
                <w:kern w:val="0"/>
                <w:sz w:val="20"/>
                <w:szCs w:val="20"/>
                <w:highlight w:val="none"/>
                <w:lang w:val="en-US" w:eastAsia="zh-CN"/>
              </w:rPr>
              <w:t>生活垃圾</w:t>
            </w:r>
          </w:p>
        </w:tc>
        <w:tc>
          <w:tcPr>
            <w:tcW w:w="1506"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lang w:val="en-US" w:eastAsia="zh-CN"/>
              </w:rPr>
              <w:t>375kg/d</w:t>
            </w:r>
          </w:p>
        </w:tc>
        <w:tc>
          <w:tcPr>
            <w:tcW w:w="3596" w:type="dxa"/>
            <w:vAlign w:val="center"/>
          </w:tcPr>
          <w:p>
            <w:pPr>
              <w:adjustRightInd w:val="0"/>
              <w:snapToGrid w:val="0"/>
              <w:spacing w:line="240" w:lineRule="auto"/>
              <w:ind w:firstLine="0" w:firstLineChars="0"/>
              <w:jc w:val="center"/>
              <w:rPr>
                <w:rFonts w:hint="eastAsia"/>
                <w:color w:val="auto"/>
                <w:kern w:val="0"/>
                <w:sz w:val="20"/>
                <w:szCs w:val="20"/>
                <w:highlight w:val="none"/>
              </w:rPr>
            </w:pPr>
            <w:r>
              <w:rPr>
                <w:rFonts w:hint="eastAsia"/>
                <w:color w:val="auto"/>
                <w:kern w:val="0"/>
                <w:sz w:val="20"/>
                <w:szCs w:val="20"/>
                <w:highlight w:val="none"/>
              </w:rPr>
              <w:t>集中收集后交由环卫部门处置</w:t>
            </w:r>
          </w:p>
        </w:tc>
        <w:tc>
          <w:tcPr>
            <w:tcW w:w="1444"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val="en-US" w:eastAsia="zh-CN"/>
              </w:rPr>
              <w:t>375kg/d</w:t>
            </w:r>
          </w:p>
        </w:tc>
        <w:tc>
          <w:tcPr>
            <w:tcW w:w="1445" w:type="dxa"/>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r>
              <w:rPr>
                <w:rFonts w:hint="eastAsia"/>
                <w:color w:val="auto"/>
                <w:kern w:val="0"/>
                <w:sz w:val="20"/>
                <w:szCs w:val="20"/>
                <w:highlight w:val="none"/>
                <w:lang w:eastAsia="zh-CN"/>
              </w:rPr>
              <w:t>外委处置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restart"/>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噪声</w:t>
            </w:r>
          </w:p>
        </w:tc>
        <w:tc>
          <w:tcPr>
            <w:tcW w:w="1636" w:type="dxa"/>
            <w:vAlign w:val="center"/>
          </w:tcPr>
          <w:p>
            <w:pPr>
              <w:adjustRightInd w:val="0"/>
              <w:snapToGrid w:val="0"/>
              <w:spacing w:line="240" w:lineRule="auto"/>
              <w:ind w:firstLine="0" w:firstLineChars="0"/>
              <w:jc w:val="center"/>
              <w:rPr>
                <w:rFonts w:hint="eastAsia"/>
                <w:color w:val="auto"/>
                <w:kern w:val="0"/>
                <w:sz w:val="20"/>
                <w:szCs w:val="20"/>
                <w:highlight w:val="none"/>
              </w:rPr>
            </w:pPr>
            <w:r>
              <w:rPr>
                <w:rFonts w:hint="eastAsia"/>
                <w:color w:val="auto"/>
                <w:kern w:val="0"/>
                <w:sz w:val="20"/>
                <w:szCs w:val="20"/>
                <w:highlight w:val="none"/>
              </w:rPr>
              <w:t>土石方机械</w:t>
            </w:r>
          </w:p>
        </w:tc>
        <w:tc>
          <w:tcPr>
            <w:tcW w:w="3110" w:type="dxa"/>
            <w:gridSpan w:val="2"/>
            <w:vAlign w:val="center"/>
          </w:tcPr>
          <w:p>
            <w:pPr>
              <w:adjustRightInd w:val="0"/>
              <w:snapToGrid w:val="0"/>
              <w:spacing w:line="240" w:lineRule="auto"/>
              <w:ind w:firstLine="0" w:firstLineChars="0"/>
              <w:jc w:val="center"/>
              <w:rPr>
                <w:rFonts w:hint="default" w:eastAsia="宋体"/>
                <w:color w:val="auto"/>
                <w:kern w:val="0"/>
                <w:sz w:val="20"/>
                <w:szCs w:val="20"/>
                <w:highlight w:val="none"/>
                <w:lang w:val="en-US" w:eastAsia="zh-CN"/>
              </w:rPr>
            </w:pPr>
            <w:r>
              <w:rPr>
                <w:rFonts w:hint="eastAsia"/>
                <w:color w:val="auto"/>
                <w:kern w:val="0"/>
                <w:sz w:val="20"/>
                <w:szCs w:val="20"/>
                <w:highlight w:val="none"/>
                <w:lang w:eastAsia="zh-CN"/>
              </w:rPr>
              <w:t>等效连续</w:t>
            </w:r>
            <w:r>
              <w:rPr>
                <w:rFonts w:hint="eastAsia"/>
                <w:color w:val="auto"/>
                <w:kern w:val="0"/>
                <w:sz w:val="20"/>
                <w:szCs w:val="20"/>
                <w:highlight w:val="none"/>
                <w:lang w:val="en-US" w:eastAsia="zh-CN"/>
              </w:rPr>
              <w:t>A声级</w:t>
            </w:r>
          </w:p>
        </w:tc>
        <w:tc>
          <w:tcPr>
            <w:tcW w:w="1506"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val="en-US" w:eastAsia="zh-CN"/>
              </w:rPr>
              <w:t>82～125dB(A)</w:t>
            </w:r>
          </w:p>
        </w:tc>
        <w:tc>
          <w:tcPr>
            <w:tcW w:w="3596" w:type="dxa"/>
            <w:vAlign w:val="center"/>
          </w:tcPr>
          <w:p>
            <w:pPr>
              <w:adjustRightInd w:val="0"/>
              <w:snapToGrid w:val="0"/>
              <w:spacing w:line="240" w:lineRule="auto"/>
              <w:ind w:firstLine="0" w:firstLineChars="0"/>
              <w:jc w:val="center"/>
              <w:rPr>
                <w:rFonts w:ascii="Times New Roman" w:hAnsi="Times New Roman" w:eastAsia="宋体"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使用低噪声设备，隔声，定期对设备进行维护保养</w:t>
            </w:r>
          </w:p>
        </w:tc>
        <w:tc>
          <w:tcPr>
            <w:tcW w:w="1444"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val="en-US" w:eastAsia="zh-CN"/>
              </w:rPr>
              <w:t>82～125dB(A)</w:t>
            </w:r>
          </w:p>
        </w:tc>
        <w:tc>
          <w:tcPr>
            <w:tcW w:w="1445"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lang w:eastAsia="zh-CN"/>
              </w:rPr>
              <w:t>外环境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p>
        </w:tc>
        <w:tc>
          <w:tcPr>
            <w:tcW w:w="163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基础处理设备</w:t>
            </w:r>
          </w:p>
        </w:tc>
        <w:tc>
          <w:tcPr>
            <w:tcW w:w="3110" w:type="dxa"/>
            <w:gridSpan w:val="2"/>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r>
              <w:rPr>
                <w:rFonts w:hint="eastAsia"/>
                <w:color w:val="auto"/>
                <w:kern w:val="0"/>
                <w:sz w:val="20"/>
                <w:szCs w:val="20"/>
                <w:highlight w:val="none"/>
                <w:lang w:eastAsia="zh-CN"/>
              </w:rPr>
              <w:t>等效连续</w:t>
            </w:r>
            <w:r>
              <w:rPr>
                <w:rFonts w:hint="eastAsia"/>
                <w:color w:val="auto"/>
                <w:kern w:val="0"/>
                <w:sz w:val="20"/>
                <w:szCs w:val="20"/>
                <w:highlight w:val="none"/>
                <w:lang w:val="en-US" w:eastAsia="zh-CN"/>
              </w:rPr>
              <w:t>A声级</w:t>
            </w:r>
          </w:p>
        </w:tc>
        <w:tc>
          <w:tcPr>
            <w:tcW w:w="1506" w:type="dxa"/>
            <w:vAlign w:val="center"/>
          </w:tcPr>
          <w:p>
            <w:pPr>
              <w:adjustRightInd w:val="0"/>
              <w:snapToGrid w:val="0"/>
              <w:spacing w:line="240" w:lineRule="auto"/>
              <w:ind w:firstLine="0" w:firstLineChars="0"/>
              <w:jc w:val="center"/>
              <w:rPr>
                <w:rFonts w:hint="eastAsia"/>
                <w:color w:val="auto"/>
                <w:kern w:val="0"/>
                <w:sz w:val="20"/>
                <w:szCs w:val="20"/>
                <w:highlight w:val="none"/>
                <w:lang w:val="en-US" w:eastAsia="zh-CN"/>
              </w:rPr>
            </w:pPr>
            <w:r>
              <w:rPr>
                <w:rFonts w:hint="eastAsia"/>
                <w:color w:val="auto"/>
                <w:kern w:val="0"/>
                <w:sz w:val="20"/>
                <w:szCs w:val="20"/>
                <w:highlight w:val="none"/>
                <w:lang w:val="en-US" w:eastAsia="zh-CN"/>
              </w:rPr>
              <w:t>82～125dB(A)</w:t>
            </w:r>
          </w:p>
        </w:tc>
        <w:tc>
          <w:tcPr>
            <w:tcW w:w="3596" w:type="dxa"/>
            <w:vAlign w:val="center"/>
          </w:tcPr>
          <w:p>
            <w:pPr>
              <w:adjustRightInd w:val="0"/>
              <w:snapToGrid w:val="0"/>
              <w:spacing w:line="240" w:lineRule="auto"/>
              <w:ind w:firstLine="0" w:firstLineChars="0"/>
              <w:jc w:val="center"/>
              <w:rPr>
                <w:rFonts w:hint="eastAsia"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使用低噪声设备，隔声，定期对设备进行维护保养</w:t>
            </w:r>
          </w:p>
        </w:tc>
        <w:tc>
          <w:tcPr>
            <w:tcW w:w="1444"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val="en-US" w:eastAsia="zh-CN"/>
              </w:rPr>
              <w:t>82～125dB(A)</w:t>
            </w:r>
          </w:p>
        </w:tc>
        <w:tc>
          <w:tcPr>
            <w:tcW w:w="1445" w:type="dxa"/>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r>
              <w:rPr>
                <w:rFonts w:hint="eastAsia"/>
                <w:color w:val="auto"/>
                <w:kern w:val="0"/>
                <w:sz w:val="20"/>
                <w:szCs w:val="20"/>
                <w:highlight w:val="none"/>
                <w:lang w:eastAsia="zh-CN"/>
              </w:rPr>
              <w:t>外环境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Align w:val="center"/>
          </w:tcPr>
          <w:p>
            <w:pPr>
              <w:adjustRightInd w:val="0"/>
              <w:snapToGrid w:val="0"/>
              <w:spacing w:line="240" w:lineRule="auto"/>
              <w:ind w:firstLine="0" w:firstLineChars="0"/>
              <w:jc w:val="center"/>
              <w:rPr>
                <w:rFonts w:hint="eastAsia"/>
                <w:color w:val="auto"/>
                <w:kern w:val="0"/>
                <w:sz w:val="20"/>
                <w:szCs w:val="20"/>
                <w:highlight w:val="none"/>
              </w:rPr>
            </w:pPr>
            <w:r>
              <w:rPr>
                <w:rFonts w:hint="eastAsia"/>
                <w:color w:val="auto"/>
                <w:kern w:val="0"/>
                <w:sz w:val="20"/>
                <w:szCs w:val="20"/>
                <w:highlight w:val="none"/>
              </w:rPr>
              <w:t>混凝土机械</w:t>
            </w:r>
          </w:p>
        </w:tc>
        <w:tc>
          <w:tcPr>
            <w:tcW w:w="3110" w:type="dxa"/>
            <w:gridSpan w:val="2"/>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lang w:eastAsia="zh-CN"/>
              </w:rPr>
              <w:t>等效连续</w:t>
            </w:r>
            <w:r>
              <w:rPr>
                <w:rFonts w:hint="eastAsia"/>
                <w:color w:val="auto"/>
                <w:kern w:val="0"/>
                <w:sz w:val="20"/>
                <w:szCs w:val="20"/>
                <w:highlight w:val="none"/>
                <w:lang w:val="en-US" w:eastAsia="zh-CN"/>
              </w:rPr>
              <w:t>A声级</w:t>
            </w:r>
          </w:p>
        </w:tc>
        <w:tc>
          <w:tcPr>
            <w:tcW w:w="1506"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lang w:val="en-US" w:eastAsia="zh-CN"/>
              </w:rPr>
              <w:t>80～100dB(A)</w:t>
            </w:r>
          </w:p>
        </w:tc>
        <w:tc>
          <w:tcPr>
            <w:tcW w:w="3596"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s="Times New Roman"/>
                <w:color w:val="auto"/>
                <w:kern w:val="0"/>
                <w:sz w:val="20"/>
                <w:szCs w:val="20"/>
                <w:highlight w:val="none"/>
                <w:lang w:val="en-US" w:eastAsia="zh-CN" w:bidi="ar-SA"/>
              </w:rPr>
              <w:t>使用低噪声设备，基础减振、隔声</w:t>
            </w:r>
          </w:p>
        </w:tc>
        <w:tc>
          <w:tcPr>
            <w:tcW w:w="1444"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val="en-US" w:eastAsia="zh-CN"/>
              </w:rPr>
              <w:t>80～100dB(A)</w:t>
            </w:r>
          </w:p>
        </w:tc>
        <w:tc>
          <w:tcPr>
            <w:tcW w:w="1445"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lang w:eastAsia="zh-CN"/>
              </w:rPr>
              <w:t>外环境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Align w:val="center"/>
          </w:tcPr>
          <w:p>
            <w:pPr>
              <w:adjustRightInd w:val="0"/>
              <w:snapToGrid w:val="0"/>
              <w:spacing w:line="240" w:lineRule="auto"/>
              <w:ind w:firstLine="0" w:firstLineChars="0"/>
              <w:jc w:val="center"/>
              <w:rPr>
                <w:rFonts w:hint="eastAsia"/>
                <w:color w:val="auto"/>
                <w:kern w:val="0"/>
                <w:sz w:val="20"/>
                <w:szCs w:val="20"/>
                <w:highlight w:val="none"/>
              </w:rPr>
            </w:pPr>
            <w:r>
              <w:rPr>
                <w:rFonts w:hint="eastAsia"/>
                <w:color w:val="auto"/>
                <w:kern w:val="0"/>
                <w:sz w:val="20"/>
                <w:szCs w:val="20"/>
                <w:highlight w:val="none"/>
              </w:rPr>
              <w:t>运输机械</w:t>
            </w:r>
          </w:p>
        </w:tc>
        <w:tc>
          <w:tcPr>
            <w:tcW w:w="3110" w:type="dxa"/>
            <w:gridSpan w:val="2"/>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lang w:eastAsia="zh-CN"/>
              </w:rPr>
              <w:t>等效连续</w:t>
            </w:r>
            <w:r>
              <w:rPr>
                <w:rFonts w:hint="eastAsia"/>
                <w:color w:val="auto"/>
                <w:kern w:val="0"/>
                <w:sz w:val="20"/>
                <w:szCs w:val="20"/>
                <w:highlight w:val="none"/>
                <w:lang w:val="en-US" w:eastAsia="zh-CN"/>
              </w:rPr>
              <w:t>A声级</w:t>
            </w:r>
          </w:p>
        </w:tc>
        <w:tc>
          <w:tcPr>
            <w:tcW w:w="1506" w:type="dxa"/>
            <w:vAlign w:val="center"/>
          </w:tcPr>
          <w:p>
            <w:pPr>
              <w:adjustRightInd w:val="0"/>
              <w:snapToGrid w:val="0"/>
              <w:spacing w:line="240" w:lineRule="auto"/>
              <w:ind w:firstLine="0" w:firstLineChars="0"/>
              <w:jc w:val="center"/>
              <w:rPr>
                <w:rFonts w:hint="default" w:eastAsia="宋体"/>
                <w:color w:val="auto"/>
                <w:kern w:val="0"/>
                <w:sz w:val="20"/>
                <w:szCs w:val="20"/>
                <w:highlight w:val="none"/>
                <w:lang w:val="en-US" w:eastAsia="zh-CN"/>
              </w:rPr>
            </w:pPr>
            <w:r>
              <w:rPr>
                <w:rFonts w:hint="eastAsia"/>
                <w:color w:val="auto"/>
                <w:kern w:val="0"/>
                <w:sz w:val="20"/>
                <w:szCs w:val="20"/>
                <w:highlight w:val="none"/>
                <w:lang w:val="en-US" w:eastAsia="zh-CN"/>
              </w:rPr>
              <w:t>60～90dB(A)</w:t>
            </w:r>
          </w:p>
        </w:tc>
        <w:tc>
          <w:tcPr>
            <w:tcW w:w="3596"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s="Times New Roman"/>
                <w:color w:val="auto"/>
                <w:kern w:val="0"/>
                <w:sz w:val="20"/>
                <w:szCs w:val="20"/>
                <w:highlight w:val="none"/>
                <w:lang w:val="en-US" w:eastAsia="zh-CN" w:bidi="ar-SA"/>
              </w:rPr>
              <w:t>使用低噪声设备，限速行驶，定期对设备进行维护保养</w:t>
            </w:r>
          </w:p>
        </w:tc>
        <w:tc>
          <w:tcPr>
            <w:tcW w:w="1444"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val="en-US" w:eastAsia="zh-CN"/>
              </w:rPr>
              <w:t>60～90dB(A)</w:t>
            </w:r>
          </w:p>
        </w:tc>
        <w:tc>
          <w:tcPr>
            <w:tcW w:w="1445"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lang w:eastAsia="zh-CN"/>
              </w:rPr>
              <w:t>外环境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供水供电设备</w:t>
            </w:r>
          </w:p>
        </w:tc>
        <w:tc>
          <w:tcPr>
            <w:tcW w:w="3110" w:type="dxa"/>
            <w:gridSpan w:val="2"/>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r>
              <w:rPr>
                <w:rFonts w:hint="eastAsia"/>
                <w:color w:val="auto"/>
                <w:kern w:val="0"/>
                <w:sz w:val="20"/>
                <w:szCs w:val="20"/>
                <w:highlight w:val="none"/>
                <w:lang w:eastAsia="zh-CN"/>
              </w:rPr>
              <w:t>等效连续</w:t>
            </w:r>
            <w:r>
              <w:rPr>
                <w:rFonts w:hint="eastAsia"/>
                <w:color w:val="auto"/>
                <w:kern w:val="0"/>
                <w:sz w:val="20"/>
                <w:szCs w:val="20"/>
                <w:highlight w:val="none"/>
                <w:lang w:val="en-US" w:eastAsia="zh-CN"/>
              </w:rPr>
              <w:t>A声级</w:t>
            </w:r>
          </w:p>
        </w:tc>
        <w:tc>
          <w:tcPr>
            <w:tcW w:w="1506" w:type="dxa"/>
            <w:vAlign w:val="center"/>
          </w:tcPr>
          <w:p>
            <w:pPr>
              <w:adjustRightInd w:val="0"/>
              <w:snapToGrid w:val="0"/>
              <w:spacing w:line="240" w:lineRule="auto"/>
              <w:ind w:firstLine="0" w:firstLineChars="0"/>
              <w:jc w:val="center"/>
              <w:rPr>
                <w:rFonts w:hint="eastAsia"/>
                <w:color w:val="auto"/>
                <w:kern w:val="0"/>
                <w:sz w:val="20"/>
                <w:szCs w:val="20"/>
                <w:highlight w:val="none"/>
                <w:lang w:val="en-US" w:eastAsia="zh-CN"/>
              </w:rPr>
            </w:pPr>
            <w:r>
              <w:rPr>
                <w:rFonts w:hint="eastAsia"/>
                <w:color w:val="auto"/>
                <w:kern w:val="0"/>
                <w:sz w:val="20"/>
                <w:szCs w:val="20"/>
                <w:highlight w:val="none"/>
                <w:lang w:val="en-US" w:eastAsia="zh-CN"/>
              </w:rPr>
              <w:t>75～102dB(A)</w:t>
            </w:r>
          </w:p>
        </w:tc>
        <w:tc>
          <w:tcPr>
            <w:tcW w:w="3596" w:type="dxa"/>
            <w:vAlign w:val="center"/>
          </w:tcPr>
          <w:p>
            <w:pPr>
              <w:adjustRightInd w:val="0"/>
              <w:snapToGrid w:val="0"/>
              <w:spacing w:line="240" w:lineRule="auto"/>
              <w:ind w:firstLine="0" w:firstLineChars="0"/>
              <w:jc w:val="center"/>
              <w:rPr>
                <w:rFonts w:hint="eastAsia" w:cs="Times New Roman"/>
                <w:color w:val="auto"/>
                <w:kern w:val="0"/>
                <w:sz w:val="20"/>
                <w:szCs w:val="20"/>
                <w:highlight w:val="none"/>
                <w:lang w:val="en-US" w:eastAsia="zh-CN" w:bidi="ar-SA"/>
              </w:rPr>
            </w:pPr>
            <w:r>
              <w:rPr>
                <w:rFonts w:hint="eastAsia" w:cs="Times New Roman"/>
                <w:color w:val="auto"/>
                <w:kern w:val="0"/>
                <w:sz w:val="20"/>
                <w:szCs w:val="20"/>
                <w:highlight w:val="none"/>
                <w:lang w:val="en-US" w:eastAsia="zh-CN" w:bidi="ar-SA"/>
              </w:rPr>
              <w:t>使用低噪声设备，基础减振、隔声</w:t>
            </w:r>
          </w:p>
        </w:tc>
        <w:tc>
          <w:tcPr>
            <w:tcW w:w="1444" w:type="dxa"/>
            <w:vAlign w:val="center"/>
          </w:tcPr>
          <w:p>
            <w:pPr>
              <w:adjustRightInd w:val="0"/>
              <w:snapToGrid w:val="0"/>
              <w:spacing w:line="240" w:lineRule="auto"/>
              <w:ind w:firstLine="0" w:firstLineChars="0"/>
              <w:jc w:val="center"/>
              <w:rPr>
                <w:rFonts w:hint="eastAsia"/>
                <w:color w:val="auto"/>
                <w:kern w:val="0"/>
                <w:sz w:val="20"/>
                <w:szCs w:val="20"/>
                <w:highlight w:val="none"/>
                <w:lang w:val="en-US" w:eastAsia="zh-CN"/>
              </w:rPr>
            </w:pPr>
            <w:r>
              <w:rPr>
                <w:rFonts w:hint="eastAsia"/>
                <w:color w:val="auto"/>
                <w:kern w:val="0"/>
                <w:sz w:val="20"/>
                <w:szCs w:val="20"/>
                <w:highlight w:val="none"/>
                <w:lang w:val="en-US" w:eastAsia="zh-CN"/>
              </w:rPr>
              <w:t>75～102dB(A)</w:t>
            </w:r>
          </w:p>
        </w:tc>
        <w:tc>
          <w:tcPr>
            <w:tcW w:w="1445" w:type="dxa"/>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r>
              <w:rPr>
                <w:rFonts w:hint="eastAsia"/>
                <w:color w:val="auto"/>
                <w:kern w:val="0"/>
                <w:sz w:val="20"/>
                <w:szCs w:val="20"/>
                <w:highlight w:val="none"/>
                <w:lang w:eastAsia="zh-CN"/>
              </w:rPr>
              <w:t>外环境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restart"/>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运营期</w:t>
            </w:r>
          </w:p>
        </w:tc>
        <w:tc>
          <w:tcPr>
            <w:tcW w:w="704"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eastAsia="zh-CN"/>
              </w:rPr>
              <w:t>废水</w:t>
            </w:r>
          </w:p>
        </w:tc>
        <w:tc>
          <w:tcPr>
            <w:tcW w:w="163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管理人员</w:t>
            </w:r>
          </w:p>
        </w:tc>
        <w:tc>
          <w:tcPr>
            <w:tcW w:w="1241"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生活污水</w:t>
            </w:r>
          </w:p>
        </w:tc>
        <w:tc>
          <w:tcPr>
            <w:tcW w:w="1869" w:type="dxa"/>
            <w:vAlign w:val="center"/>
          </w:tcPr>
          <w:p>
            <w:pPr>
              <w:adjustRightInd w:val="0"/>
              <w:snapToGrid w:val="0"/>
              <w:spacing w:line="240" w:lineRule="auto"/>
              <w:ind w:firstLine="0" w:firstLineChars="0"/>
              <w:jc w:val="center"/>
              <w:rPr>
                <w:rFonts w:hint="default" w:eastAsia="宋体"/>
                <w:color w:val="auto"/>
                <w:sz w:val="20"/>
                <w:szCs w:val="20"/>
                <w:highlight w:val="none"/>
                <w:lang w:val="en-US" w:eastAsia="zh-CN"/>
              </w:rPr>
            </w:pPr>
            <w:r>
              <w:rPr>
                <w:rFonts w:ascii="Times New Roman" w:hAnsi="Times New Roman"/>
                <w:snapToGrid w:val="0"/>
                <w:color w:val="auto"/>
                <w:sz w:val="20"/>
                <w:szCs w:val="20"/>
                <w:highlight w:val="none"/>
              </w:rPr>
              <w:t>COD、BOD</w:t>
            </w:r>
            <w:r>
              <w:rPr>
                <w:rFonts w:ascii="Times New Roman" w:hAnsi="Times New Roman"/>
                <w:snapToGrid w:val="0"/>
                <w:color w:val="auto"/>
                <w:sz w:val="20"/>
                <w:szCs w:val="20"/>
                <w:highlight w:val="none"/>
                <w:vertAlign w:val="subscript"/>
              </w:rPr>
              <w:t>5</w:t>
            </w:r>
            <w:r>
              <w:rPr>
                <w:rFonts w:ascii="Times New Roman" w:hAnsi="Times New Roman"/>
                <w:snapToGrid w:val="0"/>
                <w:color w:val="auto"/>
                <w:sz w:val="20"/>
                <w:szCs w:val="20"/>
                <w:highlight w:val="none"/>
              </w:rPr>
              <w:t>、SS</w:t>
            </w:r>
            <w:r>
              <w:rPr>
                <w:rFonts w:hint="eastAsia" w:ascii="Times New Roman" w:hAnsi="Times New Roman"/>
                <w:snapToGrid w:val="0"/>
                <w:color w:val="auto"/>
                <w:sz w:val="20"/>
                <w:szCs w:val="20"/>
                <w:highlight w:val="none"/>
                <w:lang w:eastAsia="zh-CN"/>
              </w:rPr>
              <w:t>、</w:t>
            </w:r>
            <w:r>
              <w:rPr>
                <w:rFonts w:ascii="Times New Roman" w:hAnsi="Times New Roman"/>
                <w:color w:val="auto"/>
                <w:spacing w:val="-3"/>
                <w:sz w:val="20"/>
                <w:szCs w:val="20"/>
                <w:highlight w:val="none"/>
              </w:rPr>
              <w:t>NH</w:t>
            </w:r>
            <w:r>
              <w:rPr>
                <w:rFonts w:ascii="Times New Roman" w:hAnsi="Times New Roman"/>
                <w:color w:val="auto"/>
                <w:spacing w:val="-3"/>
                <w:sz w:val="20"/>
                <w:szCs w:val="20"/>
                <w:highlight w:val="none"/>
                <w:vertAlign w:val="subscript"/>
              </w:rPr>
              <w:t>3</w:t>
            </w:r>
            <w:r>
              <w:rPr>
                <w:rFonts w:ascii="Times New Roman" w:hAnsi="Times New Roman"/>
                <w:color w:val="auto"/>
                <w:spacing w:val="-3"/>
                <w:sz w:val="20"/>
                <w:szCs w:val="20"/>
                <w:highlight w:val="none"/>
              </w:rPr>
              <w:t>-N</w:t>
            </w:r>
            <w:r>
              <w:rPr>
                <w:rFonts w:hint="eastAsia" w:ascii="Times New Roman" w:hAnsi="Times New Roman"/>
                <w:color w:val="auto"/>
                <w:spacing w:val="-3"/>
                <w:sz w:val="20"/>
                <w:szCs w:val="20"/>
                <w:highlight w:val="none"/>
                <w:lang w:eastAsia="zh-CN"/>
              </w:rPr>
              <w:t>、</w:t>
            </w:r>
            <w:r>
              <w:rPr>
                <w:rFonts w:ascii="Times New Roman" w:hAnsi="Times New Roman"/>
                <w:color w:val="auto"/>
                <w:spacing w:val="-3"/>
                <w:sz w:val="20"/>
                <w:szCs w:val="20"/>
                <w:highlight w:val="none"/>
              </w:rPr>
              <w:t>TP</w:t>
            </w:r>
          </w:p>
        </w:tc>
        <w:tc>
          <w:tcPr>
            <w:tcW w:w="1506" w:type="dxa"/>
            <w:vAlign w:val="center"/>
          </w:tcPr>
          <w:p>
            <w:pPr>
              <w:adjustRightInd w:val="0"/>
              <w:snapToGrid w:val="0"/>
              <w:spacing w:line="240" w:lineRule="auto"/>
              <w:ind w:firstLine="0" w:firstLineChars="0"/>
              <w:jc w:val="center"/>
              <w:rPr>
                <w:rFonts w:hint="default"/>
                <w:color w:val="auto"/>
                <w:kern w:val="0"/>
                <w:sz w:val="20"/>
                <w:szCs w:val="20"/>
                <w:highlight w:val="none"/>
                <w:lang w:val="en-US"/>
              </w:rPr>
            </w:pPr>
            <w:r>
              <w:rPr>
                <w:rFonts w:hint="eastAsia"/>
                <w:color w:val="auto"/>
                <w:sz w:val="20"/>
                <w:szCs w:val="20"/>
                <w:highlight w:val="none"/>
                <w:lang w:val="en-US" w:eastAsia="zh-CN"/>
              </w:rPr>
              <w:t>0.92m³/d</w:t>
            </w:r>
          </w:p>
        </w:tc>
        <w:tc>
          <w:tcPr>
            <w:tcW w:w="3596" w:type="dxa"/>
            <w:vAlign w:val="center"/>
          </w:tcPr>
          <w:p>
            <w:pPr>
              <w:adjustRightInd w:val="0"/>
              <w:snapToGrid w:val="0"/>
              <w:spacing w:line="240" w:lineRule="auto"/>
              <w:ind w:firstLine="0" w:firstLineChars="0"/>
              <w:jc w:val="center"/>
              <w:rPr>
                <w:rFonts w:hint="eastAsia"/>
                <w:color w:val="auto"/>
                <w:kern w:val="0"/>
                <w:sz w:val="20"/>
                <w:szCs w:val="20"/>
                <w:highlight w:val="none"/>
              </w:rPr>
            </w:pPr>
            <w:r>
              <w:rPr>
                <w:rFonts w:hint="eastAsia"/>
                <w:color w:val="auto"/>
                <w:kern w:val="0"/>
                <w:sz w:val="20"/>
                <w:szCs w:val="20"/>
                <w:highlight w:val="none"/>
              </w:rPr>
              <w:t>经一体化污水处理装置处理</w:t>
            </w:r>
            <w:r>
              <w:rPr>
                <w:rFonts w:hint="eastAsia"/>
                <w:color w:val="auto"/>
                <w:kern w:val="0"/>
                <w:sz w:val="20"/>
                <w:szCs w:val="20"/>
                <w:highlight w:val="none"/>
                <w:shd w:val="clear" w:fill="FFFFFF"/>
              </w:rPr>
              <w:t>达</w:t>
            </w:r>
            <w:r>
              <w:rPr>
                <w:rFonts w:hint="eastAsia"/>
                <w:color w:val="auto"/>
                <w:kern w:val="0"/>
                <w:sz w:val="20"/>
                <w:szCs w:val="20"/>
                <w:highlight w:val="none"/>
              </w:rPr>
              <w:t>《城市污水再生利用城市杂用水水质》(GB/T18920-2020)标准后回用于绿化</w:t>
            </w:r>
          </w:p>
        </w:tc>
        <w:tc>
          <w:tcPr>
            <w:tcW w:w="1444"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val="en-US" w:eastAsia="zh-CN"/>
              </w:rPr>
            </w:pPr>
            <w:r>
              <w:rPr>
                <w:rFonts w:hint="eastAsia"/>
                <w:color w:val="auto"/>
                <w:kern w:val="0"/>
                <w:sz w:val="20"/>
                <w:szCs w:val="20"/>
                <w:highlight w:val="none"/>
                <w:lang w:val="en-US" w:eastAsia="zh-CN"/>
              </w:rPr>
              <w:t>0</w:t>
            </w:r>
          </w:p>
        </w:tc>
        <w:tc>
          <w:tcPr>
            <w:tcW w:w="1445"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restar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eastAsia="zh-CN"/>
              </w:rPr>
              <w:t>废气</w:t>
            </w:r>
          </w:p>
        </w:tc>
        <w:tc>
          <w:tcPr>
            <w:tcW w:w="1636" w:type="dxa"/>
            <w:vMerge w:val="restart"/>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过闸船舶</w:t>
            </w:r>
          </w:p>
        </w:tc>
        <w:tc>
          <w:tcPr>
            <w:tcW w:w="1241" w:type="dxa"/>
            <w:vMerge w:val="restart"/>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船舶废气</w:t>
            </w:r>
          </w:p>
        </w:tc>
        <w:tc>
          <w:tcPr>
            <w:tcW w:w="1869"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auto"/>
                <w:kern w:val="2"/>
                <w:sz w:val="21"/>
                <w:szCs w:val="24"/>
                <w:highlight w:val="none"/>
                <w:lang w:val="en-US" w:eastAsia="zh-CN" w:bidi="ar-SA"/>
              </w:rPr>
            </w:pPr>
            <w:r>
              <w:rPr>
                <w:rFonts w:hint="eastAsia"/>
                <w:snapToGrid w:val="0"/>
                <w:color w:val="auto"/>
                <w:sz w:val="21"/>
                <w:highlight w:val="none"/>
                <w:lang w:val="en-US" w:eastAsia="zh-CN"/>
              </w:rPr>
              <w:t>CO</w:t>
            </w:r>
          </w:p>
        </w:tc>
        <w:tc>
          <w:tcPr>
            <w:tcW w:w="1506"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auto"/>
                <w:kern w:val="2"/>
                <w:sz w:val="21"/>
                <w:szCs w:val="24"/>
                <w:highlight w:val="none"/>
                <w:lang w:val="en-US" w:eastAsia="zh-CN" w:bidi="ar-SA"/>
              </w:rPr>
            </w:pPr>
            <w:r>
              <w:rPr>
                <w:rFonts w:hint="default"/>
                <w:snapToGrid w:val="0"/>
                <w:color w:val="auto"/>
                <w:sz w:val="21"/>
                <w:highlight w:val="none"/>
                <w:lang w:val="en-US" w:eastAsia="zh-CN"/>
              </w:rPr>
              <w:t>42.89</w:t>
            </w:r>
            <w:r>
              <w:rPr>
                <w:rFonts w:hint="eastAsia"/>
                <w:snapToGrid w:val="0"/>
                <w:color w:val="auto"/>
                <w:sz w:val="21"/>
                <w:highlight w:val="none"/>
                <w:lang w:val="en-US" w:eastAsia="zh-CN"/>
              </w:rPr>
              <w:t>t/a</w:t>
            </w:r>
          </w:p>
        </w:tc>
        <w:tc>
          <w:tcPr>
            <w:tcW w:w="3596" w:type="dxa"/>
            <w:vMerge w:val="restart"/>
            <w:vAlign w:val="center"/>
          </w:tcPr>
          <w:p>
            <w:pPr>
              <w:adjustRightInd w:val="0"/>
              <w:snapToGrid w:val="0"/>
              <w:spacing w:line="240" w:lineRule="auto"/>
              <w:ind w:firstLine="0" w:firstLineChars="0"/>
              <w:jc w:val="center"/>
              <w:rPr>
                <w:rFonts w:hint="eastAsia" w:eastAsia="宋体"/>
                <w:color w:val="auto"/>
                <w:kern w:val="0"/>
                <w:sz w:val="20"/>
                <w:szCs w:val="20"/>
                <w:highlight w:val="none"/>
                <w:lang w:val="en-US" w:eastAsia="zh-CN"/>
              </w:rPr>
            </w:pPr>
            <w:r>
              <w:rPr>
                <w:rFonts w:hint="eastAsia"/>
                <w:color w:val="auto"/>
                <w:kern w:val="0"/>
                <w:sz w:val="20"/>
                <w:szCs w:val="20"/>
                <w:highlight w:val="none"/>
                <w:lang w:val="en-US" w:eastAsia="zh-CN"/>
              </w:rPr>
              <w:t>/</w:t>
            </w:r>
          </w:p>
        </w:tc>
        <w:tc>
          <w:tcPr>
            <w:tcW w:w="1444"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auto"/>
                <w:kern w:val="2"/>
                <w:sz w:val="21"/>
                <w:szCs w:val="24"/>
                <w:highlight w:val="none"/>
                <w:lang w:val="en-US" w:eastAsia="zh-CN" w:bidi="ar-SA"/>
              </w:rPr>
            </w:pPr>
            <w:r>
              <w:rPr>
                <w:rFonts w:hint="default"/>
                <w:snapToGrid w:val="0"/>
                <w:color w:val="auto"/>
                <w:sz w:val="21"/>
                <w:highlight w:val="none"/>
                <w:lang w:val="en-US" w:eastAsia="zh-CN"/>
              </w:rPr>
              <w:t>42.89</w:t>
            </w:r>
            <w:r>
              <w:rPr>
                <w:rFonts w:hint="eastAsia"/>
                <w:snapToGrid w:val="0"/>
                <w:color w:val="auto"/>
                <w:sz w:val="21"/>
                <w:highlight w:val="none"/>
                <w:lang w:val="en-US" w:eastAsia="zh-CN"/>
              </w:rPr>
              <w:t>t/a</w:t>
            </w:r>
          </w:p>
        </w:tc>
        <w:tc>
          <w:tcPr>
            <w:tcW w:w="1445"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p>
        </w:tc>
        <w:tc>
          <w:tcPr>
            <w:tcW w:w="1636" w:type="dxa"/>
            <w:vMerge w:val="continue"/>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p>
        </w:tc>
        <w:tc>
          <w:tcPr>
            <w:tcW w:w="1241" w:type="dxa"/>
            <w:vMerge w:val="continue"/>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p>
        </w:tc>
        <w:tc>
          <w:tcPr>
            <w:tcW w:w="1869"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auto"/>
                <w:kern w:val="2"/>
                <w:sz w:val="21"/>
                <w:szCs w:val="24"/>
                <w:highlight w:val="none"/>
                <w:lang w:val="en-US" w:eastAsia="zh-CN" w:bidi="ar-SA"/>
              </w:rPr>
            </w:pPr>
            <w:r>
              <w:rPr>
                <w:rFonts w:hint="eastAsia"/>
                <w:snapToGrid w:val="0"/>
                <w:color w:val="auto"/>
                <w:sz w:val="21"/>
                <w:highlight w:val="none"/>
                <w:lang w:val="en-US" w:eastAsia="zh-CN"/>
              </w:rPr>
              <w:t>HC+NOx</w:t>
            </w:r>
          </w:p>
        </w:tc>
        <w:tc>
          <w:tcPr>
            <w:tcW w:w="1506"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auto"/>
                <w:kern w:val="2"/>
                <w:sz w:val="21"/>
                <w:szCs w:val="24"/>
                <w:highlight w:val="none"/>
                <w:lang w:val="en-US" w:eastAsia="zh-CN" w:bidi="ar-SA"/>
              </w:rPr>
            </w:pPr>
            <w:r>
              <w:rPr>
                <w:rFonts w:hint="default"/>
                <w:snapToGrid w:val="0"/>
                <w:color w:val="auto"/>
                <w:sz w:val="21"/>
                <w:highlight w:val="none"/>
                <w:lang w:val="en-US" w:eastAsia="zh-CN"/>
              </w:rPr>
              <w:t>53.19</w:t>
            </w:r>
            <w:r>
              <w:rPr>
                <w:rFonts w:hint="eastAsia"/>
                <w:snapToGrid w:val="0"/>
                <w:color w:val="auto"/>
                <w:sz w:val="21"/>
                <w:highlight w:val="none"/>
                <w:lang w:val="en-US" w:eastAsia="zh-CN"/>
              </w:rPr>
              <w:t>t/</w:t>
            </w:r>
          </w:p>
        </w:tc>
        <w:tc>
          <w:tcPr>
            <w:tcW w:w="3596"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444"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auto"/>
                <w:kern w:val="2"/>
                <w:sz w:val="21"/>
                <w:szCs w:val="24"/>
                <w:highlight w:val="none"/>
                <w:lang w:val="en-US" w:eastAsia="zh-CN" w:bidi="ar-SA"/>
              </w:rPr>
            </w:pPr>
            <w:r>
              <w:rPr>
                <w:rFonts w:hint="default"/>
                <w:snapToGrid w:val="0"/>
                <w:color w:val="auto"/>
                <w:sz w:val="21"/>
                <w:highlight w:val="none"/>
                <w:lang w:val="en-US" w:eastAsia="zh-CN"/>
              </w:rPr>
              <w:t>53.19</w:t>
            </w:r>
            <w:r>
              <w:rPr>
                <w:rFonts w:hint="eastAsia"/>
                <w:snapToGrid w:val="0"/>
                <w:color w:val="auto"/>
                <w:sz w:val="21"/>
                <w:highlight w:val="none"/>
                <w:lang w:val="en-US" w:eastAsia="zh-CN"/>
              </w:rPr>
              <w:t>t/</w:t>
            </w:r>
          </w:p>
        </w:tc>
        <w:tc>
          <w:tcPr>
            <w:tcW w:w="1445" w:type="dxa"/>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r>
              <w:rPr>
                <w:rFonts w:hint="eastAsia"/>
                <w:color w:val="auto"/>
                <w:kern w:val="0"/>
                <w:sz w:val="20"/>
                <w:szCs w:val="20"/>
                <w:highlight w:val="none"/>
                <w:lang w:eastAsia="zh-CN"/>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p>
        </w:tc>
        <w:tc>
          <w:tcPr>
            <w:tcW w:w="1636" w:type="dxa"/>
            <w:vMerge w:val="continue"/>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p>
        </w:tc>
        <w:tc>
          <w:tcPr>
            <w:tcW w:w="1241" w:type="dxa"/>
            <w:vMerge w:val="continue"/>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p>
        </w:tc>
        <w:tc>
          <w:tcPr>
            <w:tcW w:w="1869"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auto"/>
                <w:kern w:val="2"/>
                <w:sz w:val="21"/>
                <w:szCs w:val="24"/>
                <w:highlight w:val="none"/>
                <w:lang w:val="en-US" w:eastAsia="zh-CN" w:bidi="ar-SA"/>
              </w:rPr>
            </w:pPr>
            <w:r>
              <w:rPr>
                <w:rFonts w:hint="eastAsia"/>
                <w:snapToGrid w:val="0"/>
                <w:color w:val="auto"/>
                <w:sz w:val="21"/>
                <w:highlight w:val="none"/>
                <w:lang w:val="en-US" w:eastAsia="zh-CN"/>
              </w:rPr>
              <w:t>PM</w:t>
            </w:r>
          </w:p>
        </w:tc>
        <w:tc>
          <w:tcPr>
            <w:tcW w:w="1506"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auto"/>
                <w:kern w:val="2"/>
                <w:sz w:val="21"/>
                <w:szCs w:val="24"/>
                <w:highlight w:val="none"/>
                <w:lang w:val="en-US" w:eastAsia="zh-CN" w:bidi="ar-SA"/>
              </w:rPr>
            </w:pPr>
            <w:r>
              <w:rPr>
                <w:rFonts w:hint="default"/>
                <w:snapToGrid w:val="0"/>
                <w:color w:val="auto"/>
                <w:sz w:val="21"/>
                <w:highlight w:val="none"/>
                <w:lang w:val="en-US" w:eastAsia="zh-CN"/>
              </w:rPr>
              <w:t>1.20</w:t>
            </w:r>
            <w:r>
              <w:rPr>
                <w:rFonts w:hint="eastAsia"/>
                <w:snapToGrid w:val="0"/>
                <w:color w:val="auto"/>
                <w:sz w:val="21"/>
                <w:highlight w:val="none"/>
                <w:lang w:val="en-US" w:eastAsia="zh-CN"/>
              </w:rPr>
              <w:t>t/</w:t>
            </w:r>
          </w:p>
        </w:tc>
        <w:tc>
          <w:tcPr>
            <w:tcW w:w="3596"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444"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auto"/>
                <w:kern w:val="2"/>
                <w:sz w:val="21"/>
                <w:szCs w:val="24"/>
                <w:highlight w:val="none"/>
                <w:lang w:val="en-US" w:eastAsia="zh-CN" w:bidi="ar-SA"/>
              </w:rPr>
            </w:pPr>
            <w:r>
              <w:rPr>
                <w:rFonts w:hint="default"/>
                <w:snapToGrid w:val="0"/>
                <w:color w:val="auto"/>
                <w:sz w:val="21"/>
                <w:highlight w:val="none"/>
                <w:lang w:val="en-US" w:eastAsia="zh-CN"/>
              </w:rPr>
              <w:t>1.20</w:t>
            </w:r>
            <w:r>
              <w:rPr>
                <w:rFonts w:hint="eastAsia"/>
                <w:snapToGrid w:val="0"/>
                <w:color w:val="auto"/>
                <w:sz w:val="21"/>
                <w:highlight w:val="none"/>
                <w:lang w:val="en-US" w:eastAsia="zh-CN"/>
              </w:rPr>
              <w:t>t/</w:t>
            </w:r>
          </w:p>
        </w:tc>
        <w:tc>
          <w:tcPr>
            <w:tcW w:w="1445" w:type="dxa"/>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r>
              <w:rPr>
                <w:rFonts w:hint="eastAsia"/>
                <w:color w:val="auto"/>
                <w:kern w:val="0"/>
                <w:sz w:val="20"/>
                <w:szCs w:val="20"/>
                <w:highlight w:val="none"/>
                <w:lang w:eastAsia="zh-CN"/>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63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食堂</w:t>
            </w:r>
          </w:p>
        </w:tc>
        <w:tc>
          <w:tcPr>
            <w:tcW w:w="1241"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食堂油烟</w:t>
            </w:r>
          </w:p>
        </w:tc>
        <w:tc>
          <w:tcPr>
            <w:tcW w:w="1869" w:type="dxa"/>
            <w:vAlign w:val="center"/>
          </w:tcPr>
          <w:p>
            <w:pPr>
              <w:adjustRightInd w:val="0"/>
              <w:snapToGrid w:val="0"/>
              <w:spacing w:line="240" w:lineRule="auto"/>
              <w:ind w:firstLine="0" w:firstLineChars="0"/>
              <w:jc w:val="center"/>
              <w:rPr>
                <w:rFonts w:hint="eastAsia" w:eastAsia="宋体"/>
                <w:color w:val="auto"/>
                <w:sz w:val="20"/>
                <w:szCs w:val="20"/>
                <w:highlight w:val="none"/>
                <w:lang w:eastAsia="zh-CN"/>
              </w:rPr>
            </w:pPr>
            <w:r>
              <w:rPr>
                <w:rFonts w:hint="eastAsia"/>
                <w:color w:val="auto"/>
                <w:sz w:val="20"/>
                <w:szCs w:val="20"/>
                <w:highlight w:val="none"/>
                <w:lang w:eastAsia="zh-CN"/>
              </w:rPr>
              <w:t>油烟、非甲烷总烃</w:t>
            </w:r>
          </w:p>
        </w:tc>
        <w:tc>
          <w:tcPr>
            <w:tcW w:w="150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少量</w:t>
            </w:r>
          </w:p>
        </w:tc>
        <w:tc>
          <w:tcPr>
            <w:tcW w:w="3596"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rPr>
              <w:t>经油烟净化器处理后引至楼顶排放</w:t>
            </w:r>
          </w:p>
        </w:tc>
        <w:tc>
          <w:tcPr>
            <w:tcW w:w="1444"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val="en-US" w:eastAsia="zh-CN"/>
              </w:rPr>
            </w:pPr>
            <w:r>
              <w:rPr>
                <w:rFonts w:hint="eastAsia"/>
                <w:color w:val="auto"/>
                <w:kern w:val="0"/>
                <w:sz w:val="20"/>
                <w:szCs w:val="20"/>
                <w:highlight w:val="none"/>
                <w:lang w:val="en-US" w:eastAsia="zh-CN"/>
              </w:rPr>
              <w:t>少量</w:t>
            </w:r>
          </w:p>
        </w:tc>
        <w:tc>
          <w:tcPr>
            <w:tcW w:w="1445"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restart"/>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eastAsia="zh-CN"/>
              </w:rPr>
              <w:t>固废</w:t>
            </w:r>
          </w:p>
        </w:tc>
        <w:tc>
          <w:tcPr>
            <w:tcW w:w="163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管理人员</w:t>
            </w:r>
          </w:p>
        </w:tc>
        <w:tc>
          <w:tcPr>
            <w:tcW w:w="1241"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lang w:eastAsia="zh-CN"/>
              </w:rPr>
              <w:t>生活垃圾</w:t>
            </w:r>
          </w:p>
        </w:tc>
        <w:tc>
          <w:tcPr>
            <w:tcW w:w="1869" w:type="dxa"/>
            <w:vAlign w:val="center"/>
          </w:tcPr>
          <w:p>
            <w:pPr>
              <w:adjustRightInd w:val="0"/>
              <w:snapToGrid w:val="0"/>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w:t>
            </w:r>
          </w:p>
        </w:tc>
        <w:tc>
          <w:tcPr>
            <w:tcW w:w="1506" w:type="dxa"/>
            <w:vAlign w:val="center"/>
          </w:tcPr>
          <w:p>
            <w:pPr>
              <w:adjustRightInd w:val="0"/>
              <w:snapToGrid w:val="0"/>
              <w:spacing w:line="240" w:lineRule="auto"/>
              <w:ind w:firstLine="0" w:firstLineChars="0"/>
              <w:jc w:val="center"/>
              <w:rPr>
                <w:rFonts w:hint="default" w:eastAsia="宋体"/>
                <w:color w:val="auto"/>
                <w:kern w:val="0"/>
                <w:sz w:val="20"/>
                <w:szCs w:val="20"/>
                <w:highlight w:val="none"/>
                <w:lang w:val="en-US" w:eastAsia="zh-CN"/>
              </w:rPr>
            </w:pPr>
            <w:r>
              <w:rPr>
                <w:rFonts w:hint="eastAsia"/>
                <w:color w:val="auto"/>
                <w:kern w:val="0"/>
                <w:sz w:val="20"/>
                <w:szCs w:val="20"/>
                <w:highlight w:val="none"/>
                <w:lang w:val="en-US" w:eastAsia="zh-CN"/>
              </w:rPr>
              <w:t>1.64t/a</w:t>
            </w:r>
          </w:p>
        </w:tc>
        <w:tc>
          <w:tcPr>
            <w:tcW w:w="3596"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rPr>
              <w:t>集中收集后由环卫部门定期清运处置</w:t>
            </w:r>
          </w:p>
        </w:tc>
        <w:tc>
          <w:tcPr>
            <w:tcW w:w="1444"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val="en-US" w:eastAsia="zh-CN"/>
              </w:rPr>
              <w:t>1.64t/a</w:t>
            </w:r>
          </w:p>
        </w:tc>
        <w:tc>
          <w:tcPr>
            <w:tcW w:w="1445"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lang w:eastAsia="zh-CN"/>
              </w:rPr>
              <w:t>外委处置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Merge w:val="continue"/>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p>
        </w:tc>
        <w:tc>
          <w:tcPr>
            <w:tcW w:w="1636" w:type="dxa"/>
            <w:vAlign w:val="center"/>
          </w:tcPr>
          <w:p>
            <w:pPr>
              <w:adjustRightInd w:val="0"/>
              <w:snapToGrid w:val="0"/>
              <w:spacing w:line="240" w:lineRule="auto"/>
              <w:ind w:firstLine="0" w:firstLineChars="0"/>
              <w:jc w:val="center"/>
              <w:rPr>
                <w:rFonts w:hint="default"/>
                <w:color w:val="auto"/>
                <w:kern w:val="0"/>
                <w:sz w:val="20"/>
                <w:szCs w:val="20"/>
                <w:highlight w:val="none"/>
                <w:lang w:val="en-US" w:eastAsia="zh-CN"/>
              </w:rPr>
            </w:pPr>
            <w:r>
              <w:rPr>
                <w:rFonts w:hint="eastAsia"/>
                <w:color w:val="auto"/>
                <w:kern w:val="0"/>
                <w:sz w:val="20"/>
                <w:szCs w:val="20"/>
                <w:highlight w:val="none"/>
                <w:lang w:val="en-US" w:eastAsia="zh-CN"/>
              </w:rPr>
              <w:t>船舶维修</w:t>
            </w:r>
          </w:p>
        </w:tc>
        <w:tc>
          <w:tcPr>
            <w:tcW w:w="1241" w:type="dxa"/>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r>
              <w:rPr>
                <w:rFonts w:hint="eastAsia"/>
                <w:color w:val="auto"/>
                <w:kern w:val="0"/>
                <w:sz w:val="20"/>
                <w:szCs w:val="20"/>
                <w:highlight w:val="none"/>
                <w:lang w:eastAsia="zh-CN"/>
              </w:rPr>
              <w:t>危险废物</w:t>
            </w:r>
          </w:p>
        </w:tc>
        <w:tc>
          <w:tcPr>
            <w:tcW w:w="18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color w:val="auto"/>
                <w:sz w:val="20"/>
                <w:szCs w:val="20"/>
                <w:highlight w:val="none"/>
                <w:lang w:val="en-US" w:eastAsia="zh-CN"/>
              </w:rPr>
            </w:pPr>
            <w:r>
              <w:rPr>
                <w:rFonts w:hint="eastAsia"/>
                <w:color w:val="auto"/>
                <w:sz w:val="20"/>
                <w:szCs w:val="20"/>
                <w:highlight w:val="none"/>
                <w:lang w:val="en-US" w:eastAsia="zh-CN"/>
              </w:rPr>
              <w:t>废矿物油、含油固废</w:t>
            </w:r>
          </w:p>
        </w:tc>
        <w:tc>
          <w:tcPr>
            <w:tcW w:w="1506" w:type="dxa"/>
            <w:vAlign w:val="center"/>
          </w:tcPr>
          <w:p>
            <w:pPr>
              <w:adjustRightInd w:val="0"/>
              <w:snapToGrid w:val="0"/>
              <w:spacing w:line="240" w:lineRule="auto"/>
              <w:ind w:firstLine="0" w:firstLineChars="0"/>
              <w:jc w:val="center"/>
              <w:rPr>
                <w:rFonts w:hint="default"/>
                <w:color w:val="auto"/>
                <w:kern w:val="0"/>
                <w:sz w:val="20"/>
                <w:szCs w:val="20"/>
                <w:highlight w:val="none"/>
                <w:lang w:val="en-US" w:eastAsia="zh-CN"/>
              </w:rPr>
            </w:pPr>
            <w:r>
              <w:rPr>
                <w:rFonts w:hint="eastAsia"/>
                <w:color w:val="auto"/>
                <w:kern w:val="0"/>
                <w:sz w:val="20"/>
                <w:szCs w:val="20"/>
                <w:highlight w:val="none"/>
                <w:lang w:val="en-US" w:eastAsia="zh-CN"/>
              </w:rPr>
              <w:t>1.0t/a</w:t>
            </w:r>
          </w:p>
        </w:tc>
        <w:tc>
          <w:tcPr>
            <w:tcW w:w="3596" w:type="dxa"/>
            <w:vAlign w:val="center"/>
          </w:tcPr>
          <w:p>
            <w:pPr>
              <w:adjustRightInd w:val="0"/>
              <w:snapToGrid w:val="0"/>
              <w:spacing w:line="240" w:lineRule="auto"/>
              <w:ind w:firstLine="0" w:firstLineChars="0"/>
              <w:jc w:val="center"/>
              <w:rPr>
                <w:rFonts w:hint="eastAsia"/>
                <w:color w:val="auto"/>
                <w:kern w:val="0"/>
                <w:sz w:val="20"/>
                <w:szCs w:val="20"/>
                <w:highlight w:val="none"/>
              </w:rPr>
            </w:pPr>
            <w:r>
              <w:rPr>
                <w:rFonts w:hint="eastAsia"/>
                <w:color w:val="auto"/>
                <w:kern w:val="0"/>
                <w:sz w:val="20"/>
                <w:szCs w:val="20"/>
                <w:highlight w:val="none"/>
              </w:rPr>
              <w:t>在管理区危废暂存间暂存后定期交有危废处理资质的单位处置</w:t>
            </w:r>
          </w:p>
        </w:tc>
        <w:tc>
          <w:tcPr>
            <w:tcW w:w="1444"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val="en-US" w:eastAsia="zh-CN"/>
              </w:rPr>
              <w:t>1.0t/a</w:t>
            </w:r>
          </w:p>
        </w:tc>
        <w:tc>
          <w:tcPr>
            <w:tcW w:w="1445" w:type="dxa"/>
            <w:vAlign w:val="center"/>
          </w:tcPr>
          <w:p>
            <w:pPr>
              <w:adjustRightInd w:val="0"/>
              <w:snapToGrid w:val="0"/>
              <w:spacing w:line="240" w:lineRule="auto"/>
              <w:ind w:firstLine="0" w:firstLineChars="0"/>
              <w:jc w:val="center"/>
              <w:rPr>
                <w:rFonts w:hint="eastAsia"/>
                <w:color w:val="auto"/>
                <w:kern w:val="0"/>
                <w:sz w:val="20"/>
                <w:szCs w:val="20"/>
                <w:highlight w:val="none"/>
                <w:lang w:eastAsia="zh-CN"/>
              </w:rPr>
            </w:pPr>
            <w:r>
              <w:rPr>
                <w:rFonts w:hint="eastAsia"/>
                <w:color w:val="auto"/>
                <w:kern w:val="0"/>
                <w:sz w:val="20"/>
                <w:szCs w:val="20"/>
                <w:highlight w:val="none"/>
                <w:lang w:eastAsia="zh-CN"/>
              </w:rPr>
              <w:t>外委处置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704"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eastAsia="zh-CN"/>
              </w:rPr>
              <w:t>噪声</w:t>
            </w:r>
          </w:p>
        </w:tc>
        <w:tc>
          <w:tcPr>
            <w:tcW w:w="163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过闸船舶</w:t>
            </w:r>
          </w:p>
        </w:tc>
        <w:tc>
          <w:tcPr>
            <w:tcW w:w="3110" w:type="dxa"/>
            <w:gridSpan w:val="2"/>
            <w:vAlign w:val="center"/>
          </w:tcPr>
          <w:p>
            <w:pPr>
              <w:adjustRightInd w:val="0"/>
              <w:snapToGrid w:val="0"/>
              <w:spacing w:line="240" w:lineRule="auto"/>
              <w:ind w:firstLine="0" w:firstLineChars="0"/>
              <w:jc w:val="center"/>
              <w:rPr>
                <w:color w:val="auto"/>
                <w:sz w:val="20"/>
                <w:szCs w:val="20"/>
                <w:highlight w:val="none"/>
              </w:rPr>
            </w:pPr>
            <w:r>
              <w:rPr>
                <w:rFonts w:hint="eastAsia"/>
                <w:color w:val="auto"/>
                <w:kern w:val="0"/>
                <w:sz w:val="20"/>
                <w:szCs w:val="20"/>
                <w:highlight w:val="none"/>
                <w:lang w:eastAsia="zh-CN"/>
              </w:rPr>
              <w:t>等效连续</w:t>
            </w:r>
            <w:r>
              <w:rPr>
                <w:rFonts w:hint="eastAsia"/>
                <w:color w:val="auto"/>
                <w:kern w:val="0"/>
                <w:sz w:val="20"/>
                <w:szCs w:val="20"/>
                <w:highlight w:val="none"/>
                <w:lang w:val="en-US" w:eastAsia="zh-CN"/>
              </w:rPr>
              <w:t>A声级</w:t>
            </w:r>
          </w:p>
        </w:tc>
        <w:tc>
          <w:tcPr>
            <w:tcW w:w="1506" w:type="dxa"/>
            <w:vAlign w:val="center"/>
          </w:tcPr>
          <w:p>
            <w:pPr>
              <w:adjustRightInd w:val="0"/>
              <w:snapToGrid w:val="0"/>
              <w:spacing w:line="240" w:lineRule="auto"/>
              <w:ind w:firstLine="0" w:firstLineChars="0"/>
              <w:jc w:val="center"/>
              <w:rPr>
                <w:rFonts w:hint="default" w:eastAsia="宋体"/>
                <w:color w:val="auto"/>
                <w:kern w:val="0"/>
                <w:sz w:val="20"/>
                <w:szCs w:val="20"/>
                <w:highlight w:val="none"/>
                <w:lang w:val="en-US" w:eastAsia="zh-CN"/>
              </w:rPr>
            </w:pPr>
            <w:r>
              <w:rPr>
                <w:rFonts w:hint="eastAsia"/>
                <w:color w:val="auto"/>
                <w:kern w:val="0"/>
                <w:sz w:val="20"/>
                <w:szCs w:val="20"/>
                <w:highlight w:val="none"/>
                <w:lang w:val="en-US" w:eastAsia="zh-CN"/>
              </w:rPr>
              <w:t>68～73dB(A)</w:t>
            </w:r>
          </w:p>
        </w:tc>
        <w:tc>
          <w:tcPr>
            <w:tcW w:w="359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val="en-US" w:eastAsia="zh-CN"/>
              </w:rPr>
            </w:pPr>
            <w:r>
              <w:rPr>
                <w:rFonts w:hint="eastAsia"/>
                <w:color w:val="auto"/>
                <w:kern w:val="0"/>
                <w:sz w:val="20"/>
                <w:szCs w:val="20"/>
                <w:highlight w:val="none"/>
                <w:lang w:val="en-US" w:eastAsia="zh-CN"/>
              </w:rPr>
              <w:t>/</w:t>
            </w:r>
          </w:p>
        </w:tc>
        <w:tc>
          <w:tcPr>
            <w:tcW w:w="1444"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lang w:val="en-US" w:eastAsia="zh-CN"/>
              </w:rPr>
              <w:t>75～73dB(A)</w:t>
            </w:r>
          </w:p>
        </w:tc>
        <w:tc>
          <w:tcPr>
            <w:tcW w:w="1445"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kern w:val="0"/>
                <w:sz w:val="20"/>
                <w:szCs w:val="20"/>
                <w:highlight w:val="none"/>
                <w:lang w:eastAsia="zh-CN"/>
              </w:rPr>
              <w:t>外环境</w:t>
            </w:r>
          </w:p>
        </w:tc>
      </w:tr>
    </w:tbl>
    <w:p>
      <w:pPr>
        <w:adjustRightInd w:val="0"/>
        <w:snapToGrid w:val="0"/>
        <w:spacing w:line="240" w:lineRule="auto"/>
        <w:ind w:firstLine="520"/>
        <w:jc w:val="center"/>
        <w:rPr>
          <w:color w:val="auto"/>
          <w:szCs w:val="26"/>
          <w:highlight w:val="none"/>
        </w:rPr>
      </w:pPr>
    </w:p>
    <w:p>
      <w:pPr>
        <w:adjustRightInd w:val="0"/>
        <w:snapToGrid w:val="0"/>
        <w:spacing w:line="240" w:lineRule="auto"/>
        <w:ind w:firstLine="520"/>
        <w:jc w:val="center"/>
        <w:rPr>
          <w:color w:val="auto"/>
          <w:szCs w:val="26"/>
          <w:highlight w:val="none"/>
        </w:rPr>
      </w:pPr>
    </w:p>
    <w:p>
      <w:pPr>
        <w:adjustRightInd w:val="0"/>
        <w:snapToGrid w:val="0"/>
        <w:spacing w:line="240" w:lineRule="auto"/>
        <w:ind w:firstLine="520"/>
        <w:jc w:val="center"/>
        <w:rPr>
          <w:color w:val="auto"/>
          <w:szCs w:val="26"/>
          <w:highlight w:val="none"/>
        </w:rPr>
      </w:pPr>
    </w:p>
    <w:p>
      <w:pPr>
        <w:adjustRightInd w:val="0"/>
        <w:snapToGrid w:val="0"/>
        <w:spacing w:line="240" w:lineRule="auto"/>
        <w:ind w:firstLine="520"/>
        <w:jc w:val="center"/>
        <w:rPr>
          <w:color w:val="auto"/>
          <w:szCs w:val="26"/>
          <w:highlight w:val="none"/>
        </w:rPr>
      </w:pPr>
    </w:p>
    <w:p>
      <w:pPr>
        <w:adjustRightInd w:val="0"/>
        <w:snapToGrid w:val="0"/>
        <w:spacing w:line="240" w:lineRule="auto"/>
        <w:ind w:firstLine="520"/>
        <w:jc w:val="center"/>
        <w:rPr>
          <w:color w:val="auto"/>
          <w:szCs w:val="26"/>
          <w:highlight w:val="none"/>
        </w:rPr>
      </w:pPr>
    </w:p>
    <w:p>
      <w:pPr>
        <w:adjustRightInd w:val="0"/>
        <w:snapToGrid w:val="0"/>
        <w:spacing w:line="240" w:lineRule="auto"/>
        <w:ind w:firstLine="520"/>
        <w:jc w:val="center"/>
        <w:rPr>
          <w:color w:val="auto"/>
          <w:szCs w:val="26"/>
          <w:highlight w:val="none"/>
        </w:rPr>
      </w:pPr>
    </w:p>
    <w:p>
      <w:pPr>
        <w:adjustRightInd w:val="0"/>
        <w:snapToGrid w:val="0"/>
        <w:spacing w:line="240" w:lineRule="auto"/>
        <w:ind w:firstLine="520"/>
        <w:jc w:val="center"/>
        <w:rPr>
          <w:color w:val="auto"/>
          <w:szCs w:val="26"/>
          <w:highlight w:val="none"/>
        </w:rPr>
      </w:pPr>
    </w:p>
    <w:p>
      <w:pPr>
        <w:adjustRightInd w:val="0"/>
        <w:snapToGrid w:val="0"/>
        <w:spacing w:line="240" w:lineRule="auto"/>
        <w:ind w:firstLine="520"/>
        <w:jc w:val="center"/>
        <w:rPr>
          <w:color w:val="auto"/>
          <w:szCs w:val="26"/>
          <w:highlight w:val="none"/>
        </w:rPr>
      </w:pPr>
    </w:p>
    <w:p>
      <w:pPr>
        <w:adjustRightInd w:val="0"/>
        <w:snapToGrid w:val="0"/>
        <w:spacing w:line="240" w:lineRule="auto"/>
        <w:ind w:firstLine="520"/>
        <w:jc w:val="center"/>
        <w:rPr>
          <w:color w:val="auto"/>
          <w:szCs w:val="26"/>
          <w:highlight w:val="none"/>
        </w:rPr>
      </w:pPr>
    </w:p>
    <w:p>
      <w:pPr>
        <w:adjustRightInd w:val="0"/>
        <w:snapToGrid w:val="0"/>
        <w:spacing w:line="240" w:lineRule="auto"/>
        <w:ind w:firstLine="520"/>
        <w:jc w:val="center"/>
        <w:rPr>
          <w:color w:val="auto"/>
          <w:szCs w:val="26"/>
          <w:highlight w:val="none"/>
        </w:rPr>
      </w:pPr>
      <w:r>
        <w:rPr>
          <w:color w:val="auto"/>
          <w:szCs w:val="26"/>
          <w:highlight w:val="none"/>
        </w:rPr>
        <w:t>表</w:t>
      </w:r>
      <w:r>
        <w:rPr>
          <w:rFonts w:hint="eastAsia"/>
          <w:color w:val="auto"/>
          <w:szCs w:val="26"/>
          <w:highlight w:val="none"/>
          <w:lang w:val="en-US" w:eastAsia="zh-CN"/>
        </w:rPr>
        <w:t>2.7</w:t>
      </w:r>
      <w:r>
        <w:rPr>
          <w:rFonts w:hint="eastAsia"/>
          <w:color w:val="auto"/>
          <w:szCs w:val="26"/>
          <w:highlight w:val="none"/>
        </w:rPr>
        <w:t>-2</w:t>
      </w:r>
      <w:r>
        <w:rPr>
          <w:color w:val="auto"/>
          <w:szCs w:val="26"/>
          <w:highlight w:val="none"/>
        </w:rPr>
        <w:t xml:space="preserve">   </w:t>
      </w:r>
      <w:r>
        <w:rPr>
          <w:rFonts w:hint="eastAsia"/>
          <w:color w:val="auto"/>
          <w:szCs w:val="26"/>
          <w:highlight w:val="none"/>
        </w:rPr>
        <w:t>项目实施前后污染物增减的“三本账”</w:t>
      </w:r>
      <w:r>
        <w:rPr>
          <w:color w:val="auto"/>
          <w:szCs w:val="26"/>
          <w:highlight w:val="none"/>
        </w:rPr>
        <w:t>统计表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6"/>
        <w:gridCol w:w="1346"/>
        <w:gridCol w:w="2143"/>
        <w:gridCol w:w="1329"/>
        <w:gridCol w:w="1478"/>
        <w:gridCol w:w="1473"/>
        <w:gridCol w:w="1241"/>
        <w:gridCol w:w="1445"/>
        <w:gridCol w:w="23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36" w:type="dxa"/>
            <w:vAlign w:val="center"/>
          </w:tcPr>
          <w:p>
            <w:pPr>
              <w:adjustRightInd w:val="0"/>
              <w:snapToGrid w:val="0"/>
              <w:spacing w:line="240" w:lineRule="auto"/>
              <w:ind w:firstLine="0" w:firstLineChars="0"/>
              <w:jc w:val="center"/>
              <w:rPr>
                <w:color w:val="auto"/>
                <w:kern w:val="0"/>
                <w:sz w:val="20"/>
                <w:szCs w:val="20"/>
                <w:highlight w:val="none"/>
              </w:rPr>
            </w:pPr>
            <w:r>
              <w:rPr>
                <w:color w:val="auto"/>
                <w:kern w:val="0"/>
                <w:sz w:val="20"/>
                <w:szCs w:val="20"/>
                <w:highlight w:val="none"/>
              </w:rPr>
              <w:t>要素</w:t>
            </w:r>
          </w:p>
        </w:tc>
        <w:tc>
          <w:tcPr>
            <w:tcW w:w="1346" w:type="dxa"/>
            <w:vAlign w:val="center"/>
          </w:tcPr>
          <w:p>
            <w:pPr>
              <w:adjustRightInd w:val="0"/>
              <w:snapToGrid w:val="0"/>
              <w:spacing w:line="240" w:lineRule="auto"/>
              <w:ind w:firstLine="0" w:firstLineChars="0"/>
              <w:jc w:val="center"/>
              <w:rPr>
                <w:color w:val="auto"/>
                <w:kern w:val="0"/>
                <w:sz w:val="20"/>
                <w:szCs w:val="20"/>
                <w:highlight w:val="none"/>
              </w:rPr>
            </w:pPr>
            <w:r>
              <w:rPr>
                <w:color w:val="auto"/>
                <w:kern w:val="0"/>
                <w:sz w:val="20"/>
                <w:szCs w:val="20"/>
                <w:highlight w:val="none"/>
              </w:rPr>
              <w:t>污染物种类</w:t>
            </w:r>
          </w:p>
        </w:tc>
        <w:tc>
          <w:tcPr>
            <w:tcW w:w="2143" w:type="dxa"/>
            <w:vAlign w:val="center"/>
          </w:tcPr>
          <w:p>
            <w:pPr>
              <w:adjustRightInd w:val="0"/>
              <w:snapToGrid w:val="0"/>
              <w:spacing w:line="240" w:lineRule="auto"/>
              <w:ind w:firstLine="0" w:firstLineChars="0"/>
              <w:jc w:val="center"/>
              <w:rPr>
                <w:color w:val="auto"/>
                <w:kern w:val="0"/>
                <w:sz w:val="20"/>
                <w:szCs w:val="20"/>
                <w:highlight w:val="none"/>
              </w:rPr>
            </w:pPr>
            <w:r>
              <w:rPr>
                <w:color w:val="auto"/>
                <w:kern w:val="0"/>
                <w:sz w:val="20"/>
                <w:szCs w:val="20"/>
                <w:highlight w:val="none"/>
              </w:rPr>
              <w:t>污染因子</w:t>
            </w:r>
          </w:p>
        </w:tc>
        <w:tc>
          <w:tcPr>
            <w:tcW w:w="1329"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rPr>
              <w:t>现状排放量</w:t>
            </w:r>
          </w:p>
        </w:tc>
        <w:tc>
          <w:tcPr>
            <w:tcW w:w="1478"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rPr>
              <w:t>拟建项目新增排放量</w:t>
            </w:r>
          </w:p>
        </w:tc>
        <w:tc>
          <w:tcPr>
            <w:tcW w:w="1473"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rPr>
              <w:t>“以新带老”削减量</w:t>
            </w:r>
          </w:p>
        </w:tc>
        <w:tc>
          <w:tcPr>
            <w:tcW w:w="1241"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rPr>
              <w:t>实施后污染物排放量</w:t>
            </w:r>
          </w:p>
        </w:tc>
        <w:tc>
          <w:tcPr>
            <w:tcW w:w="1445" w:type="dxa"/>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rPr>
              <w:t>实施前后污染物排放增减量</w:t>
            </w:r>
          </w:p>
        </w:tc>
        <w:tc>
          <w:tcPr>
            <w:tcW w:w="2387" w:type="dxa"/>
            <w:vAlign w:val="center"/>
          </w:tcPr>
          <w:p>
            <w:pPr>
              <w:adjustRightInd w:val="0"/>
              <w:snapToGrid w:val="0"/>
              <w:spacing w:line="240" w:lineRule="auto"/>
              <w:ind w:firstLine="0" w:firstLineChars="0"/>
              <w:jc w:val="center"/>
              <w:rPr>
                <w:rFonts w:hint="default" w:eastAsia="宋体"/>
                <w:color w:val="auto"/>
                <w:kern w:val="0"/>
                <w:sz w:val="20"/>
                <w:szCs w:val="20"/>
                <w:highlight w:val="none"/>
                <w:lang w:val="en-US" w:eastAsia="zh-CN"/>
              </w:rPr>
            </w:pPr>
            <w:r>
              <w:rPr>
                <w:rFonts w:hint="eastAsia"/>
                <w:color w:val="auto"/>
                <w:kern w:val="0"/>
                <w:sz w:val="20"/>
                <w:szCs w:val="20"/>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6" w:type="dxa"/>
            <w:vMerge w:val="restart"/>
            <w:vAlign w:val="center"/>
          </w:tcPr>
          <w:p>
            <w:pPr>
              <w:adjustRightInd w:val="0"/>
              <w:snapToGrid w:val="0"/>
              <w:spacing w:line="240" w:lineRule="auto"/>
              <w:ind w:firstLine="0" w:firstLineChars="0"/>
              <w:jc w:val="center"/>
              <w:rPr>
                <w:color w:val="auto"/>
                <w:kern w:val="0"/>
                <w:sz w:val="20"/>
                <w:szCs w:val="20"/>
                <w:highlight w:val="none"/>
              </w:rPr>
            </w:pPr>
            <w:r>
              <w:rPr>
                <w:rFonts w:hint="eastAsia"/>
                <w:color w:val="auto"/>
                <w:kern w:val="0"/>
                <w:sz w:val="20"/>
                <w:szCs w:val="20"/>
                <w:highlight w:val="none"/>
              </w:rPr>
              <w:t>废水</w:t>
            </w:r>
          </w:p>
        </w:tc>
        <w:tc>
          <w:tcPr>
            <w:tcW w:w="1346" w:type="dxa"/>
            <w:vMerge w:val="restart"/>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0"/>
                <w:szCs w:val="20"/>
                <w:highlight w:val="none"/>
                <w:lang w:val="en-US" w:eastAsia="zh-CN" w:bidi="ar-SA"/>
              </w:rPr>
            </w:pPr>
            <w:r>
              <w:rPr>
                <w:color w:val="auto"/>
                <w:spacing w:val="-4"/>
                <w:sz w:val="20"/>
                <w:szCs w:val="20"/>
                <w:highlight w:val="none"/>
              </w:rPr>
              <w:t>生活污水</w:t>
            </w:r>
          </w:p>
        </w:tc>
        <w:tc>
          <w:tcPr>
            <w:tcW w:w="2143" w:type="dxa"/>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0"/>
                <w:szCs w:val="20"/>
                <w:highlight w:val="none"/>
                <w:lang w:val="en-US" w:eastAsia="zh-CN" w:bidi="ar-SA"/>
              </w:rPr>
            </w:pPr>
            <w:r>
              <w:rPr>
                <w:rFonts w:hint="eastAsia" w:cs="Times New Roman"/>
                <w:color w:val="auto"/>
                <w:kern w:val="2"/>
                <w:sz w:val="20"/>
                <w:szCs w:val="20"/>
                <w:highlight w:val="none"/>
                <w:lang w:val="en-US" w:eastAsia="zh-CN" w:bidi="ar-SA"/>
              </w:rPr>
              <w:t>水量</w:t>
            </w:r>
          </w:p>
        </w:tc>
        <w:tc>
          <w:tcPr>
            <w:tcW w:w="1329" w:type="dxa"/>
            <w:vAlign w:val="center"/>
          </w:tcPr>
          <w:p>
            <w:pPr>
              <w:adjustRightInd w:val="0"/>
              <w:snapToGrid w:val="0"/>
              <w:spacing w:line="240" w:lineRule="auto"/>
              <w:ind w:firstLine="0" w:firstLineChars="0"/>
              <w:jc w:val="center"/>
              <w:rPr>
                <w:rFonts w:ascii="Times New Roman" w:hAnsi="Times New Roman" w:eastAsia="宋体" w:cs="Times New Roman"/>
                <w:color w:val="auto"/>
                <w:kern w:val="0"/>
                <w:sz w:val="20"/>
                <w:szCs w:val="20"/>
                <w:highlight w:val="none"/>
                <w:lang w:val="en-US" w:eastAsia="zh-CN" w:bidi="ar-SA"/>
              </w:rPr>
            </w:pPr>
            <w:r>
              <w:rPr>
                <w:rFonts w:hint="eastAsia"/>
                <w:color w:val="auto"/>
                <w:kern w:val="0"/>
                <w:sz w:val="20"/>
                <w:szCs w:val="20"/>
                <w:highlight w:val="none"/>
                <w:lang w:val="en-US" w:eastAsia="zh-CN"/>
              </w:rPr>
              <w:t>6.0</w:t>
            </w:r>
            <w:r>
              <w:rPr>
                <w:rFonts w:hint="eastAsia"/>
                <w:color w:val="auto"/>
                <w:kern w:val="0"/>
                <w:sz w:val="20"/>
                <w:szCs w:val="20"/>
                <w:highlight w:val="none"/>
              </w:rPr>
              <w:t>m³/d</w:t>
            </w:r>
          </w:p>
        </w:tc>
        <w:tc>
          <w:tcPr>
            <w:tcW w:w="1478"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kern w:val="2"/>
                <w:sz w:val="20"/>
                <w:szCs w:val="20"/>
                <w:highlight w:val="none"/>
                <w:lang w:val="en-US" w:eastAsia="zh-CN" w:bidi="ar-SA"/>
              </w:rPr>
            </w:pPr>
            <w:r>
              <w:rPr>
                <w:rFonts w:hint="eastAsia"/>
                <w:color w:val="auto"/>
                <w:spacing w:val="-4"/>
                <w:sz w:val="20"/>
                <w:szCs w:val="20"/>
                <w:highlight w:val="none"/>
                <w:lang w:val="en-US" w:eastAsia="zh-CN"/>
              </w:rPr>
              <w:t>0</w:t>
            </w:r>
          </w:p>
        </w:tc>
        <w:tc>
          <w:tcPr>
            <w:tcW w:w="1473"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kern w:val="2"/>
                <w:sz w:val="20"/>
                <w:szCs w:val="20"/>
                <w:highlight w:val="none"/>
                <w:lang w:val="en-US" w:eastAsia="zh-CN" w:bidi="ar-SA"/>
              </w:rPr>
            </w:pPr>
            <w:r>
              <w:rPr>
                <w:rFonts w:hint="eastAsia"/>
                <w:color w:val="auto"/>
                <w:spacing w:val="-4"/>
                <w:sz w:val="20"/>
                <w:szCs w:val="20"/>
                <w:highlight w:val="none"/>
                <w:lang w:val="en-US" w:eastAsia="zh-CN"/>
              </w:rPr>
              <w:t>6.0m³/d</w:t>
            </w:r>
          </w:p>
        </w:tc>
        <w:tc>
          <w:tcPr>
            <w:tcW w:w="1241"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kern w:val="2"/>
                <w:sz w:val="20"/>
                <w:szCs w:val="20"/>
                <w:highlight w:val="none"/>
                <w:lang w:val="en-US" w:eastAsia="zh-CN" w:bidi="ar-SA"/>
              </w:rPr>
            </w:pPr>
            <w:r>
              <w:rPr>
                <w:rFonts w:hint="eastAsia"/>
                <w:color w:val="auto"/>
                <w:spacing w:val="-4"/>
                <w:sz w:val="20"/>
                <w:szCs w:val="20"/>
                <w:highlight w:val="none"/>
                <w:lang w:val="en-US" w:eastAsia="zh-CN"/>
              </w:rPr>
              <w:t>0</w:t>
            </w:r>
          </w:p>
        </w:tc>
        <w:tc>
          <w:tcPr>
            <w:tcW w:w="1445"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kern w:val="2"/>
                <w:sz w:val="20"/>
                <w:szCs w:val="20"/>
                <w:highlight w:val="none"/>
                <w:lang w:val="en-US" w:eastAsia="zh-CN" w:bidi="ar-SA"/>
              </w:rPr>
            </w:pPr>
            <w:r>
              <w:rPr>
                <w:rFonts w:hint="eastAsia"/>
                <w:color w:val="auto"/>
                <w:spacing w:val="-4"/>
                <w:sz w:val="20"/>
                <w:szCs w:val="20"/>
                <w:highlight w:val="none"/>
                <w:lang w:val="en-US" w:eastAsia="zh-CN"/>
              </w:rPr>
              <w:t>-6.0m³/d</w:t>
            </w:r>
          </w:p>
        </w:tc>
        <w:tc>
          <w:tcPr>
            <w:tcW w:w="2387" w:type="dxa"/>
            <w:vMerge w:val="restart"/>
            <w:vAlign w:val="center"/>
          </w:tcPr>
          <w:p>
            <w:pPr>
              <w:adjustRightInd w:val="0"/>
              <w:snapToGrid w:val="0"/>
              <w:spacing w:line="240" w:lineRule="auto"/>
              <w:ind w:firstLine="0" w:firstLineChars="0"/>
              <w:jc w:val="center"/>
              <w:rPr>
                <w:rFonts w:hint="eastAsia" w:eastAsia="宋体"/>
                <w:color w:val="auto"/>
                <w:spacing w:val="-4"/>
                <w:sz w:val="20"/>
                <w:szCs w:val="20"/>
                <w:highlight w:val="none"/>
                <w:lang w:eastAsia="zh-CN"/>
              </w:rPr>
            </w:pPr>
            <w:r>
              <w:rPr>
                <w:rFonts w:hint="eastAsia"/>
                <w:color w:val="auto"/>
                <w:spacing w:val="-4"/>
                <w:sz w:val="20"/>
                <w:szCs w:val="20"/>
                <w:highlight w:val="none"/>
                <w:lang w:eastAsia="zh-CN"/>
              </w:rPr>
              <w:t>本次项目实施后，管理区所有生活污水经一体化处理设备处理达标后回用，不外排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6" w:type="dxa"/>
            <w:vMerge w:val="continue"/>
            <w:vAlign w:val="center"/>
          </w:tcPr>
          <w:p>
            <w:pPr>
              <w:adjustRightInd w:val="0"/>
              <w:snapToGrid w:val="0"/>
              <w:spacing w:line="240" w:lineRule="auto"/>
              <w:ind w:firstLine="0" w:firstLineChars="0"/>
              <w:jc w:val="center"/>
              <w:rPr>
                <w:rFonts w:hint="eastAsia"/>
                <w:color w:val="auto"/>
                <w:kern w:val="0"/>
                <w:sz w:val="20"/>
                <w:szCs w:val="20"/>
                <w:highlight w:val="none"/>
              </w:rPr>
            </w:pPr>
          </w:p>
        </w:tc>
        <w:tc>
          <w:tcPr>
            <w:tcW w:w="1346" w:type="dxa"/>
            <w:vMerge w:val="continue"/>
            <w:vAlign w:val="center"/>
          </w:tcPr>
          <w:p>
            <w:pPr>
              <w:adjustRightInd w:val="0"/>
              <w:snapToGrid w:val="0"/>
              <w:spacing w:line="240" w:lineRule="auto"/>
              <w:ind w:firstLine="0" w:firstLineChars="0"/>
              <w:jc w:val="center"/>
              <w:rPr>
                <w:color w:val="auto"/>
                <w:spacing w:val="-4"/>
                <w:sz w:val="20"/>
                <w:szCs w:val="20"/>
                <w:highlight w:val="none"/>
              </w:rPr>
            </w:pPr>
          </w:p>
        </w:tc>
        <w:tc>
          <w:tcPr>
            <w:tcW w:w="214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COD</w:t>
            </w:r>
          </w:p>
        </w:tc>
        <w:tc>
          <w:tcPr>
            <w:tcW w:w="1329"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default" w:ascii="Times New Roman" w:hAnsi="Times New Roman" w:eastAsia="宋体" w:cs="Times New Roman"/>
                <w:color w:val="auto"/>
                <w:spacing w:val="-4"/>
                <w:sz w:val="20"/>
                <w:szCs w:val="20"/>
                <w:highlight w:val="none"/>
                <w:lang w:val="en-US" w:eastAsia="zh-CN"/>
              </w:rPr>
              <w:t>0.22</w:t>
            </w:r>
            <w:r>
              <w:rPr>
                <w:rFonts w:hint="eastAsia" w:ascii="Times New Roman" w:hAnsi="Times New Roman" w:eastAsia="宋体" w:cs="Times New Roman"/>
                <w:color w:val="auto"/>
                <w:spacing w:val="-4"/>
                <w:sz w:val="20"/>
                <w:szCs w:val="20"/>
                <w:highlight w:val="none"/>
                <w:lang w:val="en-US" w:eastAsia="zh-CN"/>
              </w:rPr>
              <w:t>t/a</w:t>
            </w:r>
          </w:p>
        </w:tc>
        <w:tc>
          <w:tcPr>
            <w:tcW w:w="1478"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0</w:t>
            </w:r>
          </w:p>
        </w:tc>
        <w:tc>
          <w:tcPr>
            <w:tcW w:w="147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default" w:ascii="Times New Roman" w:hAnsi="Times New Roman" w:eastAsia="宋体" w:cs="Times New Roman"/>
                <w:color w:val="auto"/>
                <w:spacing w:val="-4"/>
                <w:sz w:val="20"/>
                <w:szCs w:val="20"/>
                <w:highlight w:val="none"/>
                <w:lang w:val="en-US" w:eastAsia="zh-CN"/>
              </w:rPr>
              <w:t>0.22</w:t>
            </w:r>
            <w:r>
              <w:rPr>
                <w:rFonts w:hint="eastAsia" w:ascii="Times New Roman" w:hAnsi="Times New Roman" w:eastAsia="宋体" w:cs="Times New Roman"/>
                <w:color w:val="auto"/>
                <w:spacing w:val="-4"/>
                <w:sz w:val="20"/>
                <w:szCs w:val="20"/>
                <w:highlight w:val="none"/>
                <w:lang w:val="en-US" w:eastAsia="zh-CN"/>
              </w:rPr>
              <w:t>t/a</w:t>
            </w:r>
          </w:p>
        </w:tc>
        <w:tc>
          <w:tcPr>
            <w:tcW w:w="1241"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0</w:t>
            </w:r>
          </w:p>
        </w:tc>
        <w:tc>
          <w:tcPr>
            <w:tcW w:w="1445"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w:t>
            </w:r>
            <w:r>
              <w:rPr>
                <w:rFonts w:hint="default" w:ascii="Times New Roman" w:hAnsi="Times New Roman" w:eastAsia="宋体" w:cs="Times New Roman"/>
                <w:color w:val="auto"/>
                <w:spacing w:val="-4"/>
                <w:sz w:val="20"/>
                <w:szCs w:val="20"/>
                <w:highlight w:val="none"/>
                <w:lang w:val="en-US" w:eastAsia="zh-CN"/>
              </w:rPr>
              <w:t>0.22</w:t>
            </w:r>
            <w:r>
              <w:rPr>
                <w:rFonts w:hint="eastAsia" w:ascii="Times New Roman" w:hAnsi="Times New Roman" w:eastAsia="宋体" w:cs="Times New Roman"/>
                <w:color w:val="auto"/>
                <w:spacing w:val="-4"/>
                <w:sz w:val="20"/>
                <w:szCs w:val="20"/>
                <w:highlight w:val="none"/>
                <w:lang w:val="en-US" w:eastAsia="zh-CN"/>
              </w:rPr>
              <w:t>t/a</w:t>
            </w:r>
          </w:p>
        </w:tc>
        <w:tc>
          <w:tcPr>
            <w:tcW w:w="2387" w:type="dxa"/>
            <w:vMerge w:val="continue"/>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6"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346" w:type="dxa"/>
            <w:vMerge w:val="continue"/>
            <w:vAlign w:val="center"/>
          </w:tcPr>
          <w:p>
            <w:pPr>
              <w:adjustRightInd w:val="0"/>
              <w:snapToGrid w:val="0"/>
              <w:spacing w:line="240" w:lineRule="auto"/>
              <w:ind w:firstLine="0" w:firstLineChars="0"/>
              <w:jc w:val="center"/>
              <w:rPr>
                <w:color w:val="auto"/>
                <w:sz w:val="20"/>
                <w:szCs w:val="20"/>
                <w:highlight w:val="none"/>
              </w:rPr>
            </w:pPr>
          </w:p>
        </w:tc>
        <w:tc>
          <w:tcPr>
            <w:tcW w:w="214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BOD5</w:t>
            </w:r>
          </w:p>
        </w:tc>
        <w:tc>
          <w:tcPr>
            <w:tcW w:w="132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default" w:ascii="Times New Roman" w:hAnsi="Times New Roman" w:eastAsia="宋体" w:cs="Times New Roman"/>
                <w:color w:val="auto"/>
                <w:spacing w:val="-4"/>
                <w:sz w:val="20"/>
                <w:szCs w:val="20"/>
                <w:highlight w:val="none"/>
                <w:lang w:val="en-US" w:eastAsia="zh-CN"/>
              </w:rPr>
              <w:t>0.07</w:t>
            </w:r>
            <w:r>
              <w:rPr>
                <w:rFonts w:hint="eastAsia" w:ascii="Times New Roman" w:hAnsi="Times New Roman" w:eastAsia="宋体" w:cs="Times New Roman"/>
                <w:color w:val="auto"/>
                <w:spacing w:val="-4"/>
                <w:sz w:val="20"/>
                <w:szCs w:val="20"/>
                <w:highlight w:val="none"/>
                <w:lang w:val="en-US" w:eastAsia="zh-CN"/>
              </w:rPr>
              <w:t>t/a</w:t>
            </w:r>
          </w:p>
        </w:tc>
        <w:tc>
          <w:tcPr>
            <w:tcW w:w="147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0</w:t>
            </w:r>
          </w:p>
        </w:tc>
        <w:tc>
          <w:tcPr>
            <w:tcW w:w="1473"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default" w:ascii="Times New Roman" w:hAnsi="Times New Roman" w:eastAsia="宋体" w:cs="Times New Roman"/>
                <w:color w:val="auto"/>
                <w:spacing w:val="-4"/>
                <w:sz w:val="20"/>
                <w:szCs w:val="20"/>
                <w:highlight w:val="none"/>
                <w:lang w:val="en-US" w:eastAsia="zh-CN"/>
              </w:rPr>
              <w:t>0.07</w:t>
            </w:r>
            <w:r>
              <w:rPr>
                <w:rFonts w:hint="eastAsia" w:ascii="Times New Roman" w:hAnsi="Times New Roman" w:eastAsia="宋体" w:cs="Times New Roman"/>
                <w:color w:val="auto"/>
                <w:spacing w:val="-4"/>
                <w:sz w:val="20"/>
                <w:szCs w:val="20"/>
                <w:highlight w:val="none"/>
                <w:lang w:val="en-US" w:eastAsia="zh-CN"/>
              </w:rPr>
              <w:t>t/a</w:t>
            </w:r>
          </w:p>
        </w:tc>
        <w:tc>
          <w:tcPr>
            <w:tcW w:w="124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0</w:t>
            </w:r>
          </w:p>
        </w:tc>
        <w:tc>
          <w:tcPr>
            <w:tcW w:w="144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w:t>
            </w:r>
            <w:r>
              <w:rPr>
                <w:rFonts w:hint="default" w:ascii="Times New Roman" w:hAnsi="Times New Roman" w:eastAsia="宋体" w:cs="Times New Roman"/>
                <w:color w:val="auto"/>
                <w:spacing w:val="-4"/>
                <w:sz w:val="20"/>
                <w:szCs w:val="20"/>
                <w:highlight w:val="none"/>
                <w:lang w:val="en-US" w:eastAsia="zh-CN"/>
              </w:rPr>
              <w:t>0.07</w:t>
            </w:r>
            <w:r>
              <w:rPr>
                <w:rFonts w:hint="eastAsia" w:ascii="Times New Roman" w:hAnsi="Times New Roman" w:eastAsia="宋体" w:cs="Times New Roman"/>
                <w:color w:val="auto"/>
                <w:spacing w:val="-4"/>
                <w:sz w:val="20"/>
                <w:szCs w:val="20"/>
                <w:highlight w:val="none"/>
                <w:lang w:val="en-US" w:eastAsia="zh-CN"/>
              </w:rPr>
              <w:t>t/a</w:t>
            </w:r>
          </w:p>
        </w:tc>
        <w:tc>
          <w:tcPr>
            <w:tcW w:w="2387" w:type="dxa"/>
            <w:vMerge w:val="continue"/>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6"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346" w:type="dxa"/>
            <w:vMerge w:val="continue"/>
            <w:vAlign w:val="center"/>
          </w:tcPr>
          <w:p>
            <w:pPr>
              <w:adjustRightInd w:val="0"/>
              <w:snapToGrid w:val="0"/>
              <w:spacing w:line="240" w:lineRule="auto"/>
              <w:ind w:firstLine="0" w:firstLineChars="0"/>
              <w:jc w:val="center"/>
              <w:rPr>
                <w:color w:val="auto"/>
                <w:sz w:val="20"/>
                <w:szCs w:val="20"/>
                <w:highlight w:val="none"/>
              </w:rPr>
            </w:pPr>
          </w:p>
        </w:tc>
        <w:tc>
          <w:tcPr>
            <w:tcW w:w="214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SS</w:t>
            </w:r>
          </w:p>
        </w:tc>
        <w:tc>
          <w:tcPr>
            <w:tcW w:w="132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default" w:ascii="Times New Roman" w:hAnsi="Times New Roman" w:eastAsia="宋体" w:cs="Times New Roman"/>
                <w:color w:val="auto"/>
                <w:spacing w:val="-4"/>
                <w:sz w:val="20"/>
                <w:szCs w:val="20"/>
                <w:highlight w:val="none"/>
                <w:lang w:val="en-US" w:eastAsia="zh-CN"/>
              </w:rPr>
              <w:t>0.15</w:t>
            </w:r>
            <w:r>
              <w:rPr>
                <w:rFonts w:hint="eastAsia" w:ascii="Times New Roman" w:hAnsi="Times New Roman" w:eastAsia="宋体" w:cs="Times New Roman"/>
                <w:color w:val="auto"/>
                <w:spacing w:val="-4"/>
                <w:sz w:val="20"/>
                <w:szCs w:val="20"/>
                <w:highlight w:val="none"/>
                <w:lang w:val="en-US" w:eastAsia="zh-CN"/>
              </w:rPr>
              <w:t>t/a</w:t>
            </w:r>
          </w:p>
        </w:tc>
        <w:tc>
          <w:tcPr>
            <w:tcW w:w="147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0</w:t>
            </w:r>
          </w:p>
        </w:tc>
        <w:tc>
          <w:tcPr>
            <w:tcW w:w="1473"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default" w:ascii="Times New Roman" w:hAnsi="Times New Roman" w:eastAsia="宋体" w:cs="Times New Roman"/>
                <w:color w:val="auto"/>
                <w:spacing w:val="-4"/>
                <w:sz w:val="20"/>
                <w:szCs w:val="20"/>
                <w:highlight w:val="none"/>
                <w:lang w:val="en-US" w:eastAsia="zh-CN"/>
              </w:rPr>
              <w:t>0.15</w:t>
            </w:r>
            <w:r>
              <w:rPr>
                <w:rFonts w:hint="eastAsia" w:ascii="Times New Roman" w:hAnsi="Times New Roman" w:eastAsia="宋体" w:cs="Times New Roman"/>
                <w:color w:val="auto"/>
                <w:spacing w:val="-4"/>
                <w:sz w:val="20"/>
                <w:szCs w:val="20"/>
                <w:highlight w:val="none"/>
                <w:lang w:val="en-US" w:eastAsia="zh-CN"/>
              </w:rPr>
              <w:t>t/a</w:t>
            </w:r>
          </w:p>
        </w:tc>
        <w:tc>
          <w:tcPr>
            <w:tcW w:w="124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0</w:t>
            </w:r>
          </w:p>
        </w:tc>
        <w:tc>
          <w:tcPr>
            <w:tcW w:w="144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w:t>
            </w:r>
            <w:r>
              <w:rPr>
                <w:rFonts w:hint="default" w:ascii="Times New Roman" w:hAnsi="Times New Roman" w:eastAsia="宋体" w:cs="Times New Roman"/>
                <w:color w:val="auto"/>
                <w:spacing w:val="-4"/>
                <w:sz w:val="20"/>
                <w:szCs w:val="20"/>
                <w:highlight w:val="none"/>
                <w:lang w:val="en-US" w:eastAsia="zh-CN"/>
              </w:rPr>
              <w:t>0.15</w:t>
            </w:r>
            <w:r>
              <w:rPr>
                <w:rFonts w:hint="eastAsia" w:ascii="Times New Roman" w:hAnsi="Times New Roman" w:eastAsia="宋体" w:cs="Times New Roman"/>
                <w:color w:val="auto"/>
                <w:spacing w:val="-4"/>
                <w:sz w:val="20"/>
                <w:szCs w:val="20"/>
                <w:highlight w:val="none"/>
                <w:lang w:val="en-US" w:eastAsia="zh-CN"/>
              </w:rPr>
              <w:t>t/a</w:t>
            </w:r>
          </w:p>
        </w:tc>
        <w:tc>
          <w:tcPr>
            <w:tcW w:w="2387" w:type="dxa"/>
            <w:vMerge w:val="continue"/>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6"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346" w:type="dxa"/>
            <w:vMerge w:val="continue"/>
            <w:tcBorders>
              <w:bottom w:val="single" w:color="auto" w:sz="4" w:space="0"/>
            </w:tcBorders>
            <w:vAlign w:val="center"/>
          </w:tcPr>
          <w:p>
            <w:pPr>
              <w:adjustRightInd w:val="0"/>
              <w:snapToGrid w:val="0"/>
              <w:spacing w:line="240" w:lineRule="auto"/>
              <w:ind w:firstLine="0" w:firstLineChars="0"/>
              <w:jc w:val="center"/>
              <w:rPr>
                <w:color w:val="auto"/>
                <w:sz w:val="20"/>
                <w:szCs w:val="20"/>
                <w:highlight w:val="none"/>
              </w:rPr>
            </w:pPr>
          </w:p>
        </w:tc>
        <w:tc>
          <w:tcPr>
            <w:tcW w:w="214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NH</w:t>
            </w:r>
            <w:r>
              <w:rPr>
                <w:rFonts w:hint="eastAsia" w:ascii="Times New Roman" w:hAnsi="Times New Roman" w:eastAsia="宋体" w:cs="Times New Roman"/>
                <w:color w:val="auto"/>
                <w:spacing w:val="-4"/>
                <w:sz w:val="20"/>
                <w:szCs w:val="20"/>
                <w:highlight w:val="none"/>
                <w:vertAlign w:val="subscript"/>
                <w:lang w:val="en-US" w:eastAsia="zh-CN"/>
              </w:rPr>
              <w:t>3</w:t>
            </w:r>
            <w:r>
              <w:rPr>
                <w:rFonts w:hint="eastAsia" w:ascii="Times New Roman" w:hAnsi="Times New Roman" w:eastAsia="宋体" w:cs="Times New Roman"/>
                <w:color w:val="auto"/>
                <w:spacing w:val="-4"/>
                <w:sz w:val="20"/>
                <w:szCs w:val="20"/>
                <w:highlight w:val="none"/>
                <w:lang w:val="en-US" w:eastAsia="zh-CN"/>
              </w:rPr>
              <w:t>-N</w:t>
            </w:r>
          </w:p>
        </w:tc>
        <w:tc>
          <w:tcPr>
            <w:tcW w:w="132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default" w:ascii="Times New Roman" w:hAnsi="Times New Roman" w:eastAsia="宋体" w:cs="Times New Roman"/>
                <w:color w:val="auto"/>
                <w:spacing w:val="-4"/>
                <w:sz w:val="20"/>
                <w:szCs w:val="20"/>
                <w:highlight w:val="none"/>
                <w:lang w:val="en-US" w:eastAsia="zh-CN"/>
              </w:rPr>
              <w:t>0.03</w:t>
            </w:r>
            <w:r>
              <w:rPr>
                <w:rFonts w:hint="eastAsia" w:ascii="Times New Roman" w:hAnsi="Times New Roman" w:eastAsia="宋体" w:cs="Times New Roman"/>
                <w:color w:val="auto"/>
                <w:spacing w:val="-4"/>
                <w:sz w:val="20"/>
                <w:szCs w:val="20"/>
                <w:highlight w:val="none"/>
                <w:lang w:val="en-US" w:eastAsia="zh-CN"/>
              </w:rPr>
              <w:t>t/a</w:t>
            </w:r>
          </w:p>
        </w:tc>
        <w:tc>
          <w:tcPr>
            <w:tcW w:w="147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0</w:t>
            </w:r>
          </w:p>
        </w:tc>
        <w:tc>
          <w:tcPr>
            <w:tcW w:w="1473"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default" w:ascii="Times New Roman" w:hAnsi="Times New Roman" w:eastAsia="宋体" w:cs="Times New Roman"/>
                <w:color w:val="auto"/>
                <w:spacing w:val="-4"/>
                <w:sz w:val="20"/>
                <w:szCs w:val="20"/>
                <w:highlight w:val="none"/>
                <w:lang w:val="en-US" w:eastAsia="zh-CN"/>
              </w:rPr>
              <w:t>0.03</w:t>
            </w:r>
            <w:r>
              <w:rPr>
                <w:rFonts w:hint="eastAsia" w:ascii="Times New Roman" w:hAnsi="Times New Roman" w:eastAsia="宋体" w:cs="Times New Roman"/>
                <w:color w:val="auto"/>
                <w:spacing w:val="-4"/>
                <w:sz w:val="20"/>
                <w:szCs w:val="20"/>
                <w:highlight w:val="none"/>
                <w:lang w:val="en-US" w:eastAsia="zh-CN"/>
              </w:rPr>
              <w:t>t/a</w:t>
            </w:r>
          </w:p>
        </w:tc>
        <w:tc>
          <w:tcPr>
            <w:tcW w:w="124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0</w:t>
            </w:r>
          </w:p>
        </w:tc>
        <w:tc>
          <w:tcPr>
            <w:tcW w:w="144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w:t>
            </w:r>
            <w:r>
              <w:rPr>
                <w:rFonts w:hint="default" w:ascii="Times New Roman" w:hAnsi="Times New Roman" w:eastAsia="宋体" w:cs="Times New Roman"/>
                <w:color w:val="auto"/>
                <w:spacing w:val="-4"/>
                <w:sz w:val="20"/>
                <w:szCs w:val="20"/>
                <w:highlight w:val="none"/>
                <w:lang w:val="en-US" w:eastAsia="zh-CN"/>
              </w:rPr>
              <w:t>0.03</w:t>
            </w:r>
            <w:r>
              <w:rPr>
                <w:rFonts w:hint="eastAsia" w:ascii="Times New Roman" w:hAnsi="Times New Roman" w:eastAsia="宋体" w:cs="Times New Roman"/>
                <w:color w:val="auto"/>
                <w:spacing w:val="-4"/>
                <w:sz w:val="20"/>
                <w:szCs w:val="20"/>
                <w:highlight w:val="none"/>
                <w:lang w:val="en-US" w:eastAsia="zh-CN"/>
              </w:rPr>
              <w:t>t/a</w:t>
            </w:r>
          </w:p>
        </w:tc>
        <w:tc>
          <w:tcPr>
            <w:tcW w:w="2387" w:type="dxa"/>
            <w:vMerge w:val="continue"/>
            <w:tcBorders>
              <w:bottom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6" w:type="dxa"/>
            <w:vMerge w:val="restart"/>
            <w:vAlign w:val="center"/>
          </w:tcPr>
          <w:p>
            <w:pPr>
              <w:adjustRightInd w:val="0"/>
              <w:snapToGrid w:val="0"/>
              <w:spacing w:line="240" w:lineRule="auto"/>
              <w:ind w:firstLine="0" w:firstLineChars="0"/>
              <w:jc w:val="center"/>
              <w:rPr>
                <w:color w:val="auto"/>
                <w:kern w:val="0"/>
                <w:sz w:val="20"/>
                <w:szCs w:val="20"/>
                <w:highlight w:val="none"/>
              </w:rPr>
            </w:pPr>
            <w:r>
              <w:rPr>
                <w:color w:val="auto"/>
                <w:kern w:val="0"/>
                <w:sz w:val="20"/>
                <w:szCs w:val="20"/>
                <w:highlight w:val="none"/>
              </w:rPr>
              <w:t>固体废物</w:t>
            </w:r>
          </w:p>
        </w:tc>
        <w:tc>
          <w:tcPr>
            <w:tcW w:w="1346" w:type="dxa"/>
            <w:vAlign w:val="center"/>
          </w:tcPr>
          <w:p>
            <w:pPr>
              <w:adjustRightInd w:val="0"/>
              <w:snapToGrid w:val="0"/>
              <w:spacing w:line="240" w:lineRule="auto"/>
              <w:ind w:firstLine="0" w:firstLineChars="0"/>
              <w:jc w:val="center"/>
              <w:rPr>
                <w:rFonts w:hint="eastAsia" w:eastAsia="宋体"/>
                <w:color w:val="auto"/>
                <w:kern w:val="0"/>
                <w:sz w:val="20"/>
                <w:szCs w:val="20"/>
                <w:highlight w:val="none"/>
                <w:lang w:eastAsia="zh-CN"/>
              </w:rPr>
            </w:pPr>
            <w:r>
              <w:rPr>
                <w:rFonts w:hint="eastAsia"/>
                <w:color w:val="auto"/>
                <w:sz w:val="20"/>
                <w:szCs w:val="20"/>
                <w:highlight w:val="none"/>
                <w:lang w:eastAsia="zh-CN"/>
              </w:rPr>
              <w:t>生活垃圾</w:t>
            </w:r>
          </w:p>
        </w:tc>
        <w:tc>
          <w:tcPr>
            <w:tcW w:w="214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生活垃圾</w:t>
            </w:r>
          </w:p>
        </w:tc>
        <w:tc>
          <w:tcPr>
            <w:tcW w:w="1329"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10.78t/a</w:t>
            </w:r>
          </w:p>
        </w:tc>
        <w:tc>
          <w:tcPr>
            <w:tcW w:w="1478"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1.64t/a</w:t>
            </w:r>
          </w:p>
        </w:tc>
        <w:tc>
          <w:tcPr>
            <w:tcW w:w="147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0</w:t>
            </w:r>
          </w:p>
        </w:tc>
        <w:tc>
          <w:tcPr>
            <w:tcW w:w="1241"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12.42t/a</w:t>
            </w:r>
          </w:p>
        </w:tc>
        <w:tc>
          <w:tcPr>
            <w:tcW w:w="1445"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1.64t/a</w:t>
            </w:r>
          </w:p>
        </w:tc>
        <w:tc>
          <w:tcPr>
            <w:tcW w:w="2387"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由环卫部门定期清运处置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6" w:type="dxa"/>
            <w:vMerge w:val="continue"/>
            <w:vAlign w:val="center"/>
          </w:tcPr>
          <w:p>
            <w:pPr>
              <w:adjustRightInd w:val="0"/>
              <w:snapToGrid w:val="0"/>
              <w:spacing w:line="240" w:lineRule="auto"/>
              <w:ind w:firstLine="0" w:firstLineChars="0"/>
              <w:jc w:val="center"/>
              <w:rPr>
                <w:color w:val="auto"/>
                <w:kern w:val="0"/>
                <w:sz w:val="20"/>
                <w:szCs w:val="20"/>
                <w:highlight w:val="none"/>
              </w:rPr>
            </w:pPr>
          </w:p>
        </w:tc>
        <w:tc>
          <w:tcPr>
            <w:tcW w:w="1346" w:type="dxa"/>
            <w:vAlign w:val="center"/>
          </w:tcPr>
          <w:p>
            <w:pPr>
              <w:adjustRightInd w:val="0"/>
              <w:snapToGrid w:val="0"/>
              <w:spacing w:line="240" w:lineRule="auto"/>
              <w:ind w:firstLine="0" w:firstLineChars="0"/>
              <w:jc w:val="center"/>
              <w:rPr>
                <w:rFonts w:hint="eastAsia" w:eastAsia="宋体"/>
                <w:color w:val="auto"/>
                <w:sz w:val="20"/>
                <w:szCs w:val="20"/>
                <w:highlight w:val="none"/>
                <w:lang w:eastAsia="zh-CN"/>
              </w:rPr>
            </w:pPr>
            <w:r>
              <w:rPr>
                <w:rFonts w:hint="eastAsia"/>
                <w:color w:val="auto"/>
                <w:sz w:val="20"/>
                <w:szCs w:val="20"/>
                <w:highlight w:val="none"/>
                <w:lang w:eastAsia="zh-CN"/>
              </w:rPr>
              <w:t>危险废物</w:t>
            </w:r>
          </w:p>
        </w:tc>
        <w:tc>
          <w:tcPr>
            <w:tcW w:w="214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废矿物油、含油固废</w:t>
            </w:r>
          </w:p>
        </w:tc>
        <w:tc>
          <w:tcPr>
            <w:tcW w:w="1329"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2.0t/a</w:t>
            </w:r>
          </w:p>
        </w:tc>
        <w:tc>
          <w:tcPr>
            <w:tcW w:w="1478"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1.0t/a</w:t>
            </w:r>
          </w:p>
        </w:tc>
        <w:tc>
          <w:tcPr>
            <w:tcW w:w="147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0</w:t>
            </w:r>
          </w:p>
        </w:tc>
        <w:tc>
          <w:tcPr>
            <w:tcW w:w="1241"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3.0t/a</w:t>
            </w:r>
          </w:p>
        </w:tc>
        <w:tc>
          <w:tcPr>
            <w:tcW w:w="1445"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1.0t/a</w:t>
            </w:r>
          </w:p>
        </w:tc>
        <w:tc>
          <w:tcPr>
            <w:tcW w:w="2387"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pacing w:val="-4"/>
                <w:sz w:val="20"/>
                <w:szCs w:val="20"/>
                <w:highlight w:val="none"/>
                <w:lang w:val="en-US" w:eastAsia="zh-CN"/>
              </w:rPr>
            </w:pPr>
            <w:r>
              <w:rPr>
                <w:rFonts w:hint="eastAsia" w:ascii="Times New Roman" w:hAnsi="Times New Roman" w:eastAsia="宋体" w:cs="Times New Roman"/>
                <w:color w:val="auto"/>
                <w:spacing w:val="-4"/>
                <w:sz w:val="20"/>
                <w:szCs w:val="20"/>
                <w:highlight w:val="none"/>
                <w:lang w:val="en-US" w:eastAsia="zh-CN"/>
              </w:rPr>
              <w:t>定期交有危废处理资质的单位处置</w:t>
            </w:r>
          </w:p>
        </w:tc>
      </w:tr>
    </w:tbl>
    <w:p>
      <w:pPr>
        <w:spacing w:line="240" w:lineRule="auto"/>
        <w:ind w:firstLine="520"/>
        <w:jc w:val="center"/>
        <w:rPr>
          <w:color w:val="auto"/>
          <w:szCs w:val="26"/>
          <w:highlight w:val="none"/>
        </w:rPr>
        <w:sectPr>
          <w:pgSz w:w="16838" w:h="11906" w:orient="landscape"/>
          <w:pgMar w:top="1701" w:right="1588" w:bottom="1588" w:left="1588" w:header="1304" w:footer="1247" w:gutter="0"/>
          <w:cols w:space="720" w:num="1"/>
          <w:docGrid w:linePitch="312" w:charSpace="0"/>
        </w:sectPr>
      </w:pPr>
    </w:p>
    <w:p>
      <w:pPr>
        <w:spacing w:line="240" w:lineRule="auto"/>
        <w:ind w:firstLine="520"/>
        <w:rPr>
          <w:color w:val="auto"/>
          <w:highlight w:val="none"/>
        </w:rPr>
      </w:pPr>
    </w:p>
    <w:p>
      <w:pPr>
        <w:pStyle w:val="3"/>
        <w:snapToGrid w:val="0"/>
        <w:spacing w:line="240" w:lineRule="auto"/>
        <w:ind w:firstLineChars="0"/>
        <w:rPr>
          <w:color w:val="auto"/>
          <w:highlight w:val="none"/>
        </w:rPr>
      </w:pPr>
      <w:bookmarkStart w:id="82" w:name="_Toc12645"/>
      <w:r>
        <w:rPr>
          <w:rFonts w:hint="eastAsia"/>
          <w:color w:val="auto"/>
          <w:highlight w:val="none"/>
        </w:rPr>
        <w:t>环境现状</w:t>
      </w:r>
      <w:r>
        <w:rPr>
          <w:color w:val="auto"/>
          <w:highlight w:val="none"/>
        </w:rPr>
        <w:t>调查与评价</w:t>
      </w:r>
      <w:bookmarkEnd w:id="82"/>
    </w:p>
    <w:p>
      <w:pPr>
        <w:snapToGrid w:val="0"/>
        <w:spacing w:line="240" w:lineRule="auto"/>
        <w:ind w:firstLine="520"/>
        <w:jc w:val="left"/>
        <w:rPr>
          <w:color w:val="auto"/>
          <w:highlight w:val="none"/>
        </w:rPr>
      </w:pPr>
    </w:p>
    <w:p>
      <w:pPr>
        <w:pStyle w:val="4"/>
        <w:rPr>
          <w:color w:val="auto"/>
          <w:highlight w:val="none"/>
        </w:rPr>
      </w:pPr>
      <w:bookmarkStart w:id="83" w:name="_Toc2036"/>
      <w:r>
        <w:rPr>
          <w:rFonts w:hint="eastAsia"/>
          <w:color w:val="auto"/>
          <w:highlight w:val="none"/>
        </w:rPr>
        <w:t>自然环境</w:t>
      </w:r>
      <w:r>
        <w:rPr>
          <w:color w:val="auto"/>
          <w:highlight w:val="none"/>
        </w:rPr>
        <w:t>概况</w:t>
      </w:r>
      <w:bookmarkEnd w:id="83"/>
    </w:p>
    <w:p>
      <w:pPr>
        <w:pStyle w:val="5"/>
        <w:ind w:firstLine="522"/>
        <w:rPr>
          <w:color w:val="auto"/>
          <w:highlight w:val="none"/>
        </w:rPr>
      </w:pPr>
      <w:r>
        <w:rPr>
          <w:rFonts w:hint="eastAsia"/>
          <w:color w:val="auto"/>
          <w:highlight w:val="none"/>
        </w:rPr>
        <w:t>地理位置</w:t>
      </w:r>
    </w:p>
    <w:p>
      <w:pPr>
        <w:ind w:firstLine="520"/>
        <w:rPr>
          <w:color w:val="auto"/>
          <w:highlight w:val="none"/>
        </w:rPr>
      </w:pPr>
      <w:r>
        <w:rPr>
          <w:rFonts w:hint="eastAsia"/>
          <w:color w:val="auto"/>
          <w:highlight w:val="none"/>
        </w:rPr>
        <w:t>涪江系嘉陵江右岸最大支流，发源于四川松潘县黄龙至平武一带，流经四川省遂宁与重庆市潼南、铜梁、合川等市区，在三星大坝进入渝境，渝境内长136公里，为涪江下游段。涪江航道重庆段规划有双江、潼南、富金坝、安居和渭沱共5个梯级，渭沱枢纽工程位于合川区渭沱镇涪江干流，是涪江流域总体规划中最后一级，下距涪江、嘉陵江交汇处23km，距离合川城区20km，距离重庆主城区118km。本次对渭沱枢纽现有船闸进行改造，位于现有枢纽右岸，船闸所在位置隶属于合川区铜溪镇。项目位置见</w:t>
      </w:r>
      <w:r>
        <w:rPr>
          <w:rFonts w:hint="eastAsia"/>
          <w:b/>
          <w:bCs/>
          <w:color w:val="auto"/>
          <w:highlight w:val="none"/>
          <w:u w:val="single"/>
        </w:rPr>
        <w:t>附图1</w:t>
      </w:r>
      <w:r>
        <w:rPr>
          <w:rFonts w:hint="eastAsia"/>
          <w:color w:val="auto"/>
          <w:highlight w:val="none"/>
        </w:rPr>
        <w:t>。</w:t>
      </w:r>
    </w:p>
    <w:p>
      <w:pPr>
        <w:pStyle w:val="5"/>
        <w:ind w:firstLine="522"/>
        <w:rPr>
          <w:color w:val="auto"/>
          <w:highlight w:val="none"/>
        </w:rPr>
      </w:pPr>
      <w:r>
        <w:rPr>
          <w:rFonts w:hint="eastAsia"/>
          <w:color w:val="auto"/>
          <w:highlight w:val="none"/>
        </w:rPr>
        <w:t>地形地貌</w:t>
      </w:r>
    </w:p>
    <w:p>
      <w:pPr>
        <w:adjustRightInd w:val="0"/>
        <w:snapToGrid w:val="0"/>
        <w:ind w:firstLine="520"/>
        <w:rPr>
          <w:color w:val="auto"/>
          <w:szCs w:val="26"/>
          <w:highlight w:val="none"/>
        </w:rPr>
      </w:pPr>
      <w:r>
        <w:rPr>
          <w:rFonts w:hint="eastAsia"/>
          <w:color w:val="auto"/>
          <w:szCs w:val="26"/>
          <w:highlight w:val="none"/>
        </w:rPr>
        <w:t>本区位于四川盆地东缘，在构造上处于川东褶皱带与川中褶皱带之毗邻地带，即大石桥背斜之南。为台状丘陵区，高程190~280m。地貌单元可分为构造剥蚀和侵蚀堆积两大类型。前者为浅丘，间有阶梯状丘陵；后者为侵蚀凹地与河谷阶地、冲沟等。船闸所在的渭沱枢纽位于涪江下游，基本流向由北向南，蛇曲较发育，侧蚀作用较明显。库区两岸发育有数条支流，呈羽状分布。河谷横剖面呈“V”</w:t>
      </w:r>
      <w:r>
        <w:rPr>
          <w:rFonts w:hint="eastAsia"/>
          <w:color w:val="auto"/>
          <w:szCs w:val="26"/>
          <w:highlight w:val="none"/>
          <w:shd w:val="clear" w:fill="FFFFFF"/>
        </w:rPr>
        <w:t>字型</w:t>
      </w:r>
      <w:r>
        <w:rPr>
          <w:rFonts w:hint="eastAsia"/>
          <w:color w:val="auto"/>
          <w:szCs w:val="26"/>
          <w:highlight w:val="none"/>
        </w:rPr>
        <w:t>，一般河面宽300~380m，河漫滩较发育，部分河段发育有深切河槽。</w:t>
      </w:r>
    </w:p>
    <w:p>
      <w:pPr>
        <w:adjustRightInd w:val="0"/>
        <w:snapToGrid w:val="0"/>
        <w:ind w:firstLine="520"/>
        <w:rPr>
          <w:color w:val="auto"/>
          <w:szCs w:val="26"/>
          <w:highlight w:val="none"/>
        </w:rPr>
      </w:pPr>
      <w:r>
        <w:rPr>
          <w:rFonts w:hint="eastAsia"/>
          <w:color w:val="auto"/>
          <w:szCs w:val="26"/>
          <w:highlight w:val="none"/>
        </w:rPr>
        <w:t>拟建船闸位于涪江右岸，紧邻渭沱枢纽电站已建船闸，分布有Ⅱ阶地，由于枢纽电站的建设阶面已遭破坏；上游引航道大部分分布于库区枢纽内，河床底标高在196~198m之间；库区水位勘察期间一般在201m左右，随着发电机组的运行上下有所波动；上游导航墙部分坡度一般在45度左右，局部存在陡坎；上闸首地面高程在202~223m之间，坡度陡；闸室、下闸首位于枢纽电站内，地面标高在209～229m之间；下游导航墙及引航道穿越枢纽电站后，经过阶地和漫摊接入涪江下游。总体来说，船闸的原始地形地貌已遭破坏，地形人为塑造明显，标高在196～243m之间，起伏较大。</w:t>
      </w:r>
    </w:p>
    <w:p>
      <w:pPr>
        <w:adjustRightInd w:val="0"/>
        <w:snapToGrid w:val="0"/>
        <w:spacing w:line="240" w:lineRule="auto"/>
        <w:ind w:firstLine="0" w:firstLineChars="0"/>
        <w:jc w:val="center"/>
        <w:rPr>
          <w:color w:val="auto"/>
          <w:szCs w:val="26"/>
          <w:highlight w:val="none"/>
        </w:rPr>
      </w:pPr>
      <w:r>
        <w:rPr>
          <w:color w:val="auto"/>
          <w:highlight w:val="none"/>
        </w:rPr>
        <w:drawing>
          <wp:inline distT="0" distB="0" distL="0" distR="0">
            <wp:extent cx="5543550" cy="2997200"/>
            <wp:effectExtent l="0" t="0" r="0" b="0"/>
            <wp:docPr id="11353670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367031" name="图片 1"/>
                    <pic:cNvPicPr>
                      <a:picLocks noChangeAspect="1"/>
                    </pic:cNvPicPr>
                  </pic:nvPicPr>
                  <pic:blipFill>
                    <a:blip r:embed="rId43"/>
                    <a:stretch>
                      <a:fillRect/>
                    </a:stretch>
                  </pic:blipFill>
                  <pic:spPr>
                    <a:xfrm>
                      <a:off x="0" y="0"/>
                      <a:ext cx="5543550" cy="2997200"/>
                    </a:xfrm>
                    <a:prstGeom prst="rect">
                      <a:avLst/>
                    </a:prstGeom>
                  </pic:spPr>
                </pic:pic>
              </a:graphicData>
            </a:graphic>
          </wp:inline>
        </w:drawing>
      </w:r>
    </w:p>
    <w:p>
      <w:pPr>
        <w:adjustRightInd w:val="0"/>
        <w:snapToGrid w:val="0"/>
        <w:spacing w:line="240" w:lineRule="auto"/>
        <w:ind w:firstLine="0" w:firstLineChars="0"/>
        <w:jc w:val="center"/>
        <w:rPr>
          <w:b/>
          <w:bCs/>
          <w:color w:val="auto"/>
          <w:szCs w:val="26"/>
          <w:highlight w:val="none"/>
        </w:rPr>
      </w:pPr>
      <w:r>
        <w:rPr>
          <w:rFonts w:hint="eastAsia"/>
          <w:b/>
          <w:bCs/>
          <w:color w:val="auto"/>
          <w:szCs w:val="26"/>
          <w:highlight w:val="none"/>
        </w:rPr>
        <w:t>图3.1.2-1  区域地形地貌</w:t>
      </w:r>
    </w:p>
    <w:p>
      <w:pPr>
        <w:pStyle w:val="2"/>
        <w:keepNext w:val="0"/>
        <w:keepLines w:val="0"/>
        <w:pageBreakBefore w:val="0"/>
        <w:widowControl w:val="0"/>
        <w:kinsoku/>
        <w:wordWrap/>
        <w:overflowPunct/>
        <w:topLinePunct w:val="0"/>
        <w:autoSpaceDE/>
        <w:autoSpaceDN/>
        <w:bidi w:val="0"/>
        <w:adjustRightInd/>
        <w:snapToGrid w:val="0"/>
        <w:textAlignment w:val="auto"/>
        <w:rPr>
          <w:rFonts w:hint="eastAsia"/>
          <w:color w:val="auto"/>
          <w:sz w:val="26"/>
          <w:szCs w:val="26"/>
          <w:highlight w:val="none"/>
          <w:lang w:val="en-US"/>
        </w:rPr>
      </w:pPr>
    </w:p>
    <w:p>
      <w:pPr>
        <w:pStyle w:val="5"/>
        <w:keepNext w:val="0"/>
        <w:keepLines w:val="0"/>
        <w:adjustRightInd w:val="0"/>
        <w:snapToGrid w:val="0"/>
        <w:ind w:firstLine="522"/>
        <w:rPr>
          <w:color w:val="auto"/>
          <w:highlight w:val="none"/>
        </w:rPr>
      </w:pPr>
      <w:r>
        <w:rPr>
          <w:rFonts w:hint="eastAsia"/>
          <w:color w:val="auto"/>
          <w:highlight w:val="none"/>
        </w:rPr>
        <w:t>地质构造</w:t>
      </w:r>
    </w:p>
    <w:p>
      <w:pPr>
        <w:adjustRightInd w:val="0"/>
        <w:snapToGrid w:val="0"/>
        <w:ind w:firstLine="520"/>
        <w:rPr>
          <w:color w:val="auto"/>
          <w:highlight w:val="none"/>
        </w:rPr>
      </w:pPr>
      <w:r>
        <w:rPr>
          <w:rFonts w:hint="eastAsia"/>
          <w:color w:val="auto"/>
          <w:highlight w:val="none"/>
        </w:rPr>
        <w:t>工程区为新华夏系的次级沉降带，具体构造部位处于（54大石桥背斜）的南东翼，距离核部约5km，大石桥背斜位于合川正觉一带，长约93km。轴向</w:t>
      </w:r>
      <w:r>
        <w:rPr>
          <w:color w:val="auto"/>
          <w:highlight w:val="none"/>
        </w:rPr>
        <w:t>N60°E，核部为侏罗系上统遂宁组，两翼为上统遂宁组地层，两翼平缓、对称，两翼倾角3~9°。工程区内岩层产状平缓，岩层倾向127°～145°，倾角</w:t>
      </w:r>
      <w:r>
        <w:rPr>
          <w:color w:val="auto"/>
          <w:highlight w:val="none"/>
          <w:shd w:val="clear" w:fill="FFFFFF"/>
        </w:rPr>
        <w:t>3~5</w:t>
      </w:r>
      <w:r>
        <w:rPr>
          <w:color w:val="auto"/>
          <w:highlight w:val="none"/>
        </w:rPr>
        <w:t>°，岩</w:t>
      </w:r>
      <w:r>
        <w:rPr>
          <w:color w:val="auto"/>
          <w:highlight w:val="none"/>
          <w:shd w:val="clear" w:fill="FFFFFF"/>
        </w:rPr>
        <w:t>层层面</w:t>
      </w:r>
      <w:r>
        <w:rPr>
          <w:color w:val="auto"/>
          <w:highlight w:val="none"/>
        </w:rPr>
        <w:t>结合差，属硬性结构面。</w:t>
      </w:r>
    </w:p>
    <w:p>
      <w:pPr>
        <w:adjustRightInd w:val="0"/>
        <w:snapToGrid w:val="0"/>
        <w:ind w:firstLine="520"/>
        <w:rPr>
          <w:rFonts w:hint="eastAsia"/>
          <w:color w:val="auto"/>
          <w:highlight w:val="none"/>
        </w:rPr>
      </w:pPr>
      <w:r>
        <w:rPr>
          <w:rFonts w:hint="eastAsia"/>
          <w:color w:val="auto"/>
          <w:highlight w:val="none"/>
        </w:rPr>
        <w:t>工程区内无大的断裂构造，主要发育两组节理裂隙。区内裂隙多为岸边剪切裂隙，河床上部岩体层面裂隙发育。部分裂隙填充黏土，</w:t>
      </w:r>
      <w:r>
        <w:rPr>
          <w:rFonts w:hint="eastAsia"/>
          <w:color w:val="auto"/>
          <w:highlight w:val="none"/>
          <w:shd w:val="clear" w:fill="FFFFFF"/>
        </w:rPr>
        <w:t>粉质黏土</w:t>
      </w:r>
      <w:r>
        <w:rPr>
          <w:rFonts w:hint="eastAsia"/>
          <w:color w:val="auto"/>
          <w:highlight w:val="none"/>
        </w:rPr>
        <w:t>及角砾等。</w:t>
      </w:r>
    </w:p>
    <w:p>
      <w:pPr>
        <w:pStyle w:val="5"/>
        <w:adjustRightInd w:val="0"/>
        <w:snapToGrid w:val="0"/>
        <w:ind w:firstLine="522"/>
        <w:rPr>
          <w:color w:val="auto"/>
          <w:highlight w:val="none"/>
        </w:rPr>
      </w:pPr>
      <w:r>
        <w:rPr>
          <w:rFonts w:hint="eastAsia"/>
          <w:color w:val="auto"/>
          <w:highlight w:val="none"/>
        </w:rPr>
        <w:t>地层</w:t>
      </w:r>
      <w:r>
        <w:rPr>
          <w:color w:val="auto"/>
          <w:highlight w:val="none"/>
        </w:rPr>
        <w:t>岩性</w:t>
      </w:r>
    </w:p>
    <w:p>
      <w:pPr>
        <w:adjustRightInd w:val="0"/>
        <w:snapToGrid w:val="0"/>
        <w:ind w:firstLine="520"/>
        <w:rPr>
          <w:rFonts w:hint="eastAsia"/>
          <w:color w:val="auto"/>
          <w:szCs w:val="26"/>
          <w:highlight w:val="none"/>
        </w:rPr>
      </w:pPr>
      <w:r>
        <w:rPr>
          <w:rFonts w:hint="eastAsia"/>
          <w:color w:val="auto"/>
          <w:szCs w:val="26"/>
          <w:highlight w:val="none"/>
        </w:rPr>
        <w:t>船闸所处区域内分布有第四系全新统松散堆积层及侏罗系中统岩层。</w:t>
      </w:r>
    </w:p>
    <w:p>
      <w:pPr>
        <w:adjustRightInd w:val="0"/>
        <w:snapToGrid w:val="0"/>
        <w:ind w:firstLine="520"/>
        <w:rPr>
          <w:rFonts w:hint="eastAsia"/>
          <w:color w:val="auto"/>
          <w:szCs w:val="26"/>
          <w:highlight w:val="none"/>
        </w:rPr>
      </w:pPr>
      <w:r>
        <w:rPr>
          <w:rFonts w:hint="eastAsia"/>
          <w:color w:val="auto"/>
          <w:szCs w:val="26"/>
          <w:highlight w:val="none"/>
        </w:rPr>
        <w:t>根据钻探揭露，结合岩土层的种类及其工程地质特征、成因类型、地层时代及分布范围等，将勘探孔控制范围内岩土层自上而下划分为第四系人工填土层</w:t>
      </w:r>
      <w:bookmarkStart w:id="84" w:name="OLE_LINK26"/>
      <w:r>
        <w:rPr>
          <w:rFonts w:hint="eastAsia"/>
          <w:color w:val="auto"/>
          <w:szCs w:val="26"/>
          <w:highlight w:val="none"/>
        </w:rPr>
        <w:t>（Q</w:t>
      </w:r>
      <w:r>
        <w:rPr>
          <w:rFonts w:hint="eastAsia"/>
          <w:color w:val="auto"/>
          <w:szCs w:val="26"/>
          <w:highlight w:val="none"/>
          <w:vertAlign w:val="subscript"/>
        </w:rPr>
        <w:t>4</w:t>
      </w:r>
      <w:r>
        <w:rPr>
          <w:rFonts w:hint="eastAsia"/>
          <w:color w:val="auto"/>
          <w:szCs w:val="26"/>
          <w:highlight w:val="none"/>
          <w:vertAlign w:val="superscript"/>
        </w:rPr>
        <w:t>s</w:t>
      </w:r>
      <w:bookmarkEnd w:id="84"/>
      <w:r>
        <w:rPr>
          <w:rFonts w:hint="eastAsia"/>
          <w:color w:val="auto"/>
          <w:szCs w:val="26"/>
          <w:highlight w:val="none"/>
        </w:rPr>
        <w:t>）、第四系现代河流冲洪积层（Q</w:t>
      </w:r>
      <w:r>
        <w:rPr>
          <w:rFonts w:hint="eastAsia"/>
          <w:color w:val="auto"/>
          <w:szCs w:val="26"/>
          <w:highlight w:val="none"/>
          <w:vertAlign w:val="subscript"/>
        </w:rPr>
        <w:t>4</w:t>
      </w:r>
      <w:r>
        <w:rPr>
          <w:rFonts w:hint="eastAsia"/>
          <w:color w:val="auto"/>
          <w:szCs w:val="26"/>
          <w:highlight w:val="none"/>
          <w:vertAlign w:val="superscript"/>
        </w:rPr>
        <w:t>3al</w:t>
      </w:r>
      <w:r>
        <w:rPr>
          <w:rFonts w:hint="eastAsia"/>
          <w:color w:val="auto"/>
          <w:szCs w:val="26"/>
          <w:highlight w:val="none"/>
        </w:rPr>
        <w:t>）、第四系近代河流冲积层（Q</w:t>
      </w:r>
      <w:r>
        <w:rPr>
          <w:rFonts w:hint="eastAsia"/>
          <w:color w:val="auto"/>
          <w:szCs w:val="26"/>
          <w:highlight w:val="none"/>
          <w:vertAlign w:val="subscript"/>
        </w:rPr>
        <w:t>4</w:t>
      </w:r>
      <w:r>
        <w:rPr>
          <w:rFonts w:hint="eastAsia"/>
          <w:color w:val="auto"/>
          <w:szCs w:val="26"/>
          <w:highlight w:val="none"/>
          <w:vertAlign w:val="superscript"/>
        </w:rPr>
        <w:t>1+2al</w:t>
      </w:r>
      <w:r>
        <w:rPr>
          <w:rFonts w:hint="eastAsia"/>
          <w:color w:val="auto"/>
          <w:szCs w:val="26"/>
          <w:highlight w:val="none"/>
        </w:rPr>
        <w:t>）、第四系晚更新统堆积层（</w:t>
      </w:r>
      <w:bookmarkStart w:id="85" w:name="OLE_LINK29"/>
      <w:r>
        <w:rPr>
          <w:rFonts w:hint="eastAsia"/>
          <w:color w:val="auto"/>
          <w:szCs w:val="26"/>
          <w:highlight w:val="none"/>
        </w:rPr>
        <w:t>Q</w:t>
      </w:r>
      <w:r>
        <w:rPr>
          <w:rFonts w:hint="eastAsia"/>
          <w:color w:val="auto"/>
          <w:szCs w:val="26"/>
          <w:highlight w:val="none"/>
          <w:vertAlign w:val="subscript"/>
        </w:rPr>
        <w:t>3</w:t>
      </w:r>
      <w:r>
        <w:rPr>
          <w:rFonts w:hint="eastAsia"/>
          <w:color w:val="auto"/>
          <w:szCs w:val="26"/>
          <w:highlight w:val="none"/>
          <w:vertAlign w:val="superscript"/>
        </w:rPr>
        <w:t>al</w:t>
      </w:r>
      <w:bookmarkEnd w:id="85"/>
      <w:r>
        <w:rPr>
          <w:rFonts w:hint="eastAsia"/>
          <w:color w:val="auto"/>
          <w:szCs w:val="26"/>
          <w:highlight w:val="none"/>
        </w:rPr>
        <w:t>）、下伏基岩为侏罗系中统上沙溪庙组</w:t>
      </w:r>
      <w:bookmarkStart w:id="86" w:name="OLE_LINK30"/>
      <w:r>
        <w:rPr>
          <w:rFonts w:hint="eastAsia"/>
          <w:color w:val="auto"/>
          <w:szCs w:val="26"/>
          <w:highlight w:val="none"/>
        </w:rPr>
        <w:t>（J</w:t>
      </w:r>
      <w:r>
        <w:rPr>
          <w:rFonts w:hint="eastAsia"/>
          <w:color w:val="auto"/>
          <w:szCs w:val="26"/>
          <w:highlight w:val="none"/>
          <w:vertAlign w:val="subscript"/>
        </w:rPr>
        <w:t>2</w:t>
      </w:r>
      <w:r>
        <w:rPr>
          <w:rFonts w:hint="eastAsia"/>
          <w:color w:val="auto"/>
          <w:szCs w:val="26"/>
          <w:highlight w:val="none"/>
          <w:vertAlign w:val="superscript"/>
        </w:rPr>
        <w:t>s</w:t>
      </w:r>
      <w:r>
        <w:rPr>
          <w:rFonts w:hint="eastAsia"/>
          <w:color w:val="auto"/>
          <w:szCs w:val="26"/>
          <w:highlight w:val="none"/>
        </w:rPr>
        <w:t>）</w:t>
      </w:r>
      <w:bookmarkEnd w:id="86"/>
      <w:r>
        <w:rPr>
          <w:rFonts w:hint="eastAsia"/>
          <w:color w:val="auto"/>
          <w:szCs w:val="26"/>
          <w:highlight w:val="none"/>
        </w:rPr>
        <w:t>泥岩、砂岩，分述如下。</w:t>
      </w:r>
    </w:p>
    <w:p>
      <w:pPr>
        <w:adjustRightInd w:val="0"/>
        <w:snapToGrid w:val="0"/>
        <w:ind w:firstLine="520"/>
        <w:rPr>
          <w:rFonts w:hint="eastAsia"/>
          <w:color w:val="auto"/>
          <w:szCs w:val="26"/>
          <w:highlight w:val="none"/>
        </w:rPr>
      </w:pPr>
      <w:r>
        <w:rPr>
          <w:rFonts w:hint="eastAsia"/>
          <w:color w:val="auto"/>
          <w:szCs w:val="26"/>
          <w:highlight w:val="none"/>
        </w:rPr>
        <w:t>（1）第四系人工填土层（Q</w:t>
      </w:r>
      <w:r>
        <w:rPr>
          <w:rFonts w:hint="eastAsia"/>
          <w:color w:val="auto"/>
          <w:szCs w:val="26"/>
          <w:highlight w:val="none"/>
          <w:vertAlign w:val="subscript"/>
        </w:rPr>
        <w:t>4</w:t>
      </w:r>
      <w:r>
        <w:rPr>
          <w:rFonts w:hint="eastAsia"/>
          <w:color w:val="auto"/>
          <w:szCs w:val="26"/>
          <w:highlight w:val="none"/>
          <w:vertAlign w:val="superscript"/>
        </w:rPr>
        <w:t>s</w:t>
      </w:r>
      <w:r>
        <w:rPr>
          <w:rFonts w:hint="eastAsia"/>
          <w:color w:val="auto"/>
          <w:szCs w:val="26"/>
          <w:highlight w:val="none"/>
        </w:rPr>
        <w:t>）</w:t>
      </w:r>
    </w:p>
    <w:p>
      <w:pPr>
        <w:adjustRightInd w:val="0"/>
        <w:snapToGrid w:val="0"/>
        <w:ind w:firstLine="520"/>
        <w:rPr>
          <w:rFonts w:hint="eastAsia"/>
          <w:color w:val="auto"/>
          <w:szCs w:val="26"/>
          <w:highlight w:val="none"/>
        </w:rPr>
      </w:pPr>
      <w:r>
        <w:rPr>
          <w:rFonts w:hint="eastAsia"/>
          <w:color w:val="auto"/>
          <w:szCs w:val="26"/>
          <w:highlight w:val="none"/>
        </w:rPr>
        <w:t>①-1素填土：主要成分为卵石、块石及黏性土等，主要分布于船闸及附近的房屋等人工构筑物处，结构较为密实，大多回填时间约10～30年，厚度变化大，层厚0.5～12.4m不等。</w:t>
      </w:r>
    </w:p>
    <w:p>
      <w:pPr>
        <w:adjustRightInd w:val="0"/>
        <w:snapToGrid w:val="0"/>
        <w:ind w:firstLine="520"/>
        <w:rPr>
          <w:rFonts w:hint="eastAsia"/>
          <w:color w:val="auto"/>
          <w:szCs w:val="26"/>
          <w:highlight w:val="none"/>
        </w:rPr>
      </w:pPr>
      <w:r>
        <w:rPr>
          <w:rFonts w:hint="eastAsia"/>
          <w:color w:val="auto"/>
          <w:szCs w:val="26"/>
          <w:highlight w:val="none"/>
        </w:rPr>
        <w:t>①-2杂填土：主要为卵石，结构较松散，主要分布于上游进入枢纽公路侧和电厂内局部地段。</w:t>
      </w:r>
    </w:p>
    <w:p>
      <w:pPr>
        <w:adjustRightInd w:val="0"/>
        <w:snapToGrid w:val="0"/>
        <w:ind w:firstLine="520"/>
        <w:rPr>
          <w:rFonts w:hint="eastAsia"/>
          <w:color w:val="auto"/>
          <w:szCs w:val="26"/>
          <w:highlight w:val="none"/>
        </w:rPr>
      </w:pPr>
      <w:r>
        <w:rPr>
          <w:rFonts w:hint="eastAsia"/>
          <w:color w:val="auto"/>
          <w:szCs w:val="26"/>
          <w:highlight w:val="none"/>
        </w:rPr>
        <w:t>（2）第四系现代河流冲洪积层（Q</w:t>
      </w:r>
      <w:r>
        <w:rPr>
          <w:rFonts w:hint="eastAsia"/>
          <w:color w:val="auto"/>
          <w:szCs w:val="26"/>
          <w:highlight w:val="none"/>
          <w:vertAlign w:val="subscript"/>
        </w:rPr>
        <w:t>4</w:t>
      </w:r>
      <w:r>
        <w:rPr>
          <w:rFonts w:hint="eastAsia"/>
          <w:color w:val="auto"/>
          <w:szCs w:val="26"/>
          <w:highlight w:val="none"/>
          <w:vertAlign w:val="superscript"/>
        </w:rPr>
        <w:t>3al</w:t>
      </w:r>
      <w:r>
        <w:rPr>
          <w:rFonts w:hint="eastAsia"/>
          <w:color w:val="auto"/>
          <w:szCs w:val="26"/>
          <w:highlight w:val="none"/>
        </w:rPr>
        <w:t>）</w:t>
      </w:r>
    </w:p>
    <w:p>
      <w:pPr>
        <w:adjustRightInd w:val="0"/>
        <w:snapToGrid w:val="0"/>
        <w:ind w:firstLine="520"/>
        <w:rPr>
          <w:color w:val="auto"/>
          <w:szCs w:val="26"/>
          <w:highlight w:val="none"/>
        </w:rPr>
      </w:pPr>
      <w:r>
        <w:rPr>
          <w:rFonts w:hint="eastAsia"/>
          <w:color w:val="auto"/>
          <w:szCs w:val="26"/>
          <w:highlight w:val="none"/>
        </w:rPr>
        <w:t>②-1淤泥质</w:t>
      </w:r>
      <w:r>
        <w:rPr>
          <w:rFonts w:hint="eastAsia"/>
          <w:color w:val="auto"/>
          <w:szCs w:val="26"/>
          <w:highlight w:val="none"/>
          <w:shd w:val="clear" w:fill="FFFFFF"/>
        </w:rPr>
        <w:t>粉质黏土</w:t>
      </w:r>
      <w:r>
        <w:rPr>
          <w:rFonts w:hint="eastAsia"/>
          <w:color w:val="auto"/>
          <w:szCs w:val="26"/>
          <w:highlight w:val="none"/>
        </w:rPr>
        <w:t>：灰色，软塑～流塑，饱和，质不纯，含少量卵石，钻探揭示厚度1.0～6.10m不等，主要分布于拟建船闸和枢纽老船闸靠近陆</w:t>
      </w:r>
      <w:r>
        <w:rPr>
          <w:rFonts w:hint="eastAsia"/>
          <w:color w:val="auto"/>
          <w:szCs w:val="26"/>
          <w:highlight w:val="none"/>
          <w:shd w:val="clear" w:fill="FFFFFF"/>
        </w:rPr>
        <w:t>域区</w:t>
      </w:r>
      <w:r>
        <w:rPr>
          <w:rFonts w:hint="eastAsia"/>
          <w:color w:val="auto"/>
          <w:szCs w:val="26"/>
          <w:highlight w:val="none"/>
        </w:rPr>
        <w:t>，平均层厚2.68m。</w:t>
      </w:r>
    </w:p>
    <w:p>
      <w:pPr>
        <w:adjustRightInd w:val="0"/>
        <w:snapToGrid w:val="0"/>
        <w:ind w:firstLine="520"/>
        <w:rPr>
          <w:rFonts w:hint="eastAsia"/>
          <w:color w:val="auto"/>
          <w:szCs w:val="26"/>
          <w:highlight w:val="none"/>
        </w:rPr>
      </w:pPr>
      <w:r>
        <w:rPr>
          <w:rFonts w:hint="eastAsia"/>
          <w:color w:val="auto"/>
          <w:szCs w:val="26"/>
          <w:highlight w:val="none"/>
        </w:rPr>
        <w:t>②-1a</w:t>
      </w:r>
      <w:r>
        <w:rPr>
          <w:rFonts w:hint="eastAsia"/>
          <w:color w:val="auto"/>
          <w:szCs w:val="26"/>
          <w:highlight w:val="none"/>
          <w:shd w:val="clear" w:fill="FFFFFF"/>
        </w:rPr>
        <w:t>粉质黏土</w:t>
      </w:r>
      <w:r>
        <w:rPr>
          <w:rFonts w:hint="eastAsia"/>
          <w:color w:val="auto"/>
          <w:szCs w:val="26"/>
          <w:highlight w:val="none"/>
        </w:rPr>
        <w:t>：灰色，灰黄色，饱和，可塑状，一般分布于②-1淤泥质</w:t>
      </w:r>
      <w:r>
        <w:rPr>
          <w:rFonts w:hint="eastAsia"/>
          <w:color w:val="auto"/>
          <w:szCs w:val="26"/>
          <w:highlight w:val="none"/>
          <w:shd w:val="clear" w:fill="FFFFFF"/>
        </w:rPr>
        <w:t>粉质黏土</w:t>
      </w:r>
      <w:r>
        <w:rPr>
          <w:rFonts w:hint="eastAsia"/>
          <w:color w:val="auto"/>
          <w:szCs w:val="26"/>
          <w:highlight w:val="none"/>
        </w:rPr>
        <w:t>层之下，分布不连续，平均层厚1.25m。</w:t>
      </w:r>
    </w:p>
    <w:p>
      <w:pPr>
        <w:adjustRightInd w:val="0"/>
        <w:snapToGrid w:val="0"/>
        <w:ind w:firstLine="520"/>
        <w:rPr>
          <w:rFonts w:hint="eastAsia"/>
          <w:color w:val="auto"/>
          <w:szCs w:val="26"/>
          <w:highlight w:val="none"/>
        </w:rPr>
      </w:pPr>
      <w:r>
        <w:rPr>
          <w:rFonts w:hint="eastAsia"/>
          <w:color w:val="auto"/>
          <w:szCs w:val="26"/>
          <w:highlight w:val="none"/>
        </w:rPr>
        <w:t>②-2卵石土：杂色，主要由卵石、砾石、砂等组成，结构稍密，卵石粒径一般2-20cm，含量约占</w:t>
      </w:r>
      <w:r>
        <w:rPr>
          <w:rFonts w:hint="eastAsia"/>
          <w:color w:val="auto"/>
          <w:szCs w:val="26"/>
          <w:highlight w:val="none"/>
          <w:shd w:val="clear" w:fill="FFFFFF"/>
        </w:rPr>
        <w:t>60~65%</w:t>
      </w:r>
      <w:r>
        <w:rPr>
          <w:rFonts w:hint="eastAsia"/>
          <w:color w:val="auto"/>
          <w:szCs w:val="26"/>
          <w:highlight w:val="none"/>
        </w:rPr>
        <w:t>，磨圆度较好，级配不良，钻探揭示层厚0.7～6.8m不等，平均层厚2.84m。主要分布于涪江河床及漫滩。</w:t>
      </w:r>
    </w:p>
    <w:p>
      <w:pPr>
        <w:adjustRightInd w:val="0"/>
        <w:snapToGrid w:val="0"/>
        <w:ind w:firstLine="520"/>
        <w:rPr>
          <w:rFonts w:hint="eastAsia"/>
          <w:color w:val="auto"/>
          <w:szCs w:val="26"/>
          <w:highlight w:val="none"/>
        </w:rPr>
      </w:pPr>
      <w:r>
        <w:rPr>
          <w:rFonts w:hint="eastAsia"/>
          <w:color w:val="auto"/>
          <w:szCs w:val="26"/>
          <w:highlight w:val="none"/>
        </w:rPr>
        <w:t>（3）第四系近代河流冲积层（Q</w:t>
      </w:r>
      <w:r>
        <w:rPr>
          <w:rFonts w:hint="eastAsia"/>
          <w:color w:val="auto"/>
          <w:szCs w:val="26"/>
          <w:highlight w:val="none"/>
          <w:vertAlign w:val="subscript"/>
        </w:rPr>
        <w:t>4</w:t>
      </w:r>
      <w:r>
        <w:rPr>
          <w:rFonts w:hint="eastAsia"/>
          <w:color w:val="auto"/>
          <w:szCs w:val="26"/>
          <w:highlight w:val="none"/>
          <w:vertAlign w:val="superscript"/>
        </w:rPr>
        <w:t>1+2al</w:t>
      </w:r>
      <w:r>
        <w:rPr>
          <w:rFonts w:hint="eastAsia"/>
          <w:color w:val="auto"/>
          <w:szCs w:val="26"/>
          <w:highlight w:val="none"/>
        </w:rPr>
        <w:t>）</w:t>
      </w:r>
    </w:p>
    <w:p>
      <w:pPr>
        <w:adjustRightInd w:val="0"/>
        <w:snapToGrid w:val="0"/>
        <w:ind w:firstLine="520"/>
        <w:rPr>
          <w:rFonts w:hint="eastAsia"/>
          <w:color w:val="auto"/>
          <w:szCs w:val="26"/>
          <w:highlight w:val="none"/>
        </w:rPr>
      </w:pPr>
      <w:r>
        <w:rPr>
          <w:rFonts w:hint="eastAsia"/>
          <w:color w:val="auto"/>
          <w:szCs w:val="26"/>
          <w:highlight w:val="none"/>
        </w:rPr>
        <w:t>③-1粉土</w:t>
      </w:r>
      <w:r>
        <w:rPr>
          <w:rFonts w:hint="eastAsia"/>
          <w:color w:val="auto"/>
          <w:szCs w:val="26"/>
          <w:highlight w:val="none"/>
          <w:lang w:eastAsia="zh-CN"/>
        </w:rPr>
        <w:t>：</w:t>
      </w:r>
      <w:r>
        <w:rPr>
          <w:rFonts w:hint="eastAsia"/>
          <w:color w:val="auto"/>
          <w:szCs w:val="26"/>
          <w:highlight w:val="none"/>
        </w:rPr>
        <w:t>褐黄色，湿，干强度低，韧性低，切面无光泽，钻探揭示层厚0.3～10.0m不等，平均厚度2.63m，主要分布于船闸下游引航道Ⅰ级阶地上。</w:t>
      </w:r>
    </w:p>
    <w:p>
      <w:pPr>
        <w:adjustRightInd w:val="0"/>
        <w:snapToGrid w:val="0"/>
        <w:ind w:firstLine="520"/>
        <w:rPr>
          <w:rFonts w:hint="eastAsia"/>
          <w:color w:val="auto"/>
          <w:szCs w:val="26"/>
          <w:highlight w:val="none"/>
        </w:rPr>
      </w:pPr>
      <w:r>
        <w:rPr>
          <w:rFonts w:hint="eastAsia"/>
          <w:color w:val="auto"/>
          <w:szCs w:val="26"/>
          <w:highlight w:val="none"/>
        </w:rPr>
        <w:t>（4）第四系晚更新统堆积层（Q</w:t>
      </w:r>
      <w:r>
        <w:rPr>
          <w:rFonts w:hint="eastAsia"/>
          <w:color w:val="auto"/>
          <w:szCs w:val="26"/>
          <w:highlight w:val="none"/>
          <w:vertAlign w:val="subscript"/>
        </w:rPr>
        <w:t>3</w:t>
      </w:r>
      <w:r>
        <w:rPr>
          <w:rFonts w:hint="eastAsia"/>
          <w:color w:val="auto"/>
          <w:szCs w:val="26"/>
          <w:highlight w:val="none"/>
          <w:vertAlign w:val="superscript"/>
        </w:rPr>
        <w:t>al</w:t>
      </w:r>
      <w:r>
        <w:rPr>
          <w:rFonts w:hint="eastAsia"/>
          <w:color w:val="auto"/>
          <w:szCs w:val="26"/>
          <w:highlight w:val="none"/>
        </w:rPr>
        <w:t>）</w:t>
      </w:r>
    </w:p>
    <w:p>
      <w:pPr>
        <w:adjustRightInd w:val="0"/>
        <w:snapToGrid w:val="0"/>
        <w:ind w:firstLine="520"/>
        <w:rPr>
          <w:rFonts w:hint="eastAsia"/>
          <w:color w:val="auto"/>
          <w:szCs w:val="26"/>
          <w:highlight w:val="none"/>
        </w:rPr>
      </w:pPr>
      <w:r>
        <w:rPr>
          <w:rFonts w:hint="eastAsia"/>
          <w:color w:val="auto"/>
          <w:szCs w:val="26"/>
          <w:highlight w:val="none"/>
        </w:rPr>
        <w:t>④-1卵石土：灰黄色，稍湿，结构稍～中密。卵石一般粒径为2-18cm，含量约</w:t>
      </w:r>
      <w:r>
        <w:rPr>
          <w:rFonts w:hint="eastAsia"/>
          <w:color w:val="auto"/>
          <w:szCs w:val="26"/>
          <w:highlight w:val="none"/>
          <w:shd w:val="clear" w:fill="FFFFFF"/>
        </w:rPr>
        <w:t>65～70%</w:t>
      </w:r>
      <w:r>
        <w:rPr>
          <w:rFonts w:hint="eastAsia"/>
          <w:color w:val="auto"/>
          <w:szCs w:val="26"/>
          <w:highlight w:val="none"/>
        </w:rPr>
        <w:t>，其余为粉土，混砂少许。主要分布于涪江右岸Ⅱ级阶地上。</w:t>
      </w:r>
    </w:p>
    <w:p>
      <w:pPr>
        <w:adjustRightInd w:val="0"/>
        <w:snapToGrid w:val="0"/>
        <w:ind w:firstLine="520"/>
        <w:rPr>
          <w:rFonts w:hint="eastAsia"/>
          <w:color w:val="auto"/>
          <w:szCs w:val="26"/>
          <w:highlight w:val="none"/>
        </w:rPr>
      </w:pPr>
      <w:r>
        <w:rPr>
          <w:rFonts w:hint="eastAsia"/>
          <w:color w:val="auto"/>
          <w:szCs w:val="26"/>
          <w:highlight w:val="none"/>
        </w:rPr>
        <w:t>（5）侏罗系中统上沙溪庙组</w:t>
      </w:r>
      <w:bookmarkStart w:id="87" w:name="OLE_LINK31"/>
      <w:r>
        <w:rPr>
          <w:rFonts w:hint="eastAsia"/>
          <w:color w:val="auto"/>
          <w:szCs w:val="26"/>
          <w:highlight w:val="none"/>
        </w:rPr>
        <w:t>（J</w:t>
      </w:r>
      <w:r>
        <w:rPr>
          <w:rFonts w:hint="eastAsia"/>
          <w:color w:val="auto"/>
          <w:szCs w:val="26"/>
          <w:highlight w:val="none"/>
          <w:vertAlign w:val="subscript"/>
        </w:rPr>
        <w:t>2</w:t>
      </w:r>
      <w:r>
        <w:rPr>
          <w:rFonts w:hint="eastAsia"/>
          <w:color w:val="auto"/>
          <w:szCs w:val="26"/>
          <w:highlight w:val="none"/>
          <w:vertAlign w:val="superscript"/>
        </w:rPr>
        <w:t>s</w:t>
      </w:r>
      <w:r>
        <w:rPr>
          <w:rFonts w:hint="eastAsia"/>
          <w:color w:val="auto"/>
          <w:szCs w:val="26"/>
          <w:highlight w:val="none"/>
        </w:rPr>
        <w:t>）</w:t>
      </w:r>
      <w:bookmarkEnd w:id="87"/>
      <w:r>
        <w:rPr>
          <w:rFonts w:hint="eastAsia"/>
          <w:color w:val="auto"/>
          <w:szCs w:val="26"/>
          <w:highlight w:val="none"/>
        </w:rPr>
        <w:t>强风化泥岩、砂岩</w:t>
      </w:r>
    </w:p>
    <w:p>
      <w:pPr>
        <w:adjustRightInd w:val="0"/>
        <w:snapToGrid w:val="0"/>
        <w:ind w:firstLine="520"/>
        <w:rPr>
          <w:rFonts w:hint="eastAsia"/>
          <w:color w:val="auto"/>
          <w:szCs w:val="26"/>
          <w:highlight w:val="none"/>
        </w:rPr>
      </w:pPr>
      <w:r>
        <w:rPr>
          <w:rFonts w:hint="eastAsia"/>
          <w:color w:val="auto"/>
          <w:szCs w:val="26"/>
          <w:highlight w:val="none"/>
        </w:rPr>
        <w:t>主要由泥岩、砂岩组成。强风化带厚度一般0.0～4.1m，岸坡侧向强风化带水平宽度1～5m，局部纵横向风化深度较大。</w:t>
      </w:r>
    </w:p>
    <w:p>
      <w:pPr>
        <w:adjustRightInd w:val="0"/>
        <w:snapToGrid w:val="0"/>
        <w:ind w:firstLine="520"/>
        <w:rPr>
          <w:rFonts w:hint="eastAsia"/>
          <w:color w:val="auto"/>
          <w:szCs w:val="26"/>
          <w:highlight w:val="none"/>
        </w:rPr>
      </w:pPr>
      <w:r>
        <w:rPr>
          <w:rFonts w:hint="eastAsia"/>
          <w:color w:val="auto"/>
          <w:szCs w:val="26"/>
          <w:highlight w:val="none"/>
        </w:rPr>
        <w:t>⑤-M强风化泥岩：紫红色，暗红色，主要矿物成分为</w:t>
      </w:r>
      <w:r>
        <w:rPr>
          <w:rFonts w:hint="eastAsia"/>
          <w:color w:val="auto"/>
          <w:szCs w:val="26"/>
          <w:highlight w:val="none"/>
          <w:shd w:val="clear" w:fill="FFFFFF"/>
        </w:rPr>
        <w:t>黏土矿</w:t>
      </w:r>
      <w:r>
        <w:rPr>
          <w:rFonts w:hint="eastAsia"/>
          <w:color w:val="auto"/>
          <w:szCs w:val="26"/>
          <w:highlight w:val="none"/>
        </w:rPr>
        <w:t>物、长石等，原岩结构可辨，风化强烈且不均，含风化硬块，一般岩芯呈土柱状、碎块状。</w:t>
      </w:r>
    </w:p>
    <w:p>
      <w:pPr>
        <w:adjustRightInd w:val="0"/>
        <w:snapToGrid w:val="0"/>
        <w:ind w:firstLine="520"/>
        <w:rPr>
          <w:rFonts w:hint="eastAsia"/>
          <w:color w:val="auto"/>
          <w:szCs w:val="26"/>
          <w:highlight w:val="none"/>
        </w:rPr>
      </w:pPr>
      <w:r>
        <w:rPr>
          <w:rFonts w:hint="eastAsia"/>
          <w:color w:val="auto"/>
          <w:szCs w:val="26"/>
          <w:highlight w:val="none"/>
        </w:rPr>
        <w:t>⑤-S 强风化砂岩：浅紫灰色。主要矿物成分为长石、云母、石英等，原岩结构可辨，风化剧烈，岩芯强度降低明显，手可掰碎，风化不均，岩芯呈柱状，局部夹薄层强风化泥岩。</w:t>
      </w:r>
    </w:p>
    <w:p>
      <w:pPr>
        <w:adjustRightInd w:val="0"/>
        <w:snapToGrid w:val="0"/>
        <w:ind w:firstLine="520"/>
        <w:rPr>
          <w:rFonts w:hint="eastAsia"/>
          <w:color w:val="auto"/>
          <w:szCs w:val="26"/>
          <w:highlight w:val="none"/>
        </w:rPr>
      </w:pPr>
      <w:r>
        <w:rPr>
          <w:rFonts w:hint="eastAsia"/>
          <w:color w:val="auto"/>
          <w:szCs w:val="26"/>
          <w:highlight w:val="none"/>
        </w:rPr>
        <w:t>（6）侏罗系中统上沙溪庙组（J</w:t>
      </w:r>
      <w:r>
        <w:rPr>
          <w:rFonts w:hint="eastAsia"/>
          <w:color w:val="auto"/>
          <w:szCs w:val="26"/>
          <w:highlight w:val="none"/>
          <w:vertAlign w:val="subscript"/>
        </w:rPr>
        <w:t>2</w:t>
      </w:r>
      <w:r>
        <w:rPr>
          <w:rFonts w:hint="eastAsia"/>
          <w:color w:val="auto"/>
          <w:szCs w:val="26"/>
          <w:highlight w:val="none"/>
          <w:vertAlign w:val="superscript"/>
        </w:rPr>
        <w:t>s</w:t>
      </w:r>
      <w:r>
        <w:rPr>
          <w:rFonts w:hint="eastAsia"/>
          <w:color w:val="auto"/>
          <w:szCs w:val="26"/>
          <w:highlight w:val="none"/>
        </w:rPr>
        <w:t>）泥岩、砂岩</w:t>
      </w:r>
    </w:p>
    <w:p>
      <w:pPr>
        <w:adjustRightInd w:val="0"/>
        <w:snapToGrid w:val="0"/>
        <w:ind w:firstLine="520"/>
        <w:rPr>
          <w:rFonts w:hint="eastAsia"/>
          <w:color w:val="auto"/>
          <w:szCs w:val="26"/>
          <w:highlight w:val="none"/>
        </w:rPr>
      </w:pPr>
      <w:r>
        <w:rPr>
          <w:rFonts w:hint="eastAsia"/>
          <w:color w:val="auto"/>
          <w:szCs w:val="26"/>
          <w:highlight w:val="none"/>
        </w:rPr>
        <w:t>⑥-M中风化泥岩：紫红色。主要矿物成分为黏土矿物、长石等。泥质结构，泥质胶结，中～厚层状构造，质极软。局部砂质团块富集，发育灰绿色砂质条带或斑状砂团富集。岩质软，具遇水易软化，失水易开裂特性，岩芯多呈短柱状、饼状，局部泥岩砂质含量较高。</w:t>
      </w:r>
    </w:p>
    <w:p>
      <w:pPr>
        <w:adjustRightInd w:val="0"/>
        <w:snapToGrid w:val="0"/>
        <w:ind w:firstLine="520"/>
        <w:rPr>
          <w:color w:val="auto"/>
          <w:highlight w:val="none"/>
        </w:rPr>
      </w:pPr>
      <w:r>
        <w:rPr>
          <w:rFonts w:hint="eastAsia"/>
          <w:color w:val="auto"/>
          <w:szCs w:val="26"/>
          <w:highlight w:val="none"/>
        </w:rPr>
        <w:t>⑥-S中风化砂岩：浅紫灰色。主要矿物成分为长石、云母、石英等。泥钙质胶结，细粒砂状结构，中～厚层状构造，局部有少量石膏细脉分布，岩质较软，岩体较完整，岩芯多呈长柱状</w:t>
      </w:r>
      <w:r>
        <w:rPr>
          <w:color w:val="auto"/>
          <w:szCs w:val="26"/>
          <w:highlight w:val="none"/>
        </w:rPr>
        <w:t>。</w:t>
      </w:r>
    </w:p>
    <w:p>
      <w:pPr>
        <w:pStyle w:val="5"/>
        <w:ind w:firstLine="522"/>
        <w:rPr>
          <w:color w:val="auto"/>
          <w:highlight w:val="none"/>
        </w:rPr>
      </w:pPr>
      <w:r>
        <w:rPr>
          <w:rFonts w:hint="eastAsia"/>
          <w:color w:val="auto"/>
          <w:highlight w:val="none"/>
        </w:rPr>
        <w:t>气候气象</w:t>
      </w:r>
    </w:p>
    <w:p>
      <w:pPr>
        <w:adjustRightInd w:val="0"/>
        <w:snapToGrid w:val="0"/>
        <w:ind w:firstLine="520"/>
        <w:rPr>
          <w:color w:val="auto"/>
          <w:highlight w:val="none"/>
        </w:rPr>
      </w:pPr>
      <w:r>
        <w:rPr>
          <w:color w:val="auto"/>
          <w:highlight w:val="none"/>
        </w:rPr>
        <w:t>涪江流域属于亚热带湿润季风气候区，气候温和，夏热冬寒，四季明显，夏秋多雨，春冬干旱。流域内上、下游气候差异明显。上游由于地势较高气温较低，温差较大，中、下游丘陵平坝区气温高，温差小。流域降雨由于受地形影响，降雨量分布不均匀，上游高山区降雨丰沛，多年平均降雨量在1500mm左右，中、下游丘陵平坝区降雨量明显偏小，年降雨量约900mm~1000mm左右。降雨在年内分配不均匀，年降雨量多集中在夏季。</w:t>
      </w:r>
    </w:p>
    <w:p>
      <w:pPr>
        <w:adjustRightInd w:val="0"/>
        <w:snapToGrid w:val="0"/>
        <w:ind w:firstLine="520"/>
        <w:rPr>
          <w:color w:val="auto"/>
          <w:highlight w:val="none"/>
        </w:rPr>
      </w:pPr>
      <w:r>
        <w:rPr>
          <w:color w:val="auto"/>
          <w:highlight w:val="none"/>
        </w:rPr>
        <w:t>（1）气温</w:t>
      </w:r>
      <w:r>
        <w:rPr>
          <w:rFonts w:hint="eastAsia"/>
          <w:color w:val="auto"/>
          <w:highlight w:val="none"/>
        </w:rPr>
        <w:t>：</w:t>
      </w:r>
      <w:r>
        <w:rPr>
          <w:color w:val="auto"/>
          <w:highlight w:val="none"/>
        </w:rPr>
        <w:t>历年平均气温18.1℃，最高气温41.4</w:t>
      </w:r>
      <w:r>
        <w:rPr>
          <w:color w:val="auto"/>
          <w:highlight w:val="none"/>
          <w:shd w:val="clear" w:fill="FFFFFF"/>
        </w:rPr>
        <w:t>°C</w:t>
      </w:r>
      <w:r>
        <w:rPr>
          <w:color w:val="auto"/>
          <w:highlight w:val="none"/>
        </w:rPr>
        <w:t xml:space="preserve"> (1972年8月27日)，当月平均气温30.8℃，最低气温-3.7C ( 1961年1月)，当月气温7</w:t>
      </w:r>
      <w:r>
        <w:rPr>
          <w:color w:val="auto"/>
          <w:highlight w:val="none"/>
          <w:shd w:val="clear" w:fill="FFFFFF"/>
        </w:rPr>
        <w:t>°C</w:t>
      </w:r>
      <w:r>
        <w:rPr>
          <w:color w:val="auto"/>
          <w:highlight w:val="none"/>
        </w:rPr>
        <w:t>。</w:t>
      </w:r>
    </w:p>
    <w:p>
      <w:pPr>
        <w:adjustRightInd w:val="0"/>
        <w:snapToGrid w:val="0"/>
        <w:ind w:firstLine="520"/>
        <w:rPr>
          <w:color w:val="auto"/>
          <w:highlight w:val="none"/>
        </w:rPr>
      </w:pPr>
      <w:r>
        <w:rPr>
          <w:color w:val="auto"/>
          <w:highlight w:val="none"/>
        </w:rPr>
        <w:t>（2）降水</w:t>
      </w:r>
      <w:r>
        <w:rPr>
          <w:rFonts w:hint="eastAsia"/>
          <w:color w:val="auto"/>
          <w:highlight w:val="none"/>
        </w:rPr>
        <w:t>：</w:t>
      </w:r>
      <w:r>
        <w:rPr>
          <w:color w:val="auto"/>
          <w:highlight w:val="none"/>
        </w:rPr>
        <w:t>多年平均降雨量1112.3mm，多集中在春、夏季，年均降雨154.5天。夏季常有雷阵雨和暴雨。年最大降雨量1356mm (1979年)，月最多降雨量450.3mm</w:t>
      </w:r>
      <w:r>
        <w:rPr>
          <w:rFonts w:hint="eastAsia"/>
          <w:color w:val="auto"/>
          <w:highlight w:val="none"/>
        </w:rPr>
        <w:t>，</w:t>
      </w:r>
      <w:r>
        <w:rPr>
          <w:color w:val="auto"/>
          <w:highlight w:val="none"/>
        </w:rPr>
        <w:t>日最大降雨量232.1mm ( 1972年7月)，736.7mm ( 1976年)。</w:t>
      </w:r>
    </w:p>
    <w:p>
      <w:pPr>
        <w:adjustRightInd w:val="0"/>
        <w:snapToGrid w:val="0"/>
        <w:ind w:firstLine="520"/>
        <w:rPr>
          <w:color w:val="auto"/>
          <w:highlight w:val="none"/>
        </w:rPr>
      </w:pPr>
      <w:r>
        <w:rPr>
          <w:color w:val="auto"/>
          <w:highlight w:val="none"/>
        </w:rPr>
        <w:t>（3）风况</w:t>
      </w:r>
      <w:r>
        <w:rPr>
          <w:rFonts w:hint="eastAsia"/>
          <w:color w:val="auto"/>
          <w:highlight w:val="none"/>
        </w:rPr>
        <w:t>：</w:t>
      </w:r>
      <w:r>
        <w:rPr>
          <w:color w:val="auto"/>
          <w:highlight w:val="none"/>
        </w:rPr>
        <w:t>历年最大风速30m/s (8级)，平均风速1.</w:t>
      </w:r>
      <w:r>
        <w:rPr>
          <w:rFonts w:hint="eastAsia"/>
          <w:color w:val="auto"/>
          <w:highlight w:val="none"/>
          <w:lang w:val="en-US" w:eastAsia="zh-CN"/>
        </w:rPr>
        <w:t>0</w:t>
      </w:r>
      <w:r>
        <w:rPr>
          <w:color w:val="auto"/>
          <w:highlight w:val="none"/>
        </w:rPr>
        <w:t>m/s，常年多静风，频率45%</w:t>
      </w:r>
      <w:r>
        <w:rPr>
          <w:rFonts w:hint="eastAsia"/>
          <w:color w:val="auto"/>
          <w:highlight w:val="none"/>
        </w:rPr>
        <w:t>。</w:t>
      </w:r>
    </w:p>
    <w:p>
      <w:pPr>
        <w:adjustRightInd w:val="0"/>
        <w:snapToGrid w:val="0"/>
        <w:ind w:firstLine="520"/>
        <w:rPr>
          <w:color w:val="auto"/>
          <w:highlight w:val="none"/>
        </w:rPr>
      </w:pPr>
      <w:r>
        <w:rPr>
          <w:color w:val="auto"/>
          <w:highlight w:val="none"/>
        </w:rPr>
        <w:t>（4）雾况</w:t>
      </w:r>
      <w:r>
        <w:rPr>
          <w:rFonts w:hint="eastAsia"/>
          <w:color w:val="auto"/>
          <w:highlight w:val="none"/>
        </w:rPr>
        <w:t>：</w:t>
      </w:r>
      <w:r>
        <w:rPr>
          <w:color w:val="auto"/>
          <w:highlight w:val="none"/>
        </w:rPr>
        <w:t>冬季多雾，常年平均雾日37天，一般要</w:t>
      </w:r>
      <w:r>
        <w:rPr>
          <w:rFonts w:hint="eastAsia"/>
          <w:color w:val="auto"/>
          <w:highlight w:val="none"/>
        </w:rPr>
        <w:t>连续</w:t>
      </w:r>
      <w:r>
        <w:rPr>
          <w:color w:val="auto"/>
          <w:highlight w:val="none"/>
        </w:rPr>
        <w:t>5天左右。最多为20天，最少为2天。</w:t>
      </w:r>
    </w:p>
    <w:p>
      <w:pPr>
        <w:adjustRightInd w:val="0"/>
        <w:snapToGrid w:val="0"/>
        <w:ind w:firstLine="520"/>
        <w:rPr>
          <w:color w:val="auto"/>
          <w:highlight w:val="none"/>
        </w:rPr>
      </w:pPr>
      <w:r>
        <w:rPr>
          <w:color w:val="auto"/>
          <w:highlight w:val="none"/>
        </w:rPr>
        <w:t>（5）雪</w:t>
      </w:r>
      <w:r>
        <w:rPr>
          <w:rFonts w:hint="eastAsia"/>
          <w:color w:val="auto"/>
          <w:highlight w:val="none"/>
        </w:rPr>
        <w:t>：</w:t>
      </w:r>
      <w:r>
        <w:rPr>
          <w:color w:val="auto"/>
          <w:highlight w:val="none"/>
        </w:rPr>
        <w:t>降雪多在12～2月，平均降雪0.8天，最大积雪厚度90mm。</w:t>
      </w:r>
    </w:p>
    <w:p>
      <w:pPr>
        <w:pStyle w:val="5"/>
        <w:ind w:firstLine="522"/>
        <w:rPr>
          <w:color w:val="auto"/>
          <w:highlight w:val="none"/>
        </w:rPr>
      </w:pPr>
      <w:r>
        <w:rPr>
          <w:rFonts w:hint="eastAsia"/>
          <w:color w:val="auto"/>
          <w:highlight w:val="none"/>
        </w:rPr>
        <w:t>地表水系</w:t>
      </w:r>
    </w:p>
    <w:p>
      <w:pPr>
        <w:ind w:firstLine="520"/>
        <w:rPr>
          <w:color w:val="auto"/>
          <w:highlight w:val="none"/>
        </w:rPr>
      </w:pPr>
      <w:r>
        <w:rPr>
          <w:color w:val="auto"/>
          <w:highlight w:val="none"/>
        </w:rPr>
        <w:t>涪江属嘉陵江右岸一级支流，发源于岷山东麓三舍驿的红星岩，自北向南流经平武、江油、绵阳、三台、射洪、遂宁、潼南至合川汇入嘉陵江，干流全长670km，流域面积36400km</w:t>
      </w:r>
      <w:r>
        <w:rPr>
          <w:color w:val="auto"/>
          <w:highlight w:val="none"/>
          <w:vertAlign w:val="superscript"/>
        </w:rPr>
        <w:t>2</w:t>
      </w:r>
      <w:r>
        <w:rPr>
          <w:color w:val="auto"/>
          <w:highlight w:val="none"/>
        </w:rPr>
        <w:t>。涪江流域水系发育，支流众多，呈树枝状。较大的支流有9条</w:t>
      </w:r>
      <w:r>
        <w:rPr>
          <w:rFonts w:hint="eastAsia"/>
          <w:color w:val="auto"/>
          <w:highlight w:val="none"/>
        </w:rPr>
        <w:t>，</w:t>
      </w:r>
      <w:r>
        <w:rPr>
          <w:color w:val="auto"/>
          <w:highlight w:val="none"/>
        </w:rPr>
        <w:t>分布于流域的中、下游</w:t>
      </w:r>
      <w:r>
        <w:rPr>
          <w:rFonts w:hint="eastAsia"/>
          <w:color w:val="auto"/>
          <w:highlight w:val="none"/>
        </w:rPr>
        <w:t>，其中，</w:t>
      </w:r>
      <w:r>
        <w:rPr>
          <w:color w:val="auto"/>
          <w:highlight w:val="none"/>
        </w:rPr>
        <w:t>在江油太白祠汇入的有平通河</w:t>
      </w:r>
      <w:r>
        <w:rPr>
          <w:rFonts w:hint="eastAsia"/>
          <w:color w:val="auto"/>
          <w:highlight w:val="none"/>
          <w:lang w:eastAsia="zh-CN"/>
        </w:rPr>
        <w:t>；</w:t>
      </w:r>
      <w:r>
        <w:rPr>
          <w:color w:val="auto"/>
          <w:highlight w:val="none"/>
        </w:rPr>
        <w:t>在治城有通口河汇入</w:t>
      </w:r>
      <w:r>
        <w:rPr>
          <w:rFonts w:hint="eastAsia"/>
          <w:color w:val="auto"/>
          <w:highlight w:val="none"/>
        </w:rPr>
        <w:t>，</w:t>
      </w:r>
      <w:r>
        <w:rPr>
          <w:color w:val="auto"/>
          <w:highlight w:val="none"/>
        </w:rPr>
        <w:t>在绵阳有安昌河入汇</w:t>
      </w:r>
      <w:r>
        <w:rPr>
          <w:rFonts w:hint="eastAsia"/>
          <w:color w:val="auto"/>
          <w:highlight w:val="none"/>
        </w:rPr>
        <w:t>，</w:t>
      </w:r>
      <w:r>
        <w:rPr>
          <w:color w:val="auto"/>
          <w:highlight w:val="none"/>
        </w:rPr>
        <w:t>在三台有凯江入汇</w:t>
      </w:r>
      <w:r>
        <w:rPr>
          <w:rFonts w:hint="eastAsia"/>
          <w:color w:val="auto"/>
          <w:highlight w:val="none"/>
        </w:rPr>
        <w:t>，</w:t>
      </w:r>
      <w:r>
        <w:rPr>
          <w:color w:val="auto"/>
          <w:highlight w:val="none"/>
        </w:rPr>
        <w:t>在射洪上游王爷庙有梓潼江入汇</w:t>
      </w:r>
      <w:r>
        <w:rPr>
          <w:rFonts w:hint="eastAsia"/>
          <w:color w:val="auto"/>
          <w:highlight w:val="none"/>
          <w:shd w:val="clear" w:fill="FFFFFF"/>
        </w:rPr>
        <w:t>，</w:t>
      </w:r>
      <w:r>
        <w:rPr>
          <w:color w:val="auto"/>
          <w:highlight w:val="none"/>
        </w:rPr>
        <w:t>射洪下游有郪江入汇</w:t>
      </w:r>
      <w:r>
        <w:rPr>
          <w:rFonts w:hint="eastAsia"/>
          <w:color w:val="auto"/>
          <w:highlight w:val="none"/>
        </w:rPr>
        <w:t>，</w:t>
      </w:r>
      <w:r>
        <w:rPr>
          <w:color w:val="auto"/>
          <w:highlight w:val="none"/>
        </w:rPr>
        <w:t>在遂宁下游有安居河入汇</w:t>
      </w:r>
      <w:r>
        <w:rPr>
          <w:rFonts w:hint="eastAsia"/>
          <w:color w:val="auto"/>
          <w:highlight w:val="none"/>
        </w:rPr>
        <w:t>，</w:t>
      </w:r>
      <w:r>
        <w:rPr>
          <w:color w:val="auto"/>
          <w:highlight w:val="none"/>
        </w:rPr>
        <w:t>在合川上游 3km处有小安溪入汇。</w:t>
      </w:r>
    </w:p>
    <w:p>
      <w:pPr>
        <w:ind w:firstLine="520"/>
        <w:rPr>
          <w:color w:val="auto"/>
          <w:highlight w:val="none"/>
        </w:rPr>
      </w:pPr>
      <w:r>
        <w:rPr>
          <w:rFonts w:hint="eastAsia"/>
          <w:color w:val="auto"/>
          <w:highlight w:val="none"/>
        </w:rPr>
        <w:t>涪江流域形状呈西北东南向的狭长条形，流域地势西北高，东南低，</w:t>
      </w:r>
      <w:r>
        <w:rPr>
          <w:color w:val="auto"/>
          <w:highlight w:val="none"/>
        </w:rPr>
        <w:t>流域地理坐标位于东经103°47'-106°02'，北纬30°05'-32°58'之间</w:t>
      </w:r>
      <w:r>
        <w:rPr>
          <w:rFonts w:hint="eastAsia"/>
          <w:color w:val="auto"/>
          <w:highlight w:val="none"/>
        </w:rPr>
        <w:t>。从与岷江的分水岭雪宝顶海拔高程5588m起至汇合处海拔约200m左右，相对高差超过5000m。地貌大致可分为两部分；即山区和丘陵平坝区。涪江干流在江油武都镇以上为山区，属涪江上游，主要由岷山山脉和龙门山山脉组成，海拔高程在1000-3500m之间，干流穿行于崇山峻岭之间，河谷狭窄，山高坡陡，谷深水急，落差较大，河道比降在6‰以上，河谷呈</w:t>
      </w:r>
      <w:r>
        <w:rPr>
          <w:rFonts w:hint="eastAsia"/>
          <w:color w:val="auto"/>
          <w:highlight w:val="none"/>
          <w:shd w:val="clear" w:fill="FFFFFF"/>
        </w:rPr>
        <w:t>“V”型</w:t>
      </w:r>
      <w:r>
        <w:rPr>
          <w:rFonts w:hint="eastAsia"/>
          <w:color w:val="auto"/>
          <w:highlight w:val="none"/>
        </w:rPr>
        <w:t>。</w:t>
      </w:r>
      <w:r>
        <w:rPr>
          <w:color w:val="auto"/>
          <w:highlight w:val="none"/>
        </w:rPr>
        <w:t xml:space="preserve"> </w:t>
      </w:r>
    </w:p>
    <w:p>
      <w:pPr>
        <w:ind w:firstLine="520"/>
        <w:rPr>
          <w:color w:val="auto"/>
          <w:highlight w:val="none"/>
        </w:rPr>
      </w:pPr>
      <w:r>
        <w:rPr>
          <w:rFonts w:hint="eastAsia"/>
          <w:color w:val="auto"/>
          <w:highlight w:val="none"/>
        </w:rPr>
        <w:t>船闸区场地的主要地表水系为涪江，涪江流域内地表水丰富。涪江径流主要由降雨形成</w:t>
      </w:r>
      <w:r>
        <w:rPr>
          <w:rFonts w:hint="eastAsia"/>
          <w:color w:val="auto"/>
          <w:highlight w:val="none"/>
          <w:lang w:eastAsia="zh-CN"/>
        </w:rPr>
        <w:t>，</w:t>
      </w:r>
      <w:r>
        <w:rPr>
          <w:rFonts w:hint="eastAsia"/>
          <w:color w:val="auto"/>
          <w:highlight w:val="none"/>
        </w:rPr>
        <w:t>径流时空变化与降水的时空变化基本一致。工程区地表水除了枢纽电站的水塘和船闸上游、下游零星鱼塘外，未见明显地表水分布。</w:t>
      </w:r>
    </w:p>
    <w:p>
      <w:pPr>
        <w:pStyle w:val="5"/>
        <w:ind w:firstLine="522"/>
        <w:rPr>
          <w:color w:val="auto"/>
          <w:highlight w:val="none"/>
        </w:rPr>
      </w:pPr>
      <w:r>
        <w:rPr>
          <w:rFonts w:hint="eastAsia"/>
          <w:color w:val="auto"/>
          <w:highlight w:val="none"/>
        </w:rPr>
        <w:t>水文地质</w:t>
      </w:r>
      <w:r>
        <w:rPr>
          <w:color w:val="auto"/>
          <w:highlight w:val="none"/>
        </w:rPr>
        <w:t>条件</w:t>
      </w:r>
    </w:p>
    <w:p>
      <w:pPr>
        <w:adjustRightInd w:val="0"/>
        <w:snapToGrid w:val="0"/>
        <w:ind w:firstLine="520"/>
        <w:rPr>
          <w:rFonts w:hint="eastAsia"/>
          <w:color w:val="auto"/>
          <w:szCs w:val="26"/>
          <w:highlight w:val="none"/>
          <w:lang w:val="zh-CN"/>
        </w:rPr>
      </w:pPr>
      <w:r>
        <w:rPr>
          <w:rFonts w:hint="eastAsia"/>
          <w:color w:val="auto"/>
          <w:szCs w:val="26"/>
          <w:highlight w:val="none"/>
          <w:lang w:val="zh-CN"/>
        </w:rPr>
        <w:t>工程区地下水按埋藏条件可分为基岩裂隙水与第四系松散堆积层孔隙潜水两类。</w:t>
      </w:r>
    </w:p>
    <w:p>
      <w:pPr>
        <w:adjustRightInd w:val="0"/>
        <w:snapToGrid w:val="0"/>
        <w:ind w:firstLine="520"/>
        <w:rPr>
          <w:rFonts w:hint="eastAsia"/>
          <w:color w:val="auto"/>
          <w:szCs w:val="26"/>
          <w:highlight w:val="none"/>
          <w:lang w:val="zh-CN"/>
        </w:rPr>
      </w:pPr>
      <w:r>
        <w:rPr>
          <w:rFonts w:hint="eastAsia"/>
          <w:color w:val="auto"/>
          <w:szCs w:val="26"/>
          <w:highlight w:val="none"/>
          <w:lang w:val="zh-CN"/>
        </w:rPr>
        <w:t>（1）第四系松散堆积层中孔隙潜水：一般广泛分布于阶地、漫滩之中。接受大气降水补给，视季节不同，与河流呈互为补给关系。土层的渗透性存在较大的差异，</w:t>
      </w:r>
      <w:r>
        <w:rPr>
          <w:rFonts w:hint="eastAsia"/>
          <w:color w:val="auto"/>
          <w:szCs w:val="26"/>
          <w:highlight w:val="none"/>
          <w:shd w:val="clear" w:fill="FFFFFF"/>
          <w:lang w:val="zh-CN"/>
        </w:rPr>
        <w:t>粉质黏土</w:t>
      </w:r>
      <w:r>
        <w:rPr>
          <w:rFonts w:hint="eastAsia"/>
          <w:color w:val="auto"/>
          <w:szCs w:val="26"/>
          <w:highlight w:val="none"/>
          <w:lang w:val="zh-CN"/>
        </w:rPr>
        <w:t>、粉土为弱透水层，卵石土为强透水层。</w:t>
      </w:r>
    </w:p>
    <w:p>
      <w:pPr>
        <w:adjustRightInd w:val="0"/>
        <w:snapToGrid w:val="0"/>
        <w:ind w:firstLine="520"/>
        <w:rPr>
          <w:rFonts w:hint="eastAsia"/>
          <w:color w:val="auto"/>
          <w:szCs w:val="26"/>
          <w:highlight w:val="none"/>
          <w:lang w:val="zh-CN"/>
        </w:rPr>
      </w:pPr>
      <w:r>
        <w:rPr>
          <w:rFonts w:hint="eastAsia"/>
          <w:color w:val="auto"/>
          <w:szCs w:val="26"/>
          <w:highlight w:val="none"/>
          <w:lang w:val="zh-CN"/>
        </w:rPr>
        <w:t>（2）基岩裂隙水：主要分布于岩石的风化带内各类岩石的裂隙之中，由于岩体裂隙发育程度不同、补排条件不同，其富水程度各异。根据风化程度及裂隙发育程度不同，富水性及透水性变化较大，呈脉状、带状分布，无统一水位。流量一般较小。此类地下水主要来源于大气降水的补给，排向河流。</w:t>
      </w:r>
    </w:p>
    <w:p>
      <w:pPr>
        <w:adjustRightInd w:val="0"/>
        <w:snapToGrid w:val="0"/>
        <w:ind w:firstLine="520"/>
        <w:rPr>
          <w:rFonts w:hint="eastAsia"/>
          <w:color w:val="auto"/>
          <w:szCs w:val="26"/>
          <w:highlight w:val="none"/>
          <w:lang w:val="zh-CN"/>
        </w:rPr>
      </w:pPr>
      <w:r>
        <w:rPr>
          <w:rFonts w:hint="eastAsia"/>
          <w:color w:val="auto"/>
          <w:szCs w:val="26"/>
          <w:highlight w:val="none"/>
          <w:lang w:val="zh-CN"/>
        </w:rPr>
        <w:t>第四系松散堆积层中孔隙潜水补给来源主要是大气降水及邻近地表河水侧向补给，径流途径较短，潜水及承压水排泄方式主要为向涪江、低洼地排泄及自然蒸发。</w:t>
      </w:r>
    </w:p>
    <w:p>
      <w:pPr>
        <w:adjustRightInd w:val="0"/>
        <w:snapToGrid w:val="0"/>
        <w:ind w:firstLine="520"/>
        <w:rPr>
          <w:rFonts w:hint="eastAsia"/>
          <w:color w:val="auto"/>
          <w:szCs w:val="26"/>
          <w:highlight w:val="none"/>
          <w:lang w:val="zh-CN"/>
        </w:rPr>
      </w:pPr>
      <w:r>
        <w:rPr>
          <w:rFonts w:hint="eastAsia"/>
          <w:color w:val="auto"/>
          <w:szCs w:val="26"/>
          <w:highlight w:val="none"/>
          <w:lang w:val="zh-CN"/>
        </w:rPr>
        <w:t>基岩裂隙水主要接受大气降水、地表水及上部松散岩类孔隙潜水的补给，地下水径流排泄条件主要受涪江区域地下水系统流场控制，其径流速度取决于区域地下水水力坡度，总体上呈由山体向河流，水头高处向低处缓慢径流，从上游向下游缓慢径流排泄。</w:t>
      </w:r>
    </w:p>
    <w:p>
      <w:pPr>
        <w:adjustRightInd w:val="0"/>
        <w:snapToGrid w:val="0"/>
        <w:ind w:firstLine="520"/>
        <w:rPr>
          <w:rFonts w:hint="eastAsia"/>
          <w:color w:val="auto"/>
          <w:highlight w:val="none"/>
        </w:rPr>
      </w:pPr>
      <w:r>
        <w:rPr>
          <w:rFonts w:hint="eastAsia"/>
          <w:color w:val="auto"/>
          <w:szCs w:val="26"/>
          <w:highlight w:val="none"/>
          <w:lang w:val="zh-CN"/>
        </w:rPr>
        <w:t>地下水动态变化受地形条件及季节影响大，雨季排水不畅，地下水位上升，旱季补给减少则下降。勘察期间船闸区除临河、河漫滩及部分阶地上的钻孔分布有卵石层外，水位基本与江水位平齐，与江水水力联系紧密，绝大多数钻孔未测得稳定地下水位。</w:t>
      </w:r>
    </w:p>
    <w:p>
      <w:pPr>
        <w:pStyle w:val="4"/>
        <w:adjustRightInd w:val="0"/>
        <w:snapToGrid w:val="0"/>
        <w:rPr>
          <w:color w:val="auto"/>
          <w:highlight w:val="none"/>
        </w:rPr>
      </w:pPr>
      <w:bookmarkStart w:id="88" w:name="_Toc22981"/>
      <w:r>
        <w:rPr>
          <w:rFonts w:hint="eastAsia"/>
          <w:color w:val="auto"/>
          <w:highlight w:val="none"/>
        </w:rPr>
        <w:t>生态</w:t>
      </w:r>
      <w:r>
        <w:rPr>
          <w:color w:val="auto"/>
          <w:highlight w:val="none"/>
        </w:rPr>
        <w:t>环境现状调查</w:t>
      </w:r>
      <w:r>
        <w:rPr>
          <w:rFonts w:hint="eastAsia"/>
          <w:color w:val="auto"/>
          <w:highlight w:val="none"/>
        </w:rPr>
        <w:t>与</w:t>
      </w:r>
      <w:r>
        <w:rPr>
          <w:color w:val="auto"/>
          <w:highlight w:val="none"/>
        </w:rPr>
        <w:t>评价</w:t>
      </w:r>
      <w:bookmarkEnd w:id="88"/>
    </w:p>
    <w:p>
      <w:pPr>
        <w:pStyle w:val="5"/>
        <w:adjustRightInd w:val="0"/>
        <w:snapToGrid w:val="0"/>
        <w:ind w:firstLine="522"/>
        <w:rPr>
          <w:color w:val="auto"/>
          <w:highlight w:val="none"/>
        </w:rPr>
      </w:pPr>
      <w:r>
        <w:rPr>
          <w:rFonts w:hint="eastAsia"/>
          <w:color w:val="auto"/>
          <w:highlight w:val="none"/>
        </w:rPr>
        <w:t>土地利用现状</w:t>
      </w:r>
    </w:p>
    <w:p>
      <w:pPr>
        <w:autoSpaceDE w:val="0"/>
        <w:autoSpaceDN w:val="0"/>
        <w:adjustRightInd w:val="0"/>
        <w:snapToGrid w:val="0"/>
        <w:ind w:firstLine="520"/>
        <w:textAlignment w:val="baseline"/>
        <w:rPr>
          <w:snapToGrid w:val="0"/>
          <w:color w:val="auto"/>
          <w:kern w:val="0"/>
          <w:szCs w:val="26"/>
          <w:highlight w:val="none"/>
        </w:rPr>
      </w:pPr>
      <w:r>
        <w:rPr>
          <w:rFonts w:hint="eastAsia"/>
          <w:color w:val="auto"/>
          <w:szCs w:val="22"/>
          <w:highlight w:val="none"/>
        </w:rPr>
        <w:t>评价区域土地利用现状基于高分辨率遥感影像利用GIS软件进行人工目视解译，遥感影像采用区域202</w:t>
      </w:r>
      <w:r>
        <w:rPr>
          <w:rFonts w:hint="eastAsia"/>
          <w:color w:val="auto"/>
          <w:szCs w:val="22"/>
          <w:highlight w:val="none"/>
          <w:lang w:val="en-US" w:eastAsia="zh-CN"/>
        </w:rPr>
        <w:t>4</w:t>
      </w:r>
      <w:r>
        <w:rPr>
          <w:rFonts w:hint="eastAsia"/>
          <w:color w:val="auto"/>
          <w:szCs w:val="22"/>
          <w:highlight w:val="none"/>
        </w:rPr>
        <w:t>年0.5m分辨率卫星影像作为解译基础底图</w:t>
      </w:r>
      <w:r>
        <w:rPr>
          <w:rFonts w:hint="eastAsia"/>
          <w:color w:val="auto"/>
          <w:szCs w:val="22"/>
          <w:highlight w:val="none"/>
          <w:lang w:eastAsia="zh-CN"/>
        </w:rPr>
        <w:t>，同时</w:t>
      </w:r>
      <w:r>
        <w:rPr>
          <w:rFonts w:hint="eastAsia"/>
          <w:color w:val="auto"/>
          <w:szCs w:val="22"/>
          <w:highlight w:val="none"/>
          <w:shd w:val="clear" w:fill="FFFFFF"/>
          <w:lang w:eastAsia="zh-CN"/>
        </w:rPr>
        <w:t>结合合</w:t>
      </w:r>
      <w:r>
        <w:rPr>
          <w:rFonts w:hint="eastAsia"/>
          <w:color w:val="auto"/>
          <w:szCs w:val="22"/>
          <w:highlight w:val="none"/>
          <w:lang w:eastAsia="zh-CN"/>
        </w:rPr>
        <w:t>川区国土三调数据</w:t>
      </w:r>
      <w:r>
        <w:rPr>
          <w:rFonts w:hint="eastAsia"/>
          <w:color w:val="auto"/>
          <w:szCs w:val="22"/>
          <w:highlight w:val="none"/>
        </w:rPr>
        <w:t>。按照《环境影响评价技术导则</w:t>
      </w:r>
      <w:r>
        <w:rPr>
          <w:rFonts w:hint="eastAsia"/>
          <w:color w:val="auto"/>
          <w:szCs w:val="22"/>
          <w:highlight w:val="none"/>
          <w:lang w:val="en-US" w:eastAsia="zh-CN"/>
        </w:rPr>
        <w:t xml:space="preserve"> </w:t>
      </w:r>
      <w:r>
        <w:rPr>
          <w:rFonts w:hint="eastAsia"/>
          <w:color w:val="auto"/>
          <w:szCs w:val="22"/>
          <w:highlight w:val="none"/>
        </w:rPr>
        <w:t>生态影响》（HJ 19-2022）要求，通过人工目视判读遥感影像及现场调查核实，将评价范围内的土地利用类型按</w:t>
      </w:r>
      <w:r>
        <w:rPr>
          <w:snapToGrid w:val="0"/>
          <w:color w:val="auto"/>
          <w:kern w:val="0"/>
          <w:szCs w:val="26"/>
          <w:highlight w:val="none"/>
        </w:rPr>
        <w:t>《土地利用现状分类》（GB/T 21010-2017）对</w:t>
      </w:r>
      <w:r>
        <w:rPr>
          <w:rFonts w:hint="eastAsia"/>
          <w:color w:val="auto"/>
          <w:szCs w:val="22"/>
          <w:highlight w:val="none"/>
        </w:rPr>
        <w:t>土地利用</w:t>
      </w:r>
      <w:r>
        <w:rPr>
          <w:rFonts w:hint="eastAsia"/>
          <w:color w:val="auto"/>
          <w:szCs w:val="22"/>
          <w:highlight w:val="none"/>
          <w:lang w:eastAsia="zh-CN"/>
        </w:rPr>
        <w:t>现状</w:t>
      </w:r>
      <w:r>
        <w:rPr>
          <w:rFonts w:hint="eastAsia"/>
          <w:color w:val="auto"/>
          <w:szCs w:val="22"/>
          <w:highlight w:val="none"/>
        </w:rPr>
        <w:t>进行分类，形成土地利用现状矢量数据库，并以二级类型作为基础制图单位制作评价区域土地利用现状图。</w:t>
      </w:r>
      <w:r>
        <w:rPr>
          <w:snapToGrid w:val="0"/>
          <w:color w:val="auto"/>
          <w:kern w:val="0"/>
          <w:szCs w:val="26"/>
          <w:highlight w:val="none"/>
        </w:rPr>
        <w:t>根据</w:t>
      </w:r>
      <w:r>
        <w:rPr>
          <w:rFonts w:hint="eastAsia"/>
          <w:snapToGrid w:val="0"/>
          <w:color w:val="auto"/>
          <w:kern w:val="0"/>
          <w:szCs w:val="26"/>
          <w:highlight w:val="none"/>
          <w:lang w:eastAsia="zh-CN"/>
        </w:rPr>
        <w:t>遥感解译结果</w:t>
      </w:r>
      <w:r>
        <w:rPr>
          <w:snapToGrid w:val="0"/>
          <w:color w:val="auto"/>
          <w:kern w:val="0"/>
          <w:szCs w:val="26"/>
          <w:highlight w:val="none"/>
        </w:rPr>
        <w:t>，</w:t>
      </w:r>
      <w:r>
        <w:rPr>
          <w:rFonts w:hint="eastAsia"/>
          <w:snapToGrid w:val="0"/>
          <w:color w:val="auto"/>
          <w:kern w:val="0"/>
          <w:szCs w:val="26"/>
          <w:highlight w:val="none"/>
          <w:lang w:eastAsia="zh-CN"/>
        </w:rPr>
        <w:t>评价范围内土地利用现状</w:t>
      </w:r>
      <w:r>
        <w:rPr>
          <w:snapToGrid w:val="0"/>
          <w:color w:val="auto"/>
          <w:kern w:val="0"/>
          <w:szCs w:val="26"/>
          <w:highlight w:val="none"/>
        </w:rPr>
        <w:t>分类结果见</w:t>
      </w:r>
      <w:r>
        <w:rPr>
          <w:rFonts w:hint="eastAsia"/>
          <w:snapToGrid w:val="0"/>
          <w:color w:val="auto"/>
          <w:kern w:val="0"/>
          <w:szCs w:val="26"/>
          <w:highlight w:val="none"/>
        </w:rPr>
        <w:t>下表：</w:t>
      </w:r>
    </w:p>
    <w:p>
      <w:pPr>
        <w:autoSpaceDE w:val="0"/>
        <w:autoSpaceDN w:val="0"/>
        <w:adjustRightInd w:val="0"/>
        <w:spacing w:line="240" w:lineRule="auto"/>
        <w:ind w:firstLine="520"/>
        <w:textAlignment w:val="baseline"/>
        <w:rPr>
          <w:snapToGrid w:val="0"/>
          <w:color w:val="auto"/>
          <w:kern w:val="0"/>
          <w:szCs w:val="26"/>
          <w:highlight w:val="none"/>
        </w:rPr>
      </w:pPr>
    </w:p>
    <w:p>
      <w:pPr>
        <w:snapToGrid w:val="0"/>
        <w:spacing w:line="240" w:lineRule="auto"/>
        <w:ind w:right="523" w:firstLine="0" w:firstLineChars="0"/>
        <w:jc w:val="center"/>
        <w:rPr>
          <w:color w:val="auto"/>
          <w:szCs w:val="26"/>
          <w:highlight w:val="none"/>
          <w:lang w:bidi="ar"/>
        </w:rPr>
      </w:pPr>
      <w:r>
        <w:rPr>
          <w:color w:val="auto"/>
          <w:szCs w:val="26"/>
          <w:highlight w:val="none"/>
          <w:lang w:bidi="ar"/>
        </w:rPr>
        <w:t>表</w:t>
      </w:r>
      <w:r>
        <w:rPr>
          <w:rFonts w:hint="eastAsia"/>
          <w:color w:val="auto"/>
          <w:szCs w:val="26"/>
          <w:highlight w:val="none"/>
          <w:lang w:val="en-US" w:eastAsia="zh-CN" w:bidi="ar"/>
        </w:rPr>
        <w:t>3</w:t>
      </w:r>
      <w:r>
        <w:rPr>
          <w:rFonts w:hint="eastAsia"/>
          <w:color w:val="auto"/>
          <w:szCs w:val="26"/>
          <w:highlight w:val="none"/>
          <w:lang w:bidi="ar"/>
        </w:rPr>
        <w:t>.2.1-1  项目评价范围</w:t>
      </w:r>
      <w:r>
        <w:rPr>
          <w:color w:val="auto"/>
          <w:szCs w:val="26"/>
          <w:highlight w:val="none"/>
          <w:lang w:bidi="ar"/>
        </w:rPr>
        <w:t>内土地利用现状</w:t>
      </w:r>
      <w:r>
        <w:rPr>
          <w:rFonts w:hint="eastAsia"/>
          <w:color w:val="auto"/>
          <w:szCs w:val="26"/>
          <w:highlight w:val="none"/>
          <w:lang w:bidi="ar"/>
        </w:rPr>
        <w:t>统计</w:t>
      </w:r>
      <w:r>
        <w:rPr>
          <w:color w:val="auto"/>
          <w:szCs w:val="26"/>
          <w:highlight w:val="none"/>
          <w:lang w:bidi="ar"/>
        </w:rPr>
        <w:t>表</w:t>
      </w:r>
    </w:p>
    <w:tbl>
      <w:tblPr>
        <w:tblStyle w:val="28"/>
        <w:tblW w:w="485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026"/>
        <w:gridCol w:w="2990"/>
        <w:gridCol w:w="2138"/>
        <w:gridCol w:w="15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5016" w:type="dxa"/>
            <w:gridSpan w:val="2"/>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土地类型</w:t>
            </w:r>
          </w:p>
        </w:tc>
        <w:tc>
          <w:tcPr>
            <w:tcW w:w="2138"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面积（hm</w:t>
            </w:r>
            <w:r>
              <w:rPr>
                <w:rStyle w:val="242"/>
                <w:rFonts w:hint="default" w:ascii="Times New Roman" w:hAnsi="Times New Roman" w:eastAsia="宋体" w:cs="Times New Roman"/>
                <w:color w:val="auto"/>
                <w:sz w:val="22"/>
                <w:szCs w:val="22"/>
                <w:highlight w:val="none"/>
                <w:lang w:val="en-US" w:eastAsia="zh-CN" w:bidi="ar"/>
              </w:rPr>
              <w:t>2</w:t>
            </w: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1524"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占比（%）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一级类</w:t>
            </w: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二级类</w:t>
            </w:r>
          </w:p>
        </w:tc>
        <w:tc>
          <w:tcPr>
            <w:tcW w:w="2138"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1524"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01耕地</w:t>
            </w: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0101水田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108.24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12.79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0103旱地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208.14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24.59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小计</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316.38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37.38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restart"/>
            <w:tcBorders>
              <w:top w:val="single" w:color="000000" w:sz="8" w:space="0"/>
              <w:left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02园地</w:t>
            </w: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0201果园</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5.36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0.63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left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0204 其他园地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lang w:val="en-US" w:eastAsia="zh-CN"/>
              </w:rPr>
            </w:pPr>
            <w:r>
              <w:rPr>
                <w:rFonts w:hint="default" w:ascii="Times New Roman" w:hAnsi="Times New Roman" w:eastAsia="宋体" w:cs="Times New Roman"/>
                <w:i w:val="0"/>
                <w:iCs w:val="0"/>
                <w:color w:val="auto"/>
                <w:sz w:val="22"/>
                <w:szCs w:val="22"/>
                <w:highlight w:val="none"/>
                <w:u w:val="none"/>
                <w:lang w:val="en-US" w:eastAsia="zh-CN"/>
              </w:rPr>
              <w:t xml:space="preserve">1.34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lang w:val="en-US" w:eastAsia="zh-CN"/>
              </w:rPr>
            </w:pPr>
            <w:r>
              <w:rPr>
                <w:rFonts w:hint="default" w:ascii="Times New Roman" w:hAnsi="Times New Roman" w:eastAsia="宋体" w:cs="Times New Roman"/>
                <w:i w:val="0"/>
                <w:iCs w:val="0"/>
                <w:color w:val="auto"/>
                <w:sz w:val="22"/>
                <w:szCs w:val="22"/>
                <w:highlight w:val="none"/>
                <w:u w:val="none"/>
                <w:lang w:val="en-US" w:eastAsia="zh-CN"/>
              </w:rPr>
              <w:t xml:space="preserve">0.16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小计</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lang w:val="en-US" w:eastAsia="zh-CN"/>
              </w:rPr>
            </w:pPr>
            <w:r>
              <w:rPr>
                <w:rFonts w:hint="default" w:ascii="Times New Roman" w:hAnsi="Times New Roman" w:eastAsia="宋体" w:cs="Times New Roman"/>
                <w:i w:val="0"/>
                <w:iCs w:val="0"/>
                <w:color w:val="auto"/>
                <w:sz w:val="22"/>
                <w:szCs w:val="22"/>
                <w:highlight w:val="none"/>
                <w:u w:val="none"/>
                <w:lang w:val="en-US" w:eastAsia="zh-CN"/>
              </w:rPr>
              <w:t xml:space="preserve">6.70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lang w:val="en-US" w:eastAsia="zh-CN"/>
              </w:rPr>
            </w:pPr>
            <w:r>
              <w:rPr>
                <w:rFonts w:hint="default" w:ascii="Times New Roman" w:hAnsi="Times New Roman" w:eastAsia="宋体" w:cs="Times New Roman"/>
                <w:i w:val="0"/>
                <w:iCs w:val="0"/>
                <w:color w:val="auto"/>
                <w:sz w:val="22"/>
                <w:szCs w:val="22"/>
                <w:highlight w:val="none"/>
                <w:u w:val="none"/>
                <w:lang w:val="en-US" w:eastAsia="zh-CN"/>
              </w:rPr>
              <w:t xml:space="preserve">0.79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03林地</w:t>
            </w: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0301乔木林地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171.89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20.31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0302竹林地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37.32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4.41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0305灌木林地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41.66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4.92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0307其他林地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6.18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0.73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小计</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257.04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30.37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04草地</w:t>
            </w: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0404其它草地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2.57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0.30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05商服用地</w:t>
            </w: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0507其他商服用地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0.26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0.03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06工矿仓储用地</w:t>
            </w: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0601工业用地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0.61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0.07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0602采矿用地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1.31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0.15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0604仓储用地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0.96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0.11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小计</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2.88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0.34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07住宅用地</w:t>
            </w: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0701城镇住宅用地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11.62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1.37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0702农村宅基地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36.68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4.33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小计</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48.29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5.71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restart"/>
            <w:tcBorders>
              <w:top w:val="single" w:color="000000" w:sz="8" w:space="0"/>
              <w:left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08公共管理与公共服务用地</w:t>
            </w: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0801机关团体用地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lang w:val="en-US" w:eastAsia="zh-CN"/>
              </w:rPr>
            </w:pPr>
            <w:r>
              <w:rPr>
                <w:rFonts w:hint="default" w:ascii="Times New Roman" w:hAnsi="Times New Roman" w:eastAsia="宋体" w:cs="Times New Roman"/>
                <w:i w:val="0"/>
                <w:iCs w:val="0"/>
                <w:color w:val="auto"/>
                <w:sz w:val="22"/>
                <w:szCs w:val="22"/>
                <w:highlight w:val="none"/>
                <w:u w:val="none"/>
                <w:lang w:val="en-US" w:eastAsia="zh-CN"/>
              </w:rPr>
              <w:t xml:space="preserve">1.50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lang w:val="en-US" w:eastAsia="zh-CN"/>
              </w:rPr>
            </w:pPr>
            <w:r>
              <w:rPr>
                <w:rFonts w:hint="default" w:ascii="Times New Roman" w:hAnsi="Times New Roman" w:eastAsia="宋体" w:cs="Times New Roman"/>
                <w:i w:val="0"/>
                <w:iCs w:val="0"/>
                <w:color w:val="auto"/>
                <w:sz w:val="22"/>
                <w:szCs w:val="22"/>
                <w:highlight w:val="none"/>
                <w:u w:val="none"/>
                <w:lang w:val="en-US" w:eastAsia="zh-CN"/>
              </w:rPr>
              <w:t xml:space="preserve">0.18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left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0807 文化设施用地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lang w:val="en-US" w:eastAsia="zh-CN"/>
              </w:rPr>
            </w:pPr>
            <w:r>
              <w:rPr>
                <w:rFonts w:hint="default" w:ascii="Times New Roman" w:hAnsi="Times New Roman" w:eastAsia="宋体" w:cs="Times New Roman"/>
                <w:i w:val="0"/>
                <w:iCs w:val="0"/>
                <w:color w:val="auto"/>
                <w:sz w:val="22"/>
                <w:szCs w:val="22"/>
                <w:highlight w:val="none"/>
                <w:u w:val="none"/>
                <w:lang w:val="en-US" w:eastAsia="zh-CN"/>
              </w:rPr>
              <w:t xml:space="preserve">2.97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lang w:val="en-US" w:eastAsia="zh-CN"/>
              </w:rPr>
            </w:pPr>
            <w:r>
              <w:rPr>
                <w:rFonts w:hint="default" w:ascii="Times New Roman" w:hAnsi="Times New Roman" w:eastAsia="宋体" w:cs="Times New Roman"/>
                <w:i w:val="0"/>
                <w:iCs w:val="0"/>
                <w:color w:val="auto"/>
                <w:sz w:val="22"/>
                <w:szCs w:val="22"/>
                <w:highlight w:val="none"/>
                <w:u w:val="none"/>
                <w:lang w:val="en-US" w:eastAsia="zh-CN"/>
              </w:rPr>
              <w:t xml:space="preserve">0.35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left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0809</w:t>
            </w:r>
            <w:r>
              <w:rPr>
                <w:rFonts w:hint="eastAsia" w:cs="Times New Roman"/>
                <w:i w:val="0"/>
                <w:iCs w:val="0"/>
                <w:color w:val="auto"/>
                <w:kern w:val="0"/>
                <w:sz w:val="22"/>
                <w:szCs w:val="22"/>
                <w:highlight w:val="none"/>
                <w:u w:val="none"/>
                <w:lang w:val="en-US" w:eastAsia="zh-CN" w:bidi="ar"/>
              </w:rPr>
              <w:t>公</w:t>
            </w:r>
            <w:r>
              <w:rPr>
                <w:rFonts w:hint="default" w:ascii="Times New Roman" w:hAnsi="Times New Roman" w:eastAsia="宋体" w:cs="Times New Roman"/>
                <w:i w:val="0"/>
                <w:iCs w:val="0"/>
                <w:color w:val="auto"/>
                <w:kern w:val="0"/>
                <w:sz w:val="22"/>
                <w:szCs w:val="22"/>
                <w:highlight w:val="none"/>
                <w:u w:val="none"/>
                <w:lang w:val="en-US" w:eastAsia="zh-CN" w:bidi="ar"/>
              </w:rPr>
              <w:t>用设施用地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6.33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0.75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小计</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lang w:val="en-US" w:eastAsia="zh-CN"/>
              </w:rPr>
            </w:pPr>
            <w:r>
              <w:rPr>
                <w:rFonts w:hint="default" w:ascii="Times New Roman" w:hAnsi="Times New Roman" w:eastAsia="宋体" w:cs="Times New Roman"/>
                <w:i w:val="0"/>
                <w:iCs w:val="0"/>
                <w:color w:val="auto"/>
                <w:sz w:val="22"/>
                <w:szCs w:val="22"/>
                <w:highlight w:val="none"/>
                <w:u w:val="none"/>
                <w:lang w:val="en-US" w:eastAsia="zh-CN"/>
              </w:rPr>
              <w:t xml:space="preserve">10.80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lang w:val="en-US" w:eastAsia="zh-CN"/>
              </w:rPr>
            </w:pPr>
            <w:r>
              <w:rPr>
                <w:rFonts w:hint="default" w:ascii="Times New Roman" w:hAnsi="Times New Roman" w:eastAsia="宋体" w:cs="Times New Roman"/>
                <w:i w:val="0"/>
                <w:iCs w:val="0"/>
                <w:color w:val="auto"/>
                <w:sz w:val="22"/>
                <w:szCs w:val="22"/>
                <w:highlight w:val="none"/>
                <w:u w:val="none"/>
                <w:lang w:val="en-US" w:eastAsia="zh-CN"/>
              </w:rPr>
              <w:t xml:space="preserve">1.28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10交通运输用地</w:t>
            </w: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1003公路用地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6.36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0.75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1004城镇村道路用地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1.05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0.12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1005 交通服务场站用地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lang w:val="en-US" w:eastAsia="zh-CN"/>
              </w:rPr>
            </w:pPr>
            <w:r>
              <w:rPr>
                <w:rFonts w:hint="default" w:ascii="Times New Roman" w:hAnsi="Times New Roman" w:eastAsia="宋体" w:cs="Times New Roman"/>
                <w:i w:val="0"/>
                <w:iCs w:val="0"/>
                <w:color w:val="auto"/>
                <w:sz w:val="22"/>
                <w:szCs w:val="22"/>
                <w:highlight w:val="none"/>
                <w:u w:val="none"/>
                <w:lang w:val="en-US" w:eastAsia="zh-CN"/>
              </w:rPr>
              <w:t xml:space="preserve">0.13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lang w:val="en-US" w:eastAsia="zh-CN"/>
              </w:rPr>
            </w:pPr>
            <w:r>
              <w:rPr>
                <w:rFonts w:hint="default" w:ascii="Times New Roman" w:hAnsi="Times New Roman" w:eastAsia="宋体" w:cs="Times New Roman"/>
                <w:i w:val="0"/>
                <w:iCs w:val="0"/>
                <w:color w:val="auto"/>
                <w:sz w:val="22"/>
                <w:szCs w:val="22"/>
                <w:highlight w:val="none"/>
                <w:u w:val="none"/>
                <w:lang w:val="en-US" w:eastAsia="zh-CN"/>
              </w:rPr>
              <w:t xml:space="preserve">0.01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1006农村道路</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11.39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1.35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小计</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18.93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2.24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11水域及水利设施用地</w:t>
            </w: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1101河流水面</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161.30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19.06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1104坑塘水面</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14.10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1.67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1106内陆滩涂</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2.66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0.31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1107 沟渠</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lang w:val="en-US" w:eastAsia="zh-CN"/>
              </w:rPr>
            </w:pPr>
            <w:r>
              <w:rPr>
                <w:rFonts w:hint="default" w:ascii="Times New Roman" w:hAnsi="Times New Roman" w:eastAsia="宋体" w:cs="Times New Roman"/>
                <w:i w:val="0"/>
                <w:iCs w:val="0"/>
                <w:color w:val="auto"/>
                <w:sz w:val="22"/>
                <w:szCs w:val="22"/>
                <w:highlight w:val="none"/>
                <w:u w:val="none"/>
                <w:lang w:val="en-US" w:eastAsia="zh-CN"/>
              </w:rPr>
              <w:t xml:space="preserve">0.07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lang w:val="en-US" w:eastAsia="zh-CN"/>
              </w:rPr>
            </w:pPr>
            <w:r>
              <w:rPr>
                <w:rFonts w:hint="default" w:ascii="Times New Roman" w:hAnsi="Times New Roman" w:eastAsia="宋体" w:cs="Times New Roman"/>
                <w:i w:val="0"/>
                <w:iCs w:val="0"/>
                <w:color w:val="auto"/>
                <w:sz w:val="22"/>
                <w:szCs w:val="22"/>
                <w:highlight w:val="none"/>
                <w:u w:val="none"/>
                <w:lang w:val="en-US" w:eastAsia="zh-CN"/>
              </w:rPr>
              <w:t xml:space="preserve">0.01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1109水工建筑用地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1.23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0.15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小计</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179.37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21.19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12其他土地</w:t>
            </w: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1202设施农用地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1.13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0.13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20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1207裸岩石砾地</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2.07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0.24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026"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99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小计</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3.20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0.38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5016" w:type="dxa"/>
            <w:gridSpan w:val="2"/>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总计</w:t>
            </w:r>
          </w:p>
        </w:tc>
        <w:tc>
          <w:tcPr>
            <w:tcW w:w="2138"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846.43 </w:t>
            </w:r>
          </w:p>
        </w:tc>
        <w:tc>
          <w:tcPr>
            <w:tcW w:w="152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lang w:val="en-US" w:eastAsia="zh-CN"/>
              </w:rPr>
              <w:t xml:space="preserve">100.00 </w:t>
            </w:r>
          </w:p>
        </w:tc>
      </w:tr>
    </w:tbl>
    <w:p>
      <w:pPr>
        <w:autoSpaceDE w:val="0"/>
        <w:autoSpaceDN w:val="0"/>
        <w:adjustRightInd w:val="0"/>
        <w:spacing w:line="240" w:lineRule="auto"/>
        <w:ind w:firstLine="520"/>
        <w:textAlignment w:val="baseline"/>
        <w:rPr>
          <w:color w:val="auto"/>
          <w:szCs w:val="26"/>
          <w:highlight w:val="none"/>
          <w:lang w:bidi="ar"/>
        </w:rPr>
      </w:pPr>
    </w:p>
    <w:p>
      <w:pPr>
        <w:autoSpaceDE w:val="0"/>
        <w:autoSpaceDN w:val="0"/>
        <w:adjustRightInd w:val="0"/>
        <w:spacing w:line="460" w:lineRule="exact"/>
        <w:ind w:firstLine="520"/>
        <w:textAlignment w:val="baseline"/>
        <w:rPr>
          <w:color w:val="auto"/>
          <w:highlight w:val="none"/>
        </w:rPr>
      </w:pPr>
      <w:r>
        <w:rPr>
          <w:color w:val="auto"/>
          <w:szCs w:val="26"/>
          <w:highlight w:val="none"/>
          <w:lang w:bidi="ar"/>
        </w:rPr>
        <w:t>由</w:t>
      </w:r>
      <w:r>
        <w:rPr>
          <w:rFonts w:hint="eastAsia"/>
          <w:color w:val="auto"/>
          <w:szCs w:val="26"/>
          <w:highlight w:val="none"/>
          <w:lang w:bidi="ar"/>
        </w:rPr>
        <w:t>上表统计</w:t>
      </w:r>
      <w:r>
        <w:rPr>
          <w:color w:val="auto"/>
          <w:szCs w:val="26"/>
          <w:highlight w:val="none"/>
          <w:lang w:bidi="ar"/>
        </w:rPr>
        <w:t>结果及土地利用现状图可知</w:t>
      </w:r>
      <w:r>
        <w:rPr>
          <w:rFonts w:hint="eastAsia"/>
          <w:color w:val="auto"/>
          <w:szCs w:val="26"/>
          <w:highlight w:val="none"/>
          <w:lang w:bidi="ar"/>
        </w:rPr>
        <w:t>：</w:t>
      </w:r>
      <w:r>
        <w:rPr>
          <w:rFonts w:hint="eastAsia"/>
          <w:color w:val="auto"/>
          <w:szCs w:val="26"/>
          <w:highlight w:val="none"/>
          <w:lang w:eastAsia="zh-CN" w:bidi="ar"/>
        </w:rPr>
        <w:t>项目评价范围内</w:t>
      </w:r>
      <w:r>
        <w:rPr>
          <w:color w:val="auto"/>
          <w:szCs w:val="26"/>
          <w:highlight w:val="none"/>
          <w:lang w:bidi="ar"/>
        </w:rPr>
        <w:t>以</w:t>
      </w:r>
      <w:r>
        <w:rPr>
          <w:rFonts w:hint="eastAsia"/>
          <w:color w:val="auto"/>
          <w:szCs w:val="26"/>
          <w:highlight w:val="none"/>
          <w:lang w:eastAsia="zh-CN" w:bidi="ar"/>
        </w:rPr>
        <w:t>耕地为主，</w:t>
      </w:r>
      <w:r>
        <w:rPr>
          <w:color w:val="auto"/>
          <w:szCs w:val="26"/>
          <w:highlight w:val="none"/>
          <w:lang w:bidi="ar"/>
        </w:rPr>
        <w:t>总面积约</w:t>
      </w:r>
      <w:r>
        <w:rPr>
          <w:rFonts w:hint="eastAsia"/>
          <w:color w:val="auto"/>
          <w:szCs w:val="26"/>
          <w:highlight w:val="none"/>
          <w:lang w:val="en-US" w:eastAsia="zh-CN" w:bidi="ar"/>
        </w:rPr>
        <w:t>316.38</w:t>
      </w:r>
      <w:r>
        <w:rPr>
          <w:color w:val="auto"/>
          <w:szCs w:val="26"/>
          <w:highlight w:val="none"/>
          <w:lang w:bidi="ar"/>
        </w:rPr>
        <w:t>hm</w:t>
      </w:r>
      <w:r>
        <w:rPr>
          <w:color w:val="auto"/>
          <w:szCs w:val="26"/>
          <w:highlight w:val="none"/>
          <w:vertAlign w:val="superscript"/>
          <w:lang w:bidi="ar"/>
        </w:rPr>
        <w:t>2</w:t>
      </w:r>
      <w:r>
        <w:rPr>
          <w:color w:val="auto"/>
          <w:szCs w:val="26"/>
          <w:highlight w:val="none"/>
          <w:lang w:bidi="ar"/>
        </w:rPr>
        <w:t>，占</w:t>
      </w:r>
      <w:r>
        <w:rPr>
          <w:rFonts w:hint="eastAsia"/>
          <w:color w:val="auto"/>
          <w:szCs w:val="26"/>
          <w:highlight w:val="none"/>
          <w:lang w:eastAsia="zh-CN" w:bidi="ar"/>
        </w:rPr>
        <w:t>评价区</w:t>
      </w:r>
      <w:r>
        <w:rPr>
          <w:color w:val="auto"/>
          <w:szCs w:val="26"/>
          <w:highlight w:val="none"/>
          <w:lang w:bidi="ar"/>
        </w:rPr>
        <w:t>面积的</w:t>
      </w:r>
      <w:r>
        <w:rPr>
          <w:rFonts w:hint="eastAsia"/>
          <w:color w:val="auto"/>
          <w:szCs w:val="26"/>
          <w:highlight w:val="none"/>
          <w:lang w:val="en-US" w:eastAsia="zh-CN" w:bidi="ar"/>
        </w:rPr>
        <w:t>37.38</w:t>
      </w:r>
      <w:r>
        <w:rPr>
          <w:color w:val="auto"/>
          <w:szCs w:val="26"/>
          <w:highlight w:val="none"/>
          <w:lang w:bidi="ar"/>
        </w:rPr>
        <w:t>%；其次为</w:t>
      </w:r>
      <w:r>
        <w:rPr>
          <w:rFonts w:hint="eastAsia"/>
          <w:color w:val="auto"/>
          <w:szCs w:val="26"/>
          <w:highlight w:val="none"/>
          <w:lang w:eastAsia="zh-CN" w:bidi="ar"/>
        </w:rPr>
        <w:t>林地和</w:t>
      </w:r>
      <w:r>
        <w:rPr>
          <w:rFonts w:hint="eastAsia"/>
          <w:color w:val="auto"/>
          <w:szCs w:val="26"/>
          <w:highlight w:val="none"/>
          <w:lang w:bidi="ar"/>
        </w:rPr>
        <w:t>水域及水利设施用地</w:t>
      </w:r>
      <w:r>
        <w:rPr>
          <w:color w:val="auto"/>
          <w:szCs w:val="26"/>
          <w:highlight w:val="none"/>
          <w:lang w:bidi="ar"/>
        </w:rPr>
        <w:t>为主，</w:t>
      </w:r>
      <w:r>
        <w:rPr>
          <w:rFonts w:hint="eastAsia"/>
          <w:color w:val="auto"/>
          <w:szCs w:val="26"/>
          <w:highlight w:val="none"/>
          <w:lang w:eastAsia="zh-CN" w:bidi="ar"/>
        </w:rPr>
        <w:t>面积分别为</w:t>
      </w:r>
      <w:r>
        <w:rPr>
          <w:rFonts w:hint="eastAsia"/>
          <w:color w:val="auto"/>
          <w:szCs w:val="26"/>
          <w:highlight w:val="none"/>
          <w:lang w:val="en-US" w:eastAsia="zh-CN" w:bidi="ar"/>
        </w:rPr>
        <w:t>257.04m</w:t>
      </w:r>
      <w:r>
        <w:rPr>
          <w:rFonts w:hint="eastAsia"/>
          <w:color w:val="auto"/>
          <w:szCs w:val="26"/>
          <w:highlight w:val="none"/>
          <w:vertAlign w:val="superscript"/>
          <w:lang w:val="en-US" w:eastAsia="zh-CN" w:bidi="ar"/>
        </w:rPr>
        <w:t>2</w:t>
      </w:r>
      <w:r>
        <w:rPr>
          <w:rFonts w:hint="eastAsia"/>
          <w:color w:val="auto"/>
          <w:szCs w:val="26"/>
          <w:highlight w:val="none"/>
          <w:vertAlign w:val="baseline"/>
          <w:lang w:val="en-US" w:eastAsia="zh-CN" w:bidi="ar"/>
        </w:rPr>
        <w:t>、</w:t>
      </w:r>
      <w:r>
        <w:rPr>
          <w:rFonts w:hint="eastAsia"/>
          <w:color w:val="auto"/>
          <w:szCs w:val="26"/>
          <w:highlight w:val="none"/>
          <w:lang w:val="en-US" w:eastAsia="zh-CN" w:bidi="ar"/>
        </w:rPr>
        <w:t>179.37</w:t>
      </w:r>
      <w:r>
        <w:rPr>
          <w:color w:val="auto"/>
          <w:szCs w:val="26"/>
          <w:highlight w:val="none"/>
          <w:lang w:bidi="ar"/>
        </w:rPr>
        <w:t>hm</w:t>
      </w:r>
      <w:r>
        <w:rPr>
          <w:color w:val="auto"/>
          <w:szCs w:val="26"/>
          <w:highlight w:val="none"/>
          <w:vertAlign w:val="superscript"/>
          <w:lang w:bidi="ar"/>
        </w:rPr>
        <w:t>2</w:t>
      </w:r>
      <w:r>
        <w:rPr>
          <w:color w:val="auto"/>
          <w:szCs w:val="26"/>
          <w:highlight w:val="none"/>
          <w:lang w:bidi="ar"/>
        </w:rPr>
        <w:t>，</w:t>
      </w:r>
      <w:r>
        <w:rPr>
          <w:rFonts w:hint="eastAsia"/>
          <w:color w:val="auto"/>
          <w:szCs w:val="26"/>
          <w:highlight w:val="none"/>
          <w:lang w:bidi="ar"/>
        </w:rPr>
        <w:t>占比</w:t>
      </w:r>
      <w:r>
        <w:rPr>
          <w:rFonts w:hint="eastAsia"/>
          <w:color w:val="auto"/>
          <w:szCs w:val="26"/>
          <w:highlight w:val="none"/>
          <w:lang w:eastAsia="zh-CN" w:bidi="ar"/>
        </w:rPr>
        <w:t>分别为</w:t>
      </w:r>
      <w:r>
        <w:rPr>
          <w:rFonts w:hint="eastAsia"/>
          <w:color w:val="auto"/>
          <w:szCs w:val="26"/>
          <w:highlight w:val="none"/>
          <w:lang w:val="en-US" w:eastAsia="zh-CN" w:bidi="ar"/>
        </w:rPr>
        <w:t>30.37</w:t>
      </w:r>
      <w:r>
        <w:rPr>
          <w:color w:val="auto"/>
          <w:szCs w:val="26"/>
          <w:highlight w:val="none"/>
          <w:lang w:bidi="ar"/>
        </w:rPr>
        <w:t>%</w:t>
      </w:r>
      <w:r>
        <w:rPr>
          <w:rFonts w:hint="eastAsia"/>
          <w:color w:val="auto"/>
          <w:szCs w:val="26"/>
          <w:highlight w:val="none"/>
          <w:lang w:eastAsia="zh-CN" w:bidi="ar"/>
        </w:rPr>
        <w:t>、</w:t>
      </w:r>
      <w:r>
        <w:rPr>
          <w:rFonts w:hint="eastAsia"/>
          <w:color w:val="auto"/>
          <w:szCs w:val="26"/>
          <w:highlight w:val="none"/>
          <w:lang w:val="en-US" w:eastAsia="zh-CN" w:bidi="ar"/>
        </w:rPr>
        <w:t>21.19%，其他用地类型在评价范围内零星分布。船</w:t>
      </w:r>
      <w:r>
        <w:rPr>
          <w:rFonts w:hint="eastAsia"/>
          <w:color w:val="auto"/>
          <w:szCs w:val="26"/>
          <w:highlight w:val="none"/>
          <w:shd w:val="clear" w:fill="FFFFFF"/>
          <w:lang w:val="en-US" w:eastAsia="zh-CN" w:bidi="ar"/>
        </w:rPr>
        <w:t>闸</w:t>
      </w:r>
      <w:r>
        <w:rPr>
          <w:rFonts w:hint="eastAsia"/>
          <w:color w:val="auto"/>
          <w:szCs w:val="26"/>
          <w:highlight w:val="none"/>
          <w:lang w:val="en-US" w:eastAsia="zh-CN" w:bidi="ar"/>
        </w:rPr>
        <w:t>区域周边主要为水域，弃渣场周边主要为耕地及林地</w:t>
      </w:r>
      <w:r>
        <w:rPr>
          <w:color w:val="auto"/>
          <w:szCs w:val="26"/>
          <w:highlight w:val="none"/>
          <w:lang w:bidi="ar"/>
        </w:rPr>
        <w:t>。</w:t>
      </w:r>
    </w:p>
    <w:p>
      <w:pPr>
        <w:pStyle w:val="5"/>
        <w:keepLines w:val="0"/>
        <w:snapToGrid w:val="0"/>
        <w:ind w:firstLine="522"/>
        <w:rPr>
          <w:color w:val="auto"/>
          <w:highlight w:val="none"/>
        </w:rPr>
      </w:pPr>
      <w:r>
        <w:rPr>
          <w:rFonts w:hint="eastAsia"/>
          <w:color w:val="auto"/>
          <w:highlight w:val="none"/>
          <w:lang w:eastAsia="zh-CN"/>
        </w:rPr>
        <w:t>陆生生态现状</w:t>
      </w:r>
    </w:p>
    <w:p>
      <w:pPr>
        <w:pStyle w:val="6"/>
        <w:bidi w:val="0"/>
        <w:ind w:left="0" w:leftChars="0" w:firstLine="522" w:firstLineChars="200"/>
        <w:rPr>
          <w:color w:val="auto"/>
          <w:highlight w:val="none"/>
        </w:rPr>
      </w:pPr>
      <w:r>
        <w:rPr>
          <w:color w:val="auto"/>
          <w:highlight w:val="none"/>
        </w:rPr>
        <w:t>植被及植物</w:t>
      </w:r>
      <w:r>
        <w:rPr>
          <w:rFonts w:hint="eastAsia"/>
          <w:color w:val="auto"/>
          <w:highlight w:val="none"/>
          <w:lang w:val="en-US" w:eastAsia="zh-CN"/>
        </w:rPr>
        <w:t>多样性</w:t>
      </w:r>
      <w:r>
        <w:rPr>
          <w:rFonts w:hint="eastAsia"/>
          <w:color w:val="auto"/>
          <w:highlight w:val="none"/>
        </w:rPr>
        <w:t>现状</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color w:val="auto"/>
          <w:highlight w:val="none"/>
        </w:rPr>
        <w:t>调查方法</w:t>
      </w:r>
    </w:p>
    <w:p>
      <w:pPr>
        <w:bidi w:val="0"/>
        <w:rPr>
          <w:rFonts w:hint="default"/>
          <w:color w:val="auto"/>
          <w:highlight w:val="none"/>
        </w:rPr>
      </w:pPr>
      <w:r>
        <w:rPr>
          <w:rFonts w:hint="default"/>
          <w:color w:val="auto"/>
          <w:highlight w:val="none"/>
        </w:rPr>
        <w:t>根据评价的要求和评价范围的情况，评价区域植被分布现状采用资料收集、遥感解译和现场样方调查三种方式。</w:t>
      </w:r>
    </w:p>
    <w:p>
      <w:pPr>
        <w:bidi w:val="0"/>
        <w:rPr>
          <w:rFonts w:hint="default"/>
          <w:color w:val="auto"/>
          <w:highlight w:val="none"/>
        </w:rPr>
      </w:pPr>
      <w:r>
        <w:rPr>
          <w:rFonts w:hint="default"/>
          <w:color w:val="auto"/>
          <w:highlight w:val="none"/>
          <w:lang w:val="en-US" w:eastAsia="zh-CN"/>
        </w:rPr>
        <w:fldChar w:fldCharType="begin"/>
      </w:r>
      <w:r>
        <w:rPr>
          <w:rFonts w:hint="default"/>
          <w:color w:val="auto"/>
          <w:highlight w:val="none"/>
          <w:lang w:val="en-US" w:eastAsia="zh-CN"/>
        </w:rPr>
        <w:instrText xml:space="preserve"> = 1 \* GB3 \* MERGEFORMAT </w:instrText>
      </w:r>
      <w:r>
        <w:rPr>
          <w:rFonts w:hint="default"/>
          <w:color w:val="auto"/>
          <w:highlight w:val="none"/>
          <w:lang w:val="en-US" w:eastAsia="zh-CN"/>
        </w:rPr>
        <w:fldChar w:fldCharType="separate"/>
      </w:r>
      <w:r>
        <w:rPr>
          <w:color w:val="auto"/>
          <w:highlight w:val="none"/>
        </w:rPr>
        <w:t>①</w:t>
      </w:r>
      <w:r>
        <w:rPr>
          <w:rFonts w:hint="default"/>
          <w:color w:val="auto"/>
          <w:highlight w:val="none"/>
          <w:lang w:val="en-US" w:eastAsia="zh-CN"/>
        </w:rPr>
        <w:fldChar w:fldCharType="end"/>
      </w:r>
      <w:r>
        <w:rPr>
          <w:rFonts w:hint="default"/>
          <w:color w:val="auto"/>
          <w:highlight w:val="none"/>
        </w:rPr>
        <w:t>基础资料收集</w:t>
      </w:r>
    </w:p>
    <w:p>
      <w:pPr>
        <w:bidi w:val="0"/>
        <w:rPr>
          <w:rFonts w:hint="default"/>
          <w:color w:val="auto"/>
          <w:highlight w:val="none"/>
        </w:rPr>
      </w:pPr>
      <w:r>
        <w:rPr>
          <w:rFonts w:hint="default"/>
          <w:color w:val="auto"/>
          <w:highlight w:val="none"/>
          <w:lang w:eastAsia="zh-CN"/>
        </w:rPr>
        <w:t>本次评价</w:t>
      </w:r>
      <w:r>
        <w:rPr>
          <w:rFonts w:hint="default"/>
          <w:color w:val="auto"/>
          <w:highlight w:val="none"/>
        </w:rPr>
        <w:t>收集整理</w:t>
      </w:r>
      <w:r>
        <w:rPr>
          <w:rFonts w:hint="default"/>
          <w:color w:val="auto"/>
          <w:highlight w:val="none"/>
          <w:lang w:eastAsia="zh-CN"/>
        </w:rPr>
        <w:t>了</w:t>
      </w:r>
      <w:r>
        <w:rPr>
          <w:rFonts w:hint="default"/>
          <w:color w:val="auto"/>
          <w:highlight w:val="none"/>
        </w:rPr>
        <w:t>区域生物多样性资料，包括统计年鉴及林业、环保、水利、农业等部门提供的相关资料，并且参考《中国植物志</w:t>
      </w:r>
      <w:r>
        <w:rPr>
          <w:rFonts w:hint="default"/>
          <w:color w:val="auto"/>
          <w:highlight w:val="none"/>
          <w:shd w:val="clear" w:fill="FFFFFF"/>
        </w:rPr>
        <w:t>》、《</w:t>
      </w:r>
      <w:r>
        <w:rPr>
          <w:rFonts w:hint="default"/>
          <w:color w:val="auto"/>
          <w:highlight w:val="none"/>
        </w:rPr>
        <w:t>中国高等植物图鉴</w:t>
      </w:r>
      <w:r>
        <w:rPr>
          <w:rFonts w:hint="default"/>
          <w:color w:val="auto"/>
          <w:highlight w:val="none"/>
          <w:shd w:val="clear" w:fill="FFFFFF"/>
        </w:rPr>
        <w:t>》、《</w:t>
      </w:r>
      <w:r>
        <w:rPr>
          <w:rFonts w:hint="default"/>
          <w:color w:val="auto"/>
          <w:highlight w:val="none"/>
        </w:rPr>
        <w:t>四川植物志</w:t>
      </w:r>
      <w:r>
        <w:rPr>
          <w:rFonts w:hint="default"/>
          <w:color w:val="auto"/>
          <w:highlight w:val="none"/>
          <w:shd w:val="clear" w:fill="FFFFFF"/>
        </w:rPr>
        <w:t>》、《</w:t>
      </w:r>
      <w:r>
        <w:rPr>
          <w:rFonts w:hint="default"/>
          <w:color w:val="auto"/>
          <w:highlight w:val="none"/>
        </w:rPr>
        <w:t>中国植被</w:t>
      </w:r>
      <w:r>
        <w:rPr>
          <w:rFonts w:hint="default"/>
          <w:color w:val="auto"/>
          <w:highlight w:val="none"/>
          <w:shd w:val="clear" w:fill="FFFFFF"/>
        </w:rPr>
        <w:t>》、《</w:t>
      </w:r>
      <w:r>
        <w:rPr>
          <w:rFonts w:hint="default"/>
          <w:color w:val="auto"/>
          <w:highlight w:val="none"/>
        </w:rPr>
        <w:t>四川植被》等专著和</w:t>
      </w:r>
      <w:r>
        <w:rPr>
          <w:rFonts w:hint="eastAsia"/>
          <w:color w:val="auto"/>
          <w:highlight w:val="none"/>
          <w:lang w:eastAsia="zh-CN"/>
        </w:rPr>
        <w:t>合川</w:t>
      </w:r>
      <w:r>
        <w:rPr>
          <w:rFonts w:hint="default"/>
          <w:color w:val="auto"/>
          <w:highlight w:val="none"/>
        </w:rPr>
        <w:t>区林业调查资料记载，初步了解项目所在区域植被现状，在综合分析现有资料的基础上，确定实地考察的重点区域和考察路线。此外，评价收集了区域历史调查资料，包括《重庆市涪江流域水能资源开发规划（修编）环境影响报告书》（2020.</w:t>
      </w:r>
      <w:r>
        <w:rPr>
          <w:rFonts w:hint="default"/>
          <w:color w:val="auto"/>
          <w:highlight w:val="none"/>
          <w:shd w:val="clear" w:fill="FFFFFF"/>
        </w:rPr>
        <w:t>12）、</w:t>
      </w:r>
      <w:r>
        <w:rPr>
          <w:rFonts w:hint="default"/>
          <w:color w:val="auto"/>
          <w:highlight w:val="none"/>
        </w:rPr>
        <w:t>《涪江重庆段流域环境影响回顾性评价报告》（2021.</w:t>
      </w:r>
      <w:r>
        <w:rPr>
          <w:rFonts w:hint="default"/>
          <w:color w:val="auto"/>
          <w:highlight w:val="none"/>
          <w:shd w:val="clear" w:fill="FFFFFF"/>
        </w:rPr>
        <w:t>7）、</w:t>
      </w:r>
      <w:r>
        <w:rPr>
          <w:rFonts w:hint="default"/>
          <w:color w:val="auto"/>
          <w:highlight w:val="none"/>
          <w:lang w:eastAsia="zh-CN"/>
        </w:rPr>
        <w:t>《涪江重庆段航道整治工程环境影响报告书》（</w:t>
      </w:r>
      <w:r>
        <w:rPr>
          <w:rFonts w:hint="default"/>
          <w:color w:val="auto"/>
          <w:highlight w:val="none"/>
          <w:lang w:val="en-US" w:eastAsia="zh-CN"/>
        </w:rPr>
        <w:t>2024.11</w:t>
      </w:r>
      <w:r>
        <w:rPr>
          <w:rFonts w:hint="default"/>
          <w:color w:val="auto"/>
          <w:highlight w:val="none"/>
          <w:lang w:eastAsia="zh-CN"/>
        </w:rPr>
        <w:t>）中生态现状调查资料</w:t>
      </w:r>
      <w:r>
        <w:rPr>
          <w:rFonts w:hint="default"/>
          <w:color w:val="auto"/>
          <w:highlight w:val="none"/>
        </w:rPr>
        <w:t>。</w:t>
      </w:r>
    </w:p>
    <w:p>
      <w:pPr>
        <w:bidi w:val="0"/>
        <w:rPr>
          <w:rFonts w:hint="default"/>
          <w:color w:val="auto"/>
          <w:highlight w:val="none"/>
        </w:rPr>
      </w:pPr>
      <w:r>
        <w:rPr>
          <w:rFonts w:hint="default"/>
          <w:color w:val="auto"/>
          <w:highlight w:val="none"/>
          <w:lang w:val="en-US" w:eastAsia="zh-CN"/>
        </w:rPr>
        <w:fldChar w:fldCharType="begin"/>
      </w:r>
      <w:r>
        <w:rPr>
          <w:rFonts w:hint="default"/>
          <w:color w:val="auto"/>
          <w:highlight w:val="none"/>
          <w:lang w:val="en-US" w:eastAsia="zh-CN"/>
        </w:rPr>
        <w:instrText xml:space="preserve"> = 2 \* GB3 \* MERGEFORMAT </w:instrText>
      </w:r>
      <w:r>
        <w:rPr>
          <w:rFonts w:hint="default"/>
          <w:color w:val="auto"/>
          <w:highlight w:val="none"/>
          <w:lang w:val="en-US" w:eastAsia="zh-CN"/>
        </w:rPr>
        <w:fldChar w:fldCharType="separate"/>
      </w:r>
      <w:r>
        <w:rPr>
          <w:color w:val="auto"/>
          <w:highlight w:val="none"/>
        </w:rPr>
        <w:t>②</w:t>
      </w:r>
      <w:r>
        <w:rPr>
          <w:rFonts w:hint="default"/>
          <w:color w:val="auto"/>
          <w:highlight w:val="none"/>
          <w:lang w:val="en-US" w:eastAsia="zh-CN"/>
        </w:rPr>
        <w:fldChar w:fldCharType="end"/>
      </w:r>
      <w:r>
        <w:rPr>
          <w:rFonts w:hint="default"/>
          <w:color w:val="auto"/>
          <w:highlight w:val="none"/>
        </w:rPr>
        <w:t>遥感解译</w:t>
      </w:r>
    </w:p>
    <w:p>
      <w:pPr>
        <w:bidi w:val="0"/>
        <w:rPr>
          <w:rFonts w:hint="default" w:ascii="Times New Roman" w:hAnsi="Times New Roman" w:cs="Times New Roman"/>
          <w:color w:val="auto"/>
          <w:szCs w:val="26"/>
          <w:highlight w:val="none"/>
          <w:lang w:bidi="ar"/>
        </w:rPr>
      </w:pPr>
      <w:r>
        <w:rPr>
          <w:rFonts w:hint="default"/>
          <w:color w:val="auto"/>
          <w:highlight w:val="none"/>
        </w:rPr>
        <w:t>在收集和分析前人工作的基础上，以遥感（RS）、全球定位系统（GPS）和地理信息系统（GIS）等技术结合的方法进行评价区生态环境信息的获取和分析。评价采取遥感影像解译、现场调查、地理信息系统分析制图与统计以及生态分析等方法对评价区植被类型、植被覆盖度、土地利用状况等专题进行解译，为环境影响评价提供科学依据。然后根据遥感影像室内解译结果，利用1:2000地形图和粗加工的卫星图像为基础，采用PCI图像处理软件对数字图像进行几何精校正和波段合</w:t>
      </w:r>
      <w:r>
        <w:rPr>
          <w:rFonts w:hint="default" w:ascii="Times New Roman" w:hAnsi="Times New Roman" w:cs="Times New Roman"/>
          <w:color w:val="auto"/>
          <w:szCs w:val="26"/>
          <w:highlight w:val="none"/>
          <w:lang w:bidi="ar"/>
        </w:rPr>
        <w:t>成等图像处理，最后成图。</w:t>
      </w:r>
    </w:p>
    <w:p>
      <w:pPr>
        <w:autoSpaceDE w:val="0"/>
        <w:autoSpaceDN w:val="0"/>
        <w:ind w:firstLine="520"/>
        <w:textAlignment w:val="baseline"/>
        <w:rPr>
          <w:rFonts w:hint="default" w:ascii="Times New Roman" w:hAnsi="Times New Roman" w:cs="Times New Roman"/>
          <w:color w:val="auto"/>
          <w:szCs w:val="26"/>
          <w:highlight w:val="none"/>
          <w:lang w:bidi="ar"/>
        </w:rPr>
      </w:pPr>
      <w:r>
        <w:rPr>
          <w:rFonts w:hint="default" w:ascii="Times New Roman" w:hAnsi="Times New Roman" w:cs="Times New Roman"/>
          <w:color w:val="auto"/>
          <w:szCs w:val="26"/>
          <w:highlight w:val="none"/>
          <w:lang w:val="en-US" w:eastAsia="zh-CN" w:bidi="ar"/>
        </w:rPr>
        <w:fldChar w:fldCharType="begin"/>
      </w:r>
      <w:r>
        <w:rPr>
          <w:rFonts w:hint="default" w:ascii="Times New Roman" w:hAnsi="Times New Roman" w:cs="Times New Roman"/>
          <w:color w:val="auto"/>
          <w:szCs w:val="26"/>
          <w:highlight w:val="none"/>
          <w:lang w:val="en-US" w:eastAsia="zh-CN" w:bidi="ar"/>
        </w:rPr>
        <w:instrText xml:space="preserve"> = 3 \* GB3 \* MERGEFORMAT </w:instrText>
      </w:r>
      <w:r>
        <w:rPr>
          <w:rFonts w:hint="default" w:ascii="Times New Roman" w:hAnsi="Times New Roman" w:cs="Times New Roman"/>
          <w:color w:val="auto"/>
          <w:szCs w:val="26"/>
          <w:highlight w:val="none"/>
          <w:lang w:val="en-US" w:eastAsia="zh-CN" w:bidi="ar"/>
        </w:rPr>
        <w:fldChar w:fldCharType="separate"/>
      </w:r>
      <w:r>
        <w:rPr>
          <w:color w:val="auto"/>
          <w:highlight w:val="none"/>
        </w:rPr>
        <w:t>③</w:t>
      </w:r>
      <w:r>
        <w:rPr>
          <w:rFonts w:hint="default" w:ascii="Times New Roman" w:hAnsi="Times New Roman" w:cs="Times New Roman"/>
          <w:color w:val="auto"/>
          <w:szCs w:val="26"/>
          <w:highlight w:val="none"/>
          <w:lang w:val="en-US" w:eastAsia="zh-CN" w:bidi="ar"/>
        </w:rPr>
        <w:fldChar w:fldCharType="end"/>
      </w:r>
      <w:r>
        <w:rPr>
          <w:rFonts w:hint="default" w:ascii="Times New Roman" w:hAnsi="Times New Roman" w:cs="Times New Roman"/>
          <w:color w:val="auto"/>
          <w:szCs w:val="26"/>
          <w:highlight w:val="none"/>
          <w:lang w:bidi="ar"/>
        </w:rPr>
        <w:t>野外实地调查</w:t>
      </w:r>
    </w:p>
    <w:p>
      <w:pPr>
        <w:autoSpaceDE w:val="0"/>
        <w:autoSpaceDN w:val="0"/>
        <w:ind w:firstLine="520"/>
        <w:textAlignment w:val="baseline"/>
        <w:rPr>
          <w:color w:val="auto"/>
          <w:szCs w:val="26"/>
          <w:highlight w:val="none"/>
          <w:lang w:bidi="ar"/>
        </w:rPr>
      </w:pPr>
      <w:r>
        <w:rPr>
          <w:rFonts w:hint="default" w:ascii="Times New Roman" w:hAnsi="Times New Roman" w:cs="Times New Roman"/>
          <w:color w:val="auto"/>
          <w:szCs w:val="26"/>
          <w:highlight w:val="none"/>
          <w:lang w:bidi="ar"/>
        </w:rPr>
        <w:t>在基础资料收集、遥感解译的基础上，对项目沿线进行野外实地调查，进一步确定区域植物种类及资源状况、重点保护野生植物的种类及生存状况等。实地调查采取样线调查与样方调查相结合的方法，在重点施工区域（如永久占地区域</w:t>
      </w:r>
      <w:r>
        <w:rPr>
          <w:rFonts w:hint="eastAsia" w:cs="Times New Roman"/>
          <w:color w:val="auto"/>
          <w:szCs w:val="26"/>
          <w:highlight w:val="none"/>
          <w:lang w:eastAsia="zh-CN" w:bidi="ar"/>
        </w:rPr>
        <w:t>、弃渣场区域</w:t>
      </w:r>
      <w:r>
        <w:rPr>
          <w:rFonts w:hint="default" w:ascii="Times New Roman" w:hAnsi="Times New Roman" w:cs="Times New Roman"/>
          <w:color w:val="auto"/>
          <w:szCs w:val="26"/>
          <w:highlight w:val="none"/>
          <w:lang w:bidi="ar"/>
        </w:rPr>
        <w:t>等）以及评价</w:t>
      </w:r>
      <w:r>
        <w:rPr>
          <w:rFonts w:hint="default" w:ascii="Times New Roman" w:hAnsi="Times New Roman" w:cs="Times New Roman"/>
          <w:color w:val="auto"/>
          <w:szCs w:val="26"/>
          <w:highlight w:val="none"/>
          <w:shd w:val="clear" w:fill="FFFFFF"/>
          <w:lang w:bidi="ar"/>
        </w:rPr>
        <w:t>区</w:t>
      </w:r>
      <w:r>
        <w:rPr>
          <w:rFonts w:hint="default" w:ascii="Times New Roman" w:hAnsi="Times New Roman" w:cs="Times New Roman"/>
          <w:color w:val="auto"/>
          <w:szCs w:val="26"/>
          <w:highlight w:val="none"/>
          <w:lang w:bidi="ar"/>
        </w:rPr>
        <w:t>内植被状况相对良好的区域实行样方重点调查；对重点保护野生植物、古树名木调查采取野外</w:t>
      </w:r>
      <w:r>
        <w:rPr>
          <w:color w:val="auto"/>
          <w:szCs w:val="26"/>
          <w:highlight w:val="none"/>
          <w:lang w:bidi="ar"/>
        </w:rPr>
        <w:t>调查、民间访问和有关部门调查相结合的方法进行。</w:t>
      </w:r>
    </w:p>
    <w:p>
      <w:pPr>
        <w:autoSpaceDE w:val="0"/>
        <w:autoSpaceDN w:val="0"/>
        <w:adjustRightInd w:val="0"/>
        <w:snapToGrid w:val="0"/>
        <w:spacing w:line="480" w:lineRule="exact"/>
        <w:ind w:firstLine="520"/>
        <w:textAlignment w:val="baseline"/>
        <w:rPr>
          <w:color w:val="auto"/>
          <w:szCs w:val="28"/>
          <w:highlight w:val="none"/>
        </w:rPr>
      </w:pPr>
      <w:r>
        <w:rPr>
          <w:rFonts w:hint="eastAsia"/>
          <w:color w:val="auto"/>
          <w:szCs w:val="28"/>
          <w:highlight w:val="none"/>
          <w:lang w:val="en-US" w:eastAsia="zh-CN"/>
        </w:rPr>
        <w:t>A</w:t>
      </w:r>
      <w:r>
        <w:rPr>
          <w:rFonts w:hint="eastAsia"/>
          <w:color w:val="auto"/>
          <w:szCs w:val="28"/>
          <w:highlight w:val="none"/>
          <w:shd w:val="clear" w:fill="FFFFFF"/>
          <w:lang w:val="en-US" w:eastAsia="zh-CN"/>
        </w:rPr>
        <w:t>、</w:t>
      </w:r>
      <w:r>
        <w:rPr>
          <w:rFonts w:hint="eastAsia"/>
          <w:color w:val="auto"/>
          <w:szCs w:val="28"/>
          <w:highlight w:val="none"/>
        </w:rPr>
        <w:t>样线及样方布点原则</w:t>
      </w:r>
    </w:p>
    <w:p>
      <w:pPr>
        <w:keepNext w:val="0"/>
        <w:keepLines w:val="0"/>
        <w:pageBreakBefore w:val="0"/>
        <w:widowControl w:val="0"/>
        <w:kinsoku/>
        <w:wordWrap/>
        <w:overflowPunct/>
        <w:topLinePunct w:val="0"/>
        <w:autoSpaceDE w:val="0"/>
        <w:autoSpaceDN w:val="0"/>
        <w:bidi w:val="0"/>
        <w:adjustRightInd w:val="0"/>
        <w:snapToGrid w:val="0"/>
        <w:spacing w:line="480" w:lineRule="exact"/>
        <w:ind w:left="0" w:firstLine="520" w:firstLineChars="200"/>
        <w:textAlignment w:val="baseline"/>
        <w:rPr>
          <w:color w:val="auto"/>
          <w:szCs w:val="28"/>
          <w:highlight w:val="none"/>
        </w:rPr>
      </w:pPr>
      <w:r>
        <w:rPr>
          <w:rFonts w:hint="eastAsia"/>
          <w:color w:val="auto"/>
          <w:szCs w:val="28"/>
          <w:highlight w:val="none"/>
          <w:lang w:eastAsia="zh-CN"/>
        </w:rPr>
        <w:t>项目评价范围内分布有重庆合川三江国家湿地公园、生态保护红线等生态敏感区，</w:t>
      </w:r>
      <w:r>
        <w:rPr>
          <w:rFonts w:hint="eastAsia"/>
          <w:color w:val="auto"/>
          <w:szCs w:val="28"/>
          <w:highlight w:val="none"/>
        </w:rPr>
        <w:t>陆生生态的影响主要为</w:t>
      </w:r>
      <w:r>
        <w:rPr>
          <w:rFonts w:hint="eastAsia"/>
          <w:color w:val="auto"/>
          <w:szCs w:val="28"/>
          <w:highlight w:val="none"/>
          <w:lang w:eastAsia="zh-CN"/>
        </w:rPr>
        <w:t>施工占地对</w:t>
      </w:r>
      <w:r>
        <w:rPr>
          <w:rFonts w:hint="eastAsia"/>
          <w:color w:val="auto"/>
          <w:szCs w:val="28"/>
          <w:highlight w:val="none"/>
        </w:rPr>
        <w:t>生态系统内动植物的扰动，因此重点关注并重点调查生态敏感区</w:t>
      </w:r>
      <w:r>
        <w:rPr>
          <w:rFonts w:hint="eastAsia"/>
          <w:color w:val="auto"/>
          <w:szCs w:val="28"/>
          <w:highlight w:val="none"/>
          <w:lang w:eastAsia="zh-CN"/>
        </w:rPr>
        <w:t>及项目</w:t>
      </w:r>
      <w:r>
        <w:rPr>
          <w:rFonts w:hint="eastAsia"/>
          <w:color w:val="auto"/>
          <w:szCs w:val="28"/>
          <w:highlight w:val="none"/>
        </w:rPr>
        <w:t>占地区域</w:t>
      </w:r>
      <w:r>
        <w:rPr>
          <w:rFonts w:hint="eastAsia"/>
          <w:color w:val="auto"/>
          <w:szCs w:val="28"/>
          <w:highlight w:val="none"/>
          <w:lang w:eastAsia="zh-CN"/>
        </w:rPr>
        <w:t>周边</w:t>
      </w:r>
      <w:r>
        <w:rPr>
          <w:rFonts w:hint="eastAsia"/>
          <w:color w:val="auto"/>
          <w:szCs w:val="28"/>
          <w:highlight w:val="none"/>
        </w:rPr>
        <w:t>具有典型植被区域以及根据相关资料分析的重点动植物可能分布区域，以客观呈现项目生态评价范围的生态环境现状。</w:t>
      </w:r>
    </w:p>
    <w:p>
      <w:pPr>
        <w:keepNext w:val="0"/>
        <w:keepLines w:val="0"/>
        <w:pageBreakBefore w:val="0"/>
        <w:widowControl w:val="0"/>
        <w:kinsoku/>
        <w:wordWrap/>
        <w:overflowPunct/>
        <w:topLinePunct w:val="0"/>
        <w:autoSpaceDE w:val="0"/>
        <w:autoSpaceDN w:val="0"/>
        <w:bidi w:val="0"/>
        <w:adjustRightInd w:val="0"/>
        <w:snapToGrid w:val="0"/>
        <w:spacing w:line="480" w:lineRule="exact"/>
        <w:ind w:left="0" w:firstLine="520" w:firstLineChars="200"/>
        <w:textAlignment w:val="baseline"/>
        <w:rPr>
          <w:color w:val="auto"/>
          <w:szCs w:val="28"/>
          <w:highlight w:val="none"/>
        </w:rPr>
      </w:pPr>
      <w:r>
        <w:rPr>
          <w:rFonts w:hint="eastAsia"/>
          <w:color w:val="auto"/>
          <w:szCs w:val="28"/>
          <w:highlight w:val="none"/>
        </w:rPr>
        <w:t>样线调查过程中，记载植物种类、采集标本、观察生境等；对评价范围内典型的植物群落进行样方调查。</w:t>
      </w:r>
      <w:r>
        <w:rPr>
          <w:color w:val="auto"/>
          <w:szCs w:val="28"/>
          <w:highlight w:val="none"/>
        </w:rPr>
        <w:t>通过样方的研究准确地推测评价区植被的总体情况，所选取的样方应具有代表性，能通过尽可能少的抽样获得较为准确的有关总体的特征，调查结果中的植被应包括了绝大部分主要植被类型。</w:t>
      </w:r>
    </w:p>
    <w:p>
      <w:pPr>
        <w:keepNext w:val="0"/>
        <w:keepLines w:val="0"/>
        <w:pageBreakBefore w:val="0"/>
        <w:widowControl w:val="0"/>
        <w:numPr>
          <w:ilvl w:val="0"/>
          <w:numId w:val="23"/>
        </w:numPr>
        <w:kinsoku/>
        <w:wordWrap/>
        <w:overflowPunct/>
        <w:topLinePunct w:val="0"/>
        <w:autoSpaceDE w:val="0"/>
        <w:autoSpaceDN w:val="0"/>
        <w:bidi w:val="0"/>
        <w:adjustRightInd w:val="0"/>
        <w:snapToGrid w:val="0"/>
        <w:spacing w:line="480" w:lineRule="exact"/>
        <w:ind w:left="0" w:firstLine="520" w:firstLineChars="200"/>
        <w:textAlignment w:val="baseline"/>
        <w:rPr>
          <w:color w:val="auto"/>
          <w:szCs w:val="28"/>
          <w:highlight w:val="none"/>
        </w:rPr>
      </w:pPr>
      <w:r>
        <w:rPr>
          <w:color w:val="auto"/>
          <w:szCs w:val="28"/>
          <w:highlight w:val="none"/>
        </w:rPr>
        <w:t>随机取点，并考虑全线布点的均匀性；</w:t>
      </w:r>
    </w:p>
    <w:p>
      <w:pPr>
        <w:keepNext w:val="0"/>
        <w:keepLines w:val="0"/>
        <w:pageBreakBefore w:val="0"/>
        <w:widowControl w:val="0"/>
        <w:numPr>
          <w:ilvl w:val="0"/>
          <w:numId w:val="23"/>
        </w:numPr>
        <w:kinsoku/>
        <w:wordWrap/>
        <w:overflowPunct/>
        <w:topLinePunct w:val="0"/>
        <w:autoSpaceDE w:val="0"/>
        <w:autoSpaceDN w:val="0"/>
        <w:bidi w:val="0"/>
        <w:adjustRightInd w:val="0"/>
        <w:snapToGrid w:val="0"/>
        <w:spacing w:line="480" w:lineRule="exact"/>
        <w:ind w:left="0" w:firstLine="520" w:firstLineChars="200"/>
        <w:textAlignment w:val="baseline"/>
        <w:rPr>
          <w:color w:val="auto"/>
          <w:szCs w:val="28"/>
          <w:highlight w:val="none"/>
        </w:rPr>
      </w:pPr>
      <w:r>
        <w:rPr>
          <w:color w:val="auto"/>
          <w:szCs w:val="28"/>
          <w:highlight w:val="none"/>
        </w:rPr>
        <w:t>所选取的样点植被为评价区分布比较普遍的类型；</w:t>
      </w:r>
    </w:p>
    <w:p>
      <w:pPr>
        <w:keepNext w:val="0"/>
        <w:keepLines w:val="0"/>
        <w:pageBreakBefore w:val="0"/>
        <w:widowControl w:val="0"/>
        <w:numPr>
          <w:ilvl w:val="0"/>
          <w:numId w:val="23"/>
        </w:numPr>
        <w:kinsoku/>
        <w:wordWrap/>
        <w:overflowPunct/>
        <w:topLinePunct w:val="0"/>
        <w:autoSpaceDE w:val="0"/>
        <w:autoSpaceDN w:val="0"/>
        <w:bidi w:val="0"/>
        <w:adjustRightInd w:val="0"/>
        <w:snapToGrid w:val="0"/>
        <w:spacing w:line="480" w:lineRule="exact"/>
        <w:ind w:left="0" w:firstLine="520" w:firstLineChars="200"/>
        <w:textAlignment w:val="baseline"/>
        <w:rPr>
          <w:color w:val="auto"/>
          <w:szCs w:val="28"/>
          <w:highlight w:val="none"/>
        </w:rPr>
      </w:pPr>
      <w:r>
        <w:rPr>
          <w:color w:val="auto"/>
          <w:szCs w:val="28"/>
          <w:highlight w:val="none"/>
        </w:rPr>
        <w:t>尽量避免非取样误差，避免选择路边易到之处</w:t>
      </w:r>
      <w:r>
        <w:rPr>
          <w:rFonts w:hint="eastAsia"/>
          <w:color w:val="auto"/>
          <w:szCs w:val="28"/>
          <w:highlight w:val="none"/>
        </w:rPr>
        <w:t>；</w:t>
      </w:r>
    </w:p>
    <w:p>
      <w:pPr>
        <w:keepNext w:val="0"/>
        <w:keepLines w:val="0"/>
        <w:pageBreakBefore w:val="0"/>
        <w:widowControl w:val="0"/>
        <w:numPr>
          <w:ilvl w:val="0"/>
          <w:numId w:val="23"/>
        </w:numPr>
        <w:kinsoku/>
        <w:wordWrap/>
        <w:overflowPunct/>
        <w:topLinePunct w:val="0"/>
        <w:autoSpaceDE w:val="0"/>
        <w:autoSpaceDN w:val="0"/>
        <w:bidi w:val="0"/>
        <w:adjustRightInd w:val="0"/>
        <w:snapToGrid w:val="0"/>
        <w:spacing w:line="480" w:lineRule="exact"/>
        <w:ind w:left="0" w:firstLine="520" w:firstLineChars="200"/>
        <w:textAlignment w:val="baseline"/>
        <w:rPr>
          <w:color w:val="auto"/>
          <w:szCs w:val="28"/>
          <w:highlight w:val="none"/>
        </w:rPr>
      </w:pPr>
      <w:r>
        <w:rPr>
          <w:rFonts w:hint="eastAsia"/>
          <w:color w:val="auto"/>
          <w:szCs w:val="28"/>
          <w:highlight w:val="none"/>
        </w:rPr>
        <w:t>两人以上进行观察记录，消除主观因素。</w:t>
      </w:r>
    </w:p>
    <w:p>
      <w:pPr>
        <w:keepNext w:val="0"/>
        <w:keepLines w:val="0"/>
        <w:pageBreakBefore w:val="0"/>
        <w:widowControl w:val="0"/>
        <w:kinsoku/>
        <w:wordWrap/>
        <w:overflowPunct/>
        <w:topLinePunct w:val="0"/>
        <w:bidi w:val="0"/>
        <w:adjustRightInd w:val="0"/>
        <w:snapToGrid w:val="0"/>
        <w:spacing w:line="480" w:lineRule="exact"/>
        <w:ind w:left="0" w:firstLine="520" w:firstLineChars="200"/>
        <w:rPr>
          <w:color w:val="auto"/>
          <w:szCs w:val="28"/>
          <w:highlight w:val="none"/>
        </w:rPr>
      </w:pPr>
      <w:r>
        <w:rPr>
          <w:rFonts w:hint="eastAsia"/>
          <w:color w:val="auto"/>
          <w:szCs w:val="28"/>
          <w:highlight w:val="none"/>
          <w:lang w:val="en-US" w:eastAsia="zh-CN"/>
        </w:rPr>
        <w:t>B</w:t>
      </w:r>
      <w:r>
        <w:rPr>
          <w:rFonts w:hint="eastAsia"/>
          <w:color w:val="auto"/>
          <w:szCs w:val="28"/>
          <w:highlight w:val="none"/>
          <w:shd w:val="clear" w:fill="FFFFFF"/>
          <w:lang w:val="en-US" w:eastAsia="zh-CN"/>
        </w:rPr>
        <w:t>、</w:t>
      </w:r>
      <w:r>
        <w:rPr>
          <w:rFonts w:hint="eastAsia"/>
          <w:color w:val="auto"/>
          <w:szCs w:val="28"/>
          <w:highlight w:val="none"/>
        </w:rPr>
        <w:t>植物群落调查</w:t>
      </w:r>
    </w:p>
    <w:p>
      <w:pPr>
        <w:keepNext w:val="0"/>
        <w:keepLines w:val="0"/>
        <w:pageBreakBefore w:val="0"/>
        <w:widowControl w:val="0"/>
        <w:kinsoku/>
        <w:wordWrap/>
        <w:overflowPunct/>
        <w:topLinePunct w:val="0"/>
        <w:bidi w:val="0"/>
        <w:adjustRightInd w:val="0"/>
        <w:snapToGrid w:val="0"/>
        <w:spacing w:line="480" w:lineRule="exact"/>
        <w:ind w:left="0" w:firstLine="520" w:firstLineChars="200"/>
        <w:rPr>
          <w:color w:val="auto"/>
          <w:szCs w:val="21"/>
          <w:highlight w:val="none"/>
        </w:rPr>
      </w:pPr>
      <w:r>
        <w:rPr>
          <w:rFonts w:hint="eastAsia"/>
          <w:color w:val="auto"/>
          <w:szCs w:val="28"/>
          <w:highlight w:val="none"/>
        </w:rPr>
        <w:t>样方调查内容：乔木植物群落样方面积为20m×20m，</w:t>
      </w:r>
      <w:r>
        <w:rPr>
          <w:rFonts w:hint="eastAsia"/>
          <w:color w:val="auto"/>
          <w:szCs w:val="28"/>
          <w:highlight w:val="none"/>
          <w:shd w:val="clear" w:fill="FFFFFF"/>
        </w:rPr>
        <w:t>记测</w:t>
      </w:r>
      <w:r>
        <w:rPr>
          <w:rFonts w:hint="eastAsia"/>
          <w:color w:val="auto"/>
          <w:szCs w:val="28"/>
          <w:highlight w:val="none"/>
        </w:rPr>
        <w:t>环境情况，包括地形、坡度、坡向、经纬度和海拔。其中乔木层记录样方内每种植物名称、胸径（cm）、高度（m）、冠幅（m×m）；灌木层设10m×10m的样方，记测样方内每种植物名称、多度、盖度和高度；草本层设1m×1m的样方（大型草本设置5m×5m），记测样方内每种植物名称、多度、盖度和高度。本次植被样方调查以工程占地区域及项目所在涪江段右侧河岸带为主要调查区域。</w:t>
      </w:r>
    </w:p>
    <w:p>
      <w:pPr>
        <w:keepNext w:val="0"/>
        <w:keepLines w:val="0"/>
        <w:pageBreakBefore w:val="0"/>
        <w:widowControl w:val="0"/>
        <w:kinsoku/>
        <w:wordWrap/>
        <w:overflowPunct/>
        <w:topLinePunct w:val="0"/>
        <w:bidi w:val="0"/>
        <w:adjustRightInd w:val="0"/>
        <w:snapToGrid w:val="0"/>
        <w:spacing w:line="480" w:lineRule="exact"/>
        <w:ind w:left="0" w:firstLine="520" w:firstLineChars="200"/>
        <w:rPr>
          <w:color w:val="auto"/>
          <w:szCs w:val="28"/>
          <w:highlight w:val="none"/>
        </w:rPr>
      </w:pPr>
      <w:r>
        <w:rPr>
          <w:rFonts w:hint="eastAsia"/>
          <w:color w:val="auto"/>
          <w:szCs w:val="28"/>
          <w:highlight w:val="none"/>
          <w:lang w:val="en-US" w:eastAsia="zh-CN"/>
        </w:rPr>
        <w:t>C</w:t>
      </w:r>
      <w:r>
        <w:rPr>
          <w:rFonts w:hint="eastAsia"/>
          <w:color w:val="auto"/>
          <w:szCs w:val="28"/>
          <w:highlight w:val="none"/>
          <w:shd w:val="clear" w:fill="FFFFFF"/>
          <w:lang w:val="en-US" w:eastAsia="zh-CN"/>
        </w:rPr>
        <w:t>、</w:t>
      </w:r>
      <w:r>
        <w:rPr>
          <w:rFonts w:hint="eastAsia"/>
          <w:color w:val="auto"/>
          <w:szCs w:val="28"/>
          <w:highlight w:val="none"/>
        </w:rPr>
        <w:t>样方点位布设</w:t>
      </w:r>
    </w:p>
    <w:p>
      <w:pPr>
        <w:bidi w:val="0"/>
        <w:rPr>
          <w:rFonts w:hint="eastAsia" w:eastAsia="宋体"/>
          <w:color w:val="auto"/>
          <w:highlight w:val="none"/>
          <w:lang w:eastAsia="zh-CN"/>
        </w:rPr>
      </w:pPr>
      <w:r>
        <w:rPr>
          <w:rFonts w:hint="eastAsia"/>
          <w:color w:val="auto"/>
          <w:szCs w:val="28"/>
          <w:highlight w:val="none"/>
        </w:rPr>
        <w:t>评价区</w:t>
      </w:r>
      <w:r>
        <w:rPr>
          <w:color w:val="auto"/>
          <w:szCs w:val="28"/>
          <w:highlight w:val="none"/>
        </w:rPr>
        <w:t>分布</w:t>
      </w:r>
      <w:r>
        <w:rPr>
          <w:rFonts w:hint="eastAsia"/>
          <w:color w:val="auto"/>
          <w:szCs w:val="28"/>
          <w:highlight w:val="none"/>
        </w:rPr>
        <w:t>有</w:t>
      </w:r>
      <w:r>
        <w:rPr>
          <w:rFonts w:hint="eastAsia"/>
          <w:color w:val="auto"/>
          <w:szCs w:val="28"/>
          <w:highlight w:val="none"/>
          <w:lang w:eastAsia="zh-CN"/>
        </w:rPr>
        <w:t>较多</w:t>
      </w:r>
      <w:r>
        <w:rPr>
          <w:color w:val="auto"/>
          <w:szCs w:val="28"/>
          <w:highlight w:val="none"/>
        </w:rPr>
        <w:t>农田，自然植被主要由</w:t>
      </w:r>
      <w:r>
        <w:rPr>
          <w:rFonts w:hint="eastAsia"/>
          <w:color w:val="auto"/>
          <w:szCs w:val="28"/>
          <w:highlight w:val="none"/>
        </w:rPr>
        <w:t>河岸带</w:t>
      </w:r>
      <w:r>
        <w:rPr>
          <w:color w:val="auto"/>
          <w:szCs w:val="28"/>
          <w:highlight w:val="none"/>
        </w:rPr>
        <w:t>草</w:t>
      </w:r>
      <w:r>
        <w:rPr>
          <w:rFonts w:hint="eastAsia"/>
          <w:color w:val="auto"/>
          <w:szCs w:val="28"/>
          <w:highlight w:val="none"/>
        </w:rPr>
        <w:t>丛</w:t>
      </w:r>
      <w:r>
        <w:rPr>
          <w:color w:val="auto"/>
          <w:szCs w:val="28"/>
          <w:highlight w:val="none"/>
        </w:rPr>
        <w:t>、灌草丛</w:t>
      </w:r>
      <w:r>
        <w:rPr>
          <w:rFonts w:hint="eastAsia"/>
          <w:color w:val="auto"/>
          <w:szCs w:val="28"/>
          <w:highlight w:val="none"/>
        </w:rPr>
        <w:t>及乔木</w:t>
      </w:r>
      <w:r>
        <w:rPr>
          <w:color w:val="auto"/>
          <w:szCs w:val="28"/>
          <w:highlight w:val="none"/>
        </w:rPr>
        <w:t>组成。</w:t>
      </w:r>
      <w:r>
        <w:rPr>
          <w:rFonts w:hint="default"/>
          <w:color w:val="auto"/>
          <w:highlight w:val="none"/>
          <w:lang w:eastAsia="zh-CN"/>
        </w:rPr>
        <w:t>涪江重庆段航道整治工程</w:t>
      </w:r>
      <w:r>
        <w:rPr>
          <w:rFonts w:hint="eastAsia"/>
          <w:color w:val="auto"/>
          <w:highlight w:val="none"/>
          <w:lang w:eastAsia="zh-CN"/>
        </w:rPr>
        <w:t>环境影响评价工作开展期间，我公司对渭沱枢纽周边自然植被进行了详细调查，调查时间为</w:t>
      </w:r>
      <w:r>
        <w:rPr>
          <w:rFonts w:hint="eastAsia"/>
          <w:color w:val="auto"/>
          <w:highlight w:val="none"/>
          <w:lang w:val="en-US" w:eastAsia="zh-CN"/>
        </w:rPr>
        <w:t>2023年12月。</w:t>
      </w:r>
      <w:r>
        <w:rPr>
          <w:rFonts w:hint="eastAsia"/>
          <w:color w:val="auto"/>
          <w:highlight w:val="none"/>
          <w:lang w:eastAsia="zh-CN"/>
        </w:rPr>
        <w:t>本次评价</w:t>
      </w:r>
      <w:r>
        <w:rPr>
          <w:rFonts w:hint="eastAsia"/>
          <w:color w:val="auto"/>
          <w:szCs w:val="28"/>
          <w:highlight w:val="none"/>
        </w:rPr>
        <w:t>期间，</w:t>
      </w:r>
      <w:r>
        <w:rPr>
          <w:rFonts w:hint="eastAsia"/>
          <w:color w:val="auto"/>
          <w:szCs w:val="28"/>
          <w:highlight w:val="none"/>
          <w:lang w:eastAsia="zh-CN"/>
        </w:rPr>
        <w:t>在充分利用已有调查资料的基础上，项目组</w:t>
      </w:r>
      <w:r>
        <w:rPr>
          <w:rFonts w:hint="eastAsia"/>
          <w:color w:val="auto"/>
          <w:highlight w:val="none"/>
        </w:rPr>
        <w:t>调查人员</w:t>
      </w:r>
      <w:r>
        <w:rPr>
          <w:color w:val="auto"/>
          <w:highlight w:val="none"/>
        </w:rPr>
        <w:t>对</w:t>
      </w:r>
      <w:r>
        <w:rPr>
          <w:rFonts w:hint="eastAsia"/>
          <w:color w:val="auto"/>
          <w:highlight w:val="none"/>
          <w:lang w:eastAsia="zh-CN"/>
        </w:rPr>
        <w:t>拟建船闸主体工程及弃渣场等配套工程占地范围内及周边区域陆生生态现状</w:t>
      </w:r>
      <w:r>
        <w:rPr>
          <w:color w:val="auto"/>
          <w:highlight w:val="none"/>
        </w:rPr>
        <w:t>进行</w:t>
      </w:r>
      <w:r>
        <w:rPr>
          <w:rFonts w:hint="eastAsia"/>
          <w:color w:val="auto"/>
          <w:highlight w:val="none"/>
          <w:lang w:eastAsia="zh-CN"/>
        </w:rPr>
        <w:t>了补充调查。</w:t>
      </w:r>
      <w:r>
        <w:rPr>
          <w:rFonts w:hint="eastAsia"/>
          <w:color w:val="auto"/>
          <w:highlight w:val="none"/>
        </w:rPr>
        <w:t>本次评价范围内共设置</w:t>
      </w:r>
      <w:r>
        <w:rPr>
          <w:rFonts w:hint="eastAsia"/>
          <w:color w:val="auto"/>
          <w:highlight w:val="none"/>
          <w:lang w:val="en-US" w:eastAsia="zh-CN"/>
        </w:rPr>
        <w:t>28</w:t>
      </w:r>
      <w:r>
        <w:rPr>
          <w:rFonts w:hint="eastAsia"/>
          <w:color w:val="auto"/>
          <w:highlight w:val="none"/>
        </w:rPr>
        <w:t>个样方</w:t>
      </w:r>
      <w:r>
        <w:rPr>
          <w:rFonts w:hint="eastAsia"/>
          <w:color w:val="auto"/>
          <w:highlight w:val="none"/>
          <w:lang w:eastAsia="zh-CN"/>
        </w:rPr>
        <w:t>，其中引用调查点位</w:t>
      </w:r>
      <w:r>
        <w:rPr>
          <w:rFonts w:hint="eastAsia"/>
          <w:color w:val="auto"/>
          <w:highlight w:val="none"/>
          <w:lang w:val="en-US" w:eastAsia="zh-CN"/>
        </w:rPr>
        <w:t>6个，本次补充调查点位22个。</w:t>
      </w:r>
      <w:r>
        <w:rPr>
          <w:rFonts w:hint="eastAsia"/>
          <w:color w:val="auto"/>
          <w:highlight w:val="none"/>
          <w:lang w:eastAsia="zh-CN"/>
        </w:rPr>
        <w:t>调查范围覆盖了船闸区域及弃渣场区域，对生态保护红线、湿地公园内进行了重点调查，点位布设较为合理。</w:t>
      </w:r>
    </w:p>
    <w:p>
      <w:pPr>
        <w:bidi w:val="0"/>
        <w:spacing w:line="240" w:lineRule="auto"/>
        <w:ind w:left="0" w:leftChars="0" w:firstLine="0" w:firstLineChars="0"/>
        <w:jc w:val="center"/>
        <w:rPr>
          <w:rFonts w:hint="eastAsia"/>
          <w:color w:val="auto"/>
          <w:highlight w:val="none"/>
        </w:rPr>
      </w:pPr>
    </w:p>
    <w:p>
      <w:pPr>
        <w:bidi w:val="0"/>
        <w:spacing w:line="240" w:lineRule="auto"/>
        <w:ind w:left="0" w:leftChars="0" w:firstLine="0" w:firstLineChars="0"/>
        <w:jc w:val="center"/>
        <w:rPr>
          <w:rFonts w:hint="eastAsia"/>
          <w:color w:val="auto"/>
          <w:highlight w:val="none"/>
        </w:rPr>
      </w:pPr>
      <w:r>
        <w:rPr>
          <w:rFonts w:hint="eastAsia"/>
          <w:color w:val="auto"/>
          <w:highlight w:val="none"/>
        </w:rPr>
        <w:t>表</w:t>
      </w:r>
      <w:r>
        <w:rPr>
          <w:rFonts w:hint="eastAsia"/>
          <w:color w:val="auto"/>
          <w:highlight w:val="none"/>
          <w:lang w:val="en-US" w:eastAsia="zh-CN"/>
        </w:rPr>
        <w:t xml:space="preserve">3.2.2-1  </w:t>
      </w:r>
      <w:r>
        <w:rPr>
          <w:rFonts w:hint="eastAsia"/>
          <w:color w:val="auto"/>
          <w:highlight w:val="none"/>
        </w:rPr>
        <w:t>项目样方设置情况表</w:t>
      </w:r>
    </w:p>
    <w:tbl>
      <w:tblPr>
        <w:tblStyle w:val="28"/>
        <w:tblW w:w="4850" w:type="pct"/>
        <w:jc w:val="center"/>
        <w:tblLayout w:type="fixed"/>
        <w:tblCellMar>
          <w:top w:w="0" w:type="dxa"/>
          <w:left w:w="108" w:type="dxa"/>
          <w:bottom w:w="0" w:type="dxa"/>
          <w:right w:w="108" w:type="dxa"/>
        </w:tblCellMar>
      </w:tblPr>
      <w:tblGrid>
        <w:gridCol w:w="704"/>
        <w:gridCol w:w="1596"/>
        <w:gridCol w:w="1200"/>
        <w:gridCol w:w="1118"/>
        <w:gridCol w:w="1105"/>
        <w:gridCol w:w="1132"/>
        <w:gridCol w:w="728"/>
        <w:gridCol w:w="1095"/>
      </w:tblGrid>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eastAsia="宋体"/>
                <w:color w:val="auto"/>
                <w:sz w:val="22"/>
                <w:szCs w:val="22"/>
                <w:highlight w:val="none"/>
                <w:lang w:eastAsia="zh-CN"/>
              </w:rPr>
            </w:pPr>
            <w:r>
              <w:rPr>
                <w:rFonts w:hint="eastAsia"/>
                <w:color w:val="auto"/>
                <w:kern w:val="0"/>
                <w:sz w:val="22"/>
                <w:szCs w:val="22"/>
                <w:highlight w:val="none"/>
                <w:lang w:eastAsia="zh-CN" w:bidi="ar"/>
              </w:rPr>
              <w:t>编号</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kern w:val="0"/>
                <w:sz w:val="22"/>
                <w:szCs w:val="22"/>
                <w:highlight w:val="none"/>
                <w:lang w:bidi="ar"/>
              </w:rPr>
            </w:pPr>
            <w:r>
              <w:rPr>
                <w:color w:val="auto"/>
                <w:kern w:val="0"/>
                <w:sz w:val="22"/>
                <w:szCs w:val="22"/>
                <w:highlight w:val="none"/>
                <w:lang w:bidi="ar"/>
              </w:rPr>
              <w:t>群落类型</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eastAsia="宋体"/>
                <w:color w:val="auto"/>
                <w:sz w:val="22"/>
                <w:szCs w:val="22"/>
                <w:highlight w:val="none"/>
                <w:lang w:val="en-US" w:eastAsia="zh-CN"/>
              </w:rPr>
            </w:pPr>
            <w:r>
              <w:rPr>
                <w:color w:val="auto"/>
                <w:kern w:val="0"/>
                <w:sz w:val="22"/>
                <w:szCs w:val="22"/>
                <w:highlight w:val="none"/>
                <w:lang w:bidi="ar"/>
              </w:rPr>
              <w:t>经度</w:t>
            </w: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eastAsia="宋体"/>
                <w:color w:val="auto"/>
                <w:sz w:val="22"/>
                <w:szCs w:val="22"/>
                <w:highlight w:val="none"/>
                <w:lang w:val="en-US" w:eastAsia="zh-CN"/>
              </w:rPr>
            </w:pPr>
            <w:r>
              <w:rPr>
                <w:color w:val="auto"/>
                <w:kern w:val="0"/>
                <w:sz w:val="22"/>
                <w:szCs w:val="22"/>
                <w:highlight w:val="none"/>
                <w:lang w:bidi="ar"/>
              </w:rPr>
              <w:t>纬度</w:t>
            </w: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color w:val="auto"/>
                <w:kern w:val="0"/>
                <w:sz w:val="22"/>
                <w:szCs w:val="22"/>
                <w:highlight w:val="none"/>
                <w:lang w:bidi="ar"/>
              </w:rPr>
              <w:t>海拔（m）</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eastAsia="宋体"/>
                <w:color w:val="auto"/>
                <w:sz w:val="22"/>
                <w:szCs w:val="22"/>
                <w:highlight w:val="none"/>
                <w:lang w:eastAsia="zh-CN"/>
              </w:rPr>
            </w:pPr>
            <w:r>
              <w:rPr>
                <w:rFonts w:hint="eastAsia"/>
                <w:color w:val="auto"/>
                <w:sz w:val="22"/>
                <w:szCs w:val="22"/>
                <w:highlight w:val="none"/>
                <w:lang w:eastAsia="zh-CN"/>
              </w:rPr>
              <w:t>样方大小</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default"/>
                <w:color w:val="auto"/>
                <w:sz w:val="22"/>
                <w:szCs w:val="22"/>
                <w:highlight w:val="none"/>
                <w:lang w:val="en-US" w:eastAsia="zh-CN"/>
              </w:rPr>
            </w:pPr>
            <w:r>
              <w:rPr>
                <w:rFonts w:hint="eastAsia"/>
                <w:color w:val="auto"/>
                <w:sz w:val="22"/>
                <w:szCs w:val="22"/>
                <w:highlight w:val="none"/>
                <w:lang w:val="en-US" w:eastAsia="zh-CN"/>
              </w:rPr>
              <w:t>位置</w:t>
            </w:r>
          </w:p>
        </w:tc>
        <w:tc>
          <w:tcPr>
            <w:tcW w:w="10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color w:val="auto"/>
                <w:kern w:val="0"/>
                <w:sz w:val="22"/>
                <w:szCs w:val="22"/>
                <w:highlight w:val="none"/>
                <w:lang w:bidi="ar"/>
              </w:rPr>
              <w:t>备注</w:t>
            </w: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1#</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枫杨林</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219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default" w:eastAsia="宋体"/>
                <w:color w:val="auto"/>
                <w:kern w:val="0"/>
                <w:sz w:val="22"/>
                <w:szCs w:val="22"/>
                <w:highlight w:val="none"/>
                <w:vertAlign w:val="superscript"/>
                <w:lang w:val="en-US" w:eastAsia="zh-CN" w:bidi="ar"/>
              </w:rPr>
            </w:pPr>
            <w:r>
              <w:rPr>
                <w:rFonts w:hint="eastAsia"/>
                <w:color w:val="auto"/>
                <w:kern w:val="0"/>
                <w:sz w:val="22"/>
                <w:szCs w:val="22"/>
                <w:highlight w:val="none"/>
                <w:lang w:val="en-US" w:eastAsia="zh-CN" w:bidi="ar"/>
              </w:rPr>
              <w:t>20*20m</w:t>
            </w:r>
          </w:p>
        </w:tc>
        <w:tc>
          <w:tcPr>
            <w:tcW w:w="728" w:type="dxa"/>
            <w:vMerge w:val="restart"/>
            <w:tcBorders>
              <w:top w:val="single" w:color="000000" w:sz="4" w:space="0"/>
              <w:left w:val="single" w:color="000000" w:sz="4" w:space="0"/>
              <w:right w:val="single" w:color="000000" w:sz="4" w:space="0"/>
            </w:tcBorders>
            <w:shd w:val="clear" w:color="auto" w:fill="auto"/>
            <w:noWrap/>
            <w:vAlign w:val="center"/>
          </w:tcPr>
          <w:p>
            <w:pPr>
              <w:widowControl/>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船闸区域</w:t>
            </w:r>
          </w:p>
        </w:tc>
        <w:tc>
          <w:tcPr>
            <w:tcW w:w="1095" w:type="dxa"/>
            <w:vMerge w:val="restart"/>
            <w:tcBorders>
              <w:top w:val="single" w:color="000000" w:sz="4" w:space="0"/>
              <w:left w:val="single" w:color="000000" w:sz="4" w:space="0"/>
              <w:right w:val="single" w:color="000000" w:sz="4" w:space="0"/>
            </w:tcBorders>
            <w:shd w:val="clear" w:color="auto" w:fill="auto"/>
            <w:noWrap/>
            <w:vAlign w:val="center"/>
          </w:tcPr>
          <w:p>
            <w:pPr>
              <w:widowControl/>
              <w:adjustRightInd w:val="0"/>
              <w:snapToGrid w:val="0"/>
              <w:spacing w:line="240" w:lineRule="auto"/>
              <w:ind w:firstLine="0" w:firstLineChars="0"/>
              <w:jc w:val="center"/>
              <w:textAlignment w:val="center"/>
              <w:rPr>
                <w:rFonts w:hint="eastAsia" w:eastAsia="宋体"/>
                <w:color w:val="auto"/>
                <w:sz w:val="22"/>
                <w:szCs w:val="22"/>
                <w:highlight w:val="none"/>
                <w:lang w:eastAsia="zh-CN"/>
              </w:rPr>
            </w:pPr>
            <w:r>
              <w:rPr>
                <w:rFonts w:hint="eastAsia"/>
                <w:color w:val="auto"/>
                <w:sz w:val="22"/>
                <w:szCs w:val="22"/>
                <w:highlight w:val="none"/>
                <w:lang w:eastAsia="zh-CN"/>
              </w:rPr>
              <w:t>引用涪江重庆段航道整治工程调查数据</w:t>
            </w: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2#</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小叶女贞灌丛</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220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default" w:eastAsia="宋体"/>
                <w:color w:val="auto"/>
                <w:kern w:val="0"/>
                <w:sz w:val="22"/>
                <w:szCs w:val="22"/>
                <w:highlight w:val="none"/>
                <w:lang w:val="en-US" w:eastAsia="zh-CN" w:bidi="ar"/>
              </w:rPr>
            </w:pPr>
            <w:r>
              <w:rPr>
                <w:rFonts w:hint="eastAsia"/>
                <w:color w:val="auto"/>
                <w:kern w:val="0"/>
                <w:sz w:val="22"/>
                <w:szCs w:val="22"/>
                <w:highlight w:val="none"/>
                <w:lang w:val="en-US" w:eastAsia="zh-CN" w:bidi="ar"/>
              </w:rPr>
              <w:t>10*10m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3#</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枫杨林</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211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20*20m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4#</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auto"/>
                <w:kern w:val="0"/>
                <w:sz w:val="22"/>
                <w:szCs w:val="22"/>
                <w:highlight w:val="none"/>
                <w:lang w:val="en-US" w:eastAsia="zh-CN" w:bidi="ar"/>
              </w:rPr>
            </w:pPr>
            <w:r>
              <w:rPr>
                <w:rFonts w:hint="eastAsia"/>
                <w:color w:val="auto"/>
                <w:kern w:val="0"/>
                <w:sz w:val="22"/>
                <w:szCs w:val="22"/>
                <w:highlight w:val="none"/>
                <w:lang w:val="en-US" w:eastAsia="zh-CN" w:bidi="ar"/>
              </w:rPr>
              <w:t>小叶女贞灌丛</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auto"/>
                <w:kern w:val="0"/>
                <w:sz w:val="22"/>
                <w:szCs w:val="22"/>
                <w:highlight w:val="none"/>
                <w:lang w:val="en-US" w:eastAsia="zh-CN" w:bidi="ar"/>
              </w:rPr>
            </w:pPr>
            <w:r>
              <w:rPr>
                <w:rFonts w:hint="eastAsia"/>
                <w:color w:val="auto"/>
                <w:kern w:val="0"/>
                <w:sz w:val="22"/>
                <w:szCs w:val="22"/>
                <w:highlight w:val="none"/>
                <w:lang w:val="en-US" w:eastAsia="zh-CN" w:bidi="ar"/>
              </w:rPr>
              <w:t xml:space="preserve">209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auto"/>
                <w:kern w:val="0"/>
                <w:sz w:val="22"/>
                <w:szCs w:val="22"/>
                <w:highlight w:val="none"/>
                <w:lang w:val="en-US" w:eastAsia="zh-CN" w:bidi="ar"/>
              </w:rPr>
            </w:pPr>
            <w:r>
              <w:rPr>
                <w:rFonts w:hint="eastAsia"/>
                <w:color w:val="auto"/>
                <w:kern w:val="0"/>
                <w:sz w:val="22"/>
                <w:szCs w:val="22"/>
                <w:highlight w:val="none"/>
                <w:lang w:val="en-US" w:eastAsia="zh-CN" w:bidi="ar"/>
              </w:rPr>
              <w:t>10*10m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5#</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auto"/>
                <w:kern w:val="0"/>
                <w:sz w:val="22"/>
                <w:szCs w:val="22"/>
                <w:highlight w:val="none"/>
                <w:lang w:val="en-US" w:eastAsia="zh-CN" w:bidi="ar"/>
              </w:rPr>
            </w:pPr>
            <w:r>
              <w:rPr>
                <w:rFonts w:hint="eastAsia"/>
                <w:color w:val="auto"/>
                <w:kern w:val="0"/>
                <w:sz w:val="22"/>
                <w:szCs w:val="22"/>
                <w:highlight w:val="none"/>
                <w:lang w:val="en-US" w:eastAsia="zh-CN" w:bidi="ar"/>
              </w:rPr>
              <w:t>慈竹林</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2"/>
                <w:szCs w:val="22"/>
                <w:highlight w:val="none"/>
                <w:lang w:val="en-US" w:eastAsia="zh-CN" w:bidi="ar"/>
              </w:rPr>
            </w:pPr>
            <w:r>
              <w:rPr>
                <w:rFonts w:hint="eastAsia"/>
                <w:color w:val="auto"/>
                <w:kern w:val="0"/>
                <w:sz w:val="22"/>
                <w:szCs w:val="22"/>
                <w:highlight w:val="none"/>
                <w:lang w:val="en-US" w:eastAsia="zh-CN" w:bidi="ar"/>
              </w:rPr>
              <w:t>208</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auto"/>
                <w:kern w:val="0"/>
                <w:sz w:val="22"/>
                <w:szCs w:val="22"/>
                <w:highlight w:val="none"/>
                <w:lang w:val="en-US" w:eastAsia="zh-CN" w:bidi="ar"/>
              </w:rPr>
            </w:pPr>
            <w:r>
              <w:rPr>
                <w:rFonts w:hint="eastAsia"/>
                <w:color w:val="auto"/>
                <w:kern w:val="0"/>
                <w:sz w:val="22"/>
                <w:szCs w:val="22"/>
                <w:highlight w:val="none"/>
                <w:lang w:val="en-US" w:eastAsia="zh-CN" w:bidi="ar"/>
              </w:rPr>
              <w:t>20*20m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6#</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auto"/>
                <w:kern w:val="0"/>
                <w:sz w:val="22"/>
                <w:szCs w:val="22"/>
                <w:highlight w:val="none"/>
                <w:lang w:val="en-US" w:eastAsia="zh-CN" w:bidi="ar"/>
              </w:rPr>
            </w:pPr>
            <w:r>
              <w:rPr>
                <w:rFonts w:hint="eastAsia"/>
                <w:color w:val="auto"/>
                <w:kern w:val="0"/>
                <w:sz w:val="22"/>
                <w:szCs w:val="22"/>
                <w:highlight w:val="none"/>
                <w:lang w:val="en-US" w:eastAsia="zh-CN" w:bidi="ar"/>
              </w:rPr>
              <w:t>青冈林</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2"/>
                <w:szCs w:val="22"/>
                <w:highlight w:val="none"/>
                <w:lang w:val="en-US" w:eastAsia="zh-CN" w:bidi="ar"/>
              </w:rPr>
            </w:pPr>
            <w:r>
              <w:rPr>
                <w:rFonts w:hint="eastAsia"/>
                <w:color w:val="auto"/>
                <w:kern w:val="0"/>
                <w:sz w:val="22"/>
                <w:szCs w:val="22"/>
                <w:highlight w:val="none"/>
                <w:lang w:val="en-US" w:eastAsia="zh-CN" w:bidi="ar"/>
              </w:rPr>
              <w:t>218</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ascii="Times New Roman" w:hAnsi="Times New Roman" w:eastAsia="宋体" w:cs="Times New Roman"/>
                <w:color w:val="auto"/>
                <w:kern w:val="0"/>
                <w:sz w:val="22"/>
                <w:szCs w:val="22"/>
                <w:highlight w:val="none"/>
                <w:lang w:val="en-US" w:eastAsia="zh-CN" w:bidi="ar"/>
              </w:rPr>
            </w:pPr>
            <w:r>
              <w:rPr>
                <w:rFonts w:hint="eastAsia"/>
                <w:color w:val="auto"/>
                <w:kern w:val="0"/>
                <w:sz w:val="22"/>
                <w:szCs w:val="22"/>
                <w:highlight w:val="none"/>
                <w:lang w:val="en-US" w:eastAsia="zh-CN" w:bidi="ar"/>
              </w:rPr>
              <w:t>20*20m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bottom w:val="single" w:color="000000" w:sz="4" w:space="0"/>
              <w:right w:val="single" w:color="000000" w:sz="4" w:space="0"/>
            </w:tcBorders>
            <w:shd w:val="clear" w:color="auto" w:fill="auto"/>
            <w:noWrap/>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7#</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斑茅草丛</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207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default" w:eastAsia="宋体"/>
                <w:color w:val="auto"/>
                <w:kern w:val="0"/>
                <w:sz w:val="22"/>
                <w:szCs w:val="22"/>
                <w:highlight w:val="none"/>
                <w:vertAlign w:val="superscript"/>
                <w:lang w:val="en-US" w:eastAsia="zh-CN" w:bidi="ar"/>
              </w:rPr>
            </w:pPr>
            <w:r>
              <w:rPr>
                <w:rFonts w:hint="eastAsia"/>
                <w:color w:val="auto"/>
                <w:kern w:val="0"/>
                <w:sz w:val="22"/>
                <w:szCs w:val="22"/>
                <w:highlight w:val="none"/>
                <w:lang w:val="en-US" w:eastAsia="zh-CN" w:bidi="ar"/>
              </w:rPr>
              <w:t>5*5m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p>
        </w:tc>
        <w:tc>
          <w:tcPr>
            <w:tcW w:w="1095" w:type="dxa"/>
            <w:vMerge w:val="restart"/>
            <w:tcBorders>
              <w:top w:val="single" w:color="000000" w:sz="4" w:space="0"/>
              <w:left w:val="single" w:color="000000" w:sz="4" w:space="0"/>
              <w:right w:val="single" w:color="000000" w:sz="4" w:space="0"/>
            </w:tcBorders>
            <w:shd w:val="clear" w:color="auto" w:fill="auto"/>
            <w:noWrap/>
            <w:vAlign w:val="center"/>
          </w:tcPr>
          <w:p>
            <w:pPr>
              <w:widowControl/>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本次补充调查</w:t>
            </w: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8#</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青冈林</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243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20*20m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9#</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慈竹林</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231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20*20m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10#</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青冈林</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246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20*20m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11#</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小叶女贞灌丛</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217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10*10m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12#</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枫杨林</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214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20*20m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13#</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斑茅草丛</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207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5*5m</w:t>
            </w:r>
          </w:p>
        </w:tc>
        <w:tc>
          <w:tcPr>
            <w:tcW w:w="728" w:type="dxa"/>
            <w:vMerge w:val="continue"/>
            <w:tcBorders>
              <w:left w:val="single" w:color="000000" w:sz="4" w:space="0"/>
              <w:bottom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14#</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柏木林</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236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20*20m</w:t>
            </w:r>
          </w:p>
        </w:tc>
        <w:tc>
          <w:tcPr>
            <w:tcW w:w="728" w:type="dxa"/>
            <w:vMerge w:val="restart"/>
            <w:tcBorders>
              <w:top w:val="single" w:color="000000" w:sz="4" w:space="0"/>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弃渣场区域</w:t>
            </w: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15#</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斑茅草丛</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225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5*5m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16#</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构树灌丛</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234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10*10m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17#</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白茅草丛</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232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eastAsia="宋体"/>
                <w:color w:val="auto"/>
                <w:kern w:val="0"/>
                <w:sz w:val="22"/>
                <w:szCs w:val="22"/>
                <w:highlight w:val="none"/>
                <w:lang w:val="en-US" w:eastAsia="zh-CN" w:bidi="ar"/>
              </w:rPr>
            </w:pPr>
            <w:r>
              <w:rPr>
                <w:rFonts w:hint="eastAsia"/>
                <w:color w:val="auto"/>
                <w:kern w:val="0"/>
                <w:sz w:val="22"/>
                <w:szCs w:val="22"/>
                <w:highlight w:val="none"/>
                <w:lang w:val="en-US" w:eastAsia="zh-CN" w:bidi="ar"/>
              </w:rPr>
              <w:t>1*1m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18#</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白茅草丛</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240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1*1m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19#</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葎草草丛</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241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1*1m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20#</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柏木林</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261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20*20m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21#</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柏木林</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260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20*20m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22#</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慈竹林</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244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20*20m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23#</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构树灌丛</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255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10*10m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24#</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构树灌丛</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246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10*10m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25#</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葎草草丛</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227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1*1m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26#</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白茅草丛</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226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1*1m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27#</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葎草草丛</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234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1*1m</w:t>
            </w:r>
          </w:p>
        </w:tc>
        <w:tc>
          <w:tcPr>
            <w:tcW w:w="728"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rFonts w:hint="default"/>
                <w:color w:val="auto"/>
                <w:kern w:val="0"/>
                <w:sz w:val="22"/>
                <w:szCs w:val="22"/>
                <w:highlight w:val="none"/>
                <w:lang w:val="en-US" w:bidi="ar"/>
              </w:rPr>
            </w:pPr>
            <w:r>
              <w:rPr>
                <w:rFonts w:hint="eastAsia"/>
                <w:color w:val="auto"/>
                <w:kern w:val="0"/>
                <w:sz w:val="22"/>
                <w:szCs w:val="22"/>
                <w:highlight w:val="none"/>
                <w:lang w:val="en-US" w:eastAsia="zh-CN" w:bidi="ar"/>
              </w:rPr>
              <w:t>28#</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慈竹林</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1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olor w:val="auto"/>
                <w:kern w:val="0"/>
                <w:sz w:val="22"/>
                <w:szCs w:val="22"/>
                <w:highlight w:val="none"/>
                <w:lang w:val="en-US" w:eastAsia="zh-CN" w:bidi="ar"/>
              </w:rPr>
            </w:pPr>
            <w:r>
              <w:rPr>
                <w:rFonts w:hint="eastAsia"/>
                <w:color w:val="auto"/>
                <w:kern w:val="0"/>
                <w:sz w:val="22"/>
                <w:szCs w:val="22"/>
                <w:highlight w:val="none"/>
                <w:lang w:val="en-US" w:eastAsia="zh-CN" w:bidi="ar"/>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 xml:space="preserve">237 </w:t>
            </w: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340" w:lineRule="exact"/>
              <w:ind w:firstLine="0" w:firstLineChars="0"/>
              <w:jc w:val="center"/>
              <w:textAlignment w:val="center"/>
              <w:rPr>
                <w:color w:val="auto"/>
                <w:kern w:val="0"/>
                <w:sz w:val="22"/>
                <w:szCs w:val="22"/>
                <w:highlight w:val="none"/>
                <w:lang w:bidi="ar"/>
              </w:rPr>
            </w:pPr>
            <w:r>
              <w:rPr>
                <w:rFonts w:hint="eastAsia"/>
                <w:color w:val="auto"/>
                <w:kern w:val="0"/>
                <w:sz w:val="22"/>
                <w:szCs w:val="22"/>
                <w:highlight w:val="none"/>
                <w:lang w:val="en-US" w:eastAsia="zh-CN" w:bidi="ar"/>
              </w:rPr>
              <w:t>20*20m</w:t>
            </w:r>
          </w:p>
        </w:tc>
        <w:tc>
          <w:tcPr>
            <w:tcW w:w="728" w:type="dxa"/>
            <w:vMerge w:val="continue"/>
            <w:tcBorders>
              <w:left w:val="single" w:color="000000" w:sz="4" w:space="0"/>
              <w:bottom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textAlignment w:val="center"/>
              <w:rPr>
                <w:rFonts w:hint="eastAsia"/>
                <w:color w:val="auto"/>
                <w:kern w:val="0"/>
                <w:sz w:val="22"/>
                <w:szCs w:val="22"/>
                <w:highlight w:val="none"/>
                <w:lang w:val="en-US" w:eastAsia="zh-CN" w:bidi="ar"/>
              </w:rPr>
            </w:pPr>
          </w:p>
        </w:tc>
        <w:tc>
          <w:tcPr>
            <w:tcW w:w="1095" w:type="dxa"/>
            <w:vMerge w:val="continue"/>
            <w:tcBorders>
              <w:left w:val="single" w:color="000000" w:sz="4" w:space="0"/>
              <w:bottom w:val="single" w:color="000000" w:sz="4" w:space="0"/>
              <w:right w:val="single" w:color="000000" w:sz="4" w:space="0"/>
            </w:tcBorders>
            <w:shd w:val="clear" w:color="auto" w:fill="auto"/>
            <w:noWrap/>
            <w:vAlign w:val="center"/>
          </w:tcPr>
          <w:p>
            <w:pPr>
              <w:widowControl/>
              <w:adjustRightInd w:val="0"/>
              <w:snapToGrid w:val="0"/>
              <w:spacing w:line="340" w:lineRule="exact"/>
              <w:ind w:firstLine="0" w:firstLineChars="0"/>
              <w:jc w:val="center"/>
              <w:rPr>
                <w:color w:val="auto"/>
                <w:sz w:val="22"/>
                <w:szCs w:val="22"/>
                <w:highlight w:val="none"/>
              </w:rPr>
            </w:pPr>
          </w:p>
        </w:tc>
      </w:tr>
    </w:tbl>
    <w:p>
      <w:pPr>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color w:val="auto"/>
          <w:sz w:val="22"/>
          <w:szCs w:val="22"/>
          <w:highlight w:val="none"/>
          <w:lang w:val="en-US" w:eastAsia="zh-CN"/>
        </w:rPr>
      </w:pPr>
      <w:r>
        <w:rPr>
          <w:rFonts w:hint="eastAsia"/>
          <w:color w:val="auto"/>
          <w:sz w:val="22"/>
          <w:szCs w:val="22"/>
          <w:highlight w:val="none"/>
          <w:lang w:val="en-US" w:eastAsia="zh-CN"/>
        </w:rPr>
        <w:t>注：1#、4#、5#、6#、13#位于湿地公园范围内。</w:t>
      </w:r>
    </w:p>
    <w:p>
      <w:pPr>
        <w:bidi w:val="0"/>
        <w:spacing w:line="240" w:lineRule="auto"/>
        <w:rPr>
          <w:rFonts w:hint="eastAsia"/>
          <w:color w:val="auto"/>
          <w:highlight w:val="none"/>
          <w:lang w:eastAsia="zh-CN"/>
        </w:rPr>
      </w:pPr>
    </w:p>
    <w:p>
      <w:pPr>
        <w:bidi w:val="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区域植被</w:t>
      </w:r>
      <w:r>
        <w:rPr>
          <w:color w:val="auto"/>
          <w:highlight w:val="none"/>
        </w:rPr>
        <w:t>概况</w:t>
      </w:r>
    </w:p>
    <w:p>
      <w:pPr>
        <w:bidi w:val="0"/>
        <w:rPr>
          <w:color w:val="auto"/>
          <w:highlight w:val="none"/>
        </w:rPr>
      </w:pPr>
      <w:r>
        <w:rPr>
          <w:rFonts w:hint="eastAsia"/>
          <w:color w:val="auto"/>
          <w:highlight w:val="none"/>
        </w:rPr>
        <w:t>项目</w:t>
      </w:r>
      <w:r>
        <w:rPr>
          <w:color w:val="auto"/>
          <w:highlight w:val="none"/>
        </w:rPr>
        <w:t>位于</w:t>
      </w:r>
      <w:r>
        <w:rPr>
          <w:rFonts w:hint="eastAsia"/>
          <w:color w:val="auto"/>
          <w:highlight w:val="none"/>
          <w:lang w:eastAsia="zh-CN"/>
        </w:rPr>
        <w:t>合川</w:t>
      </w:r>
      <w:r>
        <w:rPr>
          <w:color w:val="auto"/>
          <w:highlight w:val="none"/>
        </w:rPr>
        <w:t>区，</w:t>
      </w:r>
      <w:r>
        <w:rPr>
          <w:rFonts w:hint="eastAsia"/>
          <w:color w:val="auto"/>
          <w:highlight w:val="none"/>
        </w:rPr>
        <w:t>根据《四川植被》中关于植被区划的描述，项目区域植被</w:t>
      </w:r>
      <w:r>
        <w:rPr>
          <w:color w:val="auto"/>
          <w:highlight w:val="none"/>
        </w:rPr>
        <w:t>区划为：</w:t>
      </w:r>
      <w:r>
        <w:rPr>
          <w:rFonts w:hint="eastAsia"/>
          <w:color w:val="auto"/>
          <w:highlight w:val="none"/>
        </w:rPr>
        <w:t>亚热带常绿阔叶林区，川东盆地及川西南山地常绿阔叶林地带，盆边底部丘陵低山植被地区，IA</w:t>
      </w:r>
      <w:r>
        <w:rPr>
          <w:color w:val="auto"/>
          <w:highlight w:val="none"/>
        </w:rPr>
        <w:t>3</w:t>
      </w:r>
      <w:r>
        <w:rPr>
          <w:rFonts w:hint="eastAsia"/>
          <w:color w:val="auto"/>
          <w:highlight w:val="none"/>
        </w:rPr>
        <w:t>（</w:t>
      </w:r>
      <w:r>
        <w:rPr>
          <w:color w:val="auto"/>
          <w:highlight w:val="none"/>
        </w:rPr>
        <w:t>3</w:t>
      </w:r>
      <w:r>
        <w:rPr>
          <w:rFonts w:hint="eastAsia"/>
          <w:color w:val="auto"/>
          <w:highlight w:val="none"/>
        </w:rPr>
        <w:t>）川中方山丘陵植被小区。</w:t>
      </w:r>
    </w:p>
    <w:p>
      <w:pPr>
        <w:bidi w:val="0"/>
        <w:rPr>
          <w:color w:val="auto"/>
          <w:highlight w:val="none"/>
        </w:rPr>
      </w:pPr>
      <w:r>
        <w:rPr>
          <w:rFonts w:hint="eastAsia"/>
          <w:color w:val="auto"/>
          <w:highlight w:val="none"/>
        </w:rPr>
        <w:t>川中方山丘陵植被小区位于华蓥山以西、龙泉山以东地区，北部与川北深丘植被小区相接，南邻长江上游低山丘陵植被小区，包括南充、绵阳、内江地区的大部分和宜宾、江津地区的一部分县。境内岩层几近水平，倾角一般小于15</w:t>
      </w:r>
      <w:r>
        <w:rPr>
          <w:color w:val="auto"/>
          <w:highlight w:val="none"/>
        </w:rPr>
        <w:t>°</w:t>
      </w:r>
      <w:r>
        <w:rPr>
          <w:rFonts w:hint="eastAsia"/>
          <w:color w:val="auto"/>
          <w:highlight w:val="none"/>
        </w:rPr>
        <w:t>，多为红色砂岩与页岩互层，向北</w:t>
      </w:r>
      <w:r>
        <w:rPr>
          <w:rFonts w:hint="eastAsia"/>
          <w:color w:val="auto"/>
          <w:highlight w:val="none"/>
          <w:shd w:val="clear" w:fill="FFFFFF"/>
          <w:lang w:eastAsia="zh-CN"/>
        </w:rPr>
        <w:t>逐渐过渡</w:t>
      </w:r>
      <w:r>
        <w:rPr>
          <w:rFonts w:hint="eastAsia"/>
          <w:color w:val="auto"/>
          <w:highlight w:val="none"/>
        </w:rPr>
        <w:t>到低山区，其西北边缘为丘陵台地，其余均为方山丘陵区，海拔一般为 500-700m，相对高差50-200m。方山丘陵之间水系发达，河流众多，为渠江、嘉陵江、涪江、沱江及其支流组成。土壤多为紫色页岩，砂岩发育的紫色土，肥力较好，其次是石骨子土，保水保肥力较差，低山脊地有少量的酸性黄壤。</w:t>
      </w:r>
    </w:p>
    <w:p>
      <w:pPr>
        <w:bidi w:val="0"/>
        <w:rPr>
          <w:color w:val="auto"/>
          <w:highlight w:val="none"/>
        </w:rPr>
      </w:pPr>
      <w:r>
        <w:rPr>
          <w:rFonts w:hint="eastAsia"/>
          <w:color w:val="auto"/>
          <w:highlight w:val="none"/>
        </w:rPr>
        <w:t>区域自然植被组合单纯，主要是马尾松林、柏木林、杉木林、次生灌丛和亚热带低山禾草草丛。接近川东平行低山的局部地区，保存有小片的常绿阔叶林。马尾松林分布在丘陵顶部或山脊上的酸性黄壤上，为稀疏的纯林。灌木较少，以白栎、枹栎为主。草本有白茅、黄茅、细柄草、拟金茅和铁芒萁等。局部土层深厚的浅丘或低山半阳坡保存有较好的马尾松林，其中混生有麻栎、栓皮栎等。柏木林分布在钙质紫色土上，在土层深厚地段并混生有枫香、黄连木、棕榈、八角枫等植物。在土壤干旱而贫瘠地区，柏木多成疏林，散生有麻栎、栓皮栎等。灌木与草本植物有铁仔、马桑、黄荆、宜昌荚蒾、白茅、蜈蚣草等。在植被进一步遭到破坏后的基质裸露地段上则形成黄荆、马桑、火棘、小果蔷薇、荚蒾、悬钩子、黄茅、香茅、白茅组成的亚热带草丛。靠近平行岭谷和本小区南部局部沟谷地区仍保存有小片常绿阔叶林，有四川大头茶、黄杞、桢楠等组成。河流两岸的河漫滩上，有甜根子草、</w:t>
      </w:r>
      <w:r>
        <w:rPr>
          <w:rFonts w:hint="eastAsia"/>
          <w:color w:val="auto"/>
          <w:highlight w:val="none"/>
          <w:shd w:val="clear" w:fill="FFFFFF"/>
          <w:lang w:eastAsia="zh-CN"/>
        </w:rPr>
        <w:t>斑</w:t>
      </w:r>
      <w:r>
        <w:rPr>
          <w:rFonts w:hint="eastAsia"/>
          <w:color w:val="auto"/>
          <w:highlight w:val="none"/>
        </w:rPr>
        <w:t>茅草本植物群落。</w:t>
      </w:r>
    </w:p>
    <w:p>
      <w:pPr>
        <w:bidi w:val="0"/>
        <w:rPr>
          <w:color w:val="auto"/>
          <w:highlight w:val="none"/>
        </w:rPr>
      </w:pPr>
      <w:r>
        <w:rPr>
          <w:rFonts w:hint="eastAsia"/>
          <w:color w:val="auto"/>
          <w:highlight w:val="none"/>
        </w:rPr>
        <w:t>栽培植物主要是水稻、玉米、红苕，其中以水稻为主，小春作物主要为小麦、豆类。甘蔗是本区重要经济作物，主产于沱江西岸，占四川东部地区总产量50%，棉花主产于涪江上游，花生主产于沱江，均为重要经济作物。经济林木有桑树、油茶、油桐、乌桕、油橄榄。果树有柠檬、甜橙、柚子、</w:t>
      </w:r>
      <w:r>
        <w:rPr>
          <w:rFonts w:hint="eastAsia"/>
          <w:color w:val="auto"/>
          <w:highlight w:val="none"/>
          <w:shd w:val="clear" w:fill="FFFFFF"/>
          <w:lang w:eastAsia="zh-CN"/>
        </w:rPr>
        <w:t>红橘</w:t>
      </w:r>
      <w:r>
        <w:rPr>
          <w:rFonts w:hint="eastAsia"/>
          <w:color w:val="auto"/>
          <w:highlight w:val="none"/>
        </w:rPr>
        <w:t>等。</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区域植物群落现状调查结果</w:t>
      </w:r>
    </w:p>
    <w:p>
      <w:pPr>
        <w:bidi w:val="0"/>
        <w:rPr>
          <w:rFonts w:hint="eastAsia" w:eastAsia="宋体"/>
          <w:color w:val="auto"/>
          <w:szCs w:val="22"/>
          <w:highlight w:val="none"/>
          <w:lang w:eastAsia="zh-CN"/>
        </w:rPr>
      </w:pPr>
      <w:bookmarkStart w:id="89" w:name="_Hlk42993507"/>
      <w:r>
        <w:rPr>
          <w:rFonts w:hint="eastAsia"/>
          <w:color w:val="auto"/>
          <w:highlight w:val="none"/>
        </w:rPr>
        <w:t>根据现状</w:t>
      </w:r>
      <w:r>
        <w:rPr>
          <w:color w:val="auto"/>
          <w:highlight w:val="none"/>
        </w:rPr>
        <w:t>调查</w:t>
      </w:r>
      <w:r>
        <w:rPr>
          <w:rFonts w:hint="eastAsia"/>
          <w:color w:val="auto"/>
          <w:highlight w:val="none"/>
        </w:rPr>
        <w:t>结果</w:t>
      </w:r>
      <w:bookmarkEnd w:id="89"/>
      <w:r>
        <w:rPr>
          <w:color w:val="auto"/>
          <w:highlight w:val="none"/>
        </w:rPr>
        <w:t>，</w:t>
      </w:r>
      <w:r>
        <w:rPr>
          <w:rFonts w:hint="eastAsia"/>
          <w:color w:val="auto"/>
          <w:highlight w:val="none"/>
        </w:rPr>
        <w:t>结合评价范围“林地一张图”和“三调”数据，按照《中国植被》的分类方法，采用植被型（用“Ⅰ，Ⅱ，Ⅲ……”表示），植被亚型（用“一、二、三</w:t>
      </w:r>
      <w:r>
        <w:rPr>
          <w:rFonts w:hint="eastAsia"/>
          <w:color w:val="auto"/>
          <w:highlight w:val="none"/>
          <w:shd w:val="clear" w:fill="FFFFFF"/>
        </w:rPr>
        <w:t>、…</w:t>
      </w:r>
      <w:r>
        <w:rPr>
          <w:rFonts w:hint="eastAsia"/>
          <w:color w:val="auto"/>
          <w:highlight w:val="none"/>
        </w:rPr>
        <w:t>…”表示）和植</w:t>
      </w:r>
      <w:r>
        <w:rPr>
          <w:rFonts w:hint="eastAsia"/>
          <w:color w:val="auto"/>
          <w:szCs w:val="22"/>
          <w:highlight w:val="none"/>
        </w:rPr>
        <w:t>物群系（用“1，2，3……”表示）的分类系统，</w:t>
      </w:r>
      <w:r>
        <w:rPr>
          <w:color w:val="auto"/>
          <w:highlight w:val="none"/>
        </w:rPr>
        <w:t>评价区内的</w:t>
      </w:r>
      <w:r>
        <w:rPr>
          <w:rFonts w:hint="eastAsia"/>
          <w:color w:val="auto"/>
          <w:highlight w:val="none"/>
        </w:rPr>
        <w:t>自然</w:t>
      </w:r>
      <w:r>
        <w:rPr>
          <w:color w:val="auto"/>
          <w:highlight w:val="none"/>
        </w:rPr>
        <w:t>植被可以划分成</w:t>
      </w:r>
      <w:bookmarkStart w:id="90" w:name="OLE_LINK38"/>
      <w:r>
        <w:rPr>
          <w:rFonts w:hint="eastAsia"/>
          <w:color w:val="auto"/>
          <w:highlight w:val="none"/>
          <w:lang w:val="en-US" w:eastAsia="zh-CN"/>
        </w:rPr>
        <w:t>6</w:t>
      </w:r>
      <w:r>
        <w:rPr>
          <w:color w:val="auto"/>
          <w:highlight w:val="none"/>
        </w:rPr>
        <w:t>个植被型</w:t>
      </w:r>
      <w:bookmarkEnd w:id="90"/>
      <w:r>
        <w:rPr>
          <w:color w:val="auto"/>
          <w:highlight w:val="none"/>
        </w:rPr>
        <w:t>、</w:t>
      </w:r>
      <w:r>
        <w:rPr>
          <w:rFonts w:hint="eastAsia"/>
          <w:color w:val="auto"/>
          <w:highlight w:val="none"/>
          <w:lang w:val="en-US" w:eastAsia="zh-CN"/>
        </w:rPr>
        <w:t>6</w:t>
      </w:r>
      <w:r>
        <w:rPr>
          <w:color w:val="auto"/>
          <w:highlight w:val="none"/>
        </w:rPr>
        <w:t>个</w:t>
      </w:r>
      <w:r>
        <w:rPr>
          <w:rFonts w:hint="eastAsia"/>
          <w:color w:val="auto"/>
          <w:highlight w:val="none"/>
        </w:rPr>
        <w:t>植被亚型</w:t>
      </w:r>
      <w:r>
        <w:rPr>
          <w:color w:val="auto"/>
          <w:highlight w:val="none"/>
        </w:rPr>
        <w:t>和</w:t>
      </w:r>
      <w:r>
        <w:rPr>
          <w:rFonts w:hint="eastAsia"/>
          <w:color w:val="auto"/>
          <w:highlight w:val="none"/>
          <w:lang w:val="en-US" w:eastAsia="zh-CN"/>
        </w:rPr>
        <w:t>9</w:t>
      </w:r>
      <w:r>
        <w:rPr>
          <w:color w:val="auto"/>
          <w:highlight w:val="none"/>
        </w:rPr>
        <w:t>个群系，主要为</w:t>
      </w:r>
      <w:r>
        <w:rPr>
          <w:rFonts w:hint="eastAsia"/>
          <w:color w:val="auto"/>
          <w:highlight w:val="none"/>
          <w:lang w:eastAsia="zh-CN"/>
        </w:rPr>
        <w:t>柏木林</w:t>
      </w:r>
      <w:r>
        <w:rPr>
          <w:rFonts w:hint="eastAsia"/>
          <w:color w:val="auto"/>
          <w:highlight w:val="none"/>
        </w:rPr>
        <w:t>、</w:t>
      </w:r>
      <w:r>
        <w:rPr>
          <w:rFonts w:hint="eastAsia"/>
          <w:color w:val="auto"/>
          <w:highlight w:val="none"/>
          <w:lang w:eastAsia="zh-CN"/>
        </w:rPr>
        <w:t>青冈林、</w:t>
      </w:r>
      <w:r>
        <w:rPr>
          <w:rFonts w:hint="eastAsia"/>
          <w:color w:val="auto"/>
          <w:highlight w:val="none"/>
        </w:rPr>
        <w:t>枫杨林、慈竹林、小叶女贞灌丛、</w:t>
      </w:r>
      <w:r>
        <w:rPr>
          <w:rFonts w:hint="eastAsia"/>
          <w:color w:val="auto"/>
          <w:highlight w:val="none"/>
          <w:lang w:eastAsia="zh-CN"/>
        </w:rPr>
        <w:t>构树灌丛、斑茅草丛、白茅草丛、葎草草丛</w:t>
      </w:r>
      <w:r>
        <w:rPr>
          <w:color w:val="auto"/>
          <w:kern w:val="0"/>
          <w:szCs w:val="22"/>
          <w:highlight w:val="none"/>
        </w:rPr>
        <w:t>，</w:t>
      </w:r>
      <w:r>
        <w:rPr>
          <w:rFonts w:hint="eastAsia"/>
          <w:color w:val="auto"/>
          <w:kern w:val="0"/>
          <w:szCs w:val="22"/>
          <w:highlight w:val="none"/>
          <w:lang w:eastAsia="zh-CN"/>
        </w:rPr>
        <w:t>以及各类</w:t>
      </w:r>
      <w:r>
        <w:rPr>
          <w:color w:val="auto"/>
          <w:kern w:val="0"/>
          <w:szCs w:val="22"/>
          <w:highlight w:val="none"/>
        </w:rPr>
        <w:t>栽培植被</w:t>
      </w:r>
      <w:r>
        <w:rPr>
          <w:color w:val="auto"/>
          <w:highlight w:val="none"/>
        </w:rPr>
        <w:t>。</w:t>
      </w:r>
      <w:r>
        <w:rPr>
          <w:rFonts w:hint="eastAsia"/>
          <w:color w:val="auto"/>
          <w:szCs w:val="22"/>
          <w:highlight w:val="none"/>
        </w:rPr>
        <w:t>植被划分情况详见下表</w:t>
      </w:r>
      <w:r>
        <w:rPr>
          <w:rFonts w:hint="eastAsia"/>
          <w:color w:val="auto"/>
          <w:szCs w:val="22"/>
          <w:highlight w:val="none"/>
          <w:lang w:eastAsia="zh-CN"/>
        </w:rPr>
        <w:t>：</w:t>
      </w:r>
    </w:p>
    <w:p>
      <w:pPr>
        <w:adjustRightInd w:val="0"/>
        <w:snapToGrid w:val="0"/>
        <w:spacing w:line="240" w:lineRule="auto"/>
        <w:ind w:firstLine="520"/>
        <w:rPr>
          <w:color w:val="auto"/>
          <w:szCs w:val="22"/>
          <w:highlight w:val="none"/>
        </w:rPr>
      </w:pPr>
    </w:p>
    <w:p>
      <w:pPr>
        <w:autoSpaceDE w:val="0"/>
        <w:autoSpaceDN w:val="0"/>
        <w:adjustRightInd w:val="0"/>
        <w:snapToGrid w:val="0"/>
        <w:spacing w:line="240" w:lineRule="auto"/>
        <w:ind w:left="520" w:leftChars="200" w:firstLine="0" w:firstLineChars="0"/>
        <w:jc w:val="center"/>
        <w:textAlignment w:val="baseline"/>
        <w:rPr>
          <w:b w:val="0"/>
          <w:bCs/>
          <w:color w:val="auto"/>
          <w:highlight w:val="none"/>
        </w:rPr>
      </w:pPr>
      <w:r>
        <w:rPr>
          <w:rFonts w:hint="eastAsia"/>
          <w:b w:val="0"/>
          <w:bCs/>
          <w:color w:val="auto"/>
          <w:highlight w:val="none"/>
        </w:rPr>
        <w:t>表</w:t>
      </w:r>
      <w:r>
        <w:rPr>
          <w:rFonts w:hint="eastAsia"/>
          <w:b w:val="0"/>
          <w:bCs/>
          <w:color w:val="auto"/>
          <w:highlight w:val="none"/>
          <w:lang w:val="en-US" w:eastAsia="zh-CN"/>
        </w:rPr>
        <w:t xml:space="preserve">3.2.2-1  </w:t>
      </w:r>
      <w:r>
        <w:rPr>
          <w:rFonts w:hint="eastAsia"/>
          <w:b w:val="0"/>
          <w:bCs/>
          <w:color w:val="auto"/>
          <w:highlight w:val="none"/>
        </w:rPr>
        <w:t>评价区典型植被划分一览表</w:t>
      </w:r>
    </w:p>
    <w:tbl>
      <w:tblPr>
        <w:tblStyle w:val="28"/>
        <w:tblW w:w="5025"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1760"/>
        <w:gridCol w:w="2256"/>
        <w:gridCol w:w="1788"/>
        <w:gridCol w:w="300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tblHeader/>
          <w:jc w:val="center"/>
        </w:trPr>
        <w:tc>
          <w:tcPr>
            <w:tcW w:w="1760" w:type="dxa"/>
            <w:noWrap/>
            <w:tcMar>
              <w:top w:w="15" w:type="dxa"/>
              <w:left w:w="15" w:type="dxa"/>
              <w:bottom w:w="0" w:type="dxa"/>
              <w:right w:w="15" w:type="dxa"/>
            </w:tcMar>
            <w:vAlign w:val="center"/>
          </w:tcPr>
          <w:p>
            <w:pPr>
              <w:widowControl/>
              <w:snapToGrid w:val="0"/>
              <w:spacing w:line="240" w:lineRule="auto"/>
              <w:ind w:firstLine="0" w:firstLineChars="0"/>
              <w:jc w:val="center"/>
              <w:rPr>
                <w:b/>
                <w:color w:val="auto"/>
                <w:sz w:val="22"/>
                <w:szCs w:val="22"/>
                <w:highlight w:val="none"/>
              </w:rPr>
            </w:pPr>
            <w:r>
              <w:rPr>
                <w:rFonts w:hint="eastAsia"/>
                <w:b/>
                <w:color w:val="auto"/>
                <w:sz w:val="22"/>
                <w:szCs w:val="22"/>
                <w:highlight w:val="none"/>
              </w:rPr>
              <w:t>植 被 型</w:t>
            </w:r>
          </w:p>
        </w:tc>
        <w:tc>
          <w:tcPr>
            <w:tcW w:w="2256" w:type="dxa"/>
            <w:noWrap/>
            <w:tcMar>
              <w:top w:w="15" w:type="dxa"/>
              <w:left w:w="15" w:type="dxa"/>
              <w:bottom w:w="0" w:type="dxa"/>
              <w:right w:w="15" w:type="dxa"/>
            </w:tcMar>
            <w:vAlign w:val="center"/>
          </w:tcPr>
          <w:p>
            <w:pPr>
              <w:widowControl/>
              <w:snapToGrid w:val="0"/>
              <w:spacing w:line="240" w:lineRule="auto"/>
              <w:ind w:firstLine="0" w:firstLineChars="0"/>
              <w:jc w:val="center"/>
              <w:rPr>
                <w:b/>
                <w:color w:val="auto"/>
                <w:sz w:val="22"/>
                <w:szCs w:val="22"/>
                <w:highlight w:val="none"/>
              </w:rPr>
            </w:pPr>
            <w:r>
              <w:rPr>
                <w:rFonts w:hint="eastAsia"/>
                <w:b/>
                <w:color w:val="auto"/>
                <w:sz w:val="22"/>
                <w:szCs w:val="22"/>
                <w:highlight w:val="none"/>
              </w:rPr>
              <w:t>植被亚型</w:t>
            </w:r>
          </w:p>
        </w:tc>
        <w:tc>
          <w:tcPr>
            <w:tcW w:w="1788" w:type="dxa"/>
            <w:noWrap/>
            <w:tcMar>
              <w:top w:w="15" w:type="dxa"/>
              <w:left w:w="15" w:type="dxa"/>
              <w:bottom w:w="0" w:type="dxa"/>
              <w:right w:w="15" w:type="dxa"/>
            </w:tcMar>
            <w:vAlign w:val="center"/>
          </w:tcPr>
          <w:p>
            <w:pPr>
              <w:widowControl/>
              <w:snapToGrid w:val="0"/>
              <w:spacing w:line="240" w:lineRule="auto"/>
              <w:ind w:firstLine="0" w:firstLineChars="0"/>
              <w:jc w:val="center"/>
              <w:rPr>
                <w:b/>
                <w:color w:val="auto"/>
                <w:sz w:val="22"/>
                <w:szCs w:val="22"/>
                <w:highlight w:val="none"/>
              </w:rPr>
            </w:pPr>
            <w:r>
              <w:rPr>
                <w:rFonts w:hint="eastAsia"/>
                <w:b/>
                <w:color w:val="auto"/>
                <w:sz w:val="22"/>
                <w:szCs w:val="22"/>
                <w:highlight w:val="none"/>
              </w:rPr>
              <w:t>群   系</w:t>
            </w:r>
          </w:p>
        </w:tc>
        <w:tc>
          <w:tcPr>
            <w:tcW w:w="3000" w:type="dxa"/>
            <w:vAlign w:val="center"/>
          </w:tcPr>
          <w:p>
            <w:pPr>
              <w:widowControl/>
              <w:snapToGrid w:val="0"/>
              <w:spacing w:line="240" w:lineRule="auto"/>
              <w:ind w:firstLine="0" w:firstLineChars="0"/>
              <w:jc w:val="center"/>
              <w:rPr>
                <w:b/>
                <w:color w:val="auto"/>
                <w:sz w:val="22"/>
                <w:szCs w:val="22"/>
                <w:highlight w:val="none"/>
              </w:rPr>
            </w:pPr>
            <w:r>
              <w:rPr>
                <w:rFonts w:hint="eastAsia"/>
                <w:b/>
                <w:color w:val="auto"/>
                <w:sz w:val="22"/>
                <w:szCs w:val="22"/>
                <w:highlight w:val="none"/>
              </w:rPr>
              <w:t>群系拉丁名</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8804" w:type="dxa"/>
            <w:gridSpan w:val="4"/>
            <w:noWrap/>
            <w:tcMar>
              <w:top w:w="15" w:type="dxa"/>
              <w:left w:w="15" w:type="dxa"/>
              <w:bottom w:w="0" w:type="dxa"/>
              <w:right w:w="15" w:type="dxa"/>
            </w:tcMar>
            <w:vAlign w:val="center"/>
          </w:tcPr>
          <w:p>
            <w:pPr>
              <w:widowControl/>
              <w:snapToGrid w:val="0"/>
              <w:spacing w:line="240" w:lineRule="auto"/>
              <w:ind w:firstLine="0" w:firstLineChars="0"/>
              <w:jc w:val="center"/>
              <w:rPr>
                <w:b/>
                <w:color w:val="auto"/>
                <w:sz w:val="22"/>
                <w:szCs w:val="22"/>
                <w:highlight w:val="none"/>
              </w:rPr>
            </w:pPr>
            <w:r>
              <w:rPr>
                <w:rFonts w:hint="eastAsia"/>
                <w:b/>
                <w:color w:val="auto"/>
                <w:sz w:val="22"/>
                <w:szCs w:val="22"/>
                <w:highlight w:val="none"/>
              </w:rPr>
              <w:t>自然植被</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760" w:type="dxa"/>
            <w:noWrap/>
            <w:tcMar>
              <w:top w:w="15" w:type="dxa"/>
              <w:left w:w="15" w:type="dxa"/>
              <w:bottom w:w="0" w:type="dxa"/>
              <w:right w:w="15" w:type="dxa"/>
            </w:tcMar>
            <w:vAlign w:val="center"/>
          </w:tcPr>
          <w:p>
            <w:pPr>
              <w:widowControl/>
              <w:adjustRightInd w:val="0"/>
              <w:snapToGrid w:val="0"/>
              <w:spacing w:line="340" w:lineRule="exact"/>
              <w:ind w:firstLine="0" w:firstLineChars="0"/>
              <w:jc w:val="center"/>
              <w:rPr>
                <w:rFonts w:hint="eastAsia" w:ascii="Times New Roman" w:hAnsi="Times New Roman" w:eastAsia="宋体" w:cs="Times New Roman"/>
                <w:b/>
                <w:color w:val="auto"/>
                <w:kern w:val="2"/>
                <w:sz w:val="22"/>
                <w:szCs w:val="22"/>
                <w:highlight w:val="none"/>
                <w:lang w:val="en-US" w:eastAsia="zh-CN" w:bidi="ar-SA"/>
              </w:rPr>
            </w:pPr>
            <w:r>
              <w:rPr>
                <w:rFonts w:hint="eastAsia"/>
                <w:b/>
                <w:color w:val="auto"/>
                <w:sz w:val="22"/>
                <w:szCs w:val="22"/>
                <w:highlight w:val="none"/>
              </w:rPr>
              <w:t>Ⅰ暖性针叶林</w:t>
            </w:r>
          </w:p>
        </w:tc>
        <w:tc>
          <w:tcPr>
            <w:tcW w:w="2256" w:type="dxa"/>
            <w:noWrap/>
            <w:tcMar>
              <w:top w:w="15" w:type="dxa"/>
              <w:left w:w="15" w:type="dxa"/>
              <w:bottom w:w="0" w:type="dxa"/>
              <w:right w:w="15" w:type="dxa"/>
            </w:tcMar>
            <w:vAlign w:val="center"/>
          </w:tcPr>
          <w:p>
            <w:pPr>
              <w:numPr>
                <w:ilvl w:val="0"/>
                <w:numId w:val="24"/>
              </w:numPr>
              <w:adjustRightInd w:val="0"/>
              <w:snapToGrid w:val="0"/>
              <w:spacing w:line="340" w:lineRule="exact"/>
              <w:ind w:left="0" w:leftChars="0"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暖性常绿针叶林</w:t>
            </w:r>
          </w:p>
        </w:tc>
        <w:tc>
          <w:tcPr>
            <w:tcW w:w="1788" w:type="dxa"/>
            <w:noWrap/>
            <w:tcMar>
              <w:top w:w="15" w:type="dxa"/>
              <w:left w:w="15" w:type="dxa"/>
              <w:bottom w:w="0" w:type="dxa"/>
              <w:right w:w="15" w:type="dxa"/>
            </w:tcMar>
            <w:vAlign w:val="center"/>
          </w:tcPr>
          <w:p>
            <w:pPr>
              <w:numPr>
                <w:ilvl w:val="0"/>
                <w:numId w:val="25"/>
              </w:numPr>
              <w:adjustRightInd w:val="0"/>
              <w:snapToGrid w:val="0"/>
              <w:spacing w:line="340" w:lineRule="exact"/>
              <w:ind w:left="0" w:leftChars="0"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柏木林</w:t>
            </w:r>
          </w:p>
        </w:tc>
        <w:tc>
          <w:tcPr>
            <w:tcW w:w="3000" w:type="dxa"/>
            <w:vAlign w:val="center"/>
          </w:tcPr>
          <w:p>
            <w:pPr>
              <w:adjustRightInd w:val="0"/>
              <w:snapToGrid w:val="0"/>
              <w:spacing w:line="340" w:lineRule="exact"/>
              <w:ind w:left="-3" w:leftChars="-1" w:firstLine="0" w:firstLineChars="0"/>
              <w:jc w:val="center"/>
              <w:rPr>
                <w:rFonts w:ascii="Times New Roman" w:hAnsi="Times New Roman" w:eastAsia="宋体" w:cs="Times New Roman"/>
                <w:i/>
                <w:iCs/>
                <w:color w:val="auto"/>
                <w:kern w:val="2"/>
                <w:sz w:val="22"/>
                <w:szCs w:val="22"/>
                <w:highlight w:val="none"/>
                <w:lang w:val="en-US" w:eastAsia="zh-CN" w:bidi="ar-SA"/>
              </w:rPr>
            </w:pPr>
            <w:r>
              <w:rPr>
                <w:color w:val="auto"/>
                <w:sz w:val="22"/>
                <w:szCs w:val="22"/>
                <w:highlight w:val="none"/>
              </w:rPr>
              <w:t>Form.</w:t>
            </w:r>
            <w:r>
              <w:rPr>
                <w:i/>
                <w:iCs/>
                <w:color w:val="auto"/>
                <w:sz w:val="22"/>
                <w:szCs w:val="22"/>
                <w:highlight w:val="none"/>
              </w:rPr>
              <w:t>Cupressus funebris</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760" w:type="dxa"/>
            <w:noWrap/>
            <w:tcMar>
              <w:top w:w="15" w:type="dxa"/>
              <w:left w:w="15" w:type="dxa"/>
              <w:bottom w:w="0" w:type="dxa"/>
              <w:right w:w="15" w:type="dxa"/>
            </w:tcMar>
            <w:vAlign w:val="center"/>
          </w:tcPr>
          <w:p>
            <w:pPr>
              <w:widowControl/>
              <w:adjustRightInd w:val="0"/>
              <w:snapToGrid w:val="0"/>
              <w:spacing w:line="340" w:lineRule="exact"/>
              <w:ind w:firstLine="0" w:firstLineChars="0"/>
              <w:jc w:val="center"/>
              <w:rPr>
                <w:rFonts w:hint="eastAsia" w:ascii="Times New Roman" w:hAnsi="Times New Roman" w:eastAsia="宋体" w:cs="Times New Roman"/>
                <w:b/>
                <w:color w:val="auto"/>
                <w:kern w:val="2"/>
                <w:sz w:val="22"/>
                <w:szCs w:val="22"/>
                <w:highlight w:val="none"/>
                <w:lang w:val="en-US" w:eastAsia="zh-CN" w:bidi="ar-SA"/>
              </w:rPr>
            </w:pPr>
            <w:r>
              <w:rPr>
                <w:rFonts w:hint="eastAsia"/>
                <w:b/>
                <w:color w:val="auto"/>
                <w:sz w:val="22"/>
                <w:szCs w:val="22"/>
                <w:highlight w:val="none"/>
              </w:rPr>
              <w:t>Ⅱ常绿阔叶林</w:t>
            </w:r>
          </w:p>
        </w:tc>
        <w:tc>
          <w:tcPr>
            <w:tcW w:w="2256" w:type="dxa"/>
            <w:noWrap/>
            <w:tcMar>
              <w:top w:w="15" w:type="dxa"/>
              <w:left w:w="15" w:type="dxa"/>
              <w:bottom w:w="0" w:type="dxa"/>
              <w:right w:w="15" w:type="dxa"/>
            </w:tcMar>
            <w:vAlign w:val="center"/>
          </w:tcPr>
          <w:p>
            <w:pPr>
              <w:numPr>
                <w:ilvl w:val="0"/>
                <w:numId w:val="24"/>
              </w:numPr>
              <w:adjustRightInd w:val="0"/>
              <w:snapToGrid w:val="0"/>
              <w:spacing w:line="340" w:lineRule="exact"/>
              <w:ind w:left="0" w:leftChars="0"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典型常绿阔叶林</w:t>
            </w:r>
          </w:p>
        </w:tc>
        <w:tc>
          <w:tcPr>
            <w:tcW w:w="1788" w:type="dxa"/>
            <w:noWrap/>
            <w:tcMar>
              <w:top w:w="15" w:type="dxa"/>
              <w:left w:w="15" w:type="dxa"/>
              <w:bottom w:w="0" w:type="dxa"/>
              <w:right w:w="15" w:type="dxa"/>
            </w:tcMar>
            <w:vAlign w:val="center"/>
          </w:tcPr>
          <w:p>
            <w:pPr>
              <w:numPr>
                <w:ilvl w:val="0"/>
                <w:numId w:val="25"/>
              </w:numPr>
              <w:adjustRightInd w:val="0"/>
              <w:snapToGrid w:val="0"/>
              <w:spacing w:line="340" w:lineRule="exact"/>
              <w:ind w:left="0" w:leftChars="0"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青冈林</w:t>
            </w:r>
          </w:p>
        </w:tc>
        <w:tc>
          <w:tcPr>
            <w:tcW w:w="3000" w:type="dxa"/>
            <w:vAlign w:val="center"/>
          </w:tcPr>
          <w:p>
            <w:pPr>
              <w:adjustRightInd w:val="0"/>
              <w:snapToGrid w:val="0"/>
              <w:spacing w:line="340" w:lineRule="exact"/>
              <w:ind w:left="-3" w:leftChars="-1" w:firstLine="0" w:firstLineChars="0"/>
              <w:jc w:val="center"/>
              <w:rPr>
                <w:rFonts w:ascii="Times New Roman" w:hAnsi="Times New Roman" w:eastAsia="宋体" w:cs="Times New Roman"/>
                <w:i/>
                <w:iCs/>
                <w:color w:val="auto"/>
                <w:kern w:val="2"/>
                <w:sz w:val="22"/>
                <w:szCs w:val="22"/>
                <w:highlight w:val="none"/>
                <w:lang w:val="en-US" w:eastAsia="zh-CN" w:bidi="ar-SA"/>
              </w:rPr>
            </w:pPr>
            <w:r>
              <w:rPr>
                <w:color w:val="auto"/>
                <w:sz w:val="22"/>
                <w:szCs w:val="22"/>
                <w:highlight w:val="none"/>
              </w:rPr>
              <w:t xml:space="preserve">Form. </w:t>
            </w:r>
            <w:r>
              <w:rPr>
                <w:i/>
                <w:iCs/>
                <w:color w:val="auto"/>
                <w:sz w:val="22"/>
                <w:szCs w:val="22"/>
                <w:highlight w:val="none"/>
              </w:rPr>
              <w:t xml:space="preserve">Cyclobalanopsis </w:t>
            </w:r>
            <w:r>
              <w:rPr>
                <w:i/>
                <w:iCs/>
                <w:color w:val="auto"/>
                <w:sz w:val="22"/>
                <w:szCs w:val="22"/>
                <w:highlight w:val="none"/>
                <w:shd w:val="clear" w:fill="FFFFFF"/>
              </w:rPr>
              <w:t>Oerst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760" w:type="dxa"/>
            <w:noWrap/>
            <w:tcMar>
              <w:top w:w="15" w:type="dxa"/>
              <w:left w:w="15" w:type="dxa"/>
              <w:bottom w:w="0" w:type="dxa"/>
              <w:right w:w="15" w:type="dxa"/>
            </w:tcMar>
            <w:vAlign w:val="center"/>
          </w:tcPr>
          <w:p>
            <w:pPr>
              <w:widowControl/>
              <w:adjustRightInd w:val="0"/>
              <w:snapToGrid w:val="0"/>
              <w:spacing w:line="340" w:lineRule="exact"/>
              <w:ind w:firstLine="0" w:firstLineChars="0"/>
              <w:jc w:val="center"/>
              <w:rPr>
                <w:rFonts w:ascii="Times New Roman" w:hAnsi="Times New Roman" w:eastAsia="宋体" w:cs="Times New Roman"/>
                <w:b/>
                <w:color w:val="auto"/>
                <w:kern w:val="2"/>
                <w:sz w:val="22"/>
                <w:szCs w:val="22"/>
                <w:highlight w:val="none"/>
                <w:lang w:val="en-US" w:eastAsia="zh-CN" w:bidi="ar-SA"/>
              </w:rPr>
            </w:pPr>
            <w:r>
              <w:rPr>
                <w:rFonts w:hint="eastAsia"/>
                <w:b/>
                <w:color w:val="auto"/>
                <w:sz w:val="22"/>
                <w:szCs w:val="22"/>
                <w:highlight w:val="none"/>
              </w:rPr>
              <w:t>Ⅲ落叶阔叶林</w:t>
            </w:r>
          </w:p>
        </w:tc>
        <w:tc>
          <w:tcPr>
            <w:tcW w:w="2256" w:type="dxa"/>
            <w:noWrap/>
            <w:tcMar>
              <w:top w:w="15" w:type="dxa"/>
              <w:left w:w="15" w:type="dxa"/>
              <w:bottom w:w="0" w:type="dxa"/>
              <w:right w:w="15" w:type="dxa"/>
            </w:tcMar>
            <w:vAlign w:val="center"/>
          </w:tcPr>
          <w:p>
            <w:pPr>
              <w:numPr>
                <w:ilvl w:val="0"/>
                <w:numId w:val="24"/>
              </w:numPr>
              <w:adjustRightInd w:val="0"/>
              <w:snapToGrid w:val="0"/>
              <w:spacing w:line="340" w:lineRule="exact"/>
              <w:ind w:firstLine="0" w:firstLineChars="0"/>
              <w:jc w:val="center"/>
              <w:rPr>
                <w:color w:val="auto"/>
                <w:sz w:val="22"/>
                <w:szCs w:val="22"/>
                <w:highlight w:val="none"/>
              </w:rPr>
            </w:pPr>
            <w:r>
              <w:rPr>
                <w:rFonts w:hint="eastAsia"/>
                <w:color w:val="auto"/>
                <w:sz w:val="22"/>
                <w:szCs w:val="22"/>
                <w:highlight w:val="none"/>
              </w:rPr>
              <w:t>落叶阔叶杂木林</w:t>
            </w:r>
          </w:p>
        </w:tc>
        <w:tc>
          <w:tcPr>
            <w:tcW w:w="1788" w:type="dxa"/>
            <w:noWrap/>
            <w:tcMar>
              <w:top w:w="15" w:type="dxa"/>
              <w:left w:w="15" w:type="dxa"/>
              <w:bottom w:w="0" w:type="dxa"/>
              <w:right w:w="15" w:type="dxa"/>
            </w:tcMar>
            <w:vAlign w:val="center"/>
          </w:tcPr>
          <w:p>
            <w:pPr>
              <w:numPr>
                <w:ilvl w:val="0"/>
                <w:numId w:val="25"/>
              </w:numPr>
              <w:adjustRightInd w:val="0"/>
              <w:snapToGrid w:val="0"/>
              <w:spacing w:line="340" w:lineRule="exact"/>
              <w:ind w:firstLine="0" w:firstLineChars="0"/>
              <w:jc w:val="center"/>
              <w:rPr>
                <w:color w:val="auto"/>
                <w:sz w:val="22"/>
                <w:szCs w:val="22"/>
                <w:highlight w:val="none"/>
              </w:rPr>
            </w:pPr>
            <w:r>
              <w:rPr>
                <w:rFonts w:hint="eastAsia"/>
                <w:color w:val="auto"/>
                <w:sz w:val="22"/>
                <w:highlight w:val="none"/>
              </w:rPr>
              <w:t>枫杨林</w:t>
            </w:r>
          </w:p>
        </w:tc>
        <w:tc>
          <w:tcPr>
            <w:tcW w:w="3000" w:type="dxa"/>
            <w:vAlign w:val="center"/>
          </w:tcPr>
          <w:p>
            <w:pPr>
              <w:adjustRightInd w:val="0"/>
              <w:snapToGrid w:val="0"/>
              <w:spacing w:line="340" w:lineRule="exact"/>
              <w:ind w:left="-3" w:leftChars="-1" w:firstLine="0" w:firstLineChars="0"/>
              <w:jc w:val="center"/>
              <w:rPr>
                <w:color w:val="auto"/>
                <w:sz w:val="22"/>
                <w:szCs w:val="22"/>
                <w:highlight w:val="none"/>
              </w:rPr>
            </w:pPr>
            <w:r>
              <w:rPr>
                <w:color w:val="auto"/>
                <w:sz w:val="22"/>
                <w:highlight w:val="none"/>
              </w:rPr>
              <w:t xml:space="preserve">Form. </w:t>
            </w:r>
            <w:r>
              <w:rPr>
                <w:i/>
                <w:iCs/>
                <w:color w:val="auto"/>
                <w:sz w:val="22"/>
                <w:highlight w:val="none"/>
                <w:shd w:val="clear" w:fill="FFFFFF"/>
              </w:rPr>
              <w:t>Pterocarya</w:t>
            </w:r>
            <w:r>
              <w:rPr>
                <w:i/>
                <w:iCs/>
                <w:color w:val="auto"/>
                <w:sz w:val="22"/>
                <w:highlight w:val="none"/>
              </w:rPr>
              <w:t xml:space="preserve"> stenoptera</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760" w:type="dxa"/>
            <w:noWrap/>
            <w:tcMar>
              <w:top w:w="15" w:type="dxa"/>
              <w:left w:w="15" w:type="dxa"/>
              <w:bottom w:w="0" w:type="dxa"/>
              <w:right w:w="15" w:type="dxa"/>
            </w:tcMar>
            <w:vAlign w:val="center"/>
          </w:tcPr>
          <w:p>
            <w:pPr>
              <w:widowControl/>
              <w:adjustRightInd w:val="0"/>
              <w:snapToGrid w:val="0"/>
              <w:spacing w:line="340" w:lineRule="exact"/>
              <w:ind w:firstLine="0" w:firstLineChars="0"/>
              <w:jc w:val="center"/>
              <w:rPr>
                <w:rFonts w:ascii="Times New Roman" w:hAnsi="Times New Roman" w:eastAsia="宋体" w:cs="Times New Roman"/>
                <w:b/>
                <w:color w:val="auto"/>
                <w:kern w:val="2"/>
                <w:sz w:val="22"/>
                <w:szCs w:val="22"/>
                <w:highlight w:val="none"/>
                <w:lang w:val="en-US" w:eastAsia="zh-CN" w:bidi="ar-SA"/>
              </w:rPr>
            </w:pPr>
            <w:r>
              <w:rPr>
                <w:rFonts w:hint="eastAsia"/>
                <w:b/>
                <w:color w:val="auto"/>
                <w:sz w:val="22"/>
                <w:szCs w:val="22"/>
                <w:highlight w:val="none"/>
              </w:rPr>
              <w:t>Ⅳ竹林</w:t>
            </w:r>
          </w:p>
        </w:tc>
        <w:tc>
          <w:tcPr>
            <w:tcW w:w="2256" w:type="dxa"/>
            <w:noWrap/>
            <w:tcMar>
              <w:top w:w="15" w:type="dxa"/>
              <w:left w:w="15" w:type="dxa"/>
              <w:bottom w:w="0" w:type="dxa"/>
              <w:right w:w="15" w:type="dxa"/>
            </w:tcMar>
            <w:vAlign w:val="center"/>
          </w:tcPr>
          <w:p>
            <w:pPr>
              <w:numPr>
                <w:ilvl w:val="0"/>
                <w:numId w:val="24"/>
              </w:numPr>
              <w:adjustRightInd w:val="0"/>
              <w:snapToGrid w:val="0"/>
              <w:spacing w:line="340" w:lineRule="exact"/>
              <w:ind w:firstLine="0" w:firstLineChars="0"/>
              <w:jc w:val="center"/>
              <w:rPr>
                <w:color w:val="auto"/>
                <w:sz w:val="22"/>
                <w:szCs w:val="22"/>
                <w:highlight w:val="none"/>
              </w:rPr>
            </w:pPr>
            <w:r>
              <w:rPr>
                <w:rFonts w:hint="eastAsia"/>
                <w:color w:val="auto"/>
                <w:sz w:val="22"/>
                <w:szCs w:val="22"/>
                <w:highlight w:val="none"/>
              </w:rPr>
              <w:t>暖性竹林</w:t>
            </w:r>
          </w:p>
        </w:tc>
        <w:tc>
          <w:tcPr>
            <w:tcW w:w="1788" w:type="dxa"/>
            <w:noWrap/>
            <w:tcMar>
              <w:top w:w="15" w:type="dxa"/>
              <w:left w:w="15" w:type="dxa"/>
              <w:bottom w:w="0" w:type="dxa"/>
              <w:right w:w="15" w:type="dxa"/>
            </w:tcMar>
            <w:vAlign w:val="center"/>
          </w:tcPr>
          <w:p>
            <w:pPr>
              <w:numPr>
                <w:ilvl w:val="0"/>
                <w:numId w:val="25"/>
              </w:numPr>
              <w:adjustRightInd w:val="0"/>
              <w:snapToGrid w:val="0"/>
              <w:spacing w:line="340" w:lineRule="exact"/>
              <w:ind w:firstLine="0" w:firstLineChars="0"/>
              <w:jc w:val="center"/>
              <w:rPr>
                <w:color w:val="auto"/>
                <w:sz w:val="22"/>
                <w:szCs w:val="22"/>
                <w:highlight w:val="none"/>
              </w:rPr>
            </w:pPr>
            <w:r>
              <w:rPr>
                <w:rFonts w:hint="eastAsia"/>
                <w:color w:val="auto"/>
                <w:sz w:val="22"/>
                <w:szCs w:val="22"/>
                <w:highlight w:val="none"/>
              </w:rPr>
              <w:t>慈竹林</w:t>
            </w:r>
          </w:p>
        </w:tc>
        <w:tc>
          <w:tcPr>
            <w:tcW w:w="3000" w:type="dxa"/>
            <w:vAlign w:val="center"/>
          </w:tcPr>
          <w:p>
            <w:pPr>
              <w:widowControl/>
              <w:adjustRightInd w:val="0"/>
              <w:snapToGrid w:val="0"/>
              <w:spacing w:line="340" w:lineRule="exact"/>
              <w:ind w:left="-3" w:leftChars="-1" w:firstLine="0" w:firstLineChars="0"/>
              <w:jc w:val="center"/>
              <w:rPr>
                <w:color w:val="auto"/>
                <w:sz w:val="22"/>
                <w:szCs w:val="22"/>
                <w:highlight w:val="none"/>
              </w:rPr>
            </w:pPr>
            <w:r>
              <w:rPr>
                <w:color w:val="auto"/>
                <w:sz w:val="22"/>
                <w:szCs w:val="22"/>
                <w:highlight w:val="none"/>
              </w:rPr>
              <w:t>Form.</w:t>
            </w:r>
            <w:r>
              <w:rPr>
                <w:color w:val="auto"/>
                <w:sz w:val="22"/>
                <w:szCs w:val="22"/>
                <w:highlight w:val="none"/>
                <w:shd w:val="clear" w:color="auto" w:fill="FFFFFF"/>
              </w:rPr>
              <w:t xml:space="preserve"> </w:t>
            </w:r>
            <w:r>
              <w:rPr>
                <w:i/>
                <w:iCs/>
                <w:color w:val="auto"/>
                <w:sz w:val="22"/>
                <w:szCs w:val="22"/>
                <w:highlight w:val="none"/>
                <w:shd w:val="clear" w:color="auto" w:fill="FFFFFF"/>
              </w:rPr>
              <w:t>Neosinocalamus affinis</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760" w:type="dxa"/>
            <w:vMerge w:val="restart"/>
            <w:noWrap/>
            <w:tcMar>
              <w:top w:w="15" w:type="dxa"/>
              <w:left w:w="15" w:type="dxa"/>
              <w:bottom w:w="0" w:type="dxa"/>
              <w:right w:w="15" w:type="dxa"/>
            </w:tcMar>
            <w:vAlign w:val="center"/>
          </w:tcPr>
          <w:p>
            <w:pPr>
              <w:widowControl/>
              <w:snapToGrid w:val="0"/>
              <w:spacing w:line="240" w:lineRule="auto"/>
              <w:ind w:firstLine="0" w:firstLineChars="0"/>
              <w:jc w:val="center"/>
              <w:rPr>
                <w:rFonts w:hint="eastAsia" w:eastAsia="宋体"/>
                <w:b/>
                <w:color w:val="auto"/>
                <w:sz w:val="22"/>
                <w:szCs w:val="22"/>
                <w:highlight w:val="none"/>
                <w:lang w:eastAsia="zh-CN"/>
              </w:rPr>
            </w:pPr>
            <w:r>
              <w:rPr>
                <w:rFonts w:hint="eastAsia"/>
                <w:b/>
                <w:color w:val="auto"/>
                <w:sz w:val="22"/>
                <w:szCs w:val="22"/>
                <w:highlight w:val="none"/>
              </w:rPr>
              <w:t>Ⅴ落叶阔叶灌丛</w:t>
            </w:r>
          </w:p>
        </w:tc>
        <w:tc>
          <w:tcPr>
            <w:tcW w:w="2256" w:type="dxa"/>
            <w:vMerge w:val="restart"/>
            <w:noWrap/>
            <w:tcMar>
              <w:top w:w="15" w:type="dxa"/>
              <w:left w:w="15" w:type="dxa"/>
              <w:bottom w:w="0" w:type="dxa"/>
              <w:right w:w="15" w:type="dxa"/>
            </w:tcMar>
            <w:vAlign w:val="center"/>
          </w:tcPr>
          <w:p>
            <w:pPr>
              <w:numPr>
                <w:ilvl w:val="0"/>
                <w:numId w:val="24"/>
              </w:numPr>
              <w:adjustRightInd w:val="0"/>
              <w:snapToGrid w:val="0"/>
              <w:spacing w:line="340" w:lineRule="exact"/>
              <w:ind w:firstLine="0" w:firstLineChars="0"/>
              <w:jc w:val="center"/>
              <w:rPr>
                <w:color w:val="auto"/>
                <w:sz w:val="22"/>
                <w:szCs w:val="22"/>
                <w:highlight w:val="none"/>
              </w:rPr>
            </w:pPr>
            <w:r>
              <w:rPr>
                <w:rFonts w:hint="eastAsia"/>
                <w:color w:val="auto"/>
                <w:sz w:val="22"/>
                <w:szCs w:val="22"/>
                <w:highlight w:val="none"/>
              </w:rPr>
              <w:t>暖性落叶阔叶灌丛</w:t>
            </w:r>
          </w:p>
        </w:tc>
        <w:tc>
          <w:tcPr>
            <w:tcW w:w="1788" w:type="dxa"/>
            <w:noWrap/>
            <w:tcMar>
              <w:top w:w="15" w:type="dxa"/>
              <w:left w:w="15" w:type="dxa"/>
              <w:bottom w:w="0" w:type="dxa"/>
              <w:right w:w="15" w:type="dxa"/>
            </w:tcMar>
            <w:vAlign w:val="center"/>
          </w:tcPr>
          <w:p>
            <w:pPr>
              <w:numPr>
                <w:ilvl w:val="0"/>
                <w:numId w:val="25"/>
              </w:numPr>
              <w:adjustRightInd w:val="0"/>
              <w:snapToGrid w:val="0"/>
              <w:spacing w:line="340" w:lineRule="exact"/>
              <w:ind w:firstLine="0" w:firstLineChars="0"/>
              <w:jc w:val="center"/>
              <w:rPr>
                <w:color w:val="auto"/>
                <w:sz w:val="22"/>
                <w:szCs w:val="22"/>
                <w:highlight w:val="none"/>
              </w:rPr>
            </w:pPr>
            <w:r>
              <w:rPr>
                <w:rFonts w:hint="eastAsia"/>
                <w:color w:val="auto"/>
                <w:sz w:val="22"/>
                <w:highlight w:val="none"/>
              </w:rPr>
              <w:t>小叶女贞灌丛</w:t>
            </w:r>
          </w:p>
        </w:tc>
        <w:tc>
          <w:tcPr>
            <w:tcW w:w="3000" w:type="dxa"/>
            <w:vAlign w:val="center"/>
          </w:tcPr>
          <w:p>
            <w:pPr>
              <w:widowControl/>
              <w:snapToGrid w:val="0"/>
              <w:spacing w:line="240" w:lineRule="auto"/>
              <w:ind w:left="-1" w:leftChars="-1" w:hanging="2" w:hangingChars="1"/>
              <w:jc w:val="center"/>
              <w:rPr>
                <w:color w:val="auto"/>
                <w:sz w:val="22"/>
                <w:szCs w:val="22"/>
                <w:highlight w:val="none"/>
              </w:rPr>
            </w:pPr>
            <w:r>
              <w:rPr>
                <w:rFonts w:hint="eastAsia"/>
                <w:color w:val="auto"/>
                <w:sz w:val="22"/>
                <w:highlight w:val="none"/>
              </w:rPr>
              <w:t xml:space="preserve">Form. </w:t>
            </w:r>
            <w:r>
              <w:rPr>
                <w:rStyle w:val="33"/>
                <w:rFonts w:hint="eastAsia"/>
                <w:color w:val="auto"/>
                <w:sz w:val="22"/>
                <w:highlight w:val="none"/>
              </w:rPr>
              <w:t xml:space="preserve">Ligustrum </w:t>
            </w:r>
            <w:r>
              <w:rPr>
                <w:rStyle w:val="33"/>
                <w:rFonts w:hint="eastAsia"/>
                <w:color w:val="auto"/>
                <w:sz w:val="22"/>
                <w:highlight w:val="none"/>
                <w:shd w:val="clear" w:fill="FFFFFF"/>
              </w:rPr>
              <w:t>quihoui</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760" w:type="dxa"/>
            <w:vMerge w:val="continue"/>
            <w:noWrap/>
            <w:tcMar>
              <w:top w:w="15" w:type="dxa"/>
              <w:left w:w="15" w:type="dxa"/>
              <w:bottom w:w="0" w:type="dxa"/>
              <w:right w:w="15" w:type="dxa"/>
            </w:tcMar>
            <w:vAlign w:val="center"/>
          </w:tcPr>
          <w:p>
            <w:pPr>
              <w:widowControl/>
              <w:snapToGrid w:val="0"/>
              <w:spacing w:line="240" w:lineRule="auto"/>
              <w:ind w:firstLine="0" w:firstLineChars="0"/>
              <w:jc w:val="center"/>
              <w:rPr>
                <w:rFonts w:hint="eastAsia" w:ascii="Times New Roman" w:hAnsi="Times New Roman" w:eastAsia="宋体" w:cs="Times New Roman"/>
                <w:b/>
                <w:color w:val="auto"/>
                <w:kern w:val="2"/>
                <w:sz w:val="22"/>
                <w:szCs w:val="22"/>
                <w:highlight w:val="none"/>
                <w:lang w:val="en-US" w:eastAsia="zh-CN" w:bidi="ar-SA"/>
              </w:rPr>
            </w:pPr>
          </w:p>
        </w:tc>
        <w:tc>
          <w:tcPr>
            <w:tcW w:w="2256" w:type="dxa"/>
            <w:vMerge w:val="continue"/>
            <w:noWrap/>
            <w:tcMar>
              <w:top w:w="15" w:type="dxa"/>
              <w:left w:w="15" w:type="dxa"/>
              <w:bottom w:w="0" w:type="dxa"/>
              <w:right w:w="15" w:type="dxa"/>
            </w:tcMar>
            <w:vAlign w:val="center"/>
          </w:tcPr>
          <w:p>
            <w:pPr>
              <w:adjustRightInd w:val="0"/>
              <w:snapToGrid w:val="0"/>
              <w:spacing w:line="340" w:lineRule="exact"/>
              <w:ind w:firstLine="0" w:firstLineChars="0"/>
              <w:jc w:val="center"/>
              <w:rPr>
                <w:rFonts w:hint="eastAsia"/>
                <w:color w:val="auto"/>
                <w:sz w:val="22"/>
                <w:szCs w:val="22"/>
                <w:highlight w:val="none"/>
              </w:rPr>
            </w:pPr>
          </w:p>
        </w:tc>
        <w:tc>
          <w:tcPr>
            <w:tcW w:w="1788" w:type="dxa"/>
            <w:noWrap/>
            <w:tcMar>
              <w:top w:w="15" w:type="dxa"/>
              <w:left w:w="15" w:type="dxa"/>
              <w:bottom w:w="0" w:type="dxa"/>
              <w:right w:w="15" w:type="dxa"/>
            </w:tcMar>
            <w:vAlign w:val="center"/>
          </w:tcPr>
          <w:p>
            <w:pPr>
              <w:numPr>
                <w:ilvl w:val="0"/>
                <w:numId w:val="25"/>
              </w:numPr>
              <w:adjustRightInd w:val="0"/>
              <w:snapToGrid w:val="0"/>
              <w:spacing w:line="340" w:lineRule="exact"/>
              <w:ind w:firstLine="0" w:firstLineChars="0"/>
              <w:jc w:val="center"/>
              <w:rPr>
                <w:rFonts w:hint="eastAsia"/>
                <w:color w:val="auto"/>
                <w:sz w:val="22"/>
                <w:highlight w:val="none"/>
              </w:rPr>
            </w:pPr>
            <w:r>
              <w:rPr>
                <w:rFonts w:hint="eastAsia"/>
                <w:color w:val="auto"/>
                <w:sz w:val="22"/>
                <w:highlight w:val="none"/>
                <w:lang w:eastAsia="zh-CN"/>
              </w:rPr>
              <w:t>构树灌丛</w:t>
            </w:r>
          </w:p>
        </w:tc>
        <w:tc>
          <w:tcPr>
            <w:tcW w:w="3000" w:type="dxa"/>
            <w:vAlign w:val="center"/>
          </w:tcPr>
          <w:p>
            <w:pPr>
              <w:widowControl/>
              <w:snapToGrid w:val="0"/>
              <w:spacing w:line="240" w:lineRule="auto"/>
              <w:ind w:left="-1" w:leftChars="-1" w:hanging="2" w:hangingChars="1"/>
              <w:jc w:val="center"/>
              <w:rPr>
                <w:rFonts w:hint="eastAsia"/>
                <w:color w:val="auto"/>
                <w:sz w:val="22"/>
                <w:highlight w:val="none"/>
              </w:rPr>
            </w:pPr>
            <w:r>
              <w:rPr>
                <w:rFonts w:hint="eastAsia"/>
                <w:color w:val="auto"/>
                <w:sz w:val="22"/>
                <w:highlight w:val="none"/>
              </w:rPr>
              <w:t xml:space="preserve">Form. </w:t>
            </w:r>
            <w:r>
              <w:rPr>
                <w:rFonts w:hint="eastAsia"/>
                <w:i/>
                <w:iCs/>
                <w:color w:val="auto"/>
                <w:sz w:val="22"/>
                <w:highlight w:val="none"/>
              </w:rPr>
              <w:t>Broussonetia papyrifera</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760" w:type="dxa"/>
            <w:vMerge w:val="restart"/>
            <w:noWrap/>
            <w:tcMar>
              <w:top w:w="15" w:type="dxa"/>
              <w:left w:w="15" w:type="dxa"/>
              <w:bottom w:w="0" w:type="dxa"/>
              <w:right w:w="15" w:type="dxa"/>
            </w:tcMar>
            <w:vAlign w:val="center"/>
          </w:tcPr>
          <w:p>
            <w:pPr>
              <w:widowControl/>
              <w:snapToGrid w:val="0"/>
              <w:spacing w:line="240" w:lineRule="auto"/>
              <w:ind w:firstLine="0" w:firstLineChars="0"/>
              <w:jc w:val="center"/>
              <w:rPr>
                <w:b/>
                <w:color w:val="auto"/>
                <w:sz w:val="22"/>
                <w:szCs w:val="22"/>
                <w:highlight w:val="none"/>
              </w:rPr>
            </w:pPr>
            <w:r>
              <w:rPr>
                <w:rFonts w:hint="eastAsia"/>
                <w:b/>
                <w:color w:val="auto"/>
                <w:sz w:val="22"/>
                <w:szCs w:val="22"/>
                <w:highlight w:val="none"/>
              </w:rPr>
              <w:t>Ⅵ灌草丛</w:t>
            </w:r>
          </w:p>
        </w:tc>
        <w:tc>
          <w:tcPr>
            <w:tcW w:w="2256" w:type="dxa"/>
            <w:vMerge w:val="restart"/>
            <w:noWrap/>
            <w:tcMar>
              <w:top w:w="15" w:type="dxa"/>
              <w:left w:w="15" w:type="dxa"/>
              <w:bottom w:w="0" w:type="dxa"/>
              <w:right w:w="15" w:type="dxa"/>
            </w:tcMar>
            <w:vAlign w:val="center"/>
          </w:tcPr>
          <w:p>
            <w:pPr>
              <w:numPr>
                <w:ilvl w:val="0"/>
                <w:numId w:val="24"/>
              </w:numPr>
              <w:adjustRightInd w:val="0"/>
              <w:snapToGrid w:val="0"/>
              <w:spacing w:line="340" w:lineRule="exact"/>
              <w:ind w:firstLine="0" w:firstLineChars="0"/>
              <w:jc w:val="center"/>
              <w:rPr>
                <w:color w:val="auto"/>
                <w:sz w:val="22"/>
                <w:szCs w:val="22"/>
                <w:highlight w:val="none"/>
              </w:rPr>
            </w:pPr>
            <w:r>
              <w:rPr>
                <w:rFonts w:hint="eastAsia"/>
                <w:color w:val="auto"/>
                <w:sz w:val="22"/>
                <w:szCs w:val="22"/>
                <w:highlight w:val="none"/>
              </w:rPr>
              <w:t>暖热性灌草丛</w:t>
            </w:r>
          </w:p>
        </w:tc>
        <w:tc>
          <w:tcPr>
            <w:tcW w:w="1788" w:type="dxa"/>
            <w:noWrap/>
            <w:tcMar>
              <w:top w:w="15" w:type="dxa"/>
              <w:left w:w="15" w:type="dxa"/>
              <w:bottom w:w="0" w:type="dxa"/>
              <w:right w:w="15" w:type="dxa"/>
            </w:tcMar>
            <w:vAlign w:val="center"/>
          </w:tcPr>
          <w:p>
            <w:pPr>
              <w:numPr>
                <w:ilvl w:val="0"/>
                <w:numId w:val="25"/>
              </w:numPr>
              <w:adjustRightInd w:val="0"/>
              <w:snapToGrid w:val="0"/>
              <w:spacing w:line="340" w:lineRule="exact"/>
              <w:ind w:left="0" w:leftChars="0"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斑茅草丛</w:t>
            </w:r>
          </w:p>
        </w:tc>
        <w:tc>
          <w:tcPr>
            <w:tcW w:w="3000" w:type="dxa"/>
            <w:vAlign w:val="center"/>
          </w:tcPr>
          <w:p>
            <w:pPr>
              <w:widowControl/>
              <w:snapToGrid w:val="0"/>
              <w:spacing w:line="240" w:lineRule="auto"/>
              <w:ind w:firstLine="0" w:firstLineChars="0"/>
              <w:jc w:val="center"/>
              <w:rPr>
                <w:rFonts w:ascii="Times New Roman" w:hAnsi="Times New Roman" w:eastAsia="宋体" w:cs="Times New Roman"/>
                <w:color w:val="auto"/>
                <w:kern w:val="0"/>
                <w:sz w:val="22"/>
                <w:szCs w:val="22"/>
                <w:highlight w:val="none"/>
                <w:lang w:val="en-US" w:eastAsia="zh-CN" w:bidi="ar-SA"/>
              </w:rPr>
            </w:pPr>
            <w:r>
              <w:rPr>
                <w:color w:val="auto"/>
                <w:sz w:val="22"/>
                <w:szCs w:val="22"/>
                <w:highlight w:val="none"/>
              </w:rPr>
              <w:t>Form.</w:t>
            </w:r>
            <w:r>
              <w:rPr>
                <w:i/>
                <w:iCs/>
                <w:color w:val="auto"/>
                <w:sz w:val="22"/>
                <w:szCs w:val="22"/>
                <w:highlight w:val="none"/>
                <w:shd w:val="clear" w:color="auto" w:fill="FFFFFF"/>
              </w:rPr>
              <w:t xml:space="preserve"> Saccharum arundinaceum</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760" w:type="dxa"/>
            <w:vMerge w:val="continue"/>
            <w:noWrap/>
            <w:tcMar>
              <w:top w:w="15" w:type="dxa"/>
              <w:left w:w="15" w:type="dxa"/>
              <w:bottom w:w="0" w:type="dxa"/>
              <w:right w:w="15" w:type="dxa"/>
            </w:tcMar>
            <w:vAlign w:val="center"/>
          </w:tcPr>
          <w:p>
            <w:pPr>
              <w:widowControl/>
              <w:snapToGrid w:val="0"/>
              <w:spacing w:line="240" w:lineRule="auto"/>
              <w:ind w:firstLine="0" w:firstLineChars="0"/>
              <w:jc w:val="center"/>
              <w:rPr>
                <w:rFonts w:hint="eastAsia"/>
                <w:b/>
                <w:color w:val="auto"/>
                <w:sz w:val="22"/>
                <w:szCs w:val="22"/>
                <w:highlight w:val="none"/>
              </w:rPr>
            </w:pPr>
          </w:p>
        </w:tc>
        <w:tc>
          <w:tcPr>
            <w:tcW w:w="2256" w:type="dxa"/>
            <w:vMerge w:val="continue"/>
            <w:noWrap/>
            <w:tcMar>
              <w:top w:w="15" w:type="dxa"/>
              <w:left w:w="15" w:type="dxa"/>
              <w:bottom w:w="0" w:type="dxa"/>
              <w:right w:w="15" w:type="dxa"/>
            </w:tcMar>
            <w:vAlign w:val="center"/>
          </w:tcPr>
          <w:p>
            <w:pPr>
              <w:numPr>
                <w:ilvl w:val="0"/>
                <w:numId w:val="24"/>
              </w:numPr>
              <w:adjustRightInd w:val="0"/>
              <w:snapToGrid w:val="0"/>
              <w:spacing w:line="340" w:lineRule="exact"/>
              <w:ind w:firstLine="0" w:firstLineChars="0"/>
              <w:jc w:val="center"/>
              <w:rPr>
                <w:rFonts w:hint="eastAsia"/>
                <w:color w:val="auto"/>
                <w:sz w:val="22"/>
                <w:szCs w:val="22"/>
                <w:highlight w:val="none"/>
              </w:rPr>
            </w:pPr>
          </w:p>
        </w:tc>
        <w:tc>
          <w:tcPr>
            <w:tcW w:w="1788" w:type="dxa"/>
            <w:noWrap/>
            <w:tcMar>
              <w:top w:w="15" w:type="dxa"/>
              <w:left w:w="15" w:type="dxa"/>
              <w:bottom w:w="0" w:type="dxa"/>
              <w:right w:w="15" w:type="dxa"/>
            </w:tcMar>
            <w:vAlign w:val="center"/>
          </w:tcPr>
          <w:p>
            <w:pPr>
              <w:numPr>
                <w:ilvl w:val="0"/>
                <w:numId w:val="25"/>
              </w:numPr>
              <w:adjustRightInd w:val="0"/>
              <w:snapToGrid w:val="0"/>
              <w:spacing w:line="340" w:lineRule="exact"/>
              <w:ind w:left="0" w:leftChars="0" w:firstLine="0" w:firstLineChars="0"/>
              <w:jc w:val="center"/>
              <w:rPr>
                <w:rFonts w:hint="eastAsia"/>
                <w:color w:val="auto"/>
                <w:sz w:val="22"/>
                <w:szCs w:val="22"/>
                <w:highlight w:val="none"/>
              </w:rPr>
            </w:pPr>
            <w:r>
              <w:rPr>
                <w:rFonts w:hint="eastAsia"/>
                <w:color w:val="auto"/>
                <w:sz w:val="22"/>
                <w:szCs w:val="22"/>
                <w:highlight w:val="none"/>
                <w:lang w:eastAsia="zh-CN"/>
              </w:rPr>
              <w:t>白茅草丛</w:t>
            </w:r>
          </w:p>
        </w:tc>
        <w:tc>
          <w:tcPr>
            <w:tcW w:w="3000" w:type="dxa"/>
            <w:vAlign w:val="center"/>
          </w:tcPr>
          <w:p>
            <w:pPr>
              <w:widowControl/>
              <w:snapToGrid w:val="0"/>
              <w:spacing w:line="240" w:lineRule="auto"/>
              <w:ind w:firstLine="0" w:firstLineChars="0"/>
              <w:jc w:val="center"/>
              <w:rPr>
                <w:color w:val="auto"/>
                <w:sz w:val="22"/>
                <w:szCs w:val="22"/>
                <w:highlight w:val="none"/>
              </w:rPr>
            </w:pPr>
            <w:r>
              <w:rPr>
                <w:color w:val="auto"/>
                <w:sz w:val="22"/>
                <w:szCs w:val="22"/>
                <w:highlight w:val="none"/>
              </w:rPr>
              <w:t>Form</w:t>
            </w:r>
            <w:r>
              <w:rPr>
                <w:i/>
                <w:iCs/>
                <w:color w:val="auto"/>
                <w:sz w:val="22"/>
                <w:szCs w:val="22"/>
                <w:highlight w:val="none"/>
              </w:rPr>
              <w:t>.</w:t>
            </w:r>
            <w:r>
              <w:rPr>
                <w:rFonts w:hint="eastAsia"/>
                <w:i/>
                <w:iCs/>
                <w:color w:val="auto"/>
                <w:sz w:val="22"/>
                <w:szCs w:val="22"/>
                <w:highlight w:val="none"/>
              </w:rPr>
              <w:t>Imperata cylindrica</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760" w:type="dxa"/>
            <w:vMerge w:val="continue"/>
            <w:noWrap/>
            <w:tcMar>
              <w:top w:w="15" w:type="dxa"/>
              <w:left w:w="15" w:type="dxa"/>
              <w:bottom w:w="0" w:type="dxa"/>
              <w:right w:w="15" w:type="dxa"/>
            </w:tcMar>
            <w:vAlign w:val="center"/>
          </w:tcPr>
          <w:p>
            <w:pPr>
              <w:widowControl/>
              <w:snapToGrid w:val="0"/>
              <w:spacing w:line="240" w:lineRule="auto"/>
              <w:ind w:firstLine="0" w:firstLineChars="0"/>
              <w:jc w:val="center"/>
              <w:rPr>
                <w:rFonts w:hint="eastAsia"/>
                <w:b/>
                <w:color w:val="auto"/>
                <w:sz w:val="22"/>
                <w:szCs w:val="22"/>
                <w:highlight w:val="none"/>
              </w:rPr>
            </w:pPr>
          </w:p>
        </w:tc>
        <w:tc>
          <w:tcPr>
            <w:tcW w:w="2256" w:type="dxa"/>
            <w:vMerge w:val="continue"/>
            <w:noWrap/>
            <w:tcMar>
              <w:top w:w="15" w:type="dxa"/>
              <w:left w:w="15" w:type="dxa"/>
              <w:bottom w:w="0" w:type="dxa"/>
              <w:right w:w="15" w:type="dxa"/>
            </w:tcMar>
            <w:vAlign w:val="center"/>
          </w:tcPr>
          <w:p>
            <w:pPr>
              <w:adjustRightInd w:val="0"/>
              <w:snapToGrid w:val="0"/>
              <w:spacing w:line="340" w:lineRule="exact"/>
              <w:ind w:firstLine="0" w:firstLineChars="0"/>
              <w:jc w:val="center"/>
              <w:rPr>
                <w:rFonts w:hint="eastAsia"/>
                <w:color w:val="auto"/>
                <w:sz w:val="22"/>
                <w:szCs w:val="22"/>
                <w:highlight w:val="none"/>
              </w:rPr>
            </w:pPr>
          </w:p>
        </w:tc>
        <w:tc>
          <w:tcPr>
            <w:tcW w:w="1788" w:type="dxa"/>
            <w:noWrap/>
            <w:tcMar>
              <w:top w:w="15" w:type="dxa"/>
              <w:left w:w="15" w:type="dxa"/>
              <w:bottom w:w="0" w:type="dxa"/>
              <w:right w:w="15" w:type="dxa"/>
            </w:tcMar>
            <w:vAlign w:val="center"/>
          </w:tcPr>
          <w:p>
            <w:pPr>
              <w:numPr>
                <w:ilvl w:val="0"/>
                <w:numId w:val="25"/>
              </w:numPr>
              <w:adjustRightInd w:val="0"/>
              <w:snapToGrid w:val="0"/>
              <w:spacing w:line="340" w:lineRule="exact"/>
              <w:ind w:left="0" w:leftChars="0"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葎草草丛</w:t>
            </w:r>
          </w:p>
        </w:tc>
        <w:tc>
          <w:tcPr>
            <w:tcW w:w="3000" w:type="dxa"/>
            <w:vAlign w:val="center"/>
          </w:tcPr>
          <w:p>
            <w:pPr>
              <w:widowControl/>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Form</w:t>
            </w:r>
            <w:r>
              <w:rPr>
                <w:i/>
                <w:iCs/>
                <w:color w:val="auto"/>
                <w:sz w:val="22"/>
                <w:szCs w:val="22"/>
                <w:highlight w:val="none"/>
              </w:rPr>
              <w:t>.</w:t>
            </w:r>
            <w:r>
              <w:rPr>
                <w:rFonts w:hint="eastAsia" w:ascii="Times New Roman" w:hAnsi="Times New Roman" w:eastAsia="宋体" w:cs="Times New Roman"/>
                <w:i/>
                <w:iCs/>
                <w:color w:val="auto"/>
                <w:kern w:val="2"/>
                <w:sz w:val="22"/>
                <w:szCs w:val="22"/>
                <w:highlight w:val="none"/>
                <w:lang w:val="en-US" w:eastAsia="zh-CN" w:bidi="ar-SA"/>
              </w:rPr>
              <w:t>Humulus scandens</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760" w:type="dxa"/>
            <w:vMerge w:val="restart"/>
            <w:noWrap/>
            <w:tcMar>
              <w:top w:w="15" w:type="dxa"/>
              <w:left w:w="15" w:type="dxa"/>
              <w:bottom w:w="0" w:type="dxa"/>
              <w:right w:w="15" w:type="dxa"/>
            </w:tcMar>
            <w:vAlign w:val="center"/>
          </w:tcPr>
          <w:p>
            <w:pPr>
              <w:widowControl/>
              <w:snapToGrid w:val="0"/>
              <w:spacing w:line="240" w:lineRule="auto"/>
              <w:ind w:firstLine="0" w:firstLineChars="0"/>
              <w:jc w:val="center"/>
              <w:rPr>
                <w:b/>
                <w:bCs/>
                <w:color w:val="auto"/>
                <w:sz w:val="22"/>
                <w:szCs w:val="22"/>
                <w:highlight w:val="none"/>
              </w:rPr>
            </w:pPr>
            <w:r>
              <w:rPr>
                <w:rFonts w:hint="eastAsia"/>
                <w:b/>
                <w:bCs/>
                <w:color w:val="auto"/>
                <w:sz w:val="22"/>
                <w:szCs w:val="22"/>
                <w:highlight w:val="none"/>
              </w:rPr>
              <w:t>栽培植被</w:t>
            </w:r>
          </w:p>
        </w:tc>
        <w:tc>
          <w:tcPr>
            <w:tcW w:w="2256" w:type="dxa"/>
            <w:noWrap/>
            <w:tcMar>
              <w:top w:w="15" w:type="dxa"/>
              <w:left w:w="15" w:type="dxa"/>
              <w:bottom w:w="0" w:type="dxa"/>
              <w:right w:w="15" w:type="dxa"/>
            </w:tcMar>
            <w:vAlign w:val="center"/>
          </w:tcPr>
          <w:p>
            <w:pPr>
              <w:widowControl/>
              <w:snapToGrid w:val="0"/>
              <w:spacing w:line="240" w:lineRule="auto"/>
              <w:ind w:firstLine="0" w:firstLineChars="0"/>
              <w:jc w:val="center"/>
              <w:rPr>
                <w:color w:val="auto"/>
                <w:sz w:val="22"/>
                <w:szCs w:val="22"/>
                <w:highlight w:val="none"/>
              </w:rPr>
            </w:pPr>
            <w:r>
              <w:rPr>
                <w:rFonts w:hint="eastAsia"/>
                <w:color w:val="auto"/>
                <w:sz w:val="22"/>
                <w:szCs w:val="22"/>
                <w:highlight w:val="none"/>
              </w:rPr>
              <w:t>经济林</w:t>
            </w:r>
          </w:p>
        </w:tc>
        <w:tc>
          <w:tcPr>
            <w:tcW w:w="4788" w:type="dxa"/>
            <w:gridSpan w:val="2"/>
            <w:noWrap/>
            <w:tcMar>
              <w:top w:w="15" w:type="dxa"/>
              <w:left w:w="15" w:type="dxa"/>
              <w:bottom w:w="0" w:type="dxa"/>
              <w:right w:w="15" w:type="dxa"/>
            </w:tcMar>
            <w:vAlign w:val="center"/>
          </w:tcPr>
          <w:p>
            <w:pPr>
              <w:widowControl/>
              <w:snapToGrid w:val="0"/>
              <w:spacing w:line="240" w:lineRule="auto"/>
              <w:ind w:firstLine="0" w:firstLineChars="0"/>
              <w:jc w:val="center"/>
              <w:rPr>
                <w:color w:val="auto"/>
                <w:sz w:val="22"/>
                <w:szCs w:val="22"/>
                <w:highlight w:val="none"/>
              </w:rPr>
            </w:pPr>
            <w:r>
              <w:rPr>
                <w:rFonts w:hint="eastAsia"/>
                <w:color w:val="auto"/>
                <w:sz w:val="22"/>
                <w:szCs w:val="22"/>
                <w:highlight w:val="none"/>
              </w:rPr>
              <w:t>以柑橘等水果为主的果园</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760" w:type="dxa"/>
            <w:vMerge w:val="continue"/>
            <w:noWrap/>
            <w:tcMar>
              <w:top w:w="15" w:type="dxa"/>
              <w:left w:w="15" w:type="dxa"/>
              <w:bottom w:w="0" w:type="dxa"/>
              <w:right w:w="15" w:type="dxa"/>
            </w:tcMar>
            <w:vAlign w:val="center"/>
          </w:tcPr>
          <w:p>
            <w:pPr>
              <w:widowControl/>
              <w:snapToGrid w:val="0"/>
              <w:spacing w:line="240" w:lineRule="auto"/>
              <w:ind w:firstLine="0" w:firstLineChars="0"/>
              <w:jc w:val="center"/>
              <w:rPr>
                <w:b/>
                <w:bCs/>
                <w:color w:val="auto"/>
                <w:sz w:val="22"/>
                <w:szCs w:val="22"/>
                <w:highlight w:val="none"/>
              </w:rPr>
            </w:pPr>
          </w:p>
        </w:tc>
        <w:tc>
          <w:tcPr>
            <w:tcW w:w="2256" w:type="dxa"/>
            <w:vMerge w:val="restart"/>
            <w:noWrap/>
            <w:tcMar>
              <w:top w:w="15" w:type="dxa"/>
              <w:left w:w="15" w:type="dxa"/>
              <w:bottom w:w="0" w:type="dxa"/>
              <w:right w:w="15" w:type="dxa"/>
            </w:tcMar>
            <w:vAlign w:val="center"/>
          </w:tcPr>
          <w:p>
            <w:pPr>
              <w:widowControl/>
              <w:snapToGrid w:val="0"/>
              <w:spacing w:line="240" w:lineRule="auto"/>
              <w:ind w:firstLine="0" w:firstLineChars="0"/>
              <w:jc w:val="center"/>
              <w:rPr>
                <w:color w:val="auto"/>
                <w:sz w:val="22"/>
                <w:szCs w:val="22"/>
                <w:highlight w:val="none"/>
              </w:rPr>
            </w:pPr>
            <w:r>
              <w:rPr>
                <w:rFonts w:hint="eastAsia"/>
                <w:color w:val="auto"/>
                <w:sz w:val="22"/>
                <w:szCs w:val="22"/>
                <w:highlight w:val="none"/>
              </w:rPr>
              <w:t>农作物</w:t>
            </w:r>
          </w:p>
        </w:tc>
        <w:tc>
          <w:tcPr>
            <w:tcW w:w="4788" w:type="dxa"/>
            <w:gridSpan w:val="2"/>
            <w:noWrap/>
            <w:tcMar>
              <w:top w:w="15" w:type="dxa"/>
              <w:left w:w="15" w:type="dxa"/>
              <w:bottom w:w="0" w:type="dxa"/>
              <w:right w:w="15" w:type="dxa"/>
            </w:tcMar>
            <w:vAlign w:val="center"/>
          </w:tcPr>
          <w:p>
            <w:pPr>
              <w:widowControl/>
              <w:snapToGrid w:val="0"/>
              <w:spacing w:line="240" w:lineRule="auto"/>
              <w:ind w:firstLine="0" w:firstLineChars="0"/>
              <w:jc w:val="center"/>
              <w:rPr>
                <w:color w:val="auto"/>
                <w:sz w:val="22"/>
                <w:szCs w:val="22"/>
                <w:highlight w:val="none"/>
              </w:rPr>
            </w:pPr>
            <w:r>
              <w:rPr>
                <w:color w:val="auto"/>
                <w:sz w:val="22"/>
                <w:szCs w:val="22"/>
                <w:highlight w:val="none"/>
              </w:rPr>
              <w:t>以玉米、甘薯为主的旱地作物</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760" w:type="dxa"/>
            <w:vMerge w:val="continue"/>
            <w:noWrap/>
            <w:tcMar>
              <w:top w:w="15" w:type="dxa"/>
              <w:left w:w="15" w:type="dxa"/>
              <w:bottom w:w="0" w:type="dxa"/>
              <w:right w:w="15" w:type="dxa"/>
            </w:tcMar>
            <w:vAlign w:val="center"/>
          </w:tcPr>
          <w:p>
            <w:pPr>
              <w:widowControl/>
              <w:snapToGrid w:val="0"/>
              <w:spacing w:line="240" w:lineRule="auto"/>
              <w:ind w:firstLine="0" w:firstLineChars="0"/>
              <w:jc w:val="center"/>
              <w:rPr>
                <w:b/>
                <w:bCs/>
                <w:color w:val="auto"/>
                <w:sz w:val="22"/>
                <w:szCs w:val="22"/>
                <w:highlight w:val="none"/>
              </w:rPr>
            </w:pPr>
          </w:p>
        </w:tc>
        <w:tc>
          <w:tcPr>
            <w:tcW w:w="2256" w:type="dxa"/>
            <w:vMerge w:val="continue"/>
            <w:noWrap/>
            <w:tcMar>
              <w:top w:w="15" w:type="dxa"/>
              <w:left w:w="15" w:type="dxa"/>
              <w:bottom w:w="0" w:type="dxa"/>
              <w:right w:w="15" w:type="dxa"/>
            </w:tcMar>
            <w:vAlign w:val="center"/>
          </w:tcPr>
          <w:p>
            <w:pPr>
              <w:widowControl/>
              <w:snapToGrid w:val="0"/>
              <w:spacing w:line="240" w:lineRule="auto"/>
              <w:ind w:firstLine="0" w:firstLineChars="0"/>
              <w:jc w:val="center"/>
              <w:rPr>
                <w:color w:val="auto"/>
                <w:sz w:val="22"/>
                <w:szCs w:val="22"/>
                <w:highlight w:val="none"/>
              </w:rPr>
            </w:pPr>
          </w:p>
        </w:tc>
        <w:tc>
          <w:tcPr>
            <w:tcW w:w="4788" w:type="dxa"/>
            <w:gridSpan w:val="2"/>
            <w:noWrap/>
            <w:tcMar>
              <w:top w:w="15" w:type="dxa"/>
              <w:left w:w="15" w:type="dxa"/>
              <w:bottom w:w="0" w:type="dxa"/>
              <w:right w:w="15" w:type="dxa"/>
            </w:tcMar>
            <w:vAlign w:val="center"/>
          </w:tcPr>
          <w:p>
            <w:pPr>
              <w:widowControl/>
              <w:snapToGrid w:val="0"/>
              <w:spacing w:line="240" w:lineRule="auto"/>
              <w:ind w:firstLine="0" w:firstLineChars="0"/>
              <w:jc w:val="center"/>
              <w:rPr>
                <w:color w:val="auto"/>
                <w:sz w:val="22"/>
                <w:szCs w:val="22"/>
                <w:highlight w:val="none"/>
              </w:rPr>
            </w:pPr>
            <w:r>
              <w:rPr>
                <w:rFonts w:hint="eastAsia"/>
                <w:color w:val="auto"/>
                <w:sz w:val="22"/>
                <w:szCs w:val="22"/>
                <w:highlight w:val="none"/>
              </w:rPr>
              <w:t>以季节性蔬菜为主的蔬菜作物</w:t>
            </w:r>
          </w:p>
        </w:tc>
      </w:tr>
    </w:tbl>
    <w:p>
      <w:pPr>
        <w:adjustRightInd w:val="0"/>
        <w:snapToGrid w:val="0"/>
        <w:spacing w:line="240" w:lineRule="auto"/>
        <w:ind w:firstLine="520"/>
        <w:rPr>
          <w:color w:val="auto"/>
          <w:szCs w:val="22"/>
          <w:highlight w:val="none"/>
        </w:rPr>
      </w:pP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39"/>
        <w:gridCol w:w="4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eastAsia="宋体"/>
                <w:color w:val="auto"/>
                <w:sz w:val="22"/>
                <w:szCs w:val="22"/>
                <w:highlight w:val="none"/>
                <w:vertAlign w:val="baseline"/>
                <w:lang w:eastAsia="zh-CN"/>
              </w:rPr>
              <w:drawing>
                <wp:inline distT="0" distB="0" distL="114300" distR="114300">
                  <wp:extent cx="2592070" cy="1943735"/>
                  <wp:effectExtent l="0" t="0" r="17780" b="18415"/>
                  <wp:docPr id="45" name="图片 45" descr="IMG_7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7770"/>
                          <pic:cNvPicPr>
                            <a:picLocks noChangeAspect="1"/>
                          </pic:cNvPicPr>
                        </pic:nvPicPr>
                        <pic:blipFill>
                          <a:blip r:embed="rId44"/>
                          <a:stretch>
                            <a:fillRect/>
                          </a:stretch>
                        </pic:blipFill>
                        <pic:spPr>
                          <a:xfrm>
                            <a:off x="0" y="0"/>
                            <a:ext cx="2592070" cy="1943735"/>
                          </a:xfrm>
                          <a:prstGeom prst="rect">
                            <a:avLst/>
                          </a:prstGeom>
                        </pic:spPr>
                      </pic:pic>
                    </a:graphicData>
                  </a:graphic>
                </wp:inline>
              </w:drawing>
            </w:r>
          </w:p>
        </w:tc>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eastAsia="宋体"/>
                <w:color w:val="auto"/>
                <w:sz w:val="22"/>
                <w:szCs w:val="22"/>
                <w:highlight w:val="none"/>
                <w:vertAlign w:val="baseline"/>
                <w:lang w:eastAsia="zh-CN"/>
              </w:rPr>
              <w:drawing>
                <wp:inline distT="0" distB="0" distL="114300" distR="114300">
                  <wp:extent cx="2592070" cy="1943735"/>
                  <wp:effectExtent l="0" t="0" r="17780" b="18415"/>
                  <wp:docPr id="46" name="图片 46" descr="IMG_7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7791"/>
                          <pic:cNvPicPr>
                            <a:picLocks noChangeAspect="1"/>
                          </pic:cNvPicPr>
                        </pic:nvPicPr>
                        <pic:blipFill>
                          <a:blip r:embed="rId45"/>
                          <a:stretch>
                            <a:fillRect/>
                          </a:stretch>
                        </pic:blipFill>
                        <pic:spPr>
                          <a:xfrm>
                            <a:off x="0" y="0"/>
                            <a:ext cx="2592070" cy="1943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color w:val="auto"/>
                <w:sz w:val="22"/>
                <w:szCs w:val="22"/>
                <w:highlight w:val="none"/>
                <w:vertAlign w:val="baseline"/>
                <w:lang w:eastAsia="zh-CN"/>
              </w:rPr>
              <w:t>柏木林</w:t>
            </w:r>
          </w:p>
        </w:tc>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color w:val="auto"/>
                <w:sz w:val="22"/>
                <w:szCs w:val="22"/>
                <w:highlight w:val="none"/>
                <w:vertAlign w:val="baseline"/>
                <w:lang w:eastAsia="zh-CN"/>
              </w:rPr>
              <w:t>青冈林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eastAsia="宋体"/>
                <w:color w:val="auto"/>
                <w:sz w:val="22"/>
                <w:szCs w:val="22"/>
                <w:highlight w:val="none"/>
                <w:vertAlign w:val="baseline"/>
                <w:lang w:eastAsia="zh-CN"/>
              </w:rPr>
              <w:drawing>
                <wp:inline distT="0" distB="0" distL="114300" distR="114300">
                  <wp:extent cx="2520315" cy="1889760"/>
                  <wp:effectExtent l="0" t="0" r="13335" b="15240"/>
                  <wp:docPr id="49" name="图片 49" descr="IMG_7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7818"/>
                          <pic:cNvPicPr>
                            <a:picLocks noChangeAspect="1"/>
                          </pic:cNvPicPr>
                        </pic:nvPicPr>
                        <pic:blipFill>
                          <a:blip r:embed="rId46"/>
                          <a:stretch>
                            <a:fillRect/>
                          </a:stretch>
                        </pic:blipFill>
                        <pic:spPr>
                          <a:xfrm>
                            <a:off x="0" y="0"/>
                            <a:ext cx="2520315" cy="1889760"/>
                          </a:xfrm>
                          <a:prstGeom prst="rect">
                            <a:avLst/>
                          </a:prstGeom>
                        </pic:spPr>
                      </pic:pic>
                    </a:graphicData>
                  </a:graphic>
                </wp:inline>
              </w:drawing>
            </w:r>
          </w:p>
        </w:tc>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eastAsia="宋体"/>
                <w:color w:val="auto"/>
                <w:sz w:val="22"/>
                <w:szCs w:val="22"/>
                <w:highlight w:val="none"/>
                <w:vertAlign w:val="baseline"/>
                <w:lang w:eastAsia="zh-CN"/>
              </w:rPr>
              <w:drawing>
                <wp:inline distT="0" distB="0" distL="114300" distR="114300">
                  <wp:extent cx="2520315" cy="1889760"/>
                  <wp:effectExtent l="0" t="0" r="13335" b="15240"/>
                  <wp:docPr id="51" name="图片 51" descr="IMG_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7717"/>
                          <pic:cNvPicPr>
                            <a:picLocks noChangeAspect="1"/>
                          </pic:cNvPicPr>
                        </pic:nvPicPr>
                        <pic:blipFill>
                          <a:blip r:embed="rId47"/>
                          <a:stretch>
                            <a:fillRect/>
                          </a:stretch>
                        </pic:blipFill>
                        <pic:spPr>
                          <a:xfrm>
                            <a:off x="0" y="0"/>
                            <a:ext cx="2520315" cy="18897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color w:val="auto"/>
                <w:sz w:val="22"/>
                <w:szCs w:val="22"/>
                <w:highlight w:val="none"/>
                <w:vertAlign w:val="baseline"/>
                <w:lang w:eastAsia="zh-CN"/>
              </w:rPr>
              <w:t>枫杨林</w:t>
            </w:r>
          </w:p>
        </w:tc>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olor w:val="auto"/>
                <w:sz w:val="22"/>
                <w:szCs w:val="22"/>
                <w:highlight w:val="none"/>
                <w:vertAlign w:val="baseline"/>
                <w:lang w:eastAsia="zh-CN"/>
              </w:rPr>
            </w:pPr>
            <w:r>
              <w:rPr>
                <w:rFonts w:hint="eastAsia"/>
                <w:color w:val="auto"/>
                <w:sz w:val="22"/>
                <w:szCs w:val="22"/>
                <w:highlight w:val="none"/>
                <w:vertAlign w:val="baseline"/>
                <w:lang w:eastAsia="zh-CN"/>
              </w:rPr>
              <w:t>慈竹林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kern w:val="0"/>
                <w:sz w:val="22"/>
                <w:szCs w:val="22"/>
                <w:highlight w:val="none"/>
              </w:rPr>
              <w:drawing>
                <wp:inline distT="0" distB="0" distL="114300" distR="114300">
                  <wp:extent cx="2520315" cy="1890395"/>
                  <wp:effectExtent l="0" t="0" r="13335" b="14605"/>
                  <wp:docPr id="177" name="图片 177" descr="IMG_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IMG_9511"/>
                          <pic:cNvPicPr>
                            <a:picLocks noChangeAspect="1"/>
                          </pic:cNvPicPr>
                        </pic:nvPicPr>
                        <pic:blipFill>
                          <a:blip r:embed="rId48"/>
                          <a:stretch>
                            <a:fillRect/>
                          </a:stretch>
                        </pic:blipFill>
                        <pic:spPr>
                          <a:xfrm>
                            <a:off x="0" y="0"/>
                            <a:ext cx="2520315" cy="1890395"/>
                          </a:xfrm>
                          <a:prstGeom prst="rect">
                            <a:avLst/>
                          </a:prstGeom>
                        </pic:spPr>
                      </pic:pic>
                    </a:graphicData>
                  </a:graphic>
                </wp:inline>
              </w:drawing>
            </w:r>
          </w:p>
        </w:tc>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drawing>
                <wp:inline distT="0" distB="0" distL="114300" distR="114300">
                  <wp:extent cx="2520315" cy="1889760"/>
                  <wp:effectExtent l="0" t="0" r="13335" b="15240"/>
                  <wp:docPr id="52" name="图片 52" descr="IMG_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7727"/>
                          <pic:cNvPicPr>
                            <a:picLocks noChangeAspect="1"/>
                          </pic:cNvPicPr>
                        </pic:nvPicPr>
                        <pic:blipFill>
                          <a:blip r:embed="rId49"/>
                          <a:stretch>
                            <a:fillRect/>
                          </a:stretch>
                        </pic:blipFill>
                        <pic:spPr>
                          <a:xfrm>
                            <a:off x="0" y="0"/>
                            <a:ext cx="2520315" cy="18897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小叶女贞灌丛</w:t>
            </w:r>
          </w:p>
        </w:tc>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构树灌丛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b/>
                <w:bCs/>
                <w:color w:val="auto"/>
                <w:sz w:val="22"/>
                <w:szCs w:val="22"/>
                <w:highlight w:val="none"/>
                <w:vertAlign w:val="baseline"/>
                <w:lang w:eastAsia="zh-CN"/>
              </w:rPr>
            </w:pPr>
            <w:r>
              <w:rPr>
                <w:rFonts w:hint="eastAsia"/>
                <w:b/>
                <w:bCs/>
                <w:color w:val="auto"/>
                <w:sz w:val="22"/>
                <w:szCs w:val="22"/>
                <w:highlight w:val="none"/>
                <w:vertAlign w:val="baseline"/>
                <w:lang w:eastAsia="zh-CN"/>
              </w:rPr>
              <w:drawing>
                <wp:inline distT="0" distB="0" distL="114300" distR="114300">
                  <wp:extent cx="2520315" cy="1839595"/>
                  <wp:effectExtent l="0" t="0" r="13335" b="8255"/>
                  <wp:docPr id="55" name="图片 55" descr="IMG_7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7760"/>
                          <pic:cNvPicPr>
                            <a:picLocks noChangeAspect="1"/>
                          </pic:cNvPicPr>
                        </pic:nvPicPr>
                        <pic:blipFill>
                          <a:blip r:embed="rId50"/>
                          <a:stretch>
                            <a:fillRect/>
                          </a:stretch>
                        </pic:blipFill>
                        <pic:spPr>
                          <a:xfrm>
                            <a:off x="0" y="0"/>
                            <a:ext cx="2520315" cy="1839595"/>
                          </a:xfrm>
                          <a:prstGeom prst="rect">
                            <a:avLst/>
                          </a:prstGeom>
                        </pic:spPr>
                      </pic:pic>
                    </a:graphicData>
                  </a:graphic>
                </wp:inline>
              </w:drawing>
            </w:r>
          </w:p>
        </w:tc>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b w:val="0"/>
                <w:bCs w:val="0"/>
                <w:color w:val="auto"/>
                <w:sz w:val="22"/>
                <w:szCs w:val="22"/>
                <w:highlight w:val="none"/>
                <w:vertAlign w:val="baseline"/>
                <w:lang w:eastAsia="zh-CN"/>
              </w:rPr>
            </w:pPr>
            <w:r>
              <w:rPr>
                <w:rFonts w:hint="eastAsia"/>
                <w:b w:val="0"/>
                <w:bCs w:val="0"/>
                <w:color w:val="auto"/>
                <w:sz w:val="22"/>
                <w:szCs w:val="22"/>
                <w:highlight w:val="none"/>
                <w:vertAlign w:val="baseline"/>
                <w:lang w:eastAsia="zh-CN"/>
              </w:rPr>
              <w:drawing>
                <wp:inline distT="0" distB="0" distL="114300" distR="114300">
                  <wp:extent cx="2520315" cy="1845945"/>
                  <wp:effectExtent l="0" t="0" r="13335" b="1905"/>
                  <wp:docPr id="54" name="图片 54" descr="IMG_7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IMG_7733"/>
                          <pic:cNvPicPr>
                            <a:picLocks noChangeAspect="1"/>
                          </pic:cNvPicPr>
                        </pic:nvPicPr>
                        <pic:blipFill>
                          <a:blip r:embed="rId51"/>
                          <a:stretch>
                            <a:fillRect/>
                          </a:stretch>
                        </pic:blipFill>
                        <pic:spPr>
                          <a:xfrm>
                            <a:off x="0" y="0"/>
                            <a:ext cx="2520315" cy="18459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eastAsia="zh-CN"/>
              </w:rPr>
              <w:t>斑茅草丛</w:t>
            </w:r>
          </w:p>
        </w:tc>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b w:val="0"/>
                <w:bCs w:val="0"/>
                <w:color w:val="auto"/>
                <w:sz w:val="22"/>
                <w:szCs w:val="22"/>
                <w:highlight w:val="none"/>
                <w:vertAlign w:val="baseline"/>
                <w:lang w:eastAsia="zh-CN"/>
              </w:rPr>
            </w:pPr>
            <w:r>
              <w:rPr>
                <w:rFonts w:hint="eastAsia"/>
                <w:b w:val="0"/>
                <w:bCs w:val="0"/>
                <w:color w:val="auto"/>
                <w:sz w:val="22"/>
                <w:szCs w:val="22"/>
                <w:highlight w:val="none"/>
                <w:vertAlign w:val="baseline"/>
                <w:lang w:eastAsia="zh-CN"/>
              </w:rPr>
              <w:t>白茅草丛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drawing>
                <wp:inline distT="0" distB="0" distL="114300" distR="114300">
                  <wp:extent cx="2520315" cy="1772285"/>
                  <wp:effectExtent l="0" t="0" r="13335" b="18415"/>
                  <wp:docPr id="56" name="图片 56" descr="IMG_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7723"/>
                          <pic:cNvPicPr>
                            <a:picLocks noChangeAspect="1"/>
                          </pic:cNvPicPr>
                        </pic:nvPicPr>
                        <pic:blipFill>
                          <a:blip r:embed="rId52"/>
                          <a:stretch>
                            <a:fillRect/>
                          </a:stretch>
                        </pic:blipFill>
                        <pic:spPr>
                          <a:xfrm>
                            <a:off x="0" y="0"/>
                            <a:ext cx="2520315" cy="1772285"/>
                          </a:xfrm>
                          <a:prstGeom prst="rect">
                            <a:avLst/>
                          </a:prstGeom>
                        </pic:spPr>
                      </pic:pic>
                    </a:graphicData>
                  </a:graphic>
                </wp:inline>
              </w:drawing>
            </w:r>
          </w:p>
        </w:tc>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b w:val="0"/>
                <w:bCs w:val="0"/>
                <w:color w:val="auto"/>
                <w:sz w:val="22"/>
                <w:szCs w:val="22"/>
                <w:highlight w:val="none"/>
                <w:vertAlign w:val="baseline"/>
                <w:lang w:eastAsia="zh-CN"/>
              </w:rPr>
            </w:pPr>
            <w:r>
              <w:rPr>
                <w:rFonts w:hint="eastAsia"/>
                <w:b w:val="0"/>
                <w:bCs w:val="0"/>
                <w:color w:val="auto"/>
                <w:sz w:val="22"/>
                <w:szCs w:val="22"/>
                <w:highlight w:val="none"/>
                <w:vertAlign w:val="baseline"/>
                <w:lang w:eastAsia="zh-CN"/>
              </w:rPr>
              <w:drawing>
                <wp:inline distT="0" distB="0" distL="114300" distR="114300">
                  <wp:extent cx="2520315" cy="1772920"/>
                  <wp:effectExtent l="0" t="0" r="13335" b="17780"/>
                  <wp:docPr id="57" name="图片 57" descr="IMG_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7811"/>
                          <pic:cNvPicPr>
                            <a:picLocks noChangeAspect="1"/>
                          </pic:cNvPicPr>
                        </pic:nvPicPr>
                        <pic:blipFill>
                          <a:blip r:embed="rId53"/>
                          <a:stretch>
                            <a:fillRect/>
                          </a:stretch>
                        </pic:blipFill>
                        <pic:spPr>
                          <a:xfrm>
                            <a:off x="0" y="0"/>
                            <a:ext cx="2520315" cy="17729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葎草草丛</w:t>
            </w:r>
          </w:p>
        </w:tc>
        <w:tc>
          <w:tcPr>
            <w:tcW w:w="447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b w:val="0"/>
                <w:bCs w:val="0"/>
                <w:color w:val="auto"/>
                <w:sz w:val="22"/>
                <w:szCs w:val="22"/>
                <w:highlight w:val="none"/>
                <w:vertAlign w:val="baseline"/>
                <w:lang w:eastAsia="zh-CN"/>
              </w:rPr>
            </w:pPr>
            <w:r>
              <w:rPr>
                <w:rFonts w:hint="eastAsia"/>
                <w:b w:val="0"/>
                <w:bCs w:val="0"/>
                <w:color w:val="auto"/>
                <w:sz w:val="22"/>
                <w:szCs w:val="22"/>
                <w:highlight w:val="none"/>
                <w:vertAlign w:val="baseline"/>
                <w:lang w:eastAsia="zh-CN"/>
              </w:rPr>
              <w:t>栽培植被</w:t>
            </w:r>
          </w:p>
        </w:tc>
      </w:tr>
    </w:tbl>
    <w:p>
      <w:pPr>
        <w:autoSpaceDE w:val="0"/>
        <w:autoSpaceDN w:val="0"/>
        <w:spacing w:line="240" w:lineRule="auto"/>
        <w:ind w:left="0" w:leftChars="0" w:firstLine="0" w:firstLineChars="0"/>
        <w:jc w:val="center"/>
        <w:rPr>
          <w:b w:val="0"/>
          <w:bCs w:val="0"/>
          <w:color w:val="auto"/>
          <w:highlight w:val="none"/>
        </w:rPr>
      </w:pPr>
      <w:r>
        <w:rPr>
          <w:b w:val="0"/>
          <w:bCs w:val="0"/>
          <w:color w:val="auto"/>
          <w:szCs w:val="28"/>
          <w:highlight w:val="none"/>
        </w:rPr>
        <w:t>图</w:t>
      </w:r>
      <w:r>
        <w:rPr>
          <w:rFonts w:hint="eastAsia"/>
          <w:b w:val="0"/>
          <w:bCs w:val="0"/>
          <w:color w:val="auto"/>
          <w:szCs w:val="28"/>
          <w:highlight w:val="none"/>
          <w:lang w:val="en-US" w:eastAsia="zh-CN"/>
        </w:rPr>
        <w:t>3.2.2-1 植物</w:t>
      </w:r>
      <w:r>
        <w:rPr>
          <w:rFonts w:hint="eastAsia"/>
          <w:b w:val="0"/>
          <w:bCs w:val="0"/>
          <w:color w:val="auto"/>
          <w:szCs w:val="28"/>
          <w:highlight w:val="none"/>
        </w:rPr>
        <w:t>调查实拍</w:t>
      </w:r>
      <w:r>
        <w:rPr>
          <w:b w:val="0"/>
          <w:bCs w:val="0"/>
          <w:color w:val="auto"/>
          <w:szCs w:val="28"/>
          <w:highlight w:val="none"/>
        </w:rPr>
        <w:t>照片</w:t>
      </w:r>
    </w:p>
    <w:p>
      <w:pPr>
        <w:autoSpaceDE w:val="0"/>
        <w:autoSpaceDN w:val="0"/>
        <w:spacing w:line="240" w:lineRule="auto"/>
        <w:ind w:firstLine="520"/>
        <w:rPr>
          <w:color w:val="auto"/>
          <w:highlight w:val="none"/>
        </w:rPr>
      </w:pPr>
      <w:r>
        <w:rPr>
          <w:color w:val="auto"/>
          <w:highlight w:val="none"/>
        </w:rPr>
        <w:t>评价区内的植被类型的群落物种组成情况如下：</w:t>
      </w:r>
    </w:p>
    <w:p>
      <w:pPr>
        <w:numPr>
          <w:ilvl w:val="0"/>
          <w:numId w:val="0"/>
        </w:numPr>
        <w:autoSpaceDE w:val="0"/>
        <w:autoSpaceDN w:val="0"/>
        <w:spacing w:line="480" w:lineRule="exact"/>
        <w:ind w:leftChars="200"/>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 1 \* GB3 \* MERGEFORMAT </w:instrText>
      </w:r>
      <w:r>
        <w:rPr>
          <w:rFonts w:hint="eastAsia"/>
          <w:color w:val="auto"/>
          <w:highlight w:val="none"/>
          <w:lang w:val="en-US" w:eastAsia="zh-CN"/>
        </w:rPr>
        <w:fldChar w:fldCharType="separate"/>
      </w:r>
      <w:r>
        <w:rPr>
          <w:color w:val="auto"/>
          <w:highlight w:val="none"/>
        </w:rPr>
        <w:t>①</w:t>
      </w:r>
      <w:r>
        <w:rPr>
          <w:rFonts w:hint="eastAsia"/>
          <w:color w:val="auto"/>
          <w:highlight w:val="none"/>
          <w:lang w:val="en-US" w:eastAsia="zh-CN"/>
        </w:rPr>
        <w:fldChar w:fldCharType="end"/>
      </w:r>
      <w:r>
        <w:rPr>
          <w:rFonts w:hint="eastAsia"/>
          <w:color w:val="auto"/>
          <w:highlight w:val="none"/>
        </w:rPr>
        <w:t>柏木林（</w:t>
      </w:r>
      <w:r>
        <w:rPr>
          <w:color w:val="auto"/>
          <w:highlight w:val="none"/>
        </w:rPr>
        <w:t>Form.</w:t>
      </w:r>
      <w:r>
        <w:rPr>
          <w:i/>
          <w:iCs/>
          <w:color w:val="auto"/>
          <w:highlight w:val="none"/>
        </w:rPr>
        <w:t>Cupressus funebris</w:t>
      </w:r>
      <w:r>
        <w:rPr>
          <w:rFonts w:hint="eastAsia"/>
          <w:color w:val="auto"/>
          <w:highlight w:val="none"/>
        </w:rPr>
        <w:t>）</w:t>
      </w:r>
    </w:p>
    <w:p>
      <w:pPr>
        <w:autoSpaceDE w:val="0"/>
        <w:autoSpaceDN w:val="0"/>
        <w:spacing w:line="480" w:lineRule="exact"/>
        <w:ind w:firstLine="520"/>
        <w:rPr>
          <w:color w:val="auto"/>
          <w:highlight w:val="none"/>
        </w:rPr>
      </w:pPr>
      <w:r>
        <w:rPr>
          <w:rFonts w:hint="eastAsia"/>
          <w:color w:val="auto"/>
          <w:highlight w:val="none"/>
        </w:rPr>
        <w:t>柏木林</w:t>
      </w:r>
      <w:r>
        <w:rPr>
          <w:rFonts w:hint="eastAsia"/>
          <w:color w:val="auto"/>
          <w:highlight w:val="none"/>
          <w:lang w:eastAsia="zh-CN"/>
        </w:rPr>
        <w:t>主要在临时弃渣场占地范围及周边</w:t>
      </w:r>
      <w:r>
        <w:rPr>
          <w:rFonts w:hint="eastAsia"/>
          <w:color w:val="auto"/>
          <w:highlight w:val="none"/>
        </w:rPr>
        <w:t>零星分布。乔木层主要由柏木组成，高度约</w:t>
      </w:r>
      <w:r>
        <w:rPr>
          <w:rFonts w:hint="eastAsia"/>
          <w:color w:val="auto"/>
          <w:highlight w:val="none"/>
          <w:lang w:val="en-US" w:eastAsia="zh-CN"/>
        </w:rPr>
        <w:t>10-12</w:t>
      </w:r>
      <w:r>
        <w:rPr>
          <w:rFonts w:hint="eastAsia"/>
          <w:color w:val="auto"/>
          <w:highlight w:val="none"/>
        </w:rPr>
        <w:t>m，胸径约</w:t>
      </w:r>
      <w:r>
        <w:rPr>
          <w:rFonts w:hint="eastAsia"/>
          <w:color w:val="auto"/>
          <w:highlight w:val="none"/>
          <w:lang w:val="en-US" w:eastAsia="zh-CN"/>
        </w:rPr>
        <w:t>20-24</w:t>
      </w:r>
      <w:r>
        <w:rPr>
          <w:rFonts w:hint="eastAsia"/>
          <w:color w:val="auto"/>
          <w:highlight w:val="none"/>
        </w:rPr>
        <w:t>cm。郁闭度</w:t>
      </w:r>
      <w:r>
        <w:rPr>
          <w:rFonts w:hint="eastAsia"/>
          <w:color w:val="auto"/>
          <w:highlight w:val="none"/>
          <w:lang w:eastAsia="zh-CN"/>
        </w:rPr>
        <w:t>约</w:t>
      </w:r>
      <w:r>
        <w:rPr>
          <w:rFonts w:hint="eastAsia"/>
          <w:color w:val="auto"/>
          <w:highlight w:val="none"/>
          <w:lang w:val="en-US" w:eastAsia="zh-CN"/>
        </w:rPr>
        <w:t>50%左右</w:t>
      </w:r>
      <w:r>
        <w:rPr>
          <w:rFonts w:hint="eastAsia"/>
          <w:color w:val="auto"/>
          <w:highlight w:val="none"/>
        </w:rPr>
        <w:t>，表明林冠层较为</w:t>
      </w:r>
      <w:r>
        <w:rPr>
          <w:rFonts w:hint="eastAsia"/>
          <w:color w:val="auto"/>
          <w:highlight w:val="none"/>
          <w:lang w:eastAsia="zh-CN"/>
        </w:rPr>
        <w:t>稀疏，偶尔伴生有桉树、枫杨、杨树等乔木</w:t>
      </w:r>
      <w:r>
        <w:rPr>
          <w:rFonts w:hint="eastAsia"/>
          <w:color w:val="auto"/>
          <w:highlight w:val="none"/>
        </w:rPr>
        <w:t>。灌木层包括</w:t>
      </w:r>
      <w:r>
        <w:rPr>
          <w:rFonts w:hint="eastAsia"/>
          <w:color w:val="auto"/>
          <w:highlight w:val="none"/>
          <w:lang w:eastAsia="zh-CN"/>
        </w:rPr>
        <w:t>构树、八角枫、盐肤木、</w:t>
      </w:r>
      <w:r>
        <w:rPr>
          <w:rFonts w:hint="eastAsia"/>
          <w:color w:val="auto"/>
          <w:highlight w:val="none"/>
        </w:rPr>
        <w:t>荚蒾、悬钩子等，盖度约</w:t>
      </w:r>
      <w:r>
        <w:rPr>
          <w:rFonts w:hint="eastAsia"/>
          <w:color w:val="auto"/>
          <w:highlight w:val="none"/>
          <w:lang w:val="en-US" w:eastAsia="zh-CN"/>
        </w:rPr>
        <w:t>10</w:t>
      </w:r>
      <w:r>
        <w:rPr>
          <w:rFonts w:hint="eastAsia"/>
          <w:color w:val="auto"/>
          <w:highlight w:val="none"/>
        </w:rPr>
        <w:t>%-2</w:t>
      </w:r>
      <w:r>
        <w:rPr>
          <w:rFonts w:hint="eastAsia"/>
          <w:color w:val="auto"/>
          <w:highlight w:val="none"/>
          <w:lang w:val="en-US" w:eastAsia="zh-CN"/>
        </w:rPr>
        <w:t>0</w:t>
      </w:r>
      <w:r>
        <w:rPr>
          <w:rFonts w:hint="eastAsia"/>
          <w:color w:val="auto"/>
          <w:highlight w:val="none"/>
        </w:rPr>
        <w:t>%。草本层以薹草、</w:t>
      </w:r>
      <w:r>
        <w:rPr>
          <w:rFonts w:hint="eastAsia"/>
          <w:color w:val="auto"/>
          <w:highlight w:val="none"/>
          <w:lang w:eastAsia="zh-CN"/>
        </w:rPr>
        <w:t>白茅、荩草、海金沙、马兰、蕨类</w:t>
      </w:r>
      <w:r>
        <w:rPr>
          <w:rFonts w:hint="eastAsia"/>
          <w:color w:val="auto"/>
          <w:highlight w:val="none"/>
        </w:rPr>
        <w:t>等为主，盖度约</w:t>
      </w:r>
      <w:r>
        <w:rPr>
          <w:rFonts w:hint="eastAsia"/>
          <w:color w:val="auto"/>
          <w:highlight w:val="none"/>
          <w:lang w:val="en-US" w:eastAsia="zh-CN"/>
        </w:rPr>
        <w:t>10</w:t>
      </w:r>
      <w:r>
        <w:rPr>
          <w:rFonts w:hint="eastAsia"/>
          <w:color w:val="auto"/>
          <w:highlight w:val="none"/>
        </w:rPr>
        <w:t>%-</w:t>
      </w:r>
      <w:r>
        <w:rPr>
          <w:rFonts w:hint="eastAsia"/>
          <w:color w:val="auto"/>
          <w:highlight w:val="none"/>
          <w:lang w:val="en-US" w:eastAsia="zh-CN"/>
        </w:rPr>
        <w:t>20</w:t>
      </w:r>
      <w:r>
        <w:rPr>
          <w:rFonts w:hint="eastAsia"/>
          <w:color w:val="auto"/>
          <w:highlight w:val="none"/>
        </w:rPr>
        <w:t>%。柏木林群落结构稳定，乔木层以柏木为主，灌木和草本层物种丰富。</w:t>
      </w:r>
    </w:p>
    <w:p>
      <w:pPr>
        <w:numPr>
          <w:ilvl w:val="0"/>
          <w:numId w:val="0"/>
        </w:numPr>
        <w:autoSpaceDE w:val="0"/>
        <w:autoSpaceDN w:val="0"/>
        <w:spacing w:line="480" w:lineRule="exact"/>
        <w:ind w:leftChars="200"/>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 2 \* GB3 \* MERGEFORMAT </w:instrText>
      </w:r>
      <w:r>
        <w:rPr>
          <w:rFonts w:hint="eastAsia"/>
          <w:color w:val="auto"/>
          <w:highlight w:val="none"/>
          <w:lang w:val="en-US" w:eastAsia="zh-CN"/>
        </w:rPr>
        <w:fldChar w:fldCharType="separate"/>
      </w:r>
      <w:r>
        <w:rPr>
          <w:color w:val="auto"/>
          <w:highlight w:val="none"/>
        </w:rPr>
        <w:t>②</w:t>
      </w:r>
      <w:r>
        <w:rPr>
          <w:rFonts w:hint="eastAsia"/>
          <w:color w:val="auto"/>
          <w:highlight w:val="none"/>
          <w:lang w:val="en-US" w:eastAsia="zh-CN"/>
        </w:rPr>
        <w:fldChar w:fldCharType="end"/>
      </w:r>
      <w:r>
        <w:rPr>
          <w:rFonts w:hint="eastAsia"/>
          <w:color w:val="auto"/>
          <w:highlight w:val="none"/>
        </w:rPr>
        <w:t>青冈林</w:t>
      </w:r>
      <w:r>
        <w:rPr>
          <w:color w:val="auto"/>
          <w:highlight w:val="none"/>
        </w:rPr>
        <w:t xml:space="preserve">（Form. </w:t>
      </w:r>
      <w:r>
        <w:rPr>
          <w:i/>
          <w:iCs/>
          <w:color w:val="auto"/>
          <w:highlight w:val="none"/>
        </w:rPr>
        <w:t xml:space="preserve">Cyclobalanopsis </w:t>
      </w:r>
      <w:r>
        <w:rPr>
          <w:rFonts w:hint="eastAsia"/>
          <w:i/>
          <w:iCs/>
          <w:color w:val="auto"/>
          <w:highlight w:val="none"/>
          <w:shd w:val="clear" w:fill="FFFFFF"/>
          <w:lang w:eastAsia="zh-CN"/>
        </w:rPr>
        <w:t>erst</w:t>
      </w:r>
      <w:r>
        <w:rPr>
          <w:color w:val="auto"/>
          <w:highlight w:val="none"/>
        </w:rPr>
        <w:t>）</w:t>
      </w:r>
    </w:p>
    <w:p>
      <w:pPr>
        <w:autoSpaceDE w:val="0"/>
        <w:autoSpaceDN w:val="0"/>
        <w:spacing w:line="480" w:lineRule="exact"/>
        <w:ind w:firstLine="520"/>
        <w:rPr>
          <w:color w:val="auto"/>
          <w:highlight w:val="none"/>
        </w:rPr>
      </w:pPr>
      <w:r>
        <w:rPr>
          <w:rFonts w:hint="eastAsia"/>
          <w:color w:val="auto"/>
          <w:highlight w:val="none"/>
        </w:rPr>
        <w:t>青冈林</w:t>
      </w:r>
      <w:r>
        <w:rPr>
          <w:color w:val="auto"/>
          <w:highlight w:val="none"/>
        </w:rPr>
        <w:t>在评价区内</w:t>
      </w:r>
      <w:r>
        <w:rPr>
          <w:rFonts w:hint="eastAsia"/>
          <w:color w:val="auto"/>
          <w:highlight w:val="none"/>
        </w:rPr>
        <w:t>偶有分布</w:t>
      </w:r>
      <w:r>
        <w:rPr>
          <w:color w:val="auto"/>
          <w:highlight w:val="none"/>
        </w:rPr>
        <w:t>，</w:t>
      </w:r>
      <w:r>
        <w:rPr>
          <w:rFonts w:hint="eastAsia"/>
          <w:color w:val="auto"/>
          <w:highlight w:val="none"/>
        </w:rPr>
        <w:t>偶见于坡地少人为干扰处</w:t>
      </w:r>
      <w:r>
        <w:rPr>
          <w:color w:val="auto"/>
          <w:highlight w:val="none"/>
        </w:rPr>
        <w:t>，群落分布面积较小，呈小斑块或条带状分布格局</w:t>
      </w:r>
      <w:r>
        <w:rPr>
          <w:rFonts w:hint="eastAsia"/>
          <w:color w:val="auto"/>
          <w:highlight w:val="none"/>
        </w:rPr>
        <w:t>，</w:t>
      </w:r>
      <w:r>
        <w:rPr>
          <w:rFonts w:hint="eastAsia"/>
          <w:color w:val="auto"/>
          <w:highlight w:val="none"/>
          <w:shd w:val="clear" w:color="auto" w:fill="FFFFFF"/>
          <w:lang w:eastAsia="zh-CN"/>
        </w:rPr>
        <w:t>主要分布于拟建船闸周边，</w:t>
      </w:r>
      <w:r>
        <w:rPr>
          <w:rFonts w:hint="eastAsia"/>
          <w:color w:val="auto"/>
          <w:highlight w:val="none"/>
          <w:shd w:val="clear" w:color="auto" w:fill="FFFFFF"/>
        </w:rPr>
        <w:t>乔木层以青冈为优势种</w:t>
      </w:r>
      <w:r>
        <w:rPr>
          <w:rFonts w:hint="eastAsia"/>
          <w:color w:val="auto"/>
          <w:highlight w:val="none"/>
          <w:shd w:val="clear" w:color="auto" w:fill="FFFFFF"/>
          <w:lang w:eastAsia="zh-CN"/>
        </w:rPr>
        <w:t>，</w:t>
      </w:r>
      <w:r>
        <w:rPr>
          <w:rFonts w:hint="eastAsia"/>
          <w:color w:val="auto"/>
          <w:highlight w:val="none"/>
          <w:shd w:val="clear" w:color="auto" w:fill="FFFFFF"/>
        </w:rPr>
        <w:t>平均高度6-</w:t>
      </w:r>
      <w:r>
        <w:rPr>
          <w:rFonts w:hint="eastAsia"/>
          <w:color w:val="auto"/>
          <w:highlight w:val="none"/>
          <w:shd w:val="clear" w:color="auto" w:fill="FFFFFF"/>
          <w:lang w:val="en-US" w:eastAsia="zh-CN"/>
        </w:rPr>
        <w:t>9m</w:t>
      </w:r>
      <w:r>
        <w:rPr>
          <w:rFonts w:hint="eastAsia"/>
          <w:color w:val="auto"/>
          <w:highlight w:val="none"/>
          <w:shd w:val="clear" w:color="auto" w:fill="FFFFFF"/>
        </w:rPr>
        <w:t>，胸径8-1</w:t>
      </w:r>
      <w:r>
        <w:rPr>
          <w:rFonts w:hint="eastAsia"/>
          <w:color w:val="auto"/>
          <w:highlight w:val="none"/>
          <w:shd w:val="clear" w:color="auto" w:fill="FFFFFF"/>
          <w:lang w:val="en-US" w:eastAsia="zh-CN"/>
        </w:rPr>
        <w:t>2cm</w:t>
      </w:r>
      <w:r>
        <w:rPr>
          <w:rFonts w:hint="eastAsia"/>
          <w:color w:val="auto"/>
          <w:highlight w:val="none"/>
          <w:shd w:val="clear" w:color="auto" w:fill="FFFFFF"/>
        </w:rPr>
        <w:t>，郁闭度在35-60%之间，</w:t>
      </w:r>
      <w:r>
        <w:rPr>
          <w:rFonts w:hint="eastAsia"/>
          <w:color w:val="auto"/>
          <w:highlight w:val="none"/>
          <w:shd w:val="clear" w:color="auto" w:fill="FFFFFF"/>
          <w:lang w:eastAsia="zh-CN"/>
        </w:rPr>
        <w:t>偶见伴生有合欢等乔木树种</w:t>
      </w:r>
      <w:r>
        <w:rPr>
          <w:rFonts w:hint="eastAsia"/>
          <w:color w:val="auto"/>
          <w:highlight w:val="none"/>
          <w:shd w:val="clear" w:color="auto" w:fill="FFFFFF"/>
        </w:rPr>
        <w:t>。灌木层植物种类包括</w:t>
      </w:r>
      <w:r>
        <w:rPr>
          <w:rFonts w:hint="eastAsia"/>
          <w:color w:val="auto"/>
          <w:highlight w:val="none"/>
          <w:shd w:val="clear" w:color="auto" w:fill="FFFFFF"/>
          <w:lang w:eastAsia="zh-CN"/>
        </w:rPr>
        <w:t>铁仔、菝葜、山胡椒、野桐、荚蒾、</w:t>
      </w:r>
      <w:r>
        <w:rPr>
          <w:rFonts w:hint="eastAsia"/>
          <w:color w:val="auto"/>
          <w:highlight w:val="none"/>
          <w:shd w:val="clear" w:color="auto" w:fill="FFFFFF"/>
        </w:rPr>
        <w:t>黄荆、马桑和盐肤木等。草本层</w:t>
      </w:r>
      <w:r>
        <w:rPr>
          <w:rFonts w:hint="eastAsia"/>
          <w:color w:val="auto"/>
          <w:highlight w:val="none"/>
          <w:shd w:val="clear" w:color="auto" w:fill="FFFFFF"/>
          <w:lang w:eastAsia="zh-CN"/>
        </w:rPr>
        <w:t>有棕叶狗尾草、薹草、</w:t>
      </w:r>
      <w:r>
        <w:rPr>
          <w:rFonts w:hint="eastAsia"/>
          <w:color w:val="auto"/>
          <w:highlight w:val="none"/>
          <w:shd w:val="clear" w:color="auto" w:fill="FFFFFF"/>
        </w:rPr>
        <w:t>白茅</w:t>
      </w:r>
      <w:r>
        <w:rPr>
          <w:rFonts w:hint="eastAsia"/>
          <w:color w:val="auto"/>
          <w:highlight w:val="none"/>
          <w:shd w:val="clear" w:color="auto" w:fill="FFFFFF"/>
          <w:lang w:eastAsia="zh-CN"/>
        </w:rPr>
        <w:t>、荩草、蕨类等</w:t>
      </w:r>
      <w:r>
        <w:rPr>
          <w:rFonts w:hint="eastAsia"/>
          <w:color w:val="auto"/>
          <w:highlight w:val="none"/>
          <w:shd w:val="clear" w:color="auto" w:fill="FFFFFF"/>
        </w:rPr>
        <w:t>。</w:t>
      </w:r>
    </w:p>
    <w:p>
      <w:pPr>
        <w:numPr>
          <w:ilvl w:val="0"/>
          <w:numId w:val="0"/>
        </w:numPr>
        <w:autoSpaceDE w:val="0"/>
        <w:autoSpaceDN w:val="0"/>
        <w:spacing w:line="480" w:lineRule="exact"/>
        <w:ind w:leftChars="200"/>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 3 \* GB3 \* MERGEFORMAT </w:instrText>
      </w:r>
      <w:r>
        <w:rPr>
          <w:rFonts w:hint="eastAsia"/>
          <w:color w:val="auto"/>
          <w:highlight w:val="none"/>
          <w:lang w:val="en-US" w:eastAsia="zh-CN"/>
        </w:rPr>
        <w:fldChar w:fldCharType="separate"/>
      </w:r>
      <w:r>
        <w:rPr>
          <w:color w:val="auto"/>
          <w:highlight w:val="none"/>
        </w:rPr>
        <w:t>③</w:t>
      </w:r>
      <w:r>
        <w:rPr>
          <w:rFonts w:hint="eastAsia"/>
          <w:color w:val="auto"/>
          <w:highlight w:val="none"/>
          <w:lang w:val="en-US" w:eastAsia="zh-CN"/>
        </w:rPr>
        <w:fldChar w:fldCharType="end"/>
      </w:r>
      <w:r>
        <w:rPr>
          <w:rFonts w:hint="eastAsia"/>
          <w:color w:val="auto"/>
          <w:highlight w:val="none"/>
        </w:rPr>
        <w:t>枫杨林</w:t>
      </w:r>
      <w:r>
        <w:rPr>
          <w:color w:val="auto"/>
          <w:highlight w:val="none"/>
        </w:rPr>
        <w:t>（Form.</w:t>
      </w:r>
      <w:r>
        <w:rPr>
          <w:color w:val="auto"/>
          <w:highlight w:val="none"/>
          <w:shd w:val="clear" w:color="auto" w:fill="FFFFFF"/>
        </w:rPr>
        <w:t xml:space="preserve"> </w:t>
      </w:r>
      <w:r>
        <w:rPr>
          <w:i/>
          <w:iCs/>
          <w:color w:val="auto"/>
          <w:highlight w:val="none"/>
          <w:shd w:val="clear" w:color="auto" w:fill="FFFFFF"/>
        </w:rPr>
        <w:t>Pterocarya stenoptera</w:t>
      </w:r>
      <w:r>
        <w:rPr>
          <w:color w:val="auto"/>
          <w:highlight w:val="none"/>
        </w:rPr>
        <w:t>）</w:t>
      </w:r>
    </w:p>
    <w:p>
      <w:pPr>
        <w:autoSpaceDE w:val="0"/>
        <w:autoSpaceDN w:val="0"/>
        <w:spacing w:line="480" w:lineRule="exact"/>
        <w:ind w:firstLine="520"/>
        <w:rPr>
          <w:color w:val="auto"/>
          <w:highlight w:val="none"/>
        </w:rPr>
      </w:pPr>
      <w:bookmarkStart w:id="91" w:name="OLE_LINK17"/>
      <w:r>
        <w:rPr>
          <w:rFonts w:hint="eastAsia"/>
          <w:color w:val="auto"/>
          <w:highlight w:val="none"/>
        </w:rPr>
        <w:t>枫杨</w:t>
      </w:r>
      <w:r>
        <w:rPr>
          <w:rFonts w:hint="eastAsia"/>
          <w:color w:val="auto"/>
          <w:highlight w:val="none"/>
          <w:lang w:eastAsia="zh-CN"/>
        </w:rPr>
        <w:t>主要在现有渭沱枢纽上下游</w:t>
      </w:r>
      <w:r>
        <w:rPr>
          <w:rFonts w:hint="eastAsia"/>
          <w:color w:val="auto"/>
          <w:highlight w:val="none"/>
        </w:rPr>
        <w:t>河岸带分布。该群落乔木层以枫杨为优势种，平均高度约10-12米，胸径约</w:t>
      </w:r>
      <w:r>
        <w:rPr>
          <w:rFonts w:hint="eastAsia"/>
          <w:color w:val="auto"/>
          <w:highlight w:val="none"/>
          <w:lang w:val="en-US" w:eastAsia="zh-CN"/>
        </w:rPr>
        <w:t>24</w:t>
      </w:r>
      <w:r>
        <w:rPr>
          <w:rFonts w:hint="eastAsia"/>
          <w:color w:val="auto"/>
          <w:highlight w:val="none"/>
        </w:rPr>
        <w:t>-34厘米，郁闭度在20-4</w:t>
      </w:r>
      <w:r>
        <w:rPr>
          <w:rFonts w:hint="eastAsia"/>
          <w:color w:val="auto"/>
          <w:highlight w:val="none"/>
          <w:lang w:val="en-US" w:eastAsia="zh-CN"/>
        </w:rPr>
        <w:t>5</w:t>
      </w:r>
      <w:r>
        <w:rPr>
          <w:rFonts w:hint="eastAsia"/>
          <w:color w:val="auto"/>
          <w:highlight w:val="none"/>
        </w:rPr>
        <w:t>%之间。灌木层较为丰富，包括</w:t>
      </w:r>
      <w:r>
        <w:rPr>
          <w:rFonts w:hint="eastAsia"/>
          <w:color w:val="auto"/>
          <w:highlight w:val="none"/>
          <w:lang w:eastAsia="zh-CN"/>
        </w:rPr>
        <w:t>枫杨幼苗、</w:t>
      </w:r>
      <w:r>
        <w:rPr>
          <w:rFonts w:hint="eastAsia"/>
          <w:color w:val="auto"/>
          <w:highlight w:val="none"/>
        </w:rPr>
        <w:t>小叶女贞、乌藨子、麻竹、黄果茄和荚蒾等物种，其中小叶女贞</w:t>
      </w:r>
      <w:r>
        <w:rPr>
          <w:rFonts w:hint="eastAsia"/>
          <w:color w:val="auto"/>
          <w:highlight w:val="none"/>
          <w:shd w:val="clear" w:fill="FFFFFF"/>
        </w:rPr>
        <w:t>盖度</w:t>
      </w:r>
      <w:r>
        <w:rPr>
          <w:rFonts w:hint="eastAsia"/>
          <w:color w:val="auto"/>
          <w:highlight w:val="none"/>
        </w:rPr>
        <w:t>最高，达到27-60%。草本层以</w:t>
      </w:r>
      <w:r>
        <w:rPr>
          <w:rFonts w:hint="eastAsia"/>
          <w:color w:val="auto"/>
          <w:highlight w:val="none"/>
          <w:lang w:eastAsia="zh-CN"/>
        </w:rPr>
        <w:t>节节草、斑茅、荩草、空心莲子草、蕨类等</w:t>
      </w:r>
      <w:r>
        <w:rPr>
          <w:rFonts w:hint="eastAsia"/>
          <w:color w:val="auto"/>
          <w:highlight w:val="none"/>
        </w:rPr>
        <w:t>为主要种类，</w:t>
      </w:r>
      <w:r>
        <w:rPr>
          <w:rFonts w:hint="eastAsia"/>
          <w:color w:val="auto"/>
          <w:highlight w:val="none"/>
          <w:lang w:eastAsia="zh-CN"/>
        </w:rPr>
        <w:t>盖度</w:t>
      </w:r>
      <w:r>
        <w:rPr>
          <w:rFonts w:hint="eastAsia"/>
          <w:color w:val="auto"/>
          <w:highlight w:val="none"/>
          <w:lang w:val="en-US" w:eastAsia="zh-CN"/>
        </w:rPr>
        <w:t>12-30%不等</w:t>
      </w:r>
      <w:r>
        <w:rPr>
          <w:rFonts w:hint="eastAsia"/>
          <w:color w:val="auto"/>
          <w:highlight w:val="none"/>
        </w:rPr>
        <w:t>。</w:t>
      </w:r>
      <w:bookmarkEnd w:id="91"/>
    </w:p>
    <w:p>
      <w:pPr>
        <w:numPr>
          <w:ilvl w:val="0"/>
          <w:numId w:val="0"/>
        </w:numPr>
        <w:autoSpaceDE w:val="0"/>
        <w:autoSpaceDN w:val="0"/>
        <w:spacing w:line="480" w:lineRule="exact"/>
        <w:ind w:leftChars="200"/>
        <w:rPr>
          <w:color w:val="auto"/>
          <w:highlight w:val="none"/>
          <w:shd w:val="clear" w:color="auto" w:fill="FFFFFF"/>
        </w:rPr>
      </w:pPr>
      <w:r>
        <w:rPr>
          <w:rFonts w:hint="eastAsia"/>
          <w:color w:val="auto"/>
          <w:highlight w:val="none"/>
          <w:lang w:val="en-US" w:eastAsia="zh-CN"/>
        </w:rPr>
        <w:fldChar w:fldCharType="begin"/>
      </w:r>
      <w:r>
        <w:rPr>
          <w:rFonts w:hint="eastAsia"/>
          <w:color w:val="auto"/>
          <w:highlight w:val="none"/>
          <w:lang w:val="en-US" w:eastAsia="zh-CN"/>
        </w:rPr>
        <w:instrText xml:space="preserve"> = 4 \* GB3 \* MERGEFORMAT </w:instrText>
      </w:r>
      <w:r>
        <w:rPr>
          <w:rFonts w:hint="eastAsia"/>
          <w:color w:val="auto"/>
          <w:highlight w:val="none"/>
          <w:lang w:val="en-US" w:eastAsia="zh-CN"/>
        </w:rPr>
        <w:fldChar w:fldCharType="separate"/>
      </w:r>
      <w:r>
        <w:rPr>
          <w:color w:val="auto"/>
          <w:highlight w:val="none"/>
        </w:rPr>
        <w:t>④</w:t>
      </w:r>
      <w:r>
        <w:rPr>
          <w:rFonts w:hint="eastAsia"/>
          <w:color w:val="auto"/>
          <w:highlight w:val="none"/>
          <w:lang w:val="en-US" w:eastAsia="zh-CN"/>
        </w:rPr>
        <w:fldChar w:fldCharType="end"/>
      </w:r>
      <w:r>
        <w:rPr>
          <w:rFonts w:hint="eastAsia"/>
          <w:color w:val="auto"/>
          <w:highlight w:val="none"/>
        </w:rPr>
        <w:t>慈竹林（</w:t>
      </w:r>
      <w:r>
        <w:rPr>
          <w:color w:val="auto"/>
          <w:highlight w:val="none"/>
        </w:rPr>
        <w:t>Form.</w:t>
      </w:r>
      <w:r>
        <w:rPr>
          <w:color w:val="auto"/>
          <w:highlight w:val="none"/>
          <w:shd w:val="clear" w:color="auto" w:fill="FFFFFF"/>
        </w:rPr>
        <w:t xml:space="preserve"> </w:t>
      </w:r>
      <w:r>
        <w:rPr>
          <w:i/>
          <w:iCs/>
          <w:color w:val="auto"/>
          <w:highlight w:val="none"/>
          <w:shd w:val="clear" w:color="auto" w:fill="FFFFFF"/>
        </w:rPr>
        <w:t>Neosinocalamus affinis</w:t>
      </w:r>
      <w:r>
        <w:rPr>
          <w:rFonts w:hint="eastAsia"/>
          <w:color w:val="auto"/>
          <w:highlight w:val="none"/>
          <w:shd w:val="clear" w:color="auto" w:fill="FFFFFF"/>
        </w:rPr>
        <w:t>）</w:t>
      </w:r>
    </w:p>
    <w:p>
      <w:pPr>
        <w:autoSpaceDE w:val="0"/>
        <w:autoSpaceDN w:val="0"/>
        <w:spacing w:line="480" w:lineRule="exact"/>
        <w:ind w:firstLine="520"/>
        <w:rPr>
          <w:color w:val="auto"/>
          <w:highlight w:val="none"/>
        </w:rPr>
      </w:pPr>
      <w:r>
        <w:rPr>
          <w:rFonts w:hint="eastAsia"/>
          <w:color w:val="auto"/>
          <w:highlight w:val="none"/>
          <w:shd w:val="clear" w:color="auto" w:fill="FFFFFF"/>
        </w:rPr>
        <w:t>慈竹林</w:t>
      </w:r>
      <w:r>
        <w:rPr>
          <w:rFonts w:hint="eastAsia"/>
          <w:color w:val="auto"/>
          <w:highlight w:val="none"/>
          <w:shd w:val="clear" w:color="auto" w:fill="FFFFFF"/>
          <w:lang w:eastAsia="zh-CN"/>
        </w:rPr>
        <w:t>主要在渭沱枢纽上游右岸及弃渣场周边村落</w:t>
      </w:r>
      <w:r>
        <w:rPr>
          <w:rFonts w:hint="eastAsia"/>
          <w:color w:val="auto"/>
          <w:highlight w:val="none"/>
          <w:shd w:val="clear" w:color="auto" w:fill="FFFFFF"/>
        </w:rPr>
        <w:t>附近分布。慈竹高度在</w:t>
      </w:r>
      <w:r>
        <w:rPr>
          <w:rFonts w:hint="eastAsia"/>
          <w:color w:val="auto"/>
          <w:highlight w:val="none"/>
          <w:shd w:val="clear" w:color="auto" w:fill="FFFFFF"/>
          <w:lang w:val="en-US" w:eastAsia="zh-CN"/>
        </w:rPr>
        <w:t>7-12m</w:t>
      </w:r>
      <w:r>
        <w:rPr>
          <w:rFonts w:hint="eastAsia"/>
          <w:color w:val="auto"/>
          <w:highlight w:val="none"/>
          <w:shd w:val="clear" w:color="auto" w:fill="FFFFFF"/>
        </w:rPr>
        <w:t>之间，郁闭度</w:t>
      </w:r>
      <w:r>
        <w:rPr>
          <w:rFonts w:hint="eastAsia"/>
          <w:color w:val="auto"/>
          <w:highlight w:val="none"/>
          <w:shd w:val="clear" w:color="auto" w:fill="FFFFFF"/>
          <w:lang w:eastAsia="zh-CN"/>
        </w:rPr>
        <w:t>约</w:t>
      </w:r>
      <w:r>
        <w:rPr>
          <w:rFonts w:hint="eastAsia"/>
          <w:color w:val="auto"/>
          <w:highlight w:val="none"/>
          <w:shd w:val="clear" w:color="auto" w:fill="FFFFFF"/>
          <w:lang w:val="en-US" w:eastAsia="zh-CN"/>
        </w:rPr>
        <w:t>60</w:t>
      </w:r>
      <w:r>
        <w:rPr>
          <w:rFonts w:hint="eastAsia"/>
          <w:color w:val="auto"/>
          <w:highlight w:val="none"/>
          <w:shd w:val="clear" w:color="auto" w:fill="FFFFFF"/>
        </w:rPr>
        <w:t>-</w:t>
      </w:r>
      <w:r>
        <w:rPr>
          <w:rFonts w:hint="eastAsia"/>
          <w:color w:val="auto"/>
          <w:highlight w:val="none"/>
          <w:shd w:val="clear" w:color="auto" w:fill="FFFFFF"/>
          <w:lang w:val="en-US" w:eastAsia="zh-CN"/>
        </w:rPr>
        <w:t>7</w:t>
      </w:r>
      <w:r>
        <w:rPr>
          <w:rFonts w:hint="eastAsia"/>
          <w:color w:val="auto"/>
          <w:highlight w:val="none"/>
          <w:shd w:val="clear" w:color="auto" w:fill="FFFFFF"/>
        </w:rPr>
        <w:t>0%</w:t>
      </w:r>
      <w:r>
        <w:rPr>
          <w:rFonts w:hint="eastAsia"/>
          <w:color w:val="auto"/>
          <w:highlight w:val="none"/>
          <w:shd w:val="clear" w:color="auto" w:fill="FFFFFF"/>
          <w:lang w:eastAsia="zh-CN"/>
        </w:rPr>
        <w:t>，占绝对优势</w:t>
      </w:r>
      <w:r>
        <w:rPr>
          <w:rFonts w:hint="eastAsia"/>
          <w:color w:val="auto"/>
          <w:highlight w:val="none"/>
          <w:shd w:val="clear" w:color="auto" w:fill="FFFFFF"/>
        </w:rPr>
        <w:t>。灌木层较为简单，以</w:t>
      </w:r>
      <w:r>
        <w:rPr>
          <w:rFonts w:hint="eastAsia"/>
          <w:color w:val="auto"/>
          <w:highlight w:val="none"/>
          <w:shd w:val="clear" w:color="auto" w:fill="FFFFFF"/>
          <w:lang w:eastAsia="zh-CN"/>
        </w:rPr>
        <w:t>构树、</w:t>
      </w:r>
      <w:r>
        <w:rPr>
          <w:rFonts w:hint="eastAsia"/>
          <w:color w:val="auto"/>
          <w:highlight w:val="none"/>
          <w:shd w:val="clear" w:color="auto" w:fill="FFFFFF"/>
        </w:rPr>
        <w:t>接骨木、</w:t>
      </w:r>
      <w:r>
        <w:rPr>
          <w:rFonts w:hint="eastAsia"/>
          <w:color w:val="auto"/>
          <w:highlight w:val="none"/>
          <w:shd w:val="clear" w:color="auto" w:fill="FFFFFF"/>
          <w:lang w:eastAsia="zh-CN"/>
        </w:rPr>
        <w:t>八角枫、紫麻、雾水葛</w:t>
      </w:r>
      <w:r>
        <w:rPr>
          <w:rFonts w:hint="eastAsia"/>
          <w:color w:val="auto"/>
          <w:highlight w:val="none"/>
          <w:shd w:val="clear" w:color="auto" w:fill="FFFFFF"/>
        </w:rPr>
        <w:t>为主，</w:t>
      </w:r>
      <w:r>
        <w:rPr>
          <w:rFonts w:hint="eastAsia"/>
          <w:color w:val="auto"/>
          <w:highlight w:val="none"/>
          <w:shd w:val="clear" w:color="auto" w:fill="FFFFFF"/>
          <w:lang w:eastAsia="zh-CN"/>
        </w:rPr>
        <w:t>盖度约</w:t>
      </w:r>
      <w:r>
        <w:rPr>
          <w:rFonts w:hint="eastAsia"/>
          <w:color w:val="auto"/>
          <w:highlight w:val="none"/>
          <w:shd w:val="clear" w:color="auto" w:fill="FFFFFF"/>
          <w:lang w:val="en-US" w:eastAsia="zh-CN"/>
        </w:rPr>
        <w:t>5%左右，</w:t>
      </w:r>
      <w:r>
        <w:rPr>
          <w:rFonts w:hint="eastAsia"/>
          <w:color w:val="auto"/>
          <w:highlight w:val="none"/>
          <w:shd w:val="clear" w:color="auto" w:fill="FFFFFF"/>
        </w:rPr>
        <w:t>草本层则</w:t>
      </w:r>
      <w:r>
        <w:rPr>
          <w:rFonts w:hint="eastAsia"/>
          <w:color w:val="auto"/>
          <w:highlight w:val="none"/>
          <w:shd w:val="clear" w:color="auto" w:fill="FFFFFF"/>
          <w:lang w:eastAsia="zh-CN"/>
        </w:rPr>
        <w:t>包括毛蕨、葎草、</w:t>
      </w:r>
      <w:r>
        <w:rPr>
          <w:rFonts w:hint="eastAsia"/>
          <w:color w:val="auto"/>
          <w:highlight w:val="none"/>
          <w:shd w:val="clear" w:color="auto" w:fill="FFFFFF"/>
        </w:rPr>
        <w:t>沿阶草、蜈蚣草、</w:t>
      </w:r>
      <w:r>
        <w:rPr>
          <w:rFonts w:hint="eastAsia"/>
          <w:color w:val="auto"/>
          <w:highlight w:val="none"/>
          <w:shd w:val="clear" w:color="auto" w:fill="FFFFFF"/>
          <w:lang w:eastAsia="zh-CN"/>
        </w:rPr>
        <w:t>荩草、落葵等种类</w:t>
      </w:r>
      <w:r>
        <w:rPr>
          <w:rFonts w:hint="eastAsia"/>
          <w:color w:val="auto"/>
          <w:highlight w:val="none"/>
          <w:shd w:val="clear" w:color="auto" w:fill="FFFFFF"/>
        </w:rPr>
        <w:t>，</w:t>
      </w:r>
      <w:r>
        <w:rPr>
          <w:rFonts w:hint="eastAsia"/>
          <w:color w:val="auto"/>
          <w:highlight w:val="none"/>
          <w:shd w:val="clear" w:color="auto" w:fill="FFFFFF"/>
          <w:lang w:eastAsia="zh-CN"/>
        </w:rPr>
        <w:t>盖度不超过</w:t>
      </w:r>
      <w:r>
        <w:rPr>
          <w:rFonts w:hint="eastAsia"/>
          <w:color w:val="auto"/>
          <w:highlight w:val="none"/>
          <w:shd w:val="clear" w:color="auto" w:fill="FFFFFF"/>
          <w:lang w:val="en-US" w:eastAsia="zh-CN"/>
        </w:rPr>
        <w:t>10%，</w:t>
      </w:r>
      <w:r>
        <w:rPr>
          <w:rFonts w:hint="eastAsia"/>
          <w:color w:val="auto"/>
          <w:highlight w:val="none"/>
          <w:shd w:val="clear" w:color="auto" w:fill="FFFFFF"/>
        </w:rPr>
        <w:t>灌木和草本层物种较少，群落结构相对简单。</w:t>
      </w:r>
    </w:p>
    <w:p>
      <w:pPr>
        <w:numPr>
          <w:ilvl w:val="0"/>
          <w:numId w:val="0"/>
        </w:numPr>
        <w:autoSpaceDE w:val="0"/>
        <w:autoSpaceDN w:val="0"/>
        <w:spacing w:line="480" w:lineRule="exact"/>
        <w:ind w:leftChars="200"/>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 5 \* GB3 \* MERGEFORMAT </w:instrText>
      </w:r>
      <w:r>
        <w:rPr>
          <w:rFonts w:hint="eastAsia"/>
          <w:color w:val="auto"/>
          <w:highlight w:val="none"/>
          <w:lang w:val="en-US" w:eastAsia="zh-CN"/>
        </w:rPr>
        <w:fldChar w:fldCharType="separate"/>
      </w:r>
      <w:r>
        <w:rPr>
          <w:color w:val="auto"/>
          <w:highlight w:val="none"/>
        </w:rPr>
        <w:t>⑤</w:t>
      </w:r>
      <w:r>
        <w:rPr>
          <w:rFonts w:hint="eastAsia"/>
          <w:color w:val="auto"/>
          <w:highlight w:val="none"/>
          <w:lang w:val="en-US" w:eastAsia="zh-CN"/>
        </w:rPr>
        <w:fldChar w:fldCharType="end"/>
      </w:r>
      <w:r>
        <w:rPr>
          <w:rFonts w:hint="eastAsia"/>
          <w:color w:val="auto"/>
          <w:highlight w:val="none"/>
        </w:rPr>
        <w:t>小叶女贞灌丛</w:t>
      </w:r>
      <w:r>
        <w:rPr>
          <w:color w:val="auto"/>
          <w:highlight w:val="none"/>
        </w:rPr>
        <w:t>（Form.</w:t>
      </w:r>
      <w:r>
        <w:rPr>
          <w:i/>
          <w:iCs/>
          <w:color w:val="auto"/>
          <w:highlight w:val="none"/>
          <w:shd w:val="clear" w:color="auto" w:fill="FFFFFF"/>
        </w:rPr>
        <w:t xml:space="preserve"> Setaria viridis</w:t>
      </w:r>
      <w:r>
        <w:rPr>
          <w:color w:val="auto"/>
          <w:highlight w:val="none"/>
        </w:rPr>
        <w:t>）</w:t>
      </w:r>
    </w:p>
    <w:p>
      <w:pPr>
        <w:autoSpaceDE w:val="0"/>
        <w:autoSpaceDN w:val="0"/>
        <w:spacing w:line="480" w:lineRule="exact"/>
        <w:ind w:firstLine="520"/>
        <w:rPr>
          <w:color w:val="auto"/>
          <w:highlight w:val="none"/>
        </w:rPr>
      </w:pPr>
      <w:bookmarkStart w:id="92" w:name="_Hlk42988152"/>
      <w:r>
        <w:rPr>
          <w:rFonts w:hint="eastAsia"/>
          <w:color w:val="auto"/>
          <w:highlight w:val="none"/>
        </w:rPr>
        <w:t>小叶女贞灌丛主要分布在合川渭沱枢纽上游右岸。该群落的灌木层以小叶女贞为优势种，平均盖度在</w:t>
      </w:r>
      <w:r>
        <w:rPr>
          <w:rFonts w:hint="eastAsia"/>
          <w:color w:val="auto"/>
          <w:highlight w:val="none"/>
          <w:lang w:val="en-US" w:eastAsia="zh-CN"/>
        </w:rPr>
        <w:t>25</w:t>
      </w:r>
      <w:r>
        <w:rPr>
          <w:rFonts w:hint="eastAsia"/>
          <w:color w:val="auto"/>
          <w:highlight w:val="none"/>
        </w:rPr>
        <w:t>-6</w:t>
      </w:r>
      <w:r>
        <w:rPr>
          <w:rFonts w:hint="eastAsia"/>
          <w:color w:val="auto"/>
          <w:highlight w:val="none"/>
          <w:lang w:val="en-US" w:eastAsia="zh-CN"/>
        </w:rPr>
        <w:t>5</w:t>
      </w:r>
      <w:r>
        <w:rPr>
          <w:rFonts w:hint="eastAsia"/>
          <w:color w:val="auto"/>
          <w:highlight w:val="none"/>
        </w:rPr>
        <w:t>%之间，其他常见灌木包括有构树</w:t>
      </w:r>
      <w:r>
        <w:rPr>
          <w:rFonts w:hint="eastAsia"/>
          <w:color w:val="auto"/>
          <w:highlight w:val="none"/>
          <w:lang w:eastAsia="zh-CN"/>
        </w:rPr>
        <w:t>、</w:t>
      </w:r>
      <w:r>
        <w:rPr>
          <w:rFonts w:hint="eastAsia"/>
          <w:color w:val="auto"/>
          <w:highlight w:val="none"/>
        </w:rPr>
        <w:t>乌藨子接骨木</w:t>
      </w:r>
      <w:r>
        <w:rPr>
          <w:rFonts w:hint="eastAsia"/>
          <w:color w:val="auto"/>
          <w:highlight w:val="none"/>
          <w:lang w:eastAsia="zh-CN"/>
        </w:rPr>
        <w:t>、</w:t>
      </w:r>
      <w:r>
        <w:rPr>
          <w:rFonts w:hint="eastAsia"/>
          <w:color w:val="auto"/>
          <w:highlight w:val="none"/>
        </w:rPr>
        <w:t>荚蒾等。草本层则以鳞盖蕨、蜈蚣草、沿阶草和矛叶荩草为主要种类，草本层总盖度在</w:t>
      </w:r>
      <w:r>
        <w:rPr>
          <w:rFonts w:hint="eastAsia"/>
          <w:color w:val="auto"/>
          <w:highlight w:val="none"/>
          <w:shd w:val="clear" w:fill="FFFFFF"/>
        </w:rPr>
        <w:t>15-</w:t>
      </w:r>
      <w:r>
        <w:rPr>
          <w:rFonts w:hint="eastAsia"/>
          <w:color w:val="auto"/>
          <w:highlight w:val="none"/>
          <w:shd w:val="clear" w:fill="FFFFFF"/>
          <w:lang w:val="en-US" w:eastAsia="zh-CN"/>
        </w:rPr>
        <w:t>30</w:t>
      </w:r>
      <w:r>
        <w:rPr>
          <w:rFonts w:hint="eastAsia"/>
          <w:color w:val="auto"/>
          <w:highlight w:val="none"/>
          <w:shd w:val="clear" w:fill="FFFFFF"/>
        </w:rPr>
        <w:t>%</w:t>
      </w:r>
      <w:r>
        <w:rPr>
          <w:rFonts w:hint="eastAsia"/>
          <w:color w:val="auto"/>
          <w:highlight w:val="none"/>
        </w:rPr>
        <w:t>之间。</w:t>
      </w:r>
    </w:p>
    <w:bookmarkEnd w:id="92"/>
    <w:p>
      <w:pPr>
        <w:numPr>
          <w:ilvl w:val="0"/>
          <w:numId w:val="0"/>
        </w:numPr>
        <w:autoSpaceDE w:val="0"/>
        <w:autoSpaceDN w:val="0"/>
        <w:spacing w:line="480" w:lineRule="exact"/>
        <w:ind w:leftChars="200"/>
        <w:rPr>
          <w:rFonts w:hint="default"/>
          <w:color w:val="auto"/>
          <w:kern w:val="0"/>
          <w:sz w:val="26"/>
          <w:szCs w:val="26"/>
          <w:highlight w:val="none"/>
          <w:lang w:val="en-US" w:eastAsia="zh-CN"/>
        </w:rPr>
      </w:pPr>
      <w:r>
        <w:rPr>
          <w:rFonts w:hint="eastAsia"/>
          <w:color w:val="auto"/>
          <w:kern w:val="0"/>
          <w:highlight w:val="none"/>
          <w:lang w:val="en-US" w:eastAsia="zh-CN"/>
        </w:rPr>
        <w:fldChar w:fldCharType="begin"/>
      </w:r>
      <w:r>
        <w:rPr>
          <w:rFonts w:hint="eastAsia"/>
          <w:color w:val="auto"/>
          <w:kern w:val="0"/>
          <w:highlight w:val="none"/>
          <w:lang w:val="en-US" w:eastAsia="zh-CN"/>
        </w:rPr>
        <w:instrText xml:space="preserve"> = 6 \* GB3 \* MERGEFORMAT </w:instrText>
      </w:r>
      <w:r>
        <w:rPr>
          <w:rFonts w:hint="eastAsia"/>
          <w:color w:val="auto"/>
          <w:kern w:val="0"/>
          <w:highlight w:val="none"/>
          <w:lang w:val="en-US" w:eastAsia="zh-CN"/>
        </w:rPr>
        <w:fldChar w:fldCharType="separate"/>
      </w:r>
      <w:r>
        <w:rPr>
          <w:color w:val="auto"/>
          <w:highlight w:val="none"/>
        </w:rPr>
        <w:t>⑥</w:t>
      </w:r>
      <w:r>
        <w:rPr>
          <w:rFonts w:hint="eastAsia"/>
          <w:color w:val="auto"/>
          <w:kern w:val="0"/>
          <w:highlight w:val="none"/>
          <w:lang w:val="en-US" w:eastAsia="zh-CN"/>
        </w:rPr>
        <w:fldChar w:fldCharType="end"/>
      </w:r>
      <w:r>
        <w:rPr>
          <w:rFonts w:hint="eastAsia"/>
          <w:color w:val="auto"/>
          <w:kern w:val="0"/>
          <w:highlight w:val="none"/>
          <w:lang w:val="en-US" w:eastAsia="zh-CN"/>
        </w:rPr>
        <w:t>构树灌</w:t>
      </w:r>
      <w:r>
        <w:rPr>
          <w:rFonts w:hint="eastAsia"/>
          <w:color w:val="auto"/>
          <w:kern w:val="0"/>
          <w:sz w:val="26"/>
          <w:szCs w:val="26"/>
          <w:highlight w:val="none"/>
          <w:lang w:val="en-US" w:eastAsia="zh-CN"/>
        </w:rPr>
        <w:t>丛（</w:t>
      </w:r>
      <w:r>
        <w:rPr>
          <w:rFonts w:hint="eastAsia"/>
          <w:color w:val="auto"/>
          <w:sz w:val="26"/>
          <w:szCs w:val="26"/>
          <w:highlight w:val="none"/>
        </w:rPr>
        <w:t xml:space="preserve">Form. </w:t>
      </w:r>
      <w:r>
        <w:rPr>
          <w:rFonts w:hint="eastAsia"/>
          <w:i/>
          <w:iCs/>
          <w:color w:val="auto"/>
          <w:sz w:val="26"/>
          <w:szCs w:val="26"/>
          <w:highlight w:val="none"/>
        </w:rPr>
        <w:t>Broussonetia papyrifera</w:t>
      </w:r>
      <w:r>
        <w:rPr>
          <w:rFonts w:hint="eastAsia"/>
          <w:color w:val="auto"/>
          <w:kern w:val="0"/>
          <w:sz w:val="26"/>
          <w:szCs w:val="26"/>
          <w:highlight w:val="none"/>
          <w:lang w:val="en-US" w:eastAsia="zh-CN"/>
        </w:rPr>
        <w:t>）</w:t>
      </w:r>
    </w:p>
    <w:p>
      <w:pPr>
        <w:numPr>
          <w:ilvl w:val="0"/>
          <w:numId w:val="0"/>
        </w:numPr>
        <w:autoSpaceDE w:val="0"/>
        <w:autoSpaceDN w:val="0"/>
        <w:spacing w:line="480" w:lineRule="exact"/>
        <w:ind w:firstLine="520" w:firstLineChars="200"/>
        <w:rPr>
          <w:rFonts w:hint="eastAsia"/>
          <w:color w:val="auto"/>
          <w:kern w:val="0"/>
          <w:highlight w:val="none"/>
          <w:lang w:val="en-US" w:eastAsia="zh-CN"/>
        </w:rPr>
      </w:pPr>
      <w:r>
        <w:rPr>
          <w:rFonts w:hint="eastAsia"/>
          <w:color w:val="auto"/>
          <w:highlight w:val="none"/>
          <w:lang w:eastAsia="zh-CN"/>
        </w:rPr>
        <w:t>构树灌丛</w:t>
      </w:r>
      <w:r>
        <w:rPr>
          <w:rFonts w:hint="eastAsia"/>
          <w:color w:val="auto"/>
          <w:highlight w:val="none"/>
        </w:rPr>
        <w:t>主要分布在</w:t>
      </w:r>
      <w:r>
        <w:rPr>
          <w:rFonts w:hint="eastAsia"/>
          <w:color w:val="auto"/>
          <w:highlight w:val="none"/>
          <w:lang w:eastAsia="zh-CN"/>
        </w:rPr>
        <w:t>临时弃渣场占地范围内及周边区域</w:t>
      </w:r>
      <w:r>
        <w:rPr>
          <w:rFonts w:hint="eastAsia"/>
          <w:color w:val="auto"/>
          <w:highlight w:val="none"/>
        </w:rPr>
        <w:t>。该群落的灌木层以</w:t>
      </w:r>
      <w:r>
        <w:rPr>
          <w:rFonts w:hint="eastAsia"/>
          <w:color w:val="auto"/>
          <w:highlight w:val="none"/>
          <w:lang w:eastAsia="zh-CN"/>
        </w:rPr>
        <w:t>低矮构树</w:t>
      </w:r>
      <w:r>
        <w:rPr>
          <w:rFonts w:hint="eastAsia"/>
          <w:color w:val="auto"/>
          <w:highlight w:val="none"/>
        </w:rPr>
        <w:t>为优势种，平均盖度在</w:t>
      </w:r>
      <w:r>
        <w:rPr>
          <w:rFonts w:hint="eastAsia"/>
          <w:color w:val="auto"/>
          <w:highlight w:val="none"/>
          <w:lang w:val="en-US" w:eastAsia="zh-CN"/>
        </w:rPr>
        <w:t>55</w:t>
      </w:r>
      <w:r>
        <w:rPr>
          <w:rFonts w:hint="eastAsia"/>
          <w:color w:val="auto"/>
          <w:highlight w:val="none"/>
        </w:rPr>
        <w:t>-</w:t>
      </w:r>
      <w:r>
        <w:rPr>
          <w:rFonts w:hint="eastAsia"/>
          <w:color w:val="auto"/>
          <w:highlight w:val="none"/>
          <w:lang w:val="en-US" w:eastAsia="zh-CN"/>
        </w:rPr>
        <w:t>65</w:t>
      </w:r>
      <w:r>
        <w:rPr>
          <w:rFonts w:hint="eastAsia"/>
          <w:color w:val="auto"/>
          <w:highlight w:val="none"/>
        </w:rPr>
        <w:t>%之间，其他常见灌木</w:t>
      </w:r>
      <w:r>
        <w:rPr>
          <w:rFonts w:hint="eastAsia"/>
          <w:color w:val="auto"/>
          <w:highlight w:val="none"/>
          <w:lang w:eastAsia="zh-CN"/>
        </w:rPr>
        <w:t>较少，偶见八角枫、盐肤木、乌藨子</w:t>
      </w:r>
      <w:r>
        <w:rPr>
          <w:rFonts w:hint="eastAsia"/>
          <w:color w:val="auto"/>
          <w:highlight w:val="none"/>
        </w:rPr>
        <w:t>等。草本层则以</w:t>
      </w:r>
      <w:r>
        <w:rPr>
          <w:rFonts w:hint="eastAsia"/>
          <w:color w:val="auto"/>
          <w:highlight w:val="none"/>
          <w:lang w:eastAsia="zh-CN"/>
        </w:rPr>
        <w:t>毛蕨、海金沙、空心莲子草、马兰、喀西茄、</w:t>
      </w:r>
      <w:r>
        <w:rPr>
          <w:rFonts w:hint="eastAsia"/>
          <w:color w:val="auto"/>
          <w:highlight w:val="none"/>
        </w:rPr>
        <w:t>蜈蚣草、矛叶荩草</w:t>
      </w:r>
      <w:r>
        <w:rPr>
          <w:rFonts w:hint="eastAsia"/>
          <w:color w:val="auto"/>
          <w:highlight w:val="none"/>
          <w:lang w:eastAsia="zh-CN"/>
        </w:rPr>
        <w:t>、马唐等</w:t>
      </w:r>
      <w:r>
        <w:rPr>
          <w:rFonts w:hint="eastAsia"/>
          <w:color w:val="auto"/>
          <w:highlight w:val="none"/>
        </w:rPr>
        <w:t>为主要种类，草本层总盖度</w:t>
      </w:r>
      <w:r>
        <w:rPr>
          <w:rFonts w:hint="eastAsia"/>
          <w:color w:val="auto"/>
          <w:highlight w:val="none"/>
          <w:lang w:eastAsia="zh-CN"/>
        </w:rPr>
        <w:t>约</w:t>
      </w:r>
      <w:r>
        <w:rPr>
          <w:rFonts w:hint="eastAsia"/>
          <w:color w:val="auto"/>
          <w:highlight w:val="none"/>
          <w:lang w:val="en-US" w:eastAsia="zh-CN"/>
        </w:rPr>
        <w:t>10%左右</w:t>
      </w:r>
      <w:r>
        <w:rPr>
          <w:rFonts w:hint="eastAsia"/>
          <w:color w:val="auto"/>
          <w:highlight w:val="none"/>
        </w:rPr>
        <w:t>。</w:t>
      </w:r>
    </w:p>
    <w:p>
      <w:pPr>
        <w:numPr>
          <w:ilvl w:val="0"/>
          <w:numId w:val="0"/>
        </w:numPr>
        <w:autoSpaceDE w:val="0"/>
        <w:autoSpaceDN w:val="0"/>
        <w:spacing w:line="480" w:lineRule="exact"/>
        <w:ind w:leftChars="200"/>
        <w:rPr>
          <w:color w:val="auto"/>
          <w:kern w:val="0"/>
          <w:highlight w:val="none"/>
        </w:rPr>
      </w:pPr>
      <w:r>
        <w:rPr>
          <w:rFonts w:hint="eastAsia"/>
          <w:color w:val="auto"/>
          <w:kern w:val="0"/>
          <w:highlight w:val="none"/>
          <w:lang w:val="en-US" w:eastAsia="zh-CN"/>
        </w:rPr>
        <w:fldChar w:fldCharType="begin"/>
      </w:r>
      <w:r>
        <w:rPr>
          <w:rFonts w:hint="eastAsia"/>
          <w:color w:val="auto"/>
          <w:kern w:val="0"/>
          <w:highlight w:val="none"/>
          <w:lang w:val="en-US" w:eastAsia="zh-CN"/>
        </w:rPr>
        <w:instrText xml:space="preserve"> = 7 \* GB3 \* MERGEFORMAT </w:instrText>
      </w:r>
      <w:r>
        <w:rPr>
          <w:rFonts w:hint="eastAsia"/>
          <w:color w:val="auto"/>
          <w:kern w:val="0"/>
          <w:highlight w:val="none"/>
          <w:lang w:val="en-US" w:eastAsia="zh-CN"/>
        </w:rPr>
        <w:fldChar w:fldCharType="separate"/>
      </w:r>
      <w:r>
        <w:rPr>
          <w:color w:val="auto"/>
          <w:highlight w:val="none"/>
        </w:rPr>
        <w:t>⑦</w:t>
      </w:r>
      <w:r>
        <w:rPr>
          <w:rFonts w:hint="eastAsia"/>
          <w:color w:val="auto"/>
          <w:kern w:val="0"/>
          <w:highlight w:val="none"/>
          <w:lang w:val="en-US" w:eastAsia="zh-CN"/>
        </w:rPr>
        <w:fldChar w:fldCharType="end"/>
      </w:r>
      <w:r>
        <w:rPr>
          <w:rFonts w:hint="eastAsia"/>
          <w:color w:val="auto"/>
          <w:kern w:val="0"/>
          <w:highlight w:val="none"/>
        </w:rPr>
        <w:t>斑茅</w:t>
      </w:r>
      <w:r>
        <w:rPr>
          <w:color w:val="auto"/>
          <w:kern w:val="0"/>
          <w:highlight w:val="none"/>
        </w:rPr>
        <w:t>草丛（</w:t>
      </w:r>
      <w:r>
        <w:rPr>
          <w:color w:val="auto"/>
          <w:highlight w:val="none"/>
        </w:rPr>
        <w:t>Form.</w:t>
      </w:r>
      <w:r>
        <w:rPr>
          <w:i/>
          <w:iCs/>
          <w:color w:val="auto"/>
          <w:highlight w:val="none"/>
          <w:shd w:val="clear" w:color="auto" w:fill="FFFFFF"/>
        </w:rPr>
        <w:t xml:space="preserve"> Saccharum arundinaceum</w:t>
      </w:r>
      <w:r>
        <w:rPr>
          <w:color w:val="auto"/>
          <w:kern w:val="0"/>
          <w:highlight w:val="none"/>
        </w:rPr>
        <w:t>）</w:t>
      </w:r>
    </w:p>
    <w:p>
      <w:pPr>
        <w:autoSpaceDE w:val="0"/>
        <w:autoSpaceDN w:val="0"/>
        <w:spacing w:line="480" w:lineRule="exact"/>
        <w:ind w:firstLine="520"/>
        <w:rPr>
          <w:color w:val="auto"/>
          <w:highlight w:val="none"/>
        </w:rPr>
      </w:pPr>
      <w:r>
        <w:rPr>
          <w:rFonts w:hint="eastAsia"/>
          <w:color w:val="auto"/>
          <w:highlight w:val="none"/>
        </w:rPr>
        <w:t>斑茅草丛在</w:t>
      </w:r>
      <w:r>
        <w:rPr>
          <w:rFonts w:hint="eastAsia"/>
          <w:color w:val="auto"/>
          <w:highlight w:val="none"/>
          <w:lang w:eastAsia="zh-CN"/>
        </w:rPr>
        <w:t>渭沱枢纽上下游的</w:t>
      </w:r>
      <w:r>
        <w:rPr>
          <w:rFonts w:hint="eastAsia"/>
          <w:color w:val="auto"/>
          <w:highlight w:val="none"/>
        </w:rPr>
        <w:t>平坦河岸大量分布，</w:t>
      </w:r>
      <w:r>
        <w:rPr>
          <w:rFonts w:hint="eastAsia"/>
          <w:color w:val="auto"/>
          <w:highlight w:val="none"/>
          <w:lang w:eastAsia="zh-CN"/>
        </w:rPr>
        <w:t>在弃渣场占地范围内也偶有分布，</w:t>
      </w:r>
      <w:r>
        <w:rPr>
          <w:rFonts w:hint="eastAsia"/>
          <w:color w:val="auto"/>
          <w:highlight w:val="none"/>
        </w:rPr>
        <w:t>该群落以斑茅为主要植物，草本层盖度极高，可达到90%以上，少量样方记录有</w:t>
      </w:r>
      <w:r>
        <w:rPr>
          <w:rFonts w:hint="eastAsia"/>
          <w:color w:val="auto"/>
          <w:highlight w:val="none"/>
          <w:lang w:eastAsia="zh-CN"/>
        </w:rPr>
        <w:t>白茅、苏门白酒草、薹草、</w:t>
      </w:r>
      <w:r>
        <w:rPr>
          <w:rFonts w:hint="eastAsia"/>
          <w:color w:val="auto"/>
          <w:highlight w:val="none"/>
        </w:rPr>
        <w:t>蜈蚣草和狗牙根，群落结构简单。</w:t>
      </w:r>
    </w:p>
    <w:p>
      <w:pPr>
        <w:autoSpaceDE w:val="0"/>
        <w:autoSpaceDN w:val="0"/>
        <w:adjustRightInd w:val="0"/>
        <w:snapToGrid w:val="0"/>
        <w:spacing w:line="480" w:lineRule="exact"/>
        <w:ind w:firstLine="520"/>
        <w:textAlignment w:val="baseline"/>
        <w:rPr>
          <w:rFonts w:hint="eastAsia" w:eastAsia="宋体"/>
          <w:color w:val="auto"/>
          <w:sz w:val="26"/>
          <w:szCs w:val="26"/>
          <w:highlight w:val="none"/>
          <w:lang w:val="en-US" w:eastAsia="zh-CN"/>
        </w:rPr>
      </w:pPr>
      <w:r>
        <w:rPr>
          <w:rFonts w:hint="eastAsia"/>
          <w:color w:val="auto"/>
          <w:sz w:val="26"/>
          <w:szCs w:val="26"/>
          <w:highlight w:val="none"/>
          <w:lang w:val="en-US" w:eastAsia="zh-CN"/>
        </w:rPr>
        <w:fldChar w:fldCharType="begin"/>
      </w:r>
      <w:r>
        <w:rPr>
          <w:rFonts w:hint="eastAsia"/>
          <w:color w:val="auto"/>
          <w:sz w:val="26"/>
          <w:szCs w:val="26"/>
          <w:highlight w:val="none"/>
          <w:lang w:val="en-US" w:eastAsia="zh-CN"/>
        </w:rPr>
        <w:instrText xml:space="preserve"> = 8 \* GB3 \* MERGEFORMAT </w:instrText>
      </w:r>
      <w:r>
        <w:rPr>
          <w:rFonts w:hint="eastAsia"/>
          <w:color w:val="auto"/>
          <w:sz w:val="26"/>
          <w:szCs w:val="26"/>
          <w:highlight w:val="none"/>
          <w:lang w:val="en-US" w:eastAsia="zh-CN"/>
        </w:rPr>
        <w:fldChar w:fldCharType="separate"/>
      </w:r>
      <w:r>
        <w:rPr>
          <w:color w:val="auto"/>
          <w:highlight w:val="none"/>
        </w:rPr>
        <w:t>⑧</w:t>
      </w:r>
      <w:r>
        <w:rPr>
          <w:rFonts w:hint="eastAsia"/>
          <w:color w:val="auto"/>
          <w:sz w:val="26"/>
          <w:szCs w:val="26"/>
          <w:highlight w:val="none"/>
          <w:lang w:val="en-US" w:eastAsia="zh-CN"/>
        </w:rPr>
        <w:fldChar w:fldCharType="end"/>
      </w:r>
      <w:r>
        <w:rPr>
          <w:rFonts w:hint="eastAsia"/>
          <w:color w:val="auto"/>
          <w:sz w:val="26"/>
          <w:szCs w:val="26"/>
          <w:highlight w:val="none"/>
          <w:lang w:val="en-US" w:eastAsia="zh-CN"/>
        </w:rPr>
        <w:t>白茅草丛（</w:t>
      </w:r>
      <w:r>
        <w:rPr>
          <w:color w:val="auto"/>
          <w:sz w:val="26"/>
          <w:szCs w:val="26"/>
          <w:highlight w:val="none"/>
        </w:rPr>
        <w:t>Form</w:t>
      </w:r>
      <w:r>
        <w:rPr>
          <w:i/>
          <w:iCs/>
          <w:color w:val="auto"/>
          <w:sz w:val="26"/>
          <w:szCs w:val="26"/>
          <w:highlight w:val="none"/>
        </w:rPr>
        <w:t>.</w:t>
      </w:r>
      <w:r>
        <w:rPr>
          <w:rFonts w:hint="eastAsia"/>
          <w:i/>
          <w:iCs/>
          <w:color w:val="auto"/>
          <w:sz w:val="26"/>
          <w:szCs w:val="26"/>
          <w:highlight w:val="none"/>
        </w:rPr>
        <w:t>Imperata cylindrica</w:t>
      </w:r>
      <w:r>
        <w:rPr>
          <w:rFonts w:hint="eastAsia"/>
          <w:color w:val="auto"/>
          <w:sz w:val="26"/>
          <w:szCs w:val="26"/>
          <w:highlight w:val="none"/>
          <w:lang w:val="en-US" w:eastAsia="zh-CN"/>
        </w:rPr>
        <w:t>）</w:t>
      </w:r>
    </w:p>
    <w:p>
      <w:pPr>
        <w:autoSpaceDE w:val="0"/>
        <w:autoSpaceDN w:val="0"/>
        <w:spacing w:line="480" w:lineRule="exact"/>
        <w:ind w:firstLine="520"/>
        <w:rPr>
          <w:color w:val="auto"/>
          <w:highlight w:val="none"/>
        </w:rPr>
      </w:pPr>
      <w:r>
        <w:rPr>
          <w:rFonts w:hint="eastAsia"/>
          <w:color w:val="auto"/>
          <w:szCs w:val="22"/>
          <w:highlight w:val="none"/>
          <w:lang w:eastAsia="zh-CN"/>
        </w:rPr>
        <w:t>白茅草丛主要分布在弃渣场占地范围内及周边荒地内，</w:t>
      </w:r>
      <w:r>
        <w:rPr>
          <w:rFonts w:hint="eastAsia"/>
          <w:color w:val="auto"/>
          <w:highlight w:val="none"/>
        </w:rPr>
        <w:t>该群落以</w:t>
      </w:r>
      <w:r>
        <w:rPr>
          <w:rFonts w:hint="eastAsia"/>
          <w:color w:val="auto"/>
          <w:highlight w:val="none"/>
          <w:lang w:eastAsia="zh-CN"/>
        </w:rPr>
        <w:t>白茅</w:t>
      </w:r>
      <w:r>
        <w:rPr>
          <w:rFonts w:hint="eastAsia"/>
          <w:color w:val="auto"/>
          <w:highlight w:val="none"/>
        </w:rPr>
        <w:t>为</w:t>
      </w:r>
      <w:r>
        <w:rPr>
          <w:rFonts w:hint="eastAsia"/>
          <w:color w:val="auto"/>
          <w:highlight w:val="none"/>
          <w:lang w:eastAsia="zh-CN"/>
        </w:rPr>
        <w:t>优势种</w:t>
      </w:r>
      <w:r>
        <w:rPr>
          <w:rFonts w:hint="eastAsia"/>
          <w:color w:val="auto"/>
          <w:highlight w:val="none"/>
        </w:rPr>
        <w:t>，草本层盖度</w:t>
      </w:r>
      <w:r>
        <w:rPr>
          <w:rFonts w:hint="eastAsia"/>
          <w:color w:val="auto"/>
          <w:highlight w:val="none"/>
          <w:lang w:eastAsia="zh-CN"/>
        </w:rPr>
        <w:t>较高</w:t>
      </w:r>
      <w:r>
        <w:rPr>
          <w:rFonts w:hint="eastAsia"/>
          <w:color w:val="auto"/>
          <w:highlight w:val="none"/>
        </w:rPr>
        <w:t>，</w:t>
      </w:r>
      <w:r>
        <w:rPr>
          <w:rFonts w:hint="eastAsia"/>
          <w:color w:val="auto"/>
          <w:highlight w:val="none"/>
          <w:lang w:eastAsia="zh-CN"/>
        </w:rPr>
        <w:t>可达</w:t>
      </w:r>
      <w:r>
        <w:rPr>
          <w:rFonts w:hint="eastAsia"/>
          <w:color w:val="auto"/>
          <w:highlight w:val="none"/>
          <w:lang w:val="en-US" w:eastAsia="zh-CN"/>
        </w:rPr>
        <w:t>75</w:t>
      </w:r>
      <w:r>
        <w:rPr>
          <w:rFonts w:hint="eastAsia"/>
          <w:color w:val="auto"/>
          <w:highlight w:val="none"/>
        </w:rPr>
        <w:t>%以上，</w:t>
      </w:r>
      <w:r>
        <w:rPr>
          <w:rFonts w:hint="eastAsia"/>
          <w:color w:val="auto"/>
          <w:highlight w:val="none"/>
          <w:lang w:eastAsia="zh-CN"/>
        </w:rPr>
        <w:t>偶见伴生</w:t>
      </w:r>
      <w:r>
        <w:rPr>
          <w:rFonts w:hint="eastAsia"/>
          <w:color w:val="auto"/>
          <w:highlight w:val="none"/>
        </w:rPr>
        <w:t>有</w:t>
      </w:r>
      <w:r>
        <w:rPr>
          <w:rFonts w:hint="eastAsia"/>
          <w:color w:val="auto"/>
          <w:highlight w:val="none"/>
          <w:lang w:eastAsia="zh-CN"/>
        </w:rPr>
        <w:t>苏门白酒草、攀倒甑、鬼针草、马兰等草本植物</w:t>
      </w:r>
      <w:r>
        <w:rPr>
          <w:rFonts w:hint="eastAsia"/>
          <w:color w:val="auto"/>
          <w:highlight w:val="none"/>
        </w:rPr>
        <w:t>，群落结构简单。</w:t>
      </w:r>
    </w:p>
    <w:p>
      <w:pPr>
        <w:autoSpaceDE w:val="0"/>
        <w:autoSpaceDN w:val="0"/>
        <w:adjustRightInd w:val="0"/>
        <w:snapToGrid w:val="0"/>
        <w:spacing w:line="480" w:lineRule="exact"/>
        <w:ind w:firstLine="520"/>
        <w:textAlignment w:val="baseline"/>
        <w:rPr>
          <w:rFonts w:hint="default" w:eastAsia="宋体"/>
          <w:color w:val="auto"/>
          <w:szCs w:val="22"/>
          <w:highlight w:val="none"/>
          <w:lang w:val="en-US" w:eastAsia="zh-CN"/>
        </w:rPr>
      </w:pPr>
      <w:r>
        <w:rPr>
          <w:rFonts w:hint="eastAsia"/>
          <w:color w:val="auto"/>
          <w:szCs w:val="22"/>
          <w:highlight w:val="none"/>
          <w:lang w:val="en-US" w:eastAsia="zh-CN"/>
        </w:rPr>
        <w:fldChar w:fldCharType="begin"/>
      </w:r>
      <w:r>
        <w:rPr>
          <w:rFonts w:hint="eastAsia"/>
          <w:color w:val="auto"/>
          <w:szCs w:val="22"/>
          <w:highlight w:val="none"/>
          <w:lang w:val="en-US" w:eastAsia="zh-CN"/>
        </w:rPr>
        <w:instrText xml:space="preserve"> = 9 \* GB3 \* MERGEFORMAT </w:instrText>
      </w:r>
      <w:r>
        <w:rPr>
          <w:rFonts w:hint="eastAsia"/>
          <w:color w:val="auto"/>
          <w:szCs w:val="22"/>
          <w:highlight w:val="none"/>
          <w:lang w:val="en-US" w:eastAsia="zh-CN"/>
        </w:rPr>
        <w:fldChar w:fldCharType="separate"/>
      </w:r>
      <w:r>
        <w:rPr>
          <w:color w:val="auto"/>
          <w:highlight w:val="none"/>
        </w:rPr>
        <w:t>⑨</w:t>
      </w:r>
      <w:r>
        <w:rPr>
          <w:rFonts w:hint="eastAsia"/>
          <w:color w:val="auto"/>
          <w:szCs w:val="22"/>
          <w:highlight w:val="none"/>
          <w:lang w:val="en-US" w:eastAsia="zh-CN"/>
        </w:rPr>
        <w:fldChar w:fldCharType="end"/>
      </w:r>
      <w:r>
        <w:rPr>
          <w:rFonts w:hint="eastAsia"/>
          <w:color w:val="auto"/>
          <w:szCs w:val="22"/>
          <w:highlight w:val="none"/>
          <w:lang w:val="en-US" w:eastAsia="zh-CN"/>
        </w:rPr>
        <w:t>葎草草丛（Form.</w:t>
      </w:r>
      <w:r>
        <w:rPr>
          <w:rFonts w:hint="eastAsia"/>
          <w:i/>
          <w:iCs/>
          <w:color w:val="auto"/>
          <w:szCs w:val="22"/>
          <w:highlight w:val="none"/>
          <w:lang w:val="en-US" w:eastAsia="zh-CN"/>
        </w:rPr>
        <w:t>Humulus scandens</w:t>
      </w:r>
      <w:r>
        <w:rPr>
          <w:rFonts w:hint="eastAsia"/>
          <w:color w:val="auto"/>
          <w:szCs w:val="22"/>
          <w:highlight w:val="none"/>
          <w:lang w:val="en-US" w:eastAsia="zh-CN"/>
        </w:rPr>
        <w:t>）</w:t>
      </w:r>
    </w:p>
    <w:p>
      <w:pPr>
        <w:autoSpaceDE w:val="0"/>
        <w:autoSpaceDN w:val="0"/>
        <w:adjustRightInd w:val="0"/>
        <w:snapToGrid w:val="0"/>
        <w:spacing w:line="480" w:lineRule="exact"/>
        <w:ind w:firstLine="520"/>
        <w:textAlignment w:val="baseline"/>
        <w:rPr>
          <w:rFonts w:hint="eastAsia"/>
          <w:color w:val="auto"/>
          <w:szCs w:val="22"/>
          <w:highlight w:val="none"/>
        </w:rPr>
      </w:pPr>
      <w:r>
        <w:rPr>
          <w:rFonts w:hint="eastAsia"/>
          <w:color w:val="auto"/>
          <w:szCs w:val="22"/>
          <w:highlight w:val="none"/>
          <w:lang w:val="en-US" w:eastAsia="zh-CN"/>
        </w:rPr>
        <w:t>葎草草丛</w:t>
      </w:r>
      <w:r>
        <w:rPr>
          <w:rFonts w:hint="eastAsia"/>
          <w:color w:val="auto"/>
          <w:szCs w:val="22"/>
          <w:highlight w:val="none"/>
          <w:lang w:eastAsia="zh-CN"/>
        </w:rPr>
        <w:t>在弃渣场占地范围内及周边荒地内呈块状分布，</w:t>
      </w:r>
      <w:r>
        <w:rPr>
          <w:rFonts w:hint="eastAsia"/>
          <w:color w:val="auto"/>
          <w:highlight w:val="none"/>
        </w:rPr>
        <w:t>该群落</w:t>
      </w:r>
      <w:r>
        <w:rPr>
          <w:rFonts w:hint="eastAsia"/>
          <w:color w:val="auto"/>
          <w:highlight w:val="none"/>
          <w:lang w:eastAsia="zh-CN"/>
        </w:rPr>
        <w:t>主要草本为葎草</w:t>
      </w:r>
      <w:r>
        <w:rPr>
          <w:rFonts w:hint="eastAsia"/>
          <w:color w:val="auto"/>
          <w:highlight w:val="none"/>
        </w:rPr>
        <w:t>，草本层盖度</w:t>
      </w:r>
      <w:r>
        <w:rPr>
          <w:rFonts w:hint="eastAsia"/>
          <w:color w:val="auto"/>
          <w:highlight w:val="none"/>
          <w:lang w:eastAsia="zh-CN"/>
        </w:rPr>
        <w:t>可达</w:t>
      </w:r>
      <w:r>
        <w:rPr>
          <w:rFonts w:hint="eastAsia"/>
          <w:color w:val="auto"/>
          <w:highlight w:val="none"/>
          <w:lang w:val="en-US" w:eastAsia="zh-CN"/>
        </w:rPr>
        <w:t>80</w:t>
      </w:r>
      <w:r>
        <w:rPr>
          <w:rFonts w:hint="eastAsia"/>
          <w:color w:val="auto"/>
          <w:highlight w:val="none"/>
        </w:rPr>
        <w:t>%以上，</w:t>
      </w:r>
      <w:r>
        <w:rPr>
          <w:rFonts w:hint="eastAsia"/>
          <w:color w:val="auto"/>
          <w:highlight w:val="none"/>
          <w:lang w:eastAsia="zh-CN"/>
        </w:rPr>
        <w:t>伴生草本植物较少，主要为空心莲子草等</w:t>
      </w:r>
      <w:r>
        <w:rPr>
          <w:rFonts w:hint="eastAsia"/>
          <w:color w:val="auto"/>
          <w:highlight w:val="none"/>
        </w:rPr>
        <w:t>，群落结构简单。</w:t>
      </w:r>
    </w:p>
    <w:p>
      <w:pPr>
        <w:autoSpaceDE w:val="0"/>
        <w:autoSpaceDN w:val="0"/>
        <w:adjustRightInd w:val="0"/>
        <w:snapToGrid w:val="0"/>
        <w:spacing w:line="480" w:lineRule="exact"/>
        <w:ind w:firstLine="520"/>
        <w:textAlignment w:val="baseline"/>
        <w:rPr>
          <w:rFonts w:hint="eastAsia" w:eastAsia="宋体"/>
          <w:color w:val="auto"/>
          <w:szCs w:val="22"/>
          <w:highlight w:val="none"/>
          <w:lang w:eastAsia="zh-CN"/>
        </w:rPr>
      </w:pPr>
      <w:r>
        <w:rPr>
          <w:rFonts w:hint="eastAsia"/>
          <w:color w:val="auto"/>
          <w:szCs w:val="22"/>
          <w:highlight w:val="none"/>
        </w:rPr>
        <w:t>结合区域高分遥感数据、DEM数据、地面调查数据等对评价范围的植被类型进行目视解译，并将植被型</w:t>
      </w:r>
      <w:r>
        <w:rPr>
          <w:rFonts w:hint="eastAsia"/>
          <w:color w:val="auto"/>
          <w:szCs w:val="22"/>
          <w:highlight w:val="none"/>
          <w:shd w:val="clear" w:fill="FFFFFF"/>
        </w:rPr>
        <w:t>组细</w:t>
      </w:r>
      <w:r>
        <w:rPr>
          <w:rFonts w:hint="eastAsia"/>
          <w:color w:val="auto"/>
          <w:szCs w:val="22"/>
          <w:highlight w:val="none"/>
        </w:rPr>
        <w:t>分为</w:t>
      </w:r>
      <w:r>
        <w:rPr>
          <w:rFonts w:hint="eastAsia"/>
          <w:color w:val="auto"/>
          <w:szCs w:val="22"/>
          <w:highlight w:val="none"/>
          <w:lang w:val="en-US" w:eastAsia="zh-CN"/>
        </w:rPr>
        <w:t>6</w:t>
      </w:r>
      <w:r>
        <w:rPr>
          <w:rFonts w:hint="eastAsia"/>
          <w:color w:val="auto"/>
          <w:szCs w:val="22"/>
          <w:highlight w:val="none"/>
        </w:rPr>
        <w:t>个植被类型，</w:t>
      </w:r>
      <w:r>
        <w:rPr>
          <w:rFonts w:hint="eastAsia"/>
          <w:color w:val="auto"/>
          <w:highlight w:val="none"/>
        </w:rPr>
        <w:t>各植被类型</w:t>
      </w:r>
      <w:r>
        <w:rPr>
          <w:rFonts w:hint="eastAsia"/>
          <w:color w:val="auto"/>
          <w:highlight w:val="none"/>
          <w:lang w:eastAsia="zh-CN"/>
        </w:rPr>
        <w:t>面积及占用情况</w:t>
      </w:r>
      <w:r>
        <w:rPr>
          <w:rFonts w:hint="eastAsia"/>
          <w:color w:val="auto"/>
          <w:highlight w:val="none"/>
        </w:rPr>
        <w:t>详见下表</w:t>
      </w:r>
      <w:r>
        <w:rPr>
          <w:rFonts w:hint="eastAsia"/>
          <w:color w:val="auto"/>
          <w:highlight w:val="none"/>
          <w:lang w:eastAsia="zh-CN"/>
        </w:rPr>
        <w:t>：</w:t>
      </w:r>
    </w:p>
    <w:p>
      <w:pPr>
        <w:pStyle w:val="216"/>
        <w:ind w:firstLine="520"/>
        <w:rPr>
          <w:color w:val="auto"/>
          <w:highlight w:val="none"/>
        </w:rPr>
      </w:pPr>
    </w:p>
    <w:p>
      <w:pPr>
        <w:autoSpaceDE w:val="0"/>
        <w:autoSpaceDN w:val="0"/>
        <w:adjustRightInd w:val="0"/>
        <w:snapToGrid w:val="0"/>
        <w:spacing w:line="240" w:lineRule="auto"/>
        <w:ind w:left="520" w:leftChars="200" w:firstLine="0" w:firstLineChars="0"/>
        <w:jc w:val="center"/>
        <w:textAlignment w:val="baseline"/>
        <w:rPr>
          <w:b w:val="0"/>
          <w:bCs/>
          <w:color w:val="auto"/>
          <w:highlight w:val="none"/>
        </w:rPr>
      </w:pPr>
      <w:r>
        <w:rPr>
          <w:rFonts w:hint="eastAsia"/>
          <w:b w:val="0"/>
          <w:bCs/>
          <w:color w:val="auto"/>
          <w:highlight w:val="none"/>
        </w:rPr>
        <w:t>表</w:t>
      </w:r>
      <w:r>
        <w:rPr>
          <w:rFonts w:hint="eastAsia"/>
          <w:b w:val="0"/>
          <w:bCs/>
          <w:color w:val="auto"/>
          <w:highlight w:val="none"/>
          <w:lang w:val="en-US" w:eastAsia="zh-CN"/>
        </w:rPr>
        <w:t xml:space="preserve">3.2.2-2  </w:t>
      </w:r>
      <w:r>
        <w:rPr>
          <w:rFonts w:hint="eastAsia"/>
          <w:b w:val="0"/>
          <w:bCs/>
          <w:color w:val="auto"/>
          <w:highlight w:val="none"/>
        </w:rPr>
        <w:t>评价区植被类型现状及植被占用情况表</w:t>
      </w:r>
    </w:p>
    <w:tbl>
      <w:tblPr>
        <w:tblStyle w:val="28"/>
        <w:tblW w:w="4850" w:type="pct"/>
        <w:jc w:val="center"/>
        <w:tblLayout w:type="fixed"/>
        <w:tblCellMar>
          <w:top w:w="0" w:type="dxa"/>
          <w:left w:w="108" w:type="dxa"/>
          <w:bottom w:w="0" w:type="dxa"/>
          <w:right w:w="108" w:type="dxa"/>
        </w:tblCellMar>
      </w:tblPr>
      <w:tblGrid>
        <w:gridCol w:w="1553"/>
        <w:gridCol w:w="1546"/>
        <w:gridCol w:w="1488"/>
        <w:gridCol w:w="1408"/>
        <w:gridCol w:w="2683"/>
      </w:tblGrid>
      <w:tr>
        <w:tblPrEx>
          <w:tblCellMar>
            <w:top w:w="0" w:type="dxa"/>
            <w:left w:w="108" w:type="dxa"/>
            <w:bottom w:w="0" w:type="dxa"/>
            <w:right w:w="108" w:type="dxa"/>
          </w:tblCellMar>
        </w:tblPrEx>
        <w:trPr>
          <w:trHeight w:val="340" w:hRule="atLeast"/>
          <w:jc w:val="center"/>
        </w:trPr>
        <w:tc>
          <w:tcPr>
            <w:tcW w:w="155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szCs w:val="21"/>
                <w:highlight w:val="none"/>
              </w:rPr>
            </w:pPr>
            <w:r>
              <w:rPr>
                <w:rFonts w:hint="eastAsia"/>
                <w:color w:val="auto"/>
                <w:kern w:val="0"/>
                <w:sz w:val="22"/>
                <w:szCs w:val="21"/>
                <w:highlight w:val="none"/>
              </w:rPr>
              <w:t>植被型</w:t>
            </w:r>
          </w:p>
        </w:tc>
        <w:tc>
          <w:tcPr>
            <w:tcW w:w="303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szCs w:val="21"/>
                <w:highlight w:val="none"/>
              </w:rPr>
            </w:pPr>
            <w:r>
              <w:rPr>
                <w:rFonts w:hint="eastAsia"/>
                <w:color w:val="auto"/>
                <w:kern w:val="0"/>
                <w:sz w:val="22"/>
                <w:szCs w:val="21"/>
                <w:highlight w:val="none"/>
              </w:rPr>
              <w:t>评价范围</w:t>
            </w:r>
          </w:p>
        </w:tc>
        <w:tc>
          <w:tcPr>
            <w:tcW w:w="4091"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szCs w:val="22"/>
                <w:highlight w:val="none"/>
              </w:rPr>
            </w:pPr>
            <w:r>
              <w:rPr>
                <w:rFonts w:hint="eastAsia"/>
                <w:color w:val="auto"/>
                <w:kern w:val="0"/>
                <w:sz w:val="22"/>
                <w:szCs w:val="22"/>
                <w:highlight w:val="none"/>
              </w:rPr>
              <w:t>植被占用情况</w:t>
            </w:r>
          </w:p>
        </w:tc>
      </w:tr>
      <w:tr>
        <w:tblPrEx>
          <w:tblCellMar>
            <w:top w:w="0" w:type="dxa"/>
            <w:left w:w="108" w:type="dxa"/>
            <w:bottom w:w="0" w:type="dxa"/>
            <w:right w:w="108" w:type="dxa"/>
          </w:tblCellMar>
        </w:tblPrEx>
        <w:trPr>
          <w:trHeight w:val="340" w:hRule="atLeast"/>
          <w:jc w:val="center"/>
        </w:trPr>
        <w:tc>
          <w:tcPr>
            <w:tcW w:w="1553"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szCs w:val="21"/>
                <w:highlight w:val="none"/>
              </w:rPr>
            </w:pPr>
          </w:p>
        </w:tc>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szCs w:val="21"/>
                <w:highlight w:val="none"/>
              </w:rPr>
            </w:pPr>
            <w:r>
              <w:rPr>
                <w:rFonts w:hint="eastAsia"/>
                <w:color w:val="auto"/>
                <w:kern w:val="0"/>
                <w:sz w:val="22"/>
                <w:szCs w:val="21"/>
                <w:highlight w:val="none"/>
              </w:rPr>
              <w:t>面积（公顷）</w:t>
            </w:r>
          </w:p>
        </w:tc>
        <w:tc>
          <w:tcPr>
            <w:tcW w:w="14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szCs w:val="21"/>
                <w:highlight w:val="none"/>
              </w:rPr>
            </w:pPr>
            <w:r>
              <w:rPr>
                <w:rFonts w:hint="eastAsia"/>
                <w:color w:val="auto"/>
                <w:kern w:val="0"/>
                <w:sz w:val="22"/>
                <w:szCs w:val="21"/>
                <w:highlight w:val="none"/>
              </w:rPr>
              <w:t>占比（</w:t>
            </w:r>
            <w:r>
              <w:rPr>
                <w:color w:val="auto"/>
                <w:kern w:val="0"/>
                <w:sz w:val="22"/>
                <w:szCs w:val="21"/>
                <w:highlight w:val="none"/>
              </w:rPr>
              <w:t>%）</w:t>
            </w:r>
          </w:p>
        </w:tc>
        <w:tc>
          <w:tcPr>
            <w:tcW w:w="140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szCs w:val="21"/>
                <w:highlight w:val="none"/>
              </w:rPr>
            </w:pPr>
            <w:r>
              <w:rPr>
                <w:rFonts w:hint="eastAsia"/>
                <w:color w:val="auto"/>
                <w:kern w:val="0"/>
                <w:sz w:val="22"/>
                <w:szCs w:val="21"/>
                <w:highlight w:val="none"/>
              </w:rPr>
              <w:t>面积（公顷）</w:t>
            </w:r>
          </w:p>
        </w:tc>
        <w:tc>
          <w:tcPr>
            <w:tcW w:w="26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szCs w:val="21"/>
                <w:highlight w:val="none"/>
              </w:rPr>
            </w:pPr>
            <w:r>
              <w:rPr>
                <w:rFonts w:hint="eastAsia"/>
                <w:color w:val="auto"/>
                <w:kern w:val="0"/>
                <w:sz w:val="22"/>
                <w:szCs w:val="21"/>
                <w:highlight w:val="none"/>
                <w:shd w:val="clear" w:fill="FFFFFF"/>
              </w:rPr>
              <w:t>占同</w:t>
            </w:r>
            <w:r>
              <w:rPr>
                <w:rFonts w:hint="eastAsia"/>
                <w:color w:val="auto"/>
                <w:kern w:val="0"/>
                <w:sz w:val="22"/>
                <w:szCs w:val="21"/>
                <w:highlight w:val="none"/>
              </w:rPr>
              <w:t>植被型面积比例（</w:t>
            </w:r>
            <w:r>
              <w:rPr>
                <w:color w:val="auto"/>
                <w:kern w:val="0"/>
                <w:sz w:val="22"/>
                <w:szCs w:val="21"/>
                <w:highlight w:val="none"/>
              </w:rPr>
              <w:t>%）</w:t>
            </w:r>
          </w:p>
        </w:tc>
      </w:tr>
      <w:tr>
        <w:tblPrEx>
          <w:tblCellMar>
            <w:top w:w="0" w:type="dxa"/>
            <w:left w:w="108" w:type="dxa"/>
            <w:bottom w:w="0" w:type="dxa"/>
            <w:right w:w="108" w:type="dxa"/>
          </w:tblCellMar>
        </w:tblPrEx>
        <w:trPr>
          <w:trHeight w:val="340" w:hRule="atLeast"/>
          <w:jc w:val="center"/>
        </w:trPr>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kern w:val="0"/>
                <w:sz w:val="22"/>
                <w:szCs w:val="21"/>
                <w:highlight w:val="none"/>
              </w:rPr>
            </w:pPr>
            <w:r>
              <w:rPr>
                <w:rFonts w:hint="eastAsia"/>
                <w:color w:val="auto"/>
                <w:kern w:val="0"/>
                <w:sz w:val="22"/>
                <w:szCs w:val="21"/>
                <w:highlight w:val="none"/>
              </w:rPr>
              <w:t>暖性针叶林</w:t>
            </w:r>
          </w:p>
        </w:tc>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101.75 </w:t>
            </w:r>
          </w:p>
        </w:tc>
        <w:tc>
          <w:tcPr>
            <w:tcW w:w="14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12.02 </w:t>
            </w:r>
          </w:p>
        </w:tc>
        <w:tc>
          <w:tcPr>
            <w:tcW w:w="14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7.50 </w:t>
            </w: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7.37 </w:t>
            </w:r>
          </w:p>
        </w:tc>
      </w:tr>
      <w:tr>
        <w:tblPrEx>
          <w:tblCellMar>
            <w:top w:w="0" w:type="dxa"/>
            <w:left w:w="108" w:type="dxa"/>
            <w:bottom w:w="0" w:type="dxa"/>
            <w:right w:w="108" w:type="dxa"/>
          </w:tblCellMar>
        </w:tblPrEx>
        <w:trPr>
          <w:trHeight w:val="340" w:hRule="atLeast"/>
          <w:jc w:val="center"/>
        </w:trPr>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kern w:val="0"/>
                <w:sz w:val="22"/>
                <w:szCs w:val="21"/>
                <w:highlight w:val="none"/>
                <w:lang w:eastAsia="zh-CN"/>
              </w:rPr>
            </w:pPr>
            <w:r>
              <w:rPr>
                <w:rFonts w:hint="eastAsia"/>
                <w:color w:val="auto"/>
                <w:kern w:val="0"/>
                <w:sz w:val="22"/>
                <w:szCs w:val="21"/>
                <w:highlight w:val="none"/>
                <w:lang w:eastAsia="zh-CN"/>
              </w:rPr>
              <w:t>常绿阔叶林</w:t>
            </w:r>
          </w:p>
        </w:tc>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19.03 </w:t>
            </w:r>
          </w:p>
        </w:tc>
        <w:tc>
          <w:tcPr>
            <w:tcW w:w="14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2.25 </w:t>
            </w:r>
          </w:p>
        </w:tc>
        <w:tc>
          <w:tcPr>
            <w:tcW w:w="14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2.10 </w:t>
            </w: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11.04 </w:t>
            </w:r>
          </w:p>
        </w:tc>
      </w:tr>
      <w:tr>
        <w:tblPrEx>
          <w:tblCellMar>
            <w:top w:w="0" w:type="dxa"/>
            <w:left w:w="108" w:type="dxa"/>
            <w:bottom w:w="0" w:type="dxa"/>
            <w:right w:w="108" w:type="dxa"/>
          </w:tblCellMar>
        </w:tblPrEx>
        <w:trPr>
          <w:trHeight w:val="340" w:hRule="atLeast"/>
          <w:jc w:val="center"/>
        </w:trPr>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szCs w:val="21"/>
                <w:highlight w:val="none"/>
              </w:rPr>
            </w:pPr>
            <w:r>
              <w:rPr>
                <w:rFonts w:hint="eastAsia"/>
                <w:color w:val="auto"/>
                <w:kern w:val="0"/>
                <w:sz w:val="22"/>
                <w:szCs w:val="21"/>
                <w:highlight w:val="none"/>
              </w:rPr>
              <w:t>落叶阔叶林</w:t>
            </w:r>
          </w:p>
        </w:tc>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57.29 </w:t>
            </w:r>
          </w:p>
        </w:tc>
        <w:tc>
          <w:tcPr>
            <w:tcW w:w="14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6.77 </w:t>
            </w:r>
          </w:p>
        </w:tc>
        <w:tc>
          <w:tcPr>
            <w:tcW w:w="14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2.30 </w:t>
            </w: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4.01 </w:t>
            </w:r>
          </w:p>
        </w:tc>
      </w:tr>
      <w:tr>
        <w:tblPrEx>
          <w:tblCellMar>
            <w:top w:w="0" w:type="dxa"/>
            <w:left w:w="108" w:type="dxa"/>
            <w:bottom w:w="0" w:type="dxa"/>
            <w:right w:w="108" w:type="dxa"/>
          </w:tblCellMar>
        </w:tblPrEx>
        <w:trPr>
          <w:trHeight w:val="340" w:hRule="atLeast"/>
          <w:jc w:val="center"/>
        </w:trPr>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szCs w:val="21"/>
                <w:highlight w:val="none"/>
              </w:rPr>
            </w:pPr>
            <w:r>
              <w:rPr>
                <w:rFonts w:hint="eastAsia"/>
                <w:color w:val="auto"/>
                <w:kern w:val="0"/>
                <w:sz w:val="22"/>
                <w:szCs w:val="21"/>
                <w:highlight w:val="none"/>
              </w:rPr>
              <w:t>竹林</w:t>
            </w:r>
          </w:p>
        </w:tc>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37.32 </w:t>
            </w:r>
          </w:p>
        </w:tc>
        <w:tc>
          <w:tcPr>
            <w:tcW w:w="14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4.41 </w:t>
            </w:r>
          </w:p>
        </w:tc>
        <w:tc>
          <w:tcPr>
            <w:tcW w:w="14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1.38 </w:t>
            </w: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2.70 </w:t>
            </w:r>
          </w:p>
        </w:tc>
      </w:tr>
      <w:tr>
        <w:tblPrEx>
          <w:tblCellMar>
            <w:top w:w="0" w:type="dxa"/>
            <w:left w:w="108" w:type="dxa"/>
            <w:bottom w:w="0" w:type="dxa"/>
            <w:right w:w="108" w:type="dxa"/>
          </w:tblCellMar>
        </w:tblPrEx>
        <w:trPr>
          <w:trHeight w:val="340" w:hRule="atLeast"/>
          <w:jc w:val="center"/>
        </w:trPr>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szCs w:val="21"/>
                <w:highlight w:val="none"/>
              </w:rPr>
            </w:pPr>
            <w:r>
              <w:rPr>
                <w:rFonts w:hint="eastAsia"/>
                <w:color w:val="auto"/>
                <w:kern w:val="0"/>
                <w:sz w:val="22"/>
                <w:szCs w:val="21"/>
                <w:highlight w:val="none"/>
              </w:rPr>
              <w:t>灌丛</w:t>
            </w:r>
          </w:p>
        </w:tc>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41.66 </w:t>
            </w:r>
          </w:p>
        </w:tc>
        <w:tc>
          <w:tcPr>
            <w:tcW w:w="14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4.92 </w:t>
            </w:r>
          </w:p>
        </w:tc>
        <w:tc>
          <w:tcPr>
            <w:tcW w:w="14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1.96 </w:t>
            </w: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3.82 </w:t>
            </w:r>
          </w:p>
        </w:tc>
      </w:tr>
      <w:tr>
        <w:tblPrEx>
          <w:tblCellMar>
            <w:top w:w="0" w:type="dxa"/>
            <w:left w:w="108" w:type="dxa"/>
            <w:bottom w:w="0" w:type="dxa"/>
            <w:right w:w="108" w:type="dxa"/>
          </w:tblCellMar>
        </w:tblPrEx>
        <w:trPr>
          <w:trHeight w:val="340" w:hRule="atLeast"/>
          <w:jc w:val="center"/>
        </w:trPr>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szCs w:val="21"/>
                <w:highlight w:val="none"/>
              </w:rPr>
            </w:pPr>
            <w:r>
              <w:rPr>
                <w:rFonts w:hint="eastAsia"/>
                <w:color w:val="auto"/>
                <w:kern w:val="0"/>
                <w:sz w:val="22"/>
                <w:szCs w:val="21"/>
                <w:highlight w:val="none"/>
              </w:rPr>
              <w:t>草丛</w:t>
            </w:r>
          </w:p>
        </w:tc>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2.57 </w:t>
            </w:r>
          </w:p>
        </w:tc>
        <w:tc>
          <w:tcPr>
            <w:tcW w:w="14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0.30 </w:t>
            </w:r>
          </w:p>
        </w:tc>
        <w:tc>
          <w:tcPr>
            <w:tcW w:w="14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1.91 </w:t>
            </w: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3.72 </w:t>
            </w:r>
          </w:p>
        </w:tc>
      </w:tr>
      <w:tr>
        <w:tblPrEx>
          <w:tblCellMar>
            <w:top w:w="0" w:type="dxa"/>
            <w:left w:w="108" w:type="dxa"/>
            <w:bottom w:w="0" w:type="dxa"/>
            <w:right w:w="108" w:type="dxa"/>
          </w:tblCellMar>
        </w:tblPrEx>
        <w:trPr>
          <w:trHeight w:val="340" w:hRule="atLeast"/>
          <w:jc w:val="center"/>
        </w:trPr>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szCs w:val="21"/>
                <w:highlight w:val="none"/>
              </w:rPr>
            </w:pPr>
            <w:r>
              <w:rPr>
                <w:rFonts w:hint="eastAsia"/>
                <w:color w:val="auto"/>
                <w:kern w:val="0"/>
                <w:sz w:val="22"/>
                <w:szCs w:val="21"/>
                <w:highlight w:val="none"/>
              </w:rPr>
              <w:t>栽培植被</w:t>
            </w:r>
          </w:p>
        </w:tc>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323.08 </w:t>
            </w:r>
          </w:p>
        </w:tc>
        <w:tc>
          <w:tcPr>
            <w:tcW w:w="14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38.17 </w:t>
            </w:r>
          </w:p>
        </w:tc>
        <w:tc>
          <w:tcPr>
            <w:tcW w:w="14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12.02 </w:t>
            </w: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23.44 </w:t>
            </w:r>
          </w:p>
        </w:tc>
      </w:tr>
      <w:tr>
        <w:tblPrEx>
          <w:tblCellMar>
            <w:top w:w="0" w:type="dxa"/>
            <w:left w:w="108" w:type="dxa"/>
            <w:bottom w:w="0" w:type="dxa"/>
            <w:right w:w="108" w:type="dxa"/>
          </w:tblCellMar>
        </w:tblPrEx>
        <w:trPr>
          <w:trHeight w:val="340" w:hRule="atLeast"/>
          <w:jc w:val="center"/>
        </w:trPr>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kern w:val="0"/>
                <w:sz w:val="22"/>
                <w:szCs w:val="21"/>
                <w:highlight w:val="none"/>
              </w:rPr>
            </w:pPr>
            <w:r>
              <w:rPr>
                <w:rFonts w:hint="eastAsia"/>
                <w:color w:val="auto"/>
                <w:kern w:val="0"/>
                <w:sz w:val="22"/>
                <w:szCs w:val="21"/>
                <w:highlight w:val="none"/>
              </w:rPr>
              <w:t>非植被区域</w:t>
            </w:r>
          </w:p>
        </w:tc>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263.73 </w:t>
            </w:r>
          </w:p>
        </w:tc>
        <w:tc>
          <w:tcPr>
            <w:tcW w:w="14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31.16 </w:t>
            </w:r>
          </w:p>
        </w:tc>
        <w:tc>
          <w:tcPr>
            <w:tcW w:w="14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22.13 </w:t>
            </w: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43.14 </w:t>
            </w:r>
          </w:p>
        </w:tc>
      </w:tr>
      <w:tr>
        <w:tblPrEx>
          <w:tblCellMar>
            <w:top w:w="0" w:type="dxa"/>
            <w:left w:w="108" w:type="dxa"/>
            <w:bottom w:w="0" w:type="dxa"/>
            <w:right w:w="108" w:type="dxa"/>
          </w:tblCellMar>
        </w:tblPrEx>
        <w:trPr>
          <w:trHeight w:val="340" w:hRule="atLeast"/>
          <w:jc w:val="center"/>
        </w:trPr>
        <w:tc>
          <w:tcPr>
            <w:tcW w:w="15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b/>
                <w:bCs/>
                <w:color w:val="auto"/>
                <w:kern w:val="0"/>
                <w:sz w:val="22"/>
                <w:szCs w:val="21"/>
                <w:highlight w:val="none"/>
              </w:rPr>
            </w:pPr>
            <w:r>
              <w:rPr>
                <w:rFonts w:hint="eastAsia"/>
                <w:b/>
                <w:bCs/>
                <w:color w:val="auto"/>
                <w:kern w:val="0"/>
                <w:sz w:val="22"/>
                <w:szCs w:val="21"/>
                <w:highlight w:val="none"/>
              </w:rPr>
              <w:t>合计</w:t>
            </w:r>
          </w:p>
        </w:tc>
        <w:tc>
          <w:tcPr>
            <w:tcW w:w="15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846.43 </w:t>
            </w:r>
          </w:p>
        </w:tc>
        <w:tc>
          <w:tcPr>
            <w:tcW w:w="14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100</w:t>
            </w:r>
          </w:p>
        </w:tc>
        <w:tc>
          <w:tcPr>
            <w:tcW w:w="14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51.29 </w:t>
            </w: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2"/>
                <w:szCs w:val="21"/>
                <w:highlight w:val="none"/>
                <w:lang w:val="en-US" w:eastAsia="zh-CN"/>
              </w:rPr>
            </w:pPr>
            <w:r>
              <w:rPr>
                <w:rFonts w:hint="eastAsia" w:ascii="Times New Roman" w:hAnsi="Times New Roman" w:eastAsia="宋体" w:cs="Times New Roman"/>
                <w:color w:val="auto"/>
                <w:kern w:val="0"/>
                <w:sz w:val="22"/>
                <w:szCs w:val="21"/>
                <w:highlight w:val="none"/>
                <w:lang w:val="en-US" w:eastAsia="zh-CN"/>
              </w:rPr>
              <w:t xml:space="preserve">6.06 </w:t>
            </w:r>
          </w:p>
        </w:tc>
      </w:tr>
    </w:tbl>
    <w:p>
      <w:pPr>
        <w:pStyle w:val="216"/>
        <w:ind w:firstLine="520"/>
        <w:rPr>
          <w:color w:val="auto"/>
          <w:highlight w:val="none"/>
        </w:rPr>
      </w:pPr>
    </w:p>
    <w:p>
      <w:pPr>
        <w:adjustRightInd w:val="0"/>
        <w:snapToGrid w:val="0"/>
        <w:spacing w:line="480" w:lineRule="exact"/>
        <w:ind w:firstLine="520"/>
        <w:rPr>
          <w:rFonts w:hint="eastAsia" w:eastAsia="宋体"/>
          <w:color w:val="auto"/>
          <w:highlight w:val="none"/>
          <w:lang w:eastAsia="zh-CN"/>
        </w:rPr>
      </w:pPr>
      <w:r>
        <w:rPr>
          <w:color w:val="auto"/>
          <w:sz w:val="26"/>
          <w:szCs w:val="26"/>
          <w:highlight w:val="none"/>
        </w:rPr>
        <w:t>评价区植被类型中，面积最大的为栽培植被，为</w:t>
      </w:r>
      <w:r>
        <w:rPr>
          <w:rFonts w:hint="eastAsia"/>
          <w:color w:val="auto"/>
          <w:sz w:val="26"/>
          <w:szCs w:val="26"/>
          <w:highlight w:val="none"/>
          <w:lang w:val="en-US" w:eastAsia="zh-CN"/>
        </w:rPr>
        <w:t>323.08</w:t>
      </w:r>
      <w:r>
        <w:rPr>
          <w:color w:val="auto"/>
          <w:kern w:val="0"/>
          <w:sz w:val="26"/>
          <w:szCs w:val="26"/>
          <w:highlight w:val="none"/>
          <w:lang w:bidi="ar"/>
        </w:rPr>
        <w:t>hm</w:t>
      </w:r>
      <w:r>
        <w:rPr>
          <w:color w:val="auto"/>
          <w:sz w:val="26"/>
          <w:szCs w:val="26"/>
          <w:highlight w:val="none"/>
          <w:vertAlign w:val="superscript"/>
          <w:lang w:bidi="ar"/>
        </w:rPr>
        <w:t>2</w:t>
      </w:r>
      <w:r>
        <w:rPr>
          <w:color w:val="auto"/>
          <w:sz w:val="26"/>
          <w:szCs w:val="26"/>
          <w:highlight w:val="none"/>
        </w:rPr>
        <w:t>，占评价区面积</w:t>
      </w:r>
      <w:r>
        <w:rPr>
          <w:rFonts w:hint="eastAsia"/>
          <w:color w:val="auto"/>
          <w:sz w:val="26"/>
          <w:szCs w:val="26"/>
          <w:highlight w:val="none"/>
          <w:lang w:val="en-US" w:eastAsia="zh-CN"/>
        </w:rPr>
        <w:t>38.17</w:t>
      </w:r>
      <w:r>
        <w:rPr>
          <w:color w:val="auto"/>
          <w:sz w:val="26"/>
          <w:szCs w:val="26"/>
          <w:highlight w:val="none"/>
        </w:rPr>
        <w:t>%，其次为</w:t>
      </w:r>
      <w:r>
        <w:rPr>
          <w:rFonts w:hint="eastAsia"/>
          <w:color w:val="auto"/>
          <w:sz w:val="26"/>
          <w:szCs w:val="26"/>
          <w:highlight w:val="none"/>
        </w:rPr>
        <w:t>暖性针叶林</w:t>
      </w:r>
      <w:r>
        <w:rPr>
          <w:color w:val="auto"/>
          <w:sz w:val="26"/>
          <w:szCs w:val="26"/>
          <w:highlight w:val="none"/>
        </w:rPr>
        <w:t>，面积为</w:t>
      </w:r>
      <w:r>
        <w:rPr>
          <w:rFonts w:hint="eastAsia"/>
          <w:color w:val="auto"/>
          <w:sz w:val="26"/>
          <w:szCs w:val="26"/>
          <w:highlight w:val="none"/>
          <w:lang w:val="en-US" w:eastAsia="zh-CN"/>
        </w:rPr>
        <w:t>101.75</w:t>
      </w:r>
      <w:r>
        <w:rPr>
          <w:color w:val="auto"/>
          <w:kern w:val="0"/>
          <w:sz w:val="26"/>
          <w:szCs w:val="26"/>
          <w:highlight w:val="none"/>
          <w:lang w:bidi="ar"/>
        </w:rPr>
        <w:t>hm</w:t>
      </w:r>
      <w:r>
        <w:rPr>
          <w:color w:val="auto"/>
          <w:sz w:val="26"/>
          <w:szCs w:val="26"/>
          <w:highlight w:val="none"/>
          <w:vertAlign w:val="superscript"/>
          <w:lang w:bidi="ar"/>
        </w:rPr>
        <w:t>2</w:t>
      </w:r>
      <w:r>
        <w:rPr>
          <w:color w:val="auto"/>
          <w:sz w:val="26"/>
          <w:szCs w:val="26"/>
          <w:highlight w:val="none"/>
        </w:rPr>
        <w:t>，占评价区面积</w:t>
      </w:r>
      <w:r>
        <w:rPr>
          <w:rFonts w:hint="eastAsia"/>
          <w:color w:val="auto"/>
          <w:sz w:val="26"/>
          <w:szCs w:val="26"/>
          <w:highlight w:val="none"/>
          <w:lang w:val="en-US" w:eastAsia="zh-CN"/>
        </w:rPr>
        <w:t>12.02</w:t>
      </w:r>
      <w:r>
        <w:rPr>
          <w:color w:val="auto"/>
          <w:sz w:val="26"/>
          <w:szCs w:val="26"/>
          <w:highlight w:val="none"/>
        </w:rPr>
        <w:t>%</w:t>
      </w:r>
      <w:r>
        <w:rPr>
          <w:color w:val="auto"/>
          <w:highlight w:val="none"/>
        </w:rPr>
        <w:t>。</w:t>
      </w:r>
      <w:r>
        <w:rPr>
          <w:rFonts w:hint="eastAsia"/>
          <w:color w:val="auto"/>
          <w:highlight w:val="none"/>
          <w:lang w:eastAsia="zh-CN"/>
        </w:rPr>
        <w:t>就占地范围而言，主要占用水域、现有管理区等非植被区域，其次为栽培植被和暖性针叶林，为弃渣场占用，其余植被类型占用较少。</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w:t>
      </w:r>
      <w:r>
        <w:rPr>
          <w:color w:val="auto"/>
          <w:highlight w:val="none"/>
        </w:rPr>
        <w:t>评价区植被覆盖度现状</w:t>
      </w:r>
    </w:p>
    <w:p>
      <w:pPr>
        <w:widowControl/>
        <w:adjustRightInd w:val="0"/>
        <w:snapToGrid w:val="0"/>
        <w:ind w:firstLine="520"/>
        <w:rPr>
          <w:color w:val="auto"/>
          <w:szCs w:val="26"/>
          <w:highlight w:val="none"/>
        </w:rPr>
      </w:pPr>
      <w:r>
        <w:rPr>
          <w:color w:val="auto"/>
          <w:szCs w:val="26"/>
          <w:highlight w:val="none"/>
        </w:rPr>
        <w:t>植被覆盖度可用于定量分析评价范围内的植被现状。本次评价通过遥感手段，采用归一化植被指数（NDVI）方法，对评价区的植被覆盖度进行分析。NDVI</w:t>
      </w:r>
      <w:r>
        <w:rPr>
          <w:rFonts w:hint="eastAsia"/>
          <w:color w:val="auto"/>
          <w:szCs w:val="26"/>
          <w:highlight w:val="none"/>
          <w:shd w:val="clear" w:fill="FFFFFF"/>
          <w:lang w:eastAsia="zh-CN"/>
        </w:rPr>
        <w:t>计算公式</w:t>
      </w:r>
      <w:r>
        <w:rPr>
          <w:color w:val="auto"/>
          <w:szCs w:val="26"/>
          <w:highlight w:val="none"/>
        </w:rPr>
        <w:t>如下：</w:t>
      </w:r>
    </w:p>
    <w:p>
      <w:pPr>
        <w:widowControl/>
        <w:adjustRightInd w:val="0"/>
        <w:snapToGrid w:val="0"/>
        <w:ind w:firstLine="0" w:firstLineChars="0"/>
        <w:jc w:val="center"/>
        <w:rPr>
          <w:bCs/>
          <w:i/>
          <w:iCs/>
          <w:color w:val="auto"/>
          <w:w w:val="99"/>
          <w:szCs w:val="26"/>
          <w:highlight w:val="none"/>
        </w:rPr>
      </w:pPr>
      <w:r>
        <w:rPr>
          <w:bCs/>
          <w:i/>
          <w:iCs/>
          <w:color w:val="auto"/>
          <w:w w:val="99"/>
          <w:szCs w:val="26"/>
          <w:highlight w:val="none"/>
        </w:rPr>
        <w:t>NDVI=</w:t>
      </w:r>
      <w:r>
        <w:rPr>
          <w:bCs/>
          <w:color w:val="auto"/>
          <w:w w:val="99"/>
          <w:szCs w:val="26"/>
          <w:highlight w:val="none"/>
        </w:rPr>
        <w:t>(</w:t>
      </w:r>
      <w:r>
        <w:rPr>
          <w:bCs/>
          <w:i/>
          <w:iCs/>
          <w:color w:val="auto"/>
          <w:w w:val="99"/>
          <w:szCs w:val="26"/>
          <w:highlight w:val="none"/>
        </w:rPr>
        <w:t>NIR-R</w:t>
      </w:r>
      <w:r>
        <w:rPr>
          <w:bCs/>
          <w:color w:val="auto"/>
          <w:w w:val="99"/>
          <w:szCs w:val="26"/>
          <w:highlight w:val="none"/>
        </w:rPr>
        <w:t>)/(</w:t>
      </w:r>
      <w:r>
        <w:rPr>
          <w:bCs/>
          <w:i/>
          <w:iCs/>
          <w:color w:val="auto"/>
          <w:w w:val="99"/>
          <w:szCs w:val="26"/>
          <w:highlight w:val="none"/>
        </w:rPr>
        <w:t>NIR+R</w:t>
      </w:r>
      <w:r>
        <w:rPr>
          <w:bCs/>
          <w:color w:val="auto"/>
          <w:w w:val="99"/>
          <w:szCs w:val="26"/>
          <w:highlight w:val="none"/>
        </w:rPr>
        <w:t>)</w:t>
      </w:r>
    </w:p>
    <w:p>
      <w:pPr>
        <w:widowControl/>
        <w:adjustRightInd w:val="0"/>
        <w:snapToGrid w:val="0"/>
        <w:ind w:firstLine="512"/>
        <w:rPr>
          <w:bCs/>
          <w:color w:val="auto"/>
          <w:w w:val="99"/>
          <w:szCs w:val="26"/>
          <w:highlight w:val="none"/>
        </w:rPr>
      </w:pPr>
      <w:r>
        <w:rPr>
          <w:bCs/>
          <w:color w:val="auto"/>
          <w:w w:val="99"/>
          <w:szCs w:val="26"/>
          <w:highlight w:val="none"/>
        </w:rPr>
        <w:t xml:space="preserve">其中：NIR为近红外波段，R为红波段。 </w:t>
      </w:r>
    </w:p>
    <w:p>
      <w:pPr>
        <w:widowControl/>
        <w:adjustRightInd w:val="0"/>
        <w:snapToGrid w:val="0"/>
        <w:ind w:firstLine="512"/>
        <w:rPr>
          <w:bCs/>
          <w:color w:val="auto"/>
          <w:w w:val="99"/>
          <w:szCs w:val="26"/>
          <w:highlight w:val="none"/>
        </w:rPr>
      </w:pPr>
      <w:r>
        <w:rPr>
          <w:bCs/>
          <w:color w:val="auto"/>
          <w:w w:val="99"/>
          <w:szCs w:val="26"/>
          <w:highlight w:val="none"/>
        </w:rPr>
        <w:t>基于NDVI，采用像元二分模型计算植被覆盖度，公式如下：</w:t>
      </w:r>
    </w:p>
    <w:p>
      <w:pPr>
        <w:widowControl/>
        <w:adjustRightInd w:val="0"/>
        <w:snapToGrid w:val="0"/>
        <w:ind w:firstLine="0" w:firstLineChars="0"/>
        <w:jc w:val="center"/>
        <w:rPr>
          <w:bCs/>
          <w:i/>
          <w:iCs/>
          <w:color w:val="auto"/>
          <w:w w:val="99"/>
          <w:szCs w:val="26"/>
          <w:highlight w:val="none"/>
        </w:rPr>
      </w:pPr>
      <w:r>
        <w:rPr>
          <w:bCs/>
          <w:i/>
          <w:iCs/>
          <w:color w:val="auto"/>
          <w:w w:val="99"/>
          <w:szCs w:val="26"/>
          <w:highlight w:val="none"/>
        </w:rPr>
        <w:t xml:space="preserve">FVC = </w:t>
      </w:r>
      <w:r>
        <w:rPr>
          <w:bCs/>
          <w:color w:val="auto"/>
          <w:w w:val="99"/>
          <w:szCs w:val="26"/>
          <w:highlight w:val="none"/>
        </w:rPr>
        <w:t>(</w:t>
      </w:r>
      <w:r>
        <w:rPr>
          <w:bCs/>
          <w:i/>
          <w:iCs/>
          <w:color w:val="auto"/>
          <w:w w:val="99"/>
          <w:szCs w:val="26"/>
          <w:highlight w:val="none"/>
        </w:rPr>
        <w:t>NDVI-</w:t>
      </w:r>
      <w:r>
        <w:rPr>
          <w:bCs/>
          <w:i/>
          <w:iCs/>
          <w:color w:val="auto"/>
          <w:w w:val="99"/>
          <w:szCs w:val="26"/>
          <w:highlight w:val="none"/>
          <w:shd w:val="clear" w:fill="FFFFFF"/>
        </w:rPr>
        <w:t>NDVIs</w:t>
      </w:r>
      <w:r>
        <w:rPr>
          <w:bCs/>
          <w:color w:val="auto"/>
          <w:w w:val="99"/>
          <w:szCs w:val="26"/>
          <w:highlight w:val="none"/>
        </w:rPr>
        <w:t>)/(</w:t>
      </w:r>
      <w:r>
        <w:rPr>
          <w:bCs/>
          <w:i/>
          <w:iCs/>
          <w:color w:val="auto"/>
          <w:w w:val="99"/>
          <w:szCs w:val="26"/>
          <w:highlight w:val="none"/>
          <w:shd w:val="clear" w:fill="FFFFFF"/>
        </w:rPr>
        <w:t>NDVIv</w:t>
      </w:r>
      <w:r>
        <w:rPr>
          <w:bCs/>
          <w:i/>
          <w:iCs/>
          <w:color w:val="auto"/>
          <w:w w:val="99"/>
          <w:szCs w:val="26"/>
          <w:highlight w:val="none"/>
        </w:rPr>
        <w:t>-</w:t>
      </w:r>
      <w:r>
        <w:rPr>
          <w:bCs/>
          <w:i/>
          <w:iCs/>
          <w:color w:val="auto"/>
          <w:w w:val="99"/>
          <w:szCs w:val="26"/>
          <w:highlight w:val="none"/>
          <w:shd w:val="clear" w:fill="FFFFFF"/>
        </w:rPr>
        <w:t>NDVIs</w:t>
      </w:r>
      <w:r>
        <w:rPr>
          <w:bCs/>
          <w:color w:val="auto"/>
          <w:w w:val="99"/>
          <w:szCs w:val="26"/>
          <w:highlight w:val="none"/>
        </w:rPr>
        <w:t>)</w:t>
      </w:r>
    </w:p>
    <w:p>
      <w:pPr>
        <w:widowControl/>
        <w:adjustRightInd w:val="0"/>
        <w:snapToGrid w:val="0"/>
        <w:ind w:firstLine="512"/>
        <w:rPr>
          <w:bCs/>
          <w:color w:val="auto"/>
          <w:w w:val="99"/>
          <w:szCs w:val="26"/>
          <w:highlight w:val="none"/>
        </w:rPr>
      </w:pPr>
      <w:r>
        <w:rPr>
          <w:bCs/>
          <w:color w:val="auto"/>
          <w:w w:val="99"/>
          <w:szCs w:val="26"/>
          <w:highlight w:val="none"/>
        </w:rPr>
        <w:t>式中：</w:t>
      </w:r>
      <w:r>
        <w:rPr>
          <w:bCs/>
          <w:i/>
          <w:iCs/>
          <w:color w:val="auto"/>
          <w:w w:val="99"/>
          <w:szCs w:val="26"/>
          <w:highlight w:val="none"/>
        </w:rPr>
        <w:t>FVC</w:t>
      </w:r>
      <w:r>
        <w:rPr>
          <w:bCs/>
          <w:color w:val="auto"/>
          <w:w w:val="99"/>
          <w:szCs w:val="26"/>
          <w:highlight w:val="none"/>
        </w:rPr>
        <w:t>—所计算像元的植被覆盖度；</w:t>
      </w:r>
    </w:p>
    <w:p>
      <w:pPr>
        <w:widowControl/>
        <w:adjustRightInd w:val="0"/>
        <w:snapToGrid w:val="0"/>
        <w:ind w:firstLine="1285" w:firstLineChars="500"/>
        <w:rPr>
          <w:bCs/>
          <w:color w:val="auto"/>
          <w:w w:val="99"/>
          <w:szCs w:val="26"/>
          <w:highlight w:val="none"/>
        </w:rPr>
      </w:pPr>
      <w:r>
        <w:rPr>
          <w:bCs/>
          <w:i/>
          <w:iCs/>
          <w:color w:val="auto"/>
          <w:w w:val="99"/>
          <w:szCs w:val="26"/>
          <w:highlight w:val="none"/>
        </w:rPr>
        <w:t>NDVI</w:t>
      </w:r>
      <w:r>
        <w:rPr>
          <w:bCs/>
          <w:color w:val="auto"/>
          <w:w w:val="99"/>
          <w:szCs w:val="26"/>
          <w:highlight w:val="none"/>
        </w:rPr>
        <w:t>—所计算像元的</w:t>
      </w:r>
      <w:r>
        <w:rPr>
          <w:bCs/>
          <w:i/>
          <w:iCs/>
          <w:color w:val="auto"/>
          <w:w w:val="99"/>
          <w:szCs w:val="26"/>
          <w:highlight w:val="none"/>
        </w:rPr>
        <w:t>NDVI</w:t>
      </w:r>
      <w:r>
        <w:rPr>
          <w:bCs/>
          <w:color w:val="auto"/>
          <w:w w:val="99"/>
          <w:szCs w:val="26"/>
          <w:highlight w:val="none"/>
        </w:rPr>
        <w:t>值；</w:t>
      </w:r>
    </w:p>
    <w:p>
      <w:pPr>
        <w:widowControl/>
        <w:adjustRightInd w:val="0"/>
        <w:snapToGrid w:val="0"/>
        <w:ind w:firstLine="1285" w:firstLineChars="500"/>
        <w:rPr>
          <w:bCs/>
          <w:color w:val="auto"/>
          <w:w w:val="99"/>
          <w:szCs w:val="26"/>
          <w:highlight w:val="none"/>
        </w:rPr>
      </w:pPr>
      <w:r>
        <w:rPr>
          <w:bCs/>
          <w:i/>
          <w:iCs/>
          <w:color w:val="auto"/>
          <w:w w:val="99"/>
          <w:szCs w:val="26"/>
          <w:highlight w:val="none"/>
          <w:shd w:val="clear" w:fill="FFFFFF"/>
        </w:rPr>
        <w:t>NDVIv</w:t>
      </w:r>
      <w:r>
        <w:rPr>
          <w:bCs/>
          <w:color w:val="auto"/>
          <w:w w:val="99"/>
          <w:szCs w:val="26"/>
          <w:highlight w:val="none"/>
        </w:rPr>
        <w:t>—纯植物像元的</w:t>
      </w:r>
      <w:r>
        <w:rPr>
          <w:bCs/>
          <w:i/>
          <w:iCs/>
          <w:color w:val="auto"/>
          <w:w w:val="99"/>
          <w:szCs w:val="26"/>
          <w:highlight w:val="none"/>
        </w:rPr>
        <w:t>NDVI</w:t>
      </w:r>
      <w:r>
        <w:rPr>
          <w:bCs/>
          <w:color w:val="auto"/>
          <w:w w:val="99"/>
          <w:szCs w:val="26"/>
          <w:highlight w:val="none"/>
        </w:rPr>
        <w:t>值；</w:t>
      </w:r>
    </w:p>
    <w:p>
      <w:pPr>
        <w:widowControl/>
        <w:adjustRightInd w:val="0"/>
        <w:snapToGrid w:val="0"/>
        <w:ind w:firstLine="1285" w:firstLineChars="500"/>
        <w:rPr>
          <w:color w:val="auto"/>
          <w:szCs w:val="26"/>
          <w:highlight w:val="none"/>
        </w:rPr>
      </w:pPr>
      <w:r>
        <w:rPr>
          <w:bCs/>
          <w:i/>
          <w:iCs/>
          <w:color w:val="auto"/>
          <w:w w:val="99"/>
          <w:szCs w:val="26"/>
          <w:highlight w:val="none"/>
          <w:shd w:val="clear" w:fill="FFFFFF"/>
        </w:rPr>
        <w:t>NDVIs</w:t>
      </w:r>
      <w:r>
        <w:rPr>
          <w:bCs/>
          <w:color w:val="auto"/>
          <w:w w:val="99"/>
          <w:szCs w:val="26"/>
          <w:highlight w:val="none"/>
        </w:rPr>
        <w:t>—完全无植被覆盖像元的</w:t>
      </w:r>
      <w:r>
        <w:rPr>
          <w:bCs/>
          <w:i/>
          <w:iCs/>
          <w:color w:val="auto"/>
          <w:w w:val="99"/>
          <w:szCs w:val="26"/>
          <w:highlight w:val="none"/>
        </w:rPr>
        <w:t>NDVI</w:t>
      </w:r>
      <w:r>
        <w:rPr>
          <w:bCs/>
          <w:color w:val="auto"/>
          <w:w w:val="99"/>
          <w:szCs w:val="26"/>
          <w:highlight w:val="none"/>
        </w:rPr>
        <w:t>值。</w:t>
      </w:r>
    </w:p>
    <w:p>
      <w:pPr>
        <w:adjustRightInd w:val="0"/>
        <w:snapToGrid w:val="0"/>
        <w:ind w:firstLine="520"/>
        <w:rPr>
          <w:color w:val="auto"/>
          <w:szCs w:val="26"/>
          <w:highlight w:val="none"/>
        </w:rPr>
      </w:pPr>
      <w:r>
        <w:rPr>
          <w:color w:val="auto"/>
          <w:szCs w:val="26"/>
          <w:highlight w:val="none"/>
        </w:rPr>
        <w:t>根据遥感解译结果，评价区植被覆盖度划分为五个等级，即低覆盖度（0</w:t>
      </w:r>
      <w:r>
        <w:rPr>
          <w:rFonts w:hint="eastAsia"/>
          <w:color w:val="auto"/>
          <w:szCs w:val="26"/>
          <w:highlight w:val="none"/>
          <w:shd w:val="clear" w:fill="FFFFFF"/>
          <w:lang w:eastAsia="zh-CN"/>
        </w:rPr>
        <w:t>～</w:t>
      </w:r>
      <w:r>
        <w:rPr>
          <w:color w:val="auto"/>
          <w:szCs w:val="26"/>
          <w:highlight w:val="none"/>
        </w:rPr>
        <w:t>35%）、中低覆盖度（35%～45%）、中覆盖度（45%～</w:t>
      </w:r>
      <w:r>
        <w:rPr>
          <w:rFonts w:hint="eastAsia"/>
          <w:color w:val="auto"/>
          <w:szCs w:val="26"/>
          <w:highlight w:val="none"/>
        </w:rPr>
        <w:t>60</w:t>
      </w:r>
      <w:r>
        <w:rPr>
          <w:color w:val="auto"/>
          <w:szCs w:val="26"/>
          <w:highlight w:val="none"/>
        </w:rPr>
        <w:t>%</w:t>
      </w:r>
      <w:r>
        <w:rPr>
          <w:rFonts w:hint="eastAsia"/>
          <w:color w:val="auto"/>
          <w:szCs w:val="26"/>
          <w:highlight w:val="none"/>
        </w:rPr>
        <w:t>）</w:t>
      </w:r>
      <w:r>
        <w:rPr>
          <w:color w:val="auto"/>
          <w:szCs w:val="26"/>
          <w:highlight w:val="none"/>
        </w:rPr>
        <w:t>、中高覆盖度</w:t>
      </w:r>
      <w:r>
        <w:rPr>
          <w:rFonts w:hint="eastAsia"/>
          <w:color w:val="auto"/>
          <w:szCs w:val="26"/>
          <w:highlight w:val="none"/>
        </w:rPr>
        <w:t>（69</w:t>
      </w:r>
      <w:r>
        <w:rPr>
          <w:rFonts w:hint="eastAsia"/>
          <w:color w:val="auto"/>
          <w:szCs w:val="26"/>
          <w:highlight w:val="none"/>
          <w:shd w:val="clear" w:fill="FFFFFF"/>
          <w:lang w:eastAsia="zh-CN"/>
        </w:rPr>
        <w:t>%～</w:t>
      </w:r>
      <w:r>
        <w:rPr>
          <w:rFonts w:hint="eastAsia"/>
          <w:color w:val="auto"/>
          <w:szCs w:val="26"/>
          <w:highlight w:val="none"/>
        </w:rPr>
        <w:t>75</w:t>
      </w:r>
      <w:r>
        <w:rPr>
          <w:color w:val="auto"/>
          <w:szCs w:val="26"/>
          <w:highlight w:val="none"/>
        </w:rPr>
        <w:t>%</w:t>
      </w:r>
      <w:r>
        <w:rPr>
          <w:rFonts w:hint="eastAsia"/>
          <w:color w:val="auto"/>
          <w:szCs w:val="26"/>
          <w:highlight w:val="none"/>
        </w:rPr>
        <w:t>）、</w:t>
      </w:r>
      <w:r>
        <w:rPr>
          <w:color w:val="auto"/>
          <w:szCs w:val="26"/>
          <w:highlight w:val="none"/>
        </w:rPr>
        <w:t>高</w:t>
      </w:r>
      <w:r>
        <w:rPr>
          <w:rFonts w:hint="eastAsia"/>
          <w:color w:val="auto"/>
          <w:szCs w:val="26"/>
          <w:highlight w:val="none"/>
        </w:rPr>
        <w:t>覆盖度（≥75</w:t>
      </w:r>
      <w:r>
        <w:rPr>
          <w:color w:val="auto"/>
          <w:szCs w:val="26"/>
          <w:highlight w:val="none"/>
        </w:rPr>
        <w:t>%</w:t>
      </w:r>
      <w:r>
        <w:rPr>
          <w:rFonts w:hint="eastAsia"/>
          <w:color w:val="auto"/>
          <w:szCs w:val="26"/>
          <w:highlight w:val="none"/>
        </w:rPr>
        <w:t>）</w:t>
      </w:r>
      <w:r>
        <w:rPr>
          <w:color w:val="auto"/>
          <w:szCs w:val="26"/>
          <w:highlight w:val="none"/>
        </w:rPr>
        <w:t>。</w:t>
      </w:r>
      <w:r>
        <w:rPr>
          <w:rFonts w:hint="eastAsia"/>
          <w:color w:val="auto"/>
          <w:szCs w:val="26"/>
          <w:highlight w:val="none"/>
        </w:rPr>
        <w:t>评价区</w:t>
      </w:r>
      <w:r>
        <w:rPr>
          <w:color w:val="auto"/>
          <w:szCs w:val="26"/>
          <w:highlight w:val="none"/>
        </w:rPr>
        <w:t>植被类型统计情况见下表</w:t>
      </w:r>
      <w:r>
        <w:rPr>
          <w:rFonts w:hint="eastAsia"/>
          <w:color w:val="auto"/>
          <w:szCs w:val="26"/>
          <w:highlight w:val="none"/>
        </w:rPr>
        <w:t>：</w:t>
      </w:r>
    </w:p>
    <w:p>
      <w:pPr>
        <w:adjustRightInd w:val="0"/>
        <w:snapToGrid w:val="0"/>
        <w:spacing w:line="240" w:lineRule="auto"/>
        <w:ind w:firstLine="0" w:firstLineChars="0"/>
        <w:jc w:val="center"/>
        <w:rPr>
          <w:color w:val="auto"/>
          <w:szCs w:val="26"/>
          <w:highlight w:val="none"/>
        </w:rPr>
      </w:pPr>
    </w:p>
    <w:p>
      <w:pPr>
        <w:adjustRightInd w:val="0"/>
        <w:snapToGrid w:val="0"/>
        <w:spacing w:line="240" w:lineRule="auto"/>
        <w:ind w:firstLine="0" w:firstLineChars="0"/>
        <w:jc w:val="center"/>
        <w:rPr>
          <w:color w:val="auto"/>
          <w:szCs w:val="26"/>
          <w:highlight w:val="none"/>
          <w:vertAlign w:val="superscript"/>
        </w:rPr>
      </w:pPr>
      <w:r>
        <w:rPr>
          <w:color w:val="auto"/>
          <w:szCs w:val="26"/>
          <w:highlight w:val="none"/>
        </w:rPr>
        <w:t>表</w:t>
      </w:r>
      <w:r>
        <w:rPr>
          <w:rFonts w:hint="eastAsia"/>
          <w:color w:val="auto"/>
          <w:szCs w:val="26"/>
          <w:highlight w:val="none"/>
          <w:lang w:val="en-US" w:eastAsia="zh-CN"/>
        </w:rPr>
        <w:t xml:space="preserve">3.2.2-3  </w:t>
      </w:r>
      <w:r>
        <w:rPr>
          <w:rFonts w:hint="eastAsia"/>
          <w:color w:val="auto"/>
          <w:szCs w:val="26"/>
          <w:highlight w:val="none"/>
        </w:rPr>
        <w:t>评价区</w:t>
      </w:r>
      <w:r>
        <w:rPr>
          <w:color w:val="auto"/>
          <w:szCs w:val="26"/>
          <w:highlight w:val="none"/>
        </w:rPr>
        <w:t>植被覆盖度分布面积统计表</w:t>
      </w:r>
      <w:r>
        <w:rPr>
          <w:rFonts w:hint="eastAsia"/>
          <w:color w:val="auto"/>
          <w:szCs w:val="26"/>
          <w:highlight w:val="none"/>
        </w:rPr>
        <w:t xml:space="preserve">  </w:t>
      </w:r>
      <w:r>
        <w:rPr>
          <w:rFonts w:hint="eastAsia"/>
          <w:color w:val="auto"/>
          <w:sz w:val="22"/>
          <w:szCs w:val="22"/>
          <w:highlight w:val="none"/>
        </w:rPr>
        <w:t>单位：hm</w:t>
      </w:r>
      <w:r>
        <w:rPr>
          <w:rFonts w:hint="eastAsia"/>
          <w:color w:val="auto"/>
          <w:sz w:val="22"/>
          <w:szCs w:val="22"/>
          <w:highlight w:val="none"/>
          <w:vertAlign w:val="superscript"/>
        </w:rPr>
        <w:t>2</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77"/>
        <w:gridCol w:w="2250"/>
        <w:gridCol w:w="22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7" w:type="dxa"/>
            <w:noWrap/>
            <w:vAlign w:val="center"/>
          </w:tcPr>
          <w:p>
            <w:pPr>
              <w:widowControl/>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植被覆盖度（%）</w:t>
            </w:r>
          </w:p>
        </w:tc>
        <w:tc>
          <w:tcPr>
            <w:tcW w:w="2250" w:type="dxa"/>
            <w:noWrap/>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2"/>
                <w:highlight w:val="none"/>
                <w:lang w:val="en-US" w:eastAsia="zh-CN" w:bidi="ar-SA"/>
              </w:rPr>
            </w:pPr>
            <w:r>
              <w:rPr>
                <w:color w:val="auto"/>
                <w:kern w:val="0"/>
                <w:sz w:val="22"/>
                <w:szCs w:val="22"/>
                <w:highlight w:val="none"/>
              </w:rPr>
              <w:t>面积</w:t>
            </w:r>
          </w:p>
        </w:tc>
        <w:tc>
          <w:tcPr>
            <w:tcW w:w="2251" w:type="dxa"/>
            <w:noWrap/>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szCs w:val="22"/>
                <w:highlight w:val="none"/>
                <w:lang w:val="en-US" w:eastAsia="zh-CN" w:bidi="ar-SA"/>
              </w:rPr>
            </w:pPr>
            <w:r>
              <w:rPr>
                <w:color w:val="auto"/>
                <w:kern w:val="0"/>
                <w:sz w:val="22"/>
                <w:szCs w:val="22"/>
                <w:highlight w:val="none"/>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7" w:type="dxa"/>
            <w:noWrap/>
            <w:vAlign w:val="center"/>
          </w:tcPr>
          <w:p>
            <w:pPr>
              <w:widowControl/>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0-35（低覆盖度）</w:t>
            </w:r>
          </w:p>
        </w:tc>
        <w:tc>
          <w:tcPr>
            <w:tcW w:w="2250" w:type="dxa"/>
            <w:noWrap/>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2"/>
                <w:highlight w:val="none"/>
              </w:rPr>
            </w:pPr>
            <w:r>
              <w:rPr>
                <w:rFonts w:hint="eastAsia" w:ascii="Times New Roman" w:hAnsi="Times New Roman" w:eastAsia="宋体" w:cs="Times New Roman"/>
                <w:color w:val="auto"/>
                <w:kern w:val="0"/>
                <w:sz w:val="22"/>
                <w:szCs w:val="22"/>
                <w:highlight w:val="none"/>
                <w:lang w:val="en-US" w:eastAsia="zh-CN"/>
              </w:rPr>
              <w:t xml:space="preserve">263.73 </w:t>
            </w:r>
          </w:p>
        </w:tc>
        <w:tc>
          <w:tcPr>
            <w:tcW w:w="2251" w:type="dxa"/>
            <w:noWrap/>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2"/>
                <w:highlight w:val="none"/>
              </w:rPr>
            </w:pPr>
            <w:r>
              <w:rPr>
                <w:rFonts w:hint="eastAsia" w:ascii="Times New Roman" w:hAnsi="Times New Roman" w:eastAsia="宋体" w:cs="Times New Roman"/>
                <w:color w:val="auto"/>
                <w:kern w:val="0"/>
                <w:sz w:val="22"/>
                <w:szCs w:val="22"/>
                <w:highlight w:val="none"/>
                <w:lang w:val="en-US" w:eastAsia="zh-CN"/>
              </w:rPr>
              <w:t xml:space="preserve">31.16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7" w:type="dxa"/>
            <w:noWrap/>
            <w:vAlign w:val="center"/>
          </w:tcPr>
          <w:p>
            <w:pPr>
              <w:widowControl/>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35-45（中低覆盖度）</w:t>
            </w:r>
          </w:p>
        </w:tc>
        <w:tc>
          <w:tcPr>
            <w:tcW w:w="2250" w:type="dxa"/>
            <w:noWrap/>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2"/>
                <w:highlight w:val="none"/>
              </w:rPr>
            </w:pPr>
            <w:r>
              <w:rPr>
                <w:rFonts w:hint="eastAsia" w:ascii="Times New Roman" w:hAnsi="Times New Roman" w:eastAsia="宋体" w:cs="Times New Roman"/>
                <w:color w:val="auto"/>
                <w:kern w:val="0"/>
                <w:sz w:val="22"/>
                <w:szCs w:val="22"/>
                <w:highlight w:val="none"/>
                <w:lang w:val="en-US" w:eastAsia="zh-CN"/>
              </w:rPr>
              <w:t xml:space="preserve">108.24 </w:t>
            </w:r>
          </w:p>
        </w:tc>
        <w:tc>
          <w:tcPr>
            <w:tcW w:w="2251" w:type="dxa"/>
            <w:noWrap/>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2"/>
                <w:highlight w:val="none"/>
              </w:rPr>
            </w:pPr>
            <w:r>
              <w:rPr>
                <w:rFonts w:hint="eastAsia" w:ascii="Times New Roman" w:hAnsi="Times New Roman" w:eastAsia="宋体" w:cs="Times New Roman"/>
                <w:color w:val="auto"/>
                <w:kern w:val="0"/>
                <w:sz w:val="22"/>
                <w:szCs w:val="22"/>
                <w:highlight w:val="none"/>
                <w:lang w:val="en-US" w:eastAsia="zh-CN"/>
              </w:rPr>
              <w:t xml:space="preserve">12.79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7" w:type="dxa"/>
            <w:noWrap/>
            <w:vAlign w:val="center"/>
          </w:tcPr>
          <w:p>
            <w:pPr>
              <w:widowControl/>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45-60（中覆盖度）</w:t>
            </w:r>
          </w:p>
        </w:tc>
        <w:tc>
          <w:tcPr>
            <w:tcW w:w="2250" w:type="dxa"/>
            <w:noWrap/>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2"/>
                <w:highlight w:val="none"/>
              </w:rPr>
            </w:pPr>
            <w:r>
              <w:rPr>
                <w:rFonts w:hint="eastAsia" w:ascii="Times New Roman" w:hAnsi="Times New Roman" w:eastAsia="宋体" w:cs="Times New Roman"/>
                <w:color w:val="auto"/>
                <w:kern w:val="0"/>
                <w:sz w:val="22"/>
                <w:szCs w:val="22"/>
                <w:highlight w:val="none"/>
                <w:lang w:val="en-US" w:eastAsia="zh-CN"/>
              </w:rPr>
              <w:t xml:space="preserve">214.84 </w:t>
            </w:r>
          </w:p>
        </w:tc>
        <w:tc>
          <w:tcPr>
            <w:tcW w:w="2251" w:type="dxa"/>
            <w:noWrap/>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2"/>
                <w:highlight w:val="none"/>
              </w:rPr>
            </w:pPr>
            <w:r>
              <w:rPr>
                <w:rFonts w:hint="eastAsia" w:ascii="Times New Roman" w:hAnsi="Times New Roman" w:eastAsia="宋体" w:cs="Times New Roman"/>
                <w:color w:val="auto"/>
                <w:kern w:val="0"/>
                <w:sz w:val="22"/>
                <w:szCs w:val="22"/>
                <w:highlight w:val="none"/>
                <w:lang w:val="en-US" w:eastAsia="zh-CN"/>
              </w:rPr>
              <w:t xml:space="preserve">25.38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7" w:type="dxa"/>
            <w:noWrap/>
            <w:vAlign w:val="center"/>
          </w:tcPr>
          <w:p>
            <w:pPr>
              <w:widowControl/>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60-75（中高覆盖度）</w:t>
            </w:r>
          </w:p>
        </w:tc>
        <w:tc>
          <w:tcPr>
            <w:tcW w:w="2250" w:type="dxa"/>
            <w:noWrap/>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2"/>
                <w:highlight w:val="none"/>
              </w:rPr>
            </w:pPr>
            <w:r>
              <w:rPr>
                <w:rFonts w:hint="eastAsia" w:ascii="Times New Roman" w:hAnsi="Times New Roman" w:eastAsia="宋体" w:cs="Times New Roman"/>
                <w:color w:val="auto"/>
                <w:kern w:val="0"/>
                <w:sz w:val="22"/>
                <w:szCs w:val="22"/>
                <w:highlight w:val="none"/>
                <w:lang w:val="en-US" w:eastAsia="zh-CN"/>
              </w:rPr>
              <w:t xml:space="preserve">44.23 </w:t>
            </w:r>
          </w:p>
        </w:tc>
        <w:tc>
          <w:tcPr>
            <w:tcW w:w="2251" w:type="dxa"/>
            <w:noWrap/>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2"/>
                <w:highlight w:val="none"/>
              </w:rPr>
            </w:pPr>
            <w:r>
              <w:rPr>
                <w:rFonts w:hint="eastAsia" w:ascii="Times New Roman" w:hAnsi="Times New Roman" w:eastAsia="宋体" w:cs="Times New Roman"/>
                <w:color w:val="auto"/>
                <w:kern w:val="0"/>
                <w:sz w:val="22"/>
                <w:szCs w:val="22"/>
                <w:highlight w:val="none"/>
                <w:lang w:val="en-US" w:eastAsia="zh-CN"/>
              </w:rPr>
              <w:t xml:space="preserve">5.23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7" w:type="dxa"/>
            <w:noWrap/>
            <w:vAlign w:val="center"/>
          </w:tcPr>
          <w:p>
            <w:pPr>
              <w:widowControl/>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≥75（高覆盖度）</w:t>
            </w:r>
          </w:p>
        </w:tc>
        <w:tc>
          <w:tcPr>
            <w:tcW w:w="2250" w:type="dxa"/>
            <w:noWrap/>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2"/>
                <w:highlight w:val="none"/>
              </w:rPr>
            </w:pPr>
            <w:r>
              <w:rPr>
                <w:rFonts w:hint="eastAsia" w:ascii="Times New Roman" w:hAnsi="Times New Roman" w:eastAsia="宋体" w:cs="Times New Roman"/>
                <w:color w:val="auto"/>
                <w:kern w:val="0"/>
                <w:sz w:val="22"/>
                <w:szCs w:val="22"/>
                <w:highlight w:val="none"/>
                <w:lang w:val="en-US" w:eastAsia="zh-CN"/>
              </w:rPr>
              <w:t xml:space="preserve">215.39 </w:t>
            </w:r>
          </w:p>
        </w:tc>
        <w:tc>
          <w:tcPr>
            <w:tcW w:w="2251" w:type="dxa"/>
            <w:noWrap/>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2"/>
                <w:highlight w:val="none"/>
              </w:rPr>
            </w:pPr>
            <w:r>
              <w:rPr>
                <w:rFonts w:hint="eastAsia" w:ascii="Times New Roman" w:hAnsi="Times New Roman" w:eastAsia="宋体" w:cs="Times New Roman"/>
                <w:color w:val="auto"/>
                <w:kern w:val="0"/>
                <w:sz w:val="22"/>
                <w:szCs w:val="22"/>
                <w:highlight w:val="none"/>
                <w:lang w:val="en-US" w:eastAsia="zh-CN"/>
              </w:rPr>
              <w:t xml:space="preserve">25.45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7" w:type="dxa"/>
            <w:noWrap/>
            <w:vAlign w:val="center"/>
          </w:tcPr>
          <w:p>
            <w:pPr>
              <w:widowControl/>
              <w:adjustRightInd w:val="0"/>
              <w:snapToGrid w:val="0"/>
              <w:spacing w:line="240" w:lineRule="auto"/>
              <w:ind w:firstLine="0" w:firstLineChars="0"/>
              <w:jc w:val="center"/>
              <w:rPr>
                <w:b/>
                <w:bCs/>
                <w:color w:val="auto"/>
                <w:kern w:val="0"/>
                <w:sz w:val="22"/>
                <w:szCs w:val="22"/>
                <w:highlight w:val="none"/>
              </w:rPr>
            </w:pPr>
            <w:r>
              <w:rPr>
                <w:b/>
                <w:bCs/>
                <w:color w:val="auto"/>
                <w:kern w:val="0"/>
                <w:sz w:val="22"/>
                <w:szCs w:val="22"/>
                <w:highlight w:val="none"/>
              </w:rPr>
              <w:t>合计</w:t>
            </w:r>
          </w:p>
        </w:tc>
        <w:tc>
          <w:tcPr>
            <w:tcW w:w="2250" w:type="dxa"/>
            <w:noWrap/>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2"/>
                <w:highlight w:val="none"/>
              </w:rPr>
            </w:pPr>
            <w:r>
              <w:rPr>
                <w:rFonts w:hint="eastAsia" w:ascii="Times New Roman" w:hAnsi="Times New Roman" w:eastAsia="宋体" w:cs="Times New Roman"/>
                <w:color w:val="auto"/>
                <w:kern w:val="0"/>
                <w:sz w:val="22"/>
                <w:szCs w:val="22"/>
                <w:highlight w:val="none"/>
                <w:lang w:val="en-US" w:eastAsia="zh-CN"/>
              </w:rPr>
              <w:t xml:space="preserve">846.43 </w:t>
            </w:r>
          </w:p>
        </w:tc>
        <w:tc>
          <w:tcPr>
            <w:tcW w:w="2251" w:type="dxa"/>
            <w:noWrap/>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0"/>
                <w:sz w:val="22"/>
                <w:szCs w:val="22"/>
                <w:highlight w:val="none"/>
              </w:rPr>
            </w:pPr>
            <w:r>
              <w:rPr>
                <w:rFonts w:hint="eastAsia" w:ascii="Times New Roman" w:hAnsi="Times New Roman" w:eastAsia="宋体" w:cs="Times New Roman"/>
                <w:color w:val="auto"/>
                <w:kern w:val="0"/>
                <w:sz w:val="22"/>
                <w:szCs w:val="22"/>
                <w:highlight w:val="none"/>
                <w:lang w:val="en-US" w:eastAsia="zh-CN"/>
              </w:rPr>
              <w:t xml:space="preserve">100.00 </w:t>
            </w:r>
          </w:p>
        </w:tc>
      </w:tr>
    </w:tbl>
    <w:p>
      <w:pPr>
        <w:adjustRightInd w:val="0"/>
        <w:snapToGrid w:val="0"/>
        <w:spacing w:line="240" w:lineRule="auto"/>
        <w:ind w:firstLine="520"/>
        <w:rPr>
          <w:rFonts w:hint="eastAsia"/>
          <w:color w:val="auto"/>
          <w:szCs w:val="26"/>
          <w:highlight w:val="none"/>
          <w:lang w:bidi="ar"/>
        </w:rPr>
      </w:pPr>
    </w:p>
    <w:p>
      <w:pPr>
        <w:adjustRightInd w:val="0"/>
        <w:snapToGrid w:val="0"/>
        <w:ind w:firstLine="520"/>
        <w:rPr>
          <w:color w:val="auto"/>
          <w:szCs w:val="26"/>
          <w:highlight w:val="none"/>
          <w:lang w:bidi="ar"/>
        </w:rPr>
      </w:pPr>
      <w:r>
        <w:rPr>
          <w:rFonts w:hint="eastAsia"/>
          <w:color w:val="auto"/>
          <w:szCs w:val="26"/>
          <w:highlight w:val="none"/>
          <w:lang w:bidi="ar"/>
        </w:rPr>
        <w:t>根据</w:t>
      </w:r>
      <w:r>
        <w:rPr>
          <w:color w:val="auto"/>
          <w:szCs w:val="26"/>
          <w:highlight w:val="none"/>
          <w:lang w:bidi="ar"/>
        </w:rPr>
        <w:t>遥感解译结果</w:t>
      </w:r>
      <w:r>
        <w:rPr>
          <w:rFonts w:hint="eastAsia"/>
          <w:color w:val="auto"/>
          <w:szCs w:val="26"/>
          <w:highlight w:val="none"/>
          <w:lang w:bidi="ar"/>
        </w:rPr>
        <w:t>，</w:t>
      </w:r>
      <w:r>
        <w:rPr>
          <w:rFonts w:hint="eastAsia"/>
          <w:color w:val="auto"/>
          <w:szCs w:val="26"/>
          <w:highlight w:val="none"/>
          <w:lang w:eastAsia="zh-CN" w:bidi="ar"/>
        </w:rPr>
        <w:t>评价范围内</w:t>
      </w:r>
      <w:r>
        <w:rPr>
          <w:rFonts w:hint="eastAsia"/>
          <w:color w:val="auto"/>
          <w:szCs w:val="26"/>
          <w:highlight w:val="none"/>
          <w:lang w:bidi="ar"/>
        </w:rPr>
        <w:t>以</w:t>
      </w:r>
      <w:r>
        <w:rPr>
          <w:rFonts w:hint="eastAsia"/>
          <w:color w:val="auto"/>
          <w:szCs w:val="26"/>
          <w:highlight w:val="none"/>
          <w:lang w:eastAsia="zh-CN" w:bidi="ar"/>
        </w:rPr>
        <w:t>低</w:t>
      </w:r>
      <w:r>
        <w:rPr>
          <w:color w:val="auto"/>
          <w:szCs w:val="26"/>
          <w:highlight w:val="none"/>
          <w:lang w:bidi="ar"/>
        </w:rPr>
        <w:t>覆盖度</w:t>
      </w:r>
      <w:r>
        <w:rPr>
          <w:rFonts w:hint="eastAsia"/>
          <w:color w:val="auto"/>
          <w:szCs w:val="26"/>
          <w:highlight w:val="none"/>
          <w:lang w:bidi="ar"/>
        </w:rPr>
        <w:t>、</w:t>
      </w:r>
      <w:r>
        <w:rPr>
          <w:rFonts w:hint="eastAsia"/>
          <w:color w:val="auto"/>
          <w:szCs w:val="26"/>
          <w:highlight w:val="none"/>
          <w:lang w:eastAsia="zh-CN" w:bidi="ar"/>
        </w:rPr>
        <w:t>中覆盖度、高</w:t>
      </w:r>
      <w:r>
        <w:rPr>
          <w:rFonts w:hint="eastAsia"/>
          <w:color w:val="auto"/>
          <w:szCs w:val="26"/>
          <w:highlight w:val="none"/>
          <w:lang w:bidi="ar"/>
        </w:rPr>
        <w:t>覆盖度</w:t>
      </w:r>
      <w:r>
        <w:rPr>
          <w:color w:val="auto"/>
          <w:szCs w:val="26"/>
          <w:highlight w:val="none"/>
          <w:lang w:bidi="ar"/>
        </w:rPr>
        <w:t>为主</w:t>
      </w:r>
      <w:r>
        <w:rPr>
          <w:rFonts w:hint="eastAsia"/>
          <w:color w:val="auto"/>
          <w:szCs w:val="26"/>
          <w:highlight w:val="none"/>
          <w:lang w:bidi="ar"/>
        </w:rPr>
        <w:t>，面积分别约</w:t>
      </w:r>
      <w:r>
        <w:rPr>
          <w:rFonts w:hint="eastAsia"/>
          <w:color w:val="auto"/>
          <w:szCs w:val="26"/>
          <w:highlight w:val="none"/>
          <w:lang w:val="en-US" w:eastAsia="zh-CN" w:bidi="ar"/>
        </w:rPr>
        <w:t>263.73</w:t>
      </w:r>
      <w:r>
        <w:rPr>
          <w:rFonts w:hint="eastAsia"/>
          <w:color w:val="auto"/>
          <w:szCs w:val="26"/>
          <w:highlight w:val="none"/>
          <w:lang w:bidi="ar"/>
        </w:rPr>
        <w:t>hm</w:t>
      </w:r>
      <w:r>
        <w:rPr>
          <w:rFonts w:hint="eastAsia"/>
          <w:color w:val="auto"/>
          <w:szCs w:val="26"/>
          <w:highlight w:val="none"/>
          <w:vertAlign w:val="superscript"/>
          <w:lang w:bidi="ar"/>
        </w:rPr>
        <w:t>2</w:t>
      </w:r>
      <w:r>
        <w:rPr>
          <w:rFonts w:hint="eastAsia"/>
          <w:color w:val="auto"/>
          <w:szCs w:val="26"/>
          <w:highlight w:val="none"/>
          <w:lang w:bidi="ar"/>
        </w:rPr>
        <w:t>、</w:t>
      </w:r>
      <w:r>
        <w:rPr>
          <w:rFonts w:hint="eastAsia"/>
          <w:color w:val="auto"/>
          <w:szCs w:val="26"/>
          <w:highlight w:val="none"/>
          <w:lang w:val="en-US" w:eastAsia="zh-CN" w:bidi="ar"/>
        </w:rPr>
        <w:t>214.84</w:t>
      </w:r>
      <w:r>
        <w:rPr>
          <w:rFonts w:hint="eastAsia"/>
          <w:color w:val="auto"/>
          <w:szCs w:val="26"/>
          <w:highlight w:val="none"/>
          <w:lang w:bidi="ar"/>
        </w:rPr>
        <w:t>hm</w:t>
      </w:r>
      <w:r>
        <w:rPr>
          <w:rFonts w:hint="eastAsia"/>
          <w:color w:val="auto"/>
          <w:szCs w:val="26"/>
          <w:highlight w:val="none"/>
          <w:vertAlign w:val="superscript"/>
          <w:lang w:bidi="ar"/>
        </w:rPr>
        <w:t>2</w:t>
      </w:r>
      <w:r>
        <w:rPr>
          <w:rFonts w:hint="eastAsia"/>
          <w:color w:val="auto"/>
          <w:szCs w:val="26"/>
          <w:highlight w:val="none"/>
          <w:lang w:bidi="ar"/>
        </w:rPr>
        <w:t>、</w:t>
      </w:r>
      <w:r>
        <w:rPr>
          <w:rFonts w:hint="eastAsia"/>
          <w:color w:val="auto"/>
          <w:szCs w:val="26"/>
          <w:highlight w:val="none"/>
          <w:lang w:val="en-US" w:eastAsia="zh-CN" w:bidi="ar"/>
        </w:rPr>
        <w:t>215.39</w:t>
      </w:r>
      <w:r>
        <w:rPr>
          <w:rFonts w:hint="eastAsia"/>
          <w:color w:val="auto"/>
          <w:szCs w:val="26"/>
          <w:highlight w:val="none"/>
          <w:lang w:bidi="ar"/>
        </w:rPr>
        <w:t>hm</w:t>
      </w:r>
      <w:r>
        <w:rPr>
          <w:rFonts w:hint="eastAsia"/>
          <w:color w:val="auto"/>
          <w:szCs w:val="26"/>
          <w:highlight w:val="none"/>
          <w:vertAlign w:val="superscript"/>
          <w:lang w:bidi="ar"/>
        </w:rPr>
        <w:t>2</w:t>
      </w:r>
      <w:r>
        <w:rPr>
          <w:rFonts w:hint="eastAsia"/>
          <w:color w:val="auto"/>
          <w:szCs w:val="26"/>
          <w:highlight w:val="none"/>
          <w:lang w:bidi="ar"/>
        </w:rPr>
        <w:t>，占比分别为</w:t>
      </w:r>
      <w:r>
        <w:rPr>
          <w:rFonts w:hint="eastAsia"/>
          <w:color w:val="auto"/>
          <w:szCs w:val="26"/>
          <w:highlight w:val="none"/>
          <w:lang w:val="en-US" w:eastAsia="zh-CN" w:bidi="ar"/>
        </w:rPr>
        <w:t>31.16</w:t>
      </w:r>
      <w:r>
        <w:rPr>
          <w:rFonts w:hint="eastAsia"/>
          <w:color w:val="auto"/>
          <w:szCs w:val="26"/>
          <w:highlight w:val="none"/>
          <w:lang w:bidi="ar"/>
        </w:rPr>
        <w:t>%、</w:t>
      </w:r>
      <w:r>
        <w:rPr>
          <w:rFonts w:hint="eastAsia"/>
          <w:color w:val="auto"/>
          <w:szCs w:val="26"/>
          <w:highlight w:val="none"/>
          <w:lang w:val="en-US" w:eastAsia="zh-CN" w:bidi="ar"/>
        </w:rPr>
        <w:t>25.38</w:t>
      </w:r>
      <w:r>
        <w:rPr>
          <w:rFonts w:hint="eastAsia"/>
          <w:color w:val="auto"/>
          <w:szCs w:val="26"/>
          <w:highlight w:val="none"/>
          <w:lang w:bidi="ar"/>
        </w:rPr>
        <w:t>%、</w:t>
      </w:r>
      <w:r>
        <w:rPr>
          <w:rFonts w:hint="eastAsia"/>
          <w:color w:val="auto"/>
          <w:szCs w:val="26"/>
          <w:highlight w:val="none"/>
          <w:lang w:val="en-US" w:eastAsia="zh-CN" w:bidi="ar"/>
        </w:rPr>
        <w:t>25.45</w:t>
      </w:r>
      <w:r>
        <w:rPr>
          <w:rFonts w:hint="eastAsia"/>
          <w:color w:val="auto"/>
          <w:szCs w:val="26"/>
          <w:highlight w:val="none"/>
          <w:lang w:bidi="ar"/>
        </w:rPr>
        <w:t>%</w:t>
      </w:r>
      <w:r>
        <w:rPr>
          <w:rFonts w:hint="eastAsia"/>
          <w:color w:val="auto"/>
          <w:szCs w:val="26"/>
          <w:highlight w:val="none"/>
          <w:lang w:eastAsia="zh-CN" w:bidi="ar"/>
        </w:rPr>
        <w:t>，</w:t>
      </w:r>
      <w:r>
        <w:rPr>
          <w:rFonts w:hint="eastAsia"/>
          <w:color w:val="auto"/>
          <w:szCs w:val="26"/>
          <w:highlight w:val="none"/>
          <w:lang w:bidi="ar"/>
        </w:rPr>
        <w:t>结合</w:t>
      </w:r>
      <w:r>
        <w:rPr>
          <w:color w:val="auto"/>
          <w:szCs w:val="26"/>
          <w:highlight w:val="none"/>
          <w:lang w:bidi="ar"/>
        </w:rPr>
        <w:t>本次现场调查</w:t>
      </w:r>
      <w:r>
        <w:rPr>
          <w:rFonts w:hint="eastAsia"/>
          <w:color w:val="auto"/>
          <w:szCs w:val="26"/>
          <w:highlight w:val="none"/>
          <w:lang w:bidi="ar"/>
        </w:rPr>
        <w:t>及土地利用现状解译结果</w:t>
      </w:r>
      <w:r>
        <w:rPr>
          <w:color w:val="auto"/>
          <w:szCs w:val="26"/>
          <w:highlight w:val="none"/>
          <w:lang w:bidi="ar"/>
        </w:rPr>
        <w:t>，</w:t>
      </w:r>
      <w:r>
        <w:rPr>
          <w:rFonts w:hint="eastAsia"/>
          <w:color w:val="auto"/>
          <w:szCs w:val="26"/>
          <w:highlight w:val="none"/>
          <w:lang w:bidi="ar"/>
        </w:rPr>
        <w:t>本次评价范围内总体植被覆盖度较低，主要是由于评价范围内分布有较多的</w:t>
      </w:r>
      <w:r>
        <w:rPr>
          <w:rFonts w:hint="eastAsia"/>
          <w:color w:val="auto"/>
          <w:szCs w:val="26"/>
          <w:highlight w:val="none"/>
          <w:lang w:eastAsia="zh-CN" w:bidi="ar"/>
        </w:rPr>
        <w:t>水域、</w:t>
      </w:r>
      <w:r>
        <w:rPr>
          <w:rFonts w:hint="eastAsia"/>
          <w:color w:val="auto"/>
          <w:szCs w:val="26"/>
          <w:highlight w:val="none"/>
          <w:lang w:bidi="ar"/>
        </w:rPr>
        <w:t>耕地，</w:t>
      </w:r>
      <w:r>
        <w:rPr>
          <w:rFonts w:hint="eastAsia"/>
          <w:color w:val="auto"/>
          <w:szCs w:val="26"/>
          <w:highlight w:val="none"/>
          <w:lang w:eastAsia="zh-CN" w:bidi="ar"/>
        </w:rPr>
        <w:t>导致低覆盖度面积相对较多</w:t>
      </w:r>
      <w:r>
        <w:rPr>
          <w:rFonts w:hint="eastAsia"/>
          <w:color w:val="auto"/>
          <w:szCs w:val="26"/>
          <w:highlight w:val="none"/>
          <w:lang w:bidi="ar"/>
        </w:rPr>
        <w:t>。</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w:t>
      </w:r>
      <w:r>
        <w:rPr>
          <w:color w:val="auto"/>
          <w:highlight w:val="none"/>
        </w:rPr>
        <w:t>天然林</w:t>
      </w:r>
      <w:r>
        <w:rPr>
          <w:rFonts w:hint="eastAsia"/>
          <w:color w:val="auto"/>
          <w:highlight w:val="none"/>
        </w:rPr>
        <w:t>、生态公益林分布及占用情况</w:t>
      </w:r>
    </w:p>
    <w:p>
      <w:pPr>
        <w:bidi w:val="0"/>
        <w:rPr>
          <w:color w:val="auto"/>
          <w:highlight w:val="none"/>
        </w:rPr>
      </w:pPr>
      <w:r>
        <w:rPr>
          <w:rFonts w:hint="eastAsia"/>
          <w:color w:val="auto"/>
          <w:highlight w:val="none"/>
          <w:shd w:val="clear" w:fill="FFFFFF"/>
        </w:rPr>
        <w:t>根据</w:t>
      </w:r>
      <w:r>
        <w:rPr>
          <w:color w:val="auto"/>
          <w:highlight w:val="none"/>
          <w:shd w:val="clear" w:fill="FFFFFF"/>
        </w:rPr>
        <w:t>与</w:t>
      </w:r>
      <w:r>
        <w:rPr>
          <w:rFonts w:hint="eastAsia"/>
          <w:color w:val="auto"/>
          <w:highlight w:val="none"/>
          <w:lang w:eastAsia="zh-CN"/>
        </w:rPr>
        <w:t>合川区</w:t>
      </w:r>
      <w:r>
        <w:rPr>
          <w:color w:val="auto"/>
          <w:highlight w:val="none"/>
        </w:rPr>
        <w:t>天然林及公益林</w:t>
      </w:r>
      <w:r>
        <w:rPr>
          <w:rFonts w:hint="eastAsia"/>
          <w:color w:val="auto"/>
          <w:highlight w:val="none"/>
        </w:rPr>
        <w:t>分布</w:t>
      </w:r>
      <w:r>
        <w:rPr>
          <w:color w:val="auto"/>
          <w:highlight w:val="none"/>
        </w:rPr>
        <w:t>情况</w:t>
      </w:r>
      <w:r>
        <w:rPr>
          <w:rFonts w:hint="eastAsia"/>
          <w:color w:val="auto"/>
          <w:highlight w:val="none"/>
          <w:lang w:eastAsia="zh-CN"/>
        </w:rPr>
        <w:t>叠图</w:t>
      </w:r>
      <w:r>
        <w:rPr>
          <w:color w:val="auto"/>
          <w:highlight w:val="none"/>
        </w:rPr>
        <w:t>，</w:t>
      </w:r>
      <w:r>
        <w:rPr>
          <w:rFonts w:hint="eastAsia"/>
          <w:color w:val="auto"/>
          <w:highlight w:val="none"/>
          <w:lang w:eastAsia="zh-CN"/>
        </w:rPr>
        <w:t>评价范围内天然林</w:t>
      </w:r>
      <w:r>
        <w:rPr>
          <w:rFonts w:hint="eastAsia"/>
          <w:color w:val="auto"/>
          <w:highlight w:val="none"/>
          <w:vertAlign w:val="baseline"/>
          <w:lang w:val="en-US" w:eastAsia="zh-CN"/>
        </w:rPr>
        <w:t>主要分布在渭沱枢纽东侧区域，</w:t>
      </w:r>
      <w:r>
        <w:rPr>
          <w:rFonts w:hint="eastAsia"/>
          <w:color w:val="auto"/>
          <w:highlight w:val="none"/>
          <w:lang w:eastAsia="zh-CN"/>
        </w:rPr>
        <w:t>无国家及地方公益林分布</w:t>
      </w:r>
      <w:r>
        <w:rPr>
          <w:color w:val="auto"/>
          <w:highlight w:val="none"/>
        </w:rPr>
        <w:t>。根据</w:t>
      </w:r>
      <w:r>
        <w:rPr>
          <w:rFonts w:hint="eastAsia"/>
          <w:color w:val="auto"/>
          <w:highlight w:val="none"/>
        </w:rPr>
        <w:t>叠图</w:t>
      </w:r>
      <w:r>
        <w:rPr>
          <w:color w:val="auto"/>
          <w:highlight w:val="none"/>
        </w:rPr>
        <w:t>对比分析，项目</w:t>
      </w:r>
      <w:r>
        <w:rPr>
          <w:rFonts w:hint="eastAsia"/>
          <w:color w:val="auto"/>
          <w:highlight w:val="none"/>
          <w:lang w:eastAsia="zh-CN"/>
        </w:rPr>
        <w:t>占用天然林面积约</w:t>
      </w:r>
      <w:r>
        <w:rPr>
          <w:rFonts w:hint="eastAsia"/>
          <w:color w:val="auto"/>
          <w:highlight w:val="none"/>
          <w:lang w:val="en-US" w:eastAsia="zh-CN"/>
        </w:rPr>
        <w:t>2.42hm</w:t>
      </w:r>
      <w:r>
        <w:rPr>
          <w:rFonts w:hint="eastAsia"/>
          <w:color w:val="auto"/>
          <w:highlight w:val="none"/>
          <w:vertAlign w:val="superscript"/>
          <w:lang w:val="en-US" w:eastAsia="zh-CN"/>
        </w:rPr>
        <w:t>2</w:t>
      </w:r>
      <w:r>
        <w:rPr>
          <w:rFonts w:hint="eastAsia"/>
          <w:color w:val="auto"/>
          <w:highlight w:val="none"/>
          <w:vertAlign w:val="baseline"/>
          <w:lang w:val="en-US" w:eastAsia="zh-CN"/>
        </w:rPr>
        <w:t>，主要为锚地、岸边清礁区及1#弃渣场占用，植被类型为青冈林、慈竹林和灌木林地</w:t>
      </w:r>
      <w:r>
        <w:rPr>
          <w:rFonts w:hint="eastAsia"/>
          <w:color w:val="auto"/>
          <w:highlight w:val="none"/>
        </w:rPr>
        <w:t>。</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6</w:t>
      </w:r>
      <w:r>
        <w:rPr>
          <w:rFonts w:hint="eastAsia"/>
          <w:color w:val="auto"/>
          <w:highlight w:val="none"/>
          <w:lang w:eastAsia="zh-CN"/>
        </w:rPr>
        <w:t>）</w:t>
      </w:r>
      <w:r>
        <w:rPr>
          <w:rFonts w:hint="eastAsia"/>
          <w:color w:val="auto"/>
          <w:highlight w:val="none"/>
        </w:rPr>
        <w:t>植物资源现状</w:t>
      </w:r>
    </w:p>
    <w:p>
      <w:pPr>
        <w:bidi w:val="0"/>
        <w:rPr>
          <w:rFonts w:hint="eastAsia"/>
          <w:color w:val="auto"/>
          <w:highlight w:val="none"/>
        </w:rPr>
      </w:pPr>
      <w:r>
        <w:rPr>
          <w:rFonts w:hint="eastAsia"/>
          <w:color w:val="auto"/>
          <w:highlight w:val="none"/>
        </w:rPr>
        <w:t>经过多次对评价区进行植物资源调查，通过采集和鉴定植物标本，搜集植物资源资料，结合以往考察的资料及相关文献，整理得出评价区内维管植物</w:t>
      </w:r>
      <w:r>
        <w:rPr>
          <w:rFonts w:hint="eastAsia"/>
          <w:color w:val="auto"/>
          <w:highlight w:val="none"/>
          <w:lang w:val="en-US" w:eastAsia="zh-CN"/>
        </w:rPr>
        <w:t>111</w:t>
      </w:r>
      <w:r>
        <w:rPr>
          <w:rFonts w:hint="eastAsia"/>
          <w:color w:val="auto"/>
          <w:highlight w:val="none"/>
        </w:rPr>
        <w:t>科</w:t>
      </w:r>
      <w:r>
        <w:rPr>
          <w:rFonts w:hint="eastAsia"/>
          <w:color w:val="auto"/>
          <w:highlight w:val="none"/>
          <w:lang w:val="en-US" w:eastAsia="zh-CN"/>
        </w:rPr>
        <w:t>269</w:t>
      </w:r>
      <w:r>
        <w:rPr>
          <w:rFonts w:hint="eastAsia"/>
          <w:color w:val="auto"/>
          <w:highlight w:val="none"/>
        </w:rPr>
        <w:t>属</w:t>
      </w:r>
      <w:r>
        <w:rPr>
          <w:rFonts w:hint="eastAsia"/>
          <w:color w:val="auto"/>
          <w:highlight w:val="none"/>
          <w:lang w:val="en-US" w:eastAsia="zh-CN"/>
        </w:rPr>
        <w:t>352</w:t>
      </w:r>
      <w:r>
        <w:rPr>
          <w:rFonts w:hint="eastAsia"/>
          <w:color w:val="auto"/>
          <w:highlight w:val="none"/>
        </w:rPr>
        <w:t>种。其中蕨类植物17科19属</w:t>
      </w:r>
      <w:r>
        <w:rPr>
          <w:rFonts w:hint="eastAsia"/>
          <w:color w:val="auto"/>
          <w:highlight w:val="none"/>
          <w:lang w:val="en-US" w:eastAsia="zh-CN"/>
        </w:rPr>
        <w:t>23</w:t>
      </w:r>
      <w:r>
        <w:rPr>
          <w:rFonts w:hint="eastAsia"/>
          <w:color w:val="auto"/>
          <w:highlight w:val="none"/>
        </w:rPr>
        <w:t>种，裸子植物</w:t>
      </w:r>
      <w:r>
        <w:rPr>
          <w:rFonts w:hint="eastAsia"/>
          <w:color w:val="auto"/>
          <w:highlight w:val="none"/>
          <w:lang w:val="en-US" w:eastAsia="zh-CN"/>
        </w:rPr>
        <w:t>4</w:t>
      </w:r>
      <w:r>
        <w:rPr>
          <w:rFonts w:hint="eastAsia"/>
          <w:color w:val="auto"/>
          <w:highlight w:val="none"/>
        </w:rPr>
        <w:t>科</w:t>
      </w:r>
      <w:r>
        <w:rPr>
          <w:rFonts w:hint="eastAsia"/>
          <w:color w:val="auto"/>
          <w:highlight w:val="none"/>
          <w:lang w:val="en-US" w:eastAsia="zh-CN"/>
        </w:rPr>
        <w:t>5</w:t>
      </w:r>
      <w:r>
        <w:rPr>
          <w:rFonts w:hint="eastAsia"/>
          <w:color w:val="auto"/>
          <w:highlight w:val="none"/>
        </w:rPr>
        <w:t>属</w:t>
      </w:r>
      <w:r>
        <w:rPr>
          <w:rFonts w:hint="eastAsia"/>
          <w:color w:val="auto"/>
          <w:highlight w:val="none"/>
          <w:lang w:val="en-US" w:eastAsia="zh-CN"/>
        </w:rPr>
        <w:t>5</w:t>
      </w:r>
      <w:r>
        <w:rPr>
          <w:rFonts w:hint="eastAsia"/>
          <w:color w:val="auto"/>
          <w:highlight w:val="none"/>
        </w:rPr>
        <w:t>种，被子植物</w:t>
      </w:r>
      <w:r>
        <w:rPr>
          <w:rFonts w:hint="eastAsia"/>
          <w:color w:val="auto"/>
          <w:highlight w:val="none"/>
          <w:lang w:val="en-US" w:eastAsia="zh-CN"/>
        </w:rPr>
        <w:t>90</w:t>
      </w:r>
      <w:r>
        <w:rPr>
          <w:rFonts w:hint="eastAsia"/>
          <w:color w:val="auto"/>
          <w:highlight w:val="none"/>
        </w:rPr>
        <w:t>科</w:t>
      </w:r>
      <w:r>
        <w:rPr>
          <w:rFonts w:hint="eastAsia"/>
          <w:color w:val="auto"/>
          <w:highlight w:val="none"/>
          <w:lang w:val="en-US" w:eastAsia="zh-CN"/>
        </w:rPr>
        <w:t>245</w:t>
      </w:r>
      <w:r>
        <w:rPr>
          <w:rFonts w:hint="eastAsia"/>
          <w:color w:val="auto"/>
          <w:highlight w:val="none"/>
        </w:rPr>
        <w:t>属</w:t>
      </w:r>
      <w:r>
        <w:rPr>
          <w:rFonts w:hint="eastAsia"/>
          <w:color w:val="auto"/>
          <w:highlight w:val="none"/>
          <w:lang w:val="en-US" w:eastAsia="zh-CN"/>
        </w:rPr>
        <w:t>324</w:t>
      </w:r>
      <w:r>
        <w:rPr>
          <w:rFonts w:hint="eastAsia"/>
          <w:color w:val="auto"/>
          <w:highlight w:val="none"/>
        </w:rPr>
        <w:t>种。</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7</w:t>
      </w:r>
      <w:r>
        <w:rPr>
          <w:rFonts w:hint="eastAsia"/>
          <w:color w:val="auto"/>
          <w:highlight w:val="none"/>
          <w:lang w:eastAsia="zh-CN"/>
        </w:rPr>
        <w:t>）重点野生</w:t>
      </w:r>
      <w:r>
        <w:rPr>
          <w:rFonts w:hint="eastAsia"/>
          <w:color w:val="auto"/>
          <w:highlight w:val="none"/>
        </w:rPr>
        <w:t>保护植物及古树名木分布</w:t>
      </w:r>
    </w:p>
    <w:p>
      <w:pPr>
        <w:bidi w:val="0"/>
        <w:rPr>
          <w:rFonts w:hint="eastAsia"/>
          <w:color w:val="auto"/>
          <w:highlight w:val="none"/>
          <w:lang w:val="en-US" w:eastAsia="zh-CN"/>
        </w:rPr>
      </w:pPr>
      <w:r>
        <w:rPr>
          <w:rFonts w:hint="eastAsia"/>
          <w:color w:val="auto"/>
          <w:highlight w:val="none"/>
        </w:rPr>
        <w:t>根据《国家重点保护野生植物名录》（2</w:t>
      </w:r>
      <w:r>
        <w:rPr>
          <w:color w:val="auto"/>
          <w:highlight w:val="none"/>
        </w:rPr>
        <w:t>021</w:t>
      </w:r>
      <w:r>
        <w:rPr>
          <w:rFonts w:hint="eastAsia"/>
          <w:color w:val="auto"/>
          <w:highlight w:val="none"/>
        </w:rPr>
        <w:t>）、《重庆市重点保护野生植物名录》（2</w:t>
      </w:r>
      <w:r>
        <w:rPr>
          <w:color w:val="auto"/>
          <w:highlight w:val="none"/>
        </w:rPr>
        <w:t>023</w:t>
      </w:r>
      <w:r>
        <w:rPr>
          <w:rFonts w:hint="eastAsia"/>
          <w:color w:val="auto"/>
          <w:highlight w:val="none"/>
        </w:rPr>
        <w:t>）、《中国生物多样性红色名录—高等植物卷（2020）》，结合收集到的资料和现场实地调查，本次评价范围内无国家和重庆市重点保护野生植物分布。</w:t>
      </w:r>
      <w:r>
        <w:rPr>
          <w:rFonts w:hint="eastAsia"/>
          <w:color w:val="auto"/>
          <w:highlight w:val="none"/>
          <w:lang w:eastAsia="zh-CN"/>
        </w:rPr>
        <w:t>评价范围内分布有古树</w:t>
      </w:r>
      <w:r>
        <w:rPr>
          <w:rFonts w:hint="eastAsia"/>
          <w:color w:val="auto"/>
          <w:highlight w:val="none"/>
          <w:lang w:val="en-US" w:eastAsia="zh-CN"/>
        </w:rPr>
        <w:t>3株，均为黄葛树，分布</w:t>
      </w:r>
      <w:r>
        <w:rPr>
          <w:rFonts w:hint="eastAsia"/>
          <w:color w:val="auto"/>
          <w:highlight w:val="none"/>
          <w:lang w:eastAsia="zh-CN"/>
        </w:rPr>
        <w:t>在渭沱枢纽对岸的渭沱镇区，</w:t>
      </w:r>
      <w:r>
        <w:rPr>
          <w:rFonts w:hint="eastAsia"/>
          <w:color w:val="auto"/>
          <w:highlight w:val="none"/>
          <w:lang w:val="en-US" w:eastAsia="zh-CN"/>
        </w:rPr>
        <w:t>项目占地范围内无古树名木分布。</w:t>
      </w:r>
    </w:p>
    <w:p>
      <w:pPr>
        <w:pStyle w:val="2"/>
        <w:jc w:val="center"/>
        <w:rPr>
          <w:rFonts w:hint="eastAsia"/>
          <w:color w:val="auto"/>
          <w:highlight w:val="none"/>
          <w:lang w:val="en-US" w:eastAsia="zh-CN"/>
        </w:rPr>
      </w:pPr>
    </w:p>
    <w:p>
      <w:pPr>
        <w:pStyle w:val="2"/>
        <w:jc w:val="center"/>
        <w:rPr>
          <w:rFonts w:hint="eastAsia"/>
          <w:color w:val="auto"/>
          <w:highlight w:val="none"/>
          <w:lang w:val="en-US" w:eastAsia="zh-CN"/>
        </w:rPr>
      </w:pPr>
    </w:p>
    <w:p>
      <w:pPr>
        <w:pStyle w:val="2"/>
        <w:jc w:val="center"/>
        <w:rPr>
          <w:rFonts w:hint="eastAsia"/>
          <w:color w:val="auto"/>
          <w:highlight w:val="none"/>
          <w:lang w:val="en-US" w:eastAsia="zh-CN"/>
        </w:rPr>
      </w:pPr>
    </w:p>
    <w:p>
      <w:pPr>
        <w:pStyle w:val="2"/>
        <w:jc w:val="center"/>
        <w:rPr>
          <w:rFonts w:hint="eastAsia"/>
          <w:color w:val="auto"/>
          <w:highlight w:val="none"/>
          <w:lang w:val="en-US" w:eastAsia="zh-CN"/>
        </w:rPr>
      </w:pPr>
    </w:p>
    <w:p>
      <w:pPr>
        <w:pStyle w:val="2"/>
        <w:jc w:val="center"/>
        <w:rPr>
          <w:rFonts w:hint="eastAsia"/>
          <w:color w:val="auto"/>
          <w:highlight w:val="none"/>
          <w:lang w:val="en-US" w:eastAsia="zh-CN"/>
        </w:rPr>
      </w:pPr>
    </w:p>
    <w:p>
      <w:pPr>
        <w:pStyle w:val="2"/>
        <w:jc w:val="center"/>
        <w:rPr>
          <w:rFonts w:hint="default"/>
          <w:color w:val="auto"/>
          <w:highlight w:val="none"/>
          <w:lang w:val="en-US" w:eastAsia="zh-CN"/>
        </w:rPr>
      </w:pPr>
      <w:r>
        <w:rPr>
          <w:rFonts w:hint="eastAsia"/>
          <w:color w:val="auto"/>
          <w:highlight w:val="none"/>
          <w:lang w:val="en-US" w:eastAsia="zh-CN"/>
        </w:rPr>
        <w:t>表3.2.2-4   评价区古树名木调查结果统计表</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3"/>
        <w:gridCol w:w="2060"/>
        <w:gridCol w:w="850"/>
        <w:gridCol w:w="940"/>
        <w:gridCol w:w="1420"/>
        <w:gridCol w:w="1360"/>
        <w:gridCol w:w="690"/>
        <w:gridCol w:w="9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序号</w:t>
            </w:r>
          </w:p>
        </w:tc>
        <w:tc>
          <w:tcPr>
            <w:tcW w:w="2060"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树种名称</w:t>
            </w:r>
          </w:p>
        </w:tc>
        <w:tc>
          <w:tcPr>
            <w:tcW w:w="850"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生长状况</w:t>
            </w:r>
          </w:p>
        </w:tc>
        <w:tc>
          <w:tcPr>
            <w:tcW w:w="940"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树龄</w:t>
            </w:r>
            <w:r>
              <w:rPr>
                <w:rFonts w:hint="eastAsia" w:ascii="Times New Roman" w:hAnsi="Times New Roman" w:eastAsia="宋体" w:cs="Times New Roman"/>
                <w:color w:val="auto"/>
                <w:sz w:val="22"/>
                <w:szCs w:val="22"/>
                <w:highlight w:val="none"/>
                <w:vertAlign w:val="baseline"/>
                <w:lang w:val="en-US" w:eastAsia="zh-CN"/>
              </w:rPr>
              <w:t>/年</w:t>
            </w:r>
          </w:p>
        </w:tc>
        <w:tc>
          <w:tcPr>
            <w:tcW w:w="2780" w:type="dxa"/>
            <w:gridSpan w:val="2"/>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经纬度</w:t>
            </w:r>
          </w:p>
        </w:tc>
        <w:tc>
          <w:tcPr>
            <w:tcW w:w="690"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海拔/m</w:t>
            </w:r>
          </w:p>
        </w:tc>
        <w:tc>
          <w:tcPr>
            <w:tcW w:w="955"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工程占用情况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1</w:t>
            </w:r>
          </w:p>
        </w:tc>
        <w:tc>
          <w:tcPr>
            <w:tcW w:w="2060"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黄葛树/</w:t>
            </w:r>
            <w:r>
              <w:rPr>
                <w:rFonts w:hint="default" w:ascii="Times New Roman" w:hAnsi="Times New Roman" w:eastAsia="宋体" w:cs="Times New Roman"/>
                <w:i/>
                <w:iCs/>
                <w:color w:val="auto"/>
                <w:sz w:val="22"/>
                <w:szCs w:val="22"/>
                <w:highlight w:val="none"/>
                <w:vertAlign w:val="baseline"/>
                <w:lang w:val="en-US" w:eastAsia="zh-CN"/>
              </w:rPr>
              <w:t>Ficus virens</w:t>
            </w:r>
          </w:p>
        </w:tc>
        <w:tc>
          <w:tcPr>
            <w:tcW w:w="850"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良好</w:t>
            </w:r>
          </w:p>
        </w:tc>
        <w:tc>
          <w:tcPr>
            <w:tcW w:w="940"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120</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bottom"/>
              <w:rPr>
                <w:rFonts w:hint="default" w:ascii="Times New Roman" w:hAnsi="Times New Roman" w:eastAsia="宋体" w:cs="Times New Roman"/>
                <w:color w:val="auto"/>
                <w:sz w:val="22"/>
                <w:szCs w:val="22"/>
                <w:highlight w:val="none"/>
                <w:vertAlign w:val="baseline"/>
                <w:lang w:val="en-US" w:eastAsia="zh-CN"/>
              </w:rPr>
            </w:pPr>
            <w:r>
              <w:rPr>
                <w:rFonts w:hint="eastAsia"/>
                <w:color w:val="auto"/>
                <w:kern w:val="0"/>
                <w:sz w:val="22"/>
                <w:szCs w:val="22"/>
                <w:highlight w:val="none"/>
                <w:lang w:val="en-US" w:eastAsia="zh-CN" w:bidi="ar"/>
              </w:rPr>
              <w:t>***</w:t>
            </w:r>
          </w:p>
        </w:tc>
        <w:tc>
          <w:tcPr>
            <w:tcW w:w="136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bottom"/>
              <w:rPr>
                <w:rFonts w:hint="default" w:ascii="Times New Roman" w:hAnsi="Times New Roman" w:eastAsia="宋体" w:cs="Times New Roman"/>
                <w:color w:val="auto"/>
                <w:sz w:val="22"/>
                <w:szCs w:val="22"/>
                <w:highlight w:val="none"/>
                <w:vertAlign w:val="baseline"/>
                <w:lang w:val="en-US" w:eastAsia="zh-CN"/>
              </w:rPr>
            </w:pPr>
            <w:r>
              <w:rPr>
                <w:rFonts w:hint="eastAsia"/>
                <w:color w:val="auto"/>
                <w:kern w:val="0"/>
                <w:sz w:val="22"/>
                <w:szCs w:val="22"/>
                <w:highlight w:val="none"/>
                <w:lang w:val="en-US" w:eastAsia="zh-CN" w:bidi="ar"/>
              </w:rPr>
              <w:t>***</w:t>
            </w:r>
          </w:p>
        </w:tc>
        <w:tc>
          <w:tcPr>
            <w:tcW w:w="69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bottom"/>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bidi="ar"/>
              </w:rPr>
              <w:t>225</w:t>
            </w:r>
          </w:p>
        </w:tc>
        <w:tc>
          <w:tcPr>
            <w:tcW w:w="955"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2</w:t>
            </w:r>
          </w:p>
        </w:tc>
        <w:tc>
          <w:tcPr>
            <w:tcW w:w="2060"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黄葛树/</w:t>
            </w:r>
            <w:r>
              <w:rPr>
                <w:rFonts w:hint="default" w:ascii="Times New Roman" w:hAnsi="Times New Roman" w:eastAsia="宋体" w:cs="Times New Roman"/>
                <w:i/>
                <w:iCs/>
                <w:color w:val="auto"/>
                <w:sz w:val="22"/>
                <w:szCs w:val="22"/>
                <w:highlight w:val="none"/>
                <w:vertAlign w:val="baseline"/>
                <w:lang w:val="en-US" w:eastAsia="zh-CN"/>
              </w:rPr>
              <w:t>Ficus virens</w:t>
            </w:r>
          </w:p>
        </w:tc>
        <w:tc>
          <w:tcPr>
            <w:tcW w:w="850"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良好</w:t>
            </w:r>
          </w:p>
        </w:tc>
        <w:tc>
          <w:tcPr>
            <w:tcW w:w="940"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105</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bottom"/>
              <w:rPr>
                <w:rFonts w:hint="default" w:ascii="Times New Roman" w:hAnsi="Times New Roman" w:eastAsia="宋体" w:cs="Times New Roman"/>
                <w:color w:val="auto"/>
                <w:sz w:val="22"/>
                <w:szCs w:val="22"/>
                <w:highlight w:val="none"/>
                <w:vertAlign w:val="baseline"/>
                <w:lang w:val="en-US" w:eastAsia="zh-CN"/>
              </w:rPr>
            </w:pPr>
            <w:r>
              <w:rPr>
                <w:rFonts w:hint="eastAsia"/>
                <w:color w:val="auto"/>
                <w:kern w:val="0"/>
                <w:sz w:val="22"/>
                <w:szCs w:val="22"/>
                <w:highlight w:val="none"/>
                <w:lang w:val="en-US" w:eastAsia="zh-CN" w:bidi="ar"/>
              </w:rPr>
              <w:t>***</w:t>
            </w:r>
          </w:p>
        </w:tc>
        <w:tc>
          <w:tcPr>
            <w:tcW w:w="136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bottom"/>
              <w:rPr>
                <w:rFonts w:hint="default" w:ascii="Times New Roman" w:hAnsi="Times New Roman" w:eastAsia="宋体" w:cs="Times New Roman"/>
                <w:color w:val="auto"/>
                <w:sz w:val="22"/>
                <w:szCs w:val="22"/>
                <w:highlight w:val="none"/>
                <w:vertAlign w:val="baseline"/>
                <w:lang w:val="en-US" w:eastAsia="zh-CN"/>
              </w:rPr>
            </w:pPr>
            <w:r>
              <w:rPr>
                <w:rFonts w:hint="eastAsia"/>
                <w:color w:val="auto"/>
                <w:kern w:val="0"/>
                <w:sz w:val="22"/>
                <w:szCs w:val="22"/>
                <w:highlight w:val="none"/>
                <w:lang w:val="en-US" w:eastAsia="zh-CN" w:bidi="ar"/>
              </w:rPr>
              <w:t>***</w:t>
            </w:r>
          </w:p>
        </w:tc>
        <w:tc>
          <w:tcPr>
            <w:tcW w:w="69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bottom"/>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bidi="ar"/>
              </w:rPr>
              <w:t>208</w:t>
            </w:r>
          </w:p>
        </w:tc>
        <w:tc>
          <w:tcPr>
            <w:tcW w:w="955"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3</w:t>
            </w:r>
          </w:p>
        </w:tc>
        <w:tc>
          <w:tcPr>
            <w:tcW w:w="2060"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黄葛树/</w:t>
            </w:r>
            <w:r>
              <w:rPr>
                <w:rFonts w:hint="default" w:ascii="Times New Roman" w:hAnsi="Times New Roman" w:eastAsia="宋体" w:cs="Times New Roman"/>
                <w:i/>
                <w:iCs/>
                <w:color w:val="auto"/>
                <w:sz w:val="22"/>
                <w:szCs w:val="22"/>
                <w:highlight w:val="none"/>
                <w:vertAlign w:val="baseline"/>
                <w:lang w:val="en-US" w:eastAsia="zh-CN"/>
              </w:rPr>
              <w:t>Ficus virens</w:t>
            </w:r>
          </w:p>
        </w:tc>
        <w:tc>
          <w:tcPr>
            <w:tcW w:w="850"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良好</w:t>
            </w:r>
          </w:p>
        </w:tc>
        <w:tc>
          <w:tcPr>
            <w:tcW w:w="940"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120</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bottom"/>
              <w:rPr>
                <w:rFonts w:hint="default" w:ascii="Times New Roman" w:hAnsi="Times New Roman" w:eastAsia="宋体" w:cs="Times New Roman"/>
                <w:color w:val="auto"/>
                <w:sz w:val="22"/>
                <w:szCs w:val="22"/>
                <w:highlight w:val="none"/>
                <w:vertAlign w:val="baseline"/>
                <w:lang w:val="en-US" w:eastAsia="zh-CN"/>
              </w:rPr>
            </w:pPr>
            <w:r>
              <w:rPr>
                <w:rFonts w:hint="eastAsia"/>
                <w:color w:val="auto"/>
                <w:kern w:val="0"/>
                <w:sz w:val="22"/>
                <w:szCs w:val="22"/>
                <w:highlight w:val="none"/>
                <w:lang w:val="en-US" w:eastAsia="zh-CN" w:bidi="ar"/>
              </w:rPr>
              <w:t>***</w:t>
            </w:r>
          </w:p>
        </w:tc>
        <w:tc>
          <w:tcPr>
            <w:tcW w:w="136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bottom"/>
              <w:rPr>
                <w:rFonts w:hint="default" w:ascii="Times New Roman" w:hAnsi="Times New Roman" w:eastAsia="宋体" w:cs="Times New Roman"/>
                <w:color w:val="auto"/>
                <w:sz w:val="22"/>
                <w:szCs w:val="22"/>
                <w:highlight w:val="none"/>
                <w:vertAlign w:val="baseline"/>
                <w:lang w:val="en-US" w:eastAsia="zh-CN"/>
              </w:rPr>
            </w:pPr>
            <w:r>
              <w:rPr>
                <w:rFonts w:hint="eastAsia"/>
                <w:color w:val="auto"/>
                <w:kern w:val="0"/>
                <w:sz w:val="22"/>
                <w:szCs w:val="22"/>
                <w:highlight w:val="none"/>
                <w:lang w:val="en-US" w:eastAsia="zh-CN" w:bidi="ar"/>
              </w:rPr>
              <w:t>***</w:t>
            </w:r>
          </w:p>
        </w:tc>
        <w:tc>
          <w:tcPr>
            <w:tcW w:w="69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bottom"/>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bidi="ar"/>
              </w:rPr>
              <w:t>211</w:t>
            </w:r>
          </w:p>
        </w:tc>
        <w:tc>
          <w:tcPr>
            <w:tcW w:w="955" w:type="dxa"/>
            <w:vAlign w:val="center"/>
          </w:tcPr>
          <w:p>
            <w:pPr>
              <w:pStyle w:val="1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2"/>
                <w:szCs w:val="22"/>
                <w:highlight w:val="none"/>
                <w:vertAlign w:val="baseline"/>
                <w:lang w:val="en-US" w:eastAsia="zh-CN"/>
              </w:rPr>
            </w:pPr>
            <w:r>
              <w:rPr>
                <w:rFonts w:hint="default" w:ascii="Times New Roman" w:hAnsi="Times New Roman" w:eastAsia="宋体" w:cs="Times New Roman"/>
                <w:color w:val="auto"/>
                <w:sz w:val="22"/>
                <w:szCs w:val="22"/>
                <w:highlight w:val="none"/>
                <w:vertAlign w:val="baseline"/>
                <w:lang w:val="en-US" w:eastAsia="zh-CN"/>
              </w:rPr>
              <w:t>否</w:t>
            </w:r>
          </w:p>
        </w:tc>
      </w:tr>
    </w:tbl>
    <w:p>
      <w:pPr>
        <w:pStyle w:val="17"/>
        <w:ind w:left="0" w:leftChars="0" w:firstLine="0" w:firstLineChars="0"/>
        <w:jc w:val="center"/>
        <w:rPr>
          <w:rFonts w:hint="default"/>
          <w:color w:val="auto"/>
          <w:highlight w:val="none"/>
          <w:lang w:val="en-US" w:eastAsia="zh-CN"/>
        </w:rPr>
      </w:pPr>
    </w:p>
    <w:p>
      <w:pPr>
        <w:pStyle w:val="6"/>
        <w:bidi w:val="0"/>
        <w:rPr>
          <w:color w:val="auto"/>
          <w:highlight w:val="none"/>
        </w:rPr>
      </w:pPr>
      <w:r>
        <w:rPr>
          <w:rFonts w:hint="eastAsia"/>
          <w:color w:val="auto"/>
          <w:highlight w:val="none"/>
        </w:rPr>
        <w:t>陆生</w:t>
      </w:r>
      <w:r>
        <w:rPr>
          <w:color w:val="auto"/>
          <w:highlight w:val="none"/>
        </w:rPr>
        <w:t>脊椎动物现状</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color w:val="auto"/>
          <w:highlight w:val="none"/>
        </w:rPr>
        <w:t>调查方法</w:t>
      </w:r>
    </w:p>
    <w:p>
      <w:pPr>
        <w:bidi w:val="0"/>
        <w:rPr>
          <w:color w:val="auto"/>
          <w:szCs w:val="26"/>
          <w:highlight w:val="none"/>
        </w:rPr>
      </w:pPr>
      <w:r>
        <w:rPr>
          <w:rFonts w:hint="eastAsia"/>
          <w:color w:val="auto"/>
          <w:highlight w:val="none"/>
        </w:rPr>
        <w:t>按照《环境</w:t>
      </w:r>
      <w:r>
        <w:rPr>
          <w:color w:val="auto"/>
          <w:highlight w:val="none"/>
        </w:rPr>
        <w:t>影响评价技术导则</w:t>
      </w:r>
      <w:r>
        <w:rPr>
          <w:rFonts w:hint="eastAsia"/>
          <w:color w:val="auto"/>
          <w:highlight w:val="none"/>
        </w:rPr>
        <w:t xml:space="preserve"> 生态</w:t>
      </w:r>
      <w:r>
        <w:rPr>
          <w:color w:val="auto"/>
          <w:highlight w:val="none"/>
        </w:rPr>
        <w:t>影响</w:t>
      </w:r>
      <w:r>
        <w:rPr>
          <w:rFonts w:hint="eastAsia"/>
          <w:color w:val="auto"/>
          <w:highlight w:val="none"/>
        </w:rPr>
        <w:t>》（HJ 19</w:t>
      </w:r>
      <w:r>
        <w:rPr>
          <w:color w:val="auto"/>
          <w:highlight w:val="none"/>
        </w:rPr>
        <w:t>-2022</w:t>
      </w:r>
      <w:r>
        <w:rPr>
          <w:rFonts w:hint="eastAsia"/>
          <w:color w:val="auto"/>
          <w:highlight w:val="none"/>
        </w:rPr>
        <w:t>）要求</w:t>
      </w:r>
      <w:r>
        <w:rPr>
          <w:color w:val="auto"/>
          <w:highlight w:val="none"/>
        </w:rPr>
        <w:t>，</w:t>
      </w:r>
      <w:r>
        <w:rPr>
          <w:rFonts w:hint="eastAsia"/>
          <w:color w:val="auto"/>
          <w:highlight w:val="none"/>
        </w:rPr>
        <w:t>项目</w:t>
      </w:r>
      <w:r>
        <w:rPr>
          <w:color w:val="auto"/>
          <w:highlight w:val="none"/>
        </w:rPr>
        <w:t>所在区域主要为耕地，生态</w:t>
      </w:r>
      <w:r>
        <w:rPr>
          <w:rFonts w:hint="eastAsia"/>
          <w:color w:val="auto"/>
          <w:highlight w:val="none"/>
        </w:rPr>
        <w:t>系统类型</w:t>
      </w:r>
      <w:r>
        <w:rPr>
          <w:color w:val="auto"/>
          <w:highlight w:val="none"/>
        </w:rPr>
        <w:t>简单，本次</w:t>
      </w:r>
      <w:r>
        <w:rPr>
          <w:rFonts w:hint="eastAsia"/>
          <w:color w:val="auto"/>
          <w:highlight w:val="none"/>
        </w:rPr>
        <w:t>评价</w:t>
      </w:r>
      <w:r>
        <w:rPr>
          <w:color w:val="auto"/>
          <w:highlight w:val="none"/>
        </w:rPr>
        <w:t>主要采用资料收集、现场调查等方法进行</w:t>
      </w:r>
      <w:r>
        <w:rPr>
          <w:rFonts w:hint="eastAsia"/>
          <w:color w:val="auto"/>
          <w:highlight w:val="none"/>
        </w:rPr>
        <w:t>区域</w:t>
      </w:r>
      <w:r>
        <w:rPr>
          <w:color w:val="auto"/>
          <w:highlight w:val="none"/>
        </w:rPr>
        <w:t>野生动物调查</w:t>
      </w:r>
      <w:r>
        <w:rPr>
          <w:rFonts w:hint="eastAsia"/>
          <w:color w:val="auto"/>
          <w:szCs w:val="26"/>
          <w:highlight w:val="none"/>
          <w:lang w:bidi="ar"/>
        </w:rPr>
        <w:t>。</w:t>
      </w:r>
      <w:r>
        <w:rPr>
          <w:color w:val="auto"/>
          <w:szCs w:val="26"/>
          <w:highlight w:val="none"/>
          <w:lang w:bidi="ar"/>
        </w:rPr>
        <w:t xml:space="preserve"> </w:t>
      </w:r>
    </w:p>
    <w:p>
      <w:pPr>
        <w:ind w:firstLine="520"/>
        <w:rPr>
          <w:color w:val="auto"/>
          <w:szCs w:val="26"/>
          <w:highlight w:val="none"/>
          <w:lang w:bidi="ar"/>
        </w:rPr>
      </w:pPr>
      <w:r>
        <w:rPr>
          <w:rFonts w:hint="eastAsia"/>
          <w:color w:val="auto"/>
          <w:szCs w:val="26"/>
          <w:highlight w:val="none"/>
          <w:lang w:val="en-US" w:eastAsia="zh-CN" w:bidi="ar"/>
        </w:rPr>
        <w:fldChar w:fldCharType="begin"/>
      </w:r>
      <w:r>
        <w:rPr>
          <w:rFonts w:hint="eastAsia"/>
          <w:color w:val="auto"/>
          <w:szCs w:val="26"/>
          <w:highlight w:val="none"/>
          <w:lang w:val="en-US" w:eastAsia="zh-CN" w:bidi="ar"/>
        </w:rPr>
        <w:instrText xml:space="preserve"> = 1 \* GB3 \* MERGEFORMAT </w:instrText>
      </w:r>
      <w:r>
        <w:rPr>
          <w:rFonts w:hint="eastAsia"/>
          <w:color w:val="auto"/>
          <w:szCs w:val="26"/>
          <w:highlight w:val="none"/>
          <w:lang w:val="en-US" w:eastAsia="zh-CN" w:bidi="ar"/>
        </w:rPr>
        <w:fldChar w:fldCharType="separate"/>
      </w:r>
      <w:r>
        <w:rPr>
          <w:color w:val="auto"/>
          <w:highlight w:val="none"/>
        </w:rPr>
        <w:t>①</w:t>
      </w:r>
      <w:r>
        <w:rPr>
          <w:rFonts w:hint="eastAsia"/>
          <w:color w:val="auto"/>
          <w:szCs w:val="26"/>
          <w:highlight w:val="none"/>
          <w:lang w:val="en-US" w:eastAsia="zh-CN" w:bidi="ar"/>
        </w:rPr>
        <w:fldChar w:fldCharType="end"/>
      </w:r>
      <w:r>
        <w:rPr>
          <w:color w:val="auto"/>
          <w:szCs w:val="26"/>
          <w:highlight w:val="none"/>
          <w:lang w:bidi="ar"/>
        </w:rPr>
        <w:t>资料收集</w:t>
      </w:r>
    </w:p>
    <w:p>
      <w:pPr>
        <w:ind w:firstLine="520"/>
        <w:rPr>
          <w:color w:val="auto"/>
          <w:szCs w:val="26"/>
          <w:highlight w:val="none"/>
        </w:rPr>
      </w:pPr>
      <w:r>
        <w:rPr>
          <w:rFonts w:hint="eastAsia"/>
          <w:color w:val="auto"/>
          <w:szCs w:val="26"/>
          <w:highlight w:val="none"/>
          <w:lang w:bidi="ar"/>
        </w:rPr>
        <w:t>查阅以往的调查资料，并参考</w:t>
      </w:r>
      <w:r>
        <w:rPr>
          <w:rFonts w:hint="eastAsia"/>
          <w:color w:val="auto"/>
          <w:szCs w:val="26"/>
          <w:highlight w:val="none"/>
          <w:lang w:eastAsia="zh-CN" w:bidi="ar"/>
        </w:rPr>
        <w:t>重庆合川三江国家</w:t>
      </w:r>
      <w:r>
        <w:rPr>
          <w:rFonts w:hint="eastAsia"/>
          <w:color w:val="auto"/>
          <w:szCs w:val="26"/>
          <w:highlight w:val="none"/>
          <w:lang w:bidi="ar"/>
        </w:rPr>
        <w:t>湿地公园总体规划中脊椎动物调查资料、《四川资源动物志</w:t>
      </w:r>
      <w:r>
        <w:rPr>
          <w:rFonts w:hint="eastAsia"/>
          <w:color w:val="auto"/>
          <w:szCs w:val="26"/>
          <w:highlight w:val="none"/>
          <w:shd w:val="clear" w:fill="FFFFFF"/>
          <w:lang w:bidi="ar"/>
        </w:rPr>
        <w:t>》、《</w:t>
      </w:r>
      <w:r>
        <w:rPr>
          <w:rFonts w:hint="eastAsia"/>
          <w:color w:val="auto"/>
          <w:szCs w:val="26"/>
          <w:highlight w:val="none"/>
          <w:lang w:bidi="ar"/>
        </w:rPr>
        <w:t>中国动物志</w:t>
      </w:r>
      <w:r>
        <w:rPr>
          <w:rFonts w:hint="eastAsia"/>
          <w:color w:val="auto"/>
          <w:szCs w:val="26"/>
          <w:highlight w:val="none"/>
          <w:shd w:val="clear" w:fill="FFFFFF"/>
          <w:lang w:bidi="ar"/>
        </w:rPr>
        <w:t>》、《</w:t>
      </w:r>
      <w:r>
        <w:rPr>
          <w:rFonts w:hint="eastAsia"/>
          <w:color w:val="auto"/>
          <w:szCs w:val="26"/>
          <w:highlight w:val="none"/>
          <w:lang w:bidi="ar"/>
        </w:rPr>
        <w:t>中国动物地理》等文献资料</w:t>
      </w:r>
      <w:r>
        <w:rPr>
          <w:rFonts w:hint="eastAsia"/>
          <w:color w:val="auto"/>
          <w:szCs w:val="26"/>
          <w:highlight w:val="none"/>
          <w:lang w:eastAsia="zh-CN" w:bidi="ar"/>
        </w:rPr>
        <w:t>以及</w:t>
      </w:r>
      <w:r>
        <w:rPr>
          <w:rFonts w:hint="default"/>
          <w:color w:val="auto"/>
          <w:highlight w:val="none"/>
          <w:lang w:eastAsia="zh-CN"/>
        </w:rPr>
        <w:t>《涪江重庆段航道整治工程环境影响报告书》</w:t>
      </w:r>
      <w:r>
        <w:rPr>
          <w:rFonts w:hint="eastAsia"/>
          <w:color w:val="auto"/>
          <w:highlight w:val="none"/>
          <w:lang w:eastAsia="zh-CN"/>
        </w:rPr>
        <w:t>（</w:t>
      </w:r>
      <w:r>
        <w:rPr>
          <w:rFonts w:hint="eastAsia"/>
          <w:color w:val="auto"/>
          <w:highlight w:val="none"/>
          <w:lang w:val="en-US" w:eastAsia="zh-CN"/>
        </w:rPr>
        <w:t>2024.11</w:t>
      </w:r>
      <w:r>
        <w:rPr>
          <w:rFonts w:hint="eastAsia"/>
          <w:color w:val="auto"/>
          <w:highlight w:val="none"/>
          <w:lang w:eastAsia="zh-CN"/>
        </w:rPr>
        <w:t>）中的历史调查数据</w:t>
      </w:r>
      <w:r>
        <w:rPr>
          <w:rFonts w:hint="eastAsia"/>
          <w:color w:val="auto"/>
          <w:szCs w:val="26"/>
          <w:highlight w:val="none"/>
          <w:lang w:bidi="ar"/>
        </w:rPr>
        <w:t>，以获得涪江流域评价范围内陆生脊椎动物的基本组成情况，了解动物的区系组成。</w:t>
      </w:r>
    </w:p>
    <w:p>
      <w:pPr>
        <w:ind w:firstLine="520"/>
        <w:rPr>
          <w:color w:val="auto"/>
          <w:szCs w:val="26"/>
          <w:highlight w:val="none"/>
        </w:rPr>
      </w:pPr>
      <w:r>
        <w:rPr>
          <w:rFonts w:hint="eastAsia"/>
          <w:color w:val="auto"/>
          <w:szCs w:val="26"/>
          <w:highlight w:val="none"/>
          <w:lang w:val="en-US" w:eastAsia="zh-CN" w:bidi="ar"/>
        </w:rPr>
        <w:fldChar w:fldCharType="begin"/>
      </w:r>
      <w:r>
        <w:rPr>
          <w:rFonts w:hint="eastAsia"/>
          <w:color w:val="auto"/>
          <w:szCs w:val="26"/>
          <w:highlight w:val="none"/>
          <w:lang w:val="en-US" w:eastAsia="zh-CN" w:bidi="ar"/>
        </w:rPr>
        <w:instrText xml:space="preserve"> = 2 \* GB3 \* MERGEFORMAT </w:instrText>
      </w:r>
      <w:r>
        <w:rPr>
          <w:rFonts w:hint="eastAsia"/>
          <w:color w:val="auto"/>
          <w:szCs w:val="26"/>
          <w:highlight w:val="none"/>
          <w:lang w:val="en-US" w:eastAsia="zh-CN" w:bidi="ar"/>
        </w:rPr>
        <w:fldChar w:fldCharType="separate"/>
      </w:r>
      <w:r>
        <w:rPr>
          <w:color w:val="auto"/>
          <w:highlight w:val="none"/>
        </w:rPr>
        <w:t>②</w:t>
      </w:r>
      <w:r>
        <w:rPr>
          <w:rFonts w:hint="eastAsia"/>
          <w:color w:val="auto"/>
          <w:szCs w:val="26"/>
          <w:highlight w:val="none"/>
          <w:lang w:val="en-US" w:eastAsia="zh-CN" w:bidi="ar"/>
        </w:rPr>
        <w:fldChar w:fldCharType="end"/>
      </w:r>
      <w:r>
        <w:rPr>
          <w:rFonts w:hint="eastAsia"/>
          <w:color w:val="auto"/>
          <w:szCs w:val="26"/>
          <w:highlight w:val="none"/>
          <w:lang w:bidi="ar"/>
        </w:rPr>
        <w:t>现场</w:t>
      </w:r>
      <w:r>
        <w:rPr>
          <w:color w:val="auto"/>
          <w:szCs w:val="26"/>
          <w:highlight w:val="none"/>
          <w:lang w:bidi="ar"/>
        </w:rPr>
        <w:t>调查</w:t>
      </w:r>
    </w:p>
    <w:p>
      <w:pPr>
        <w:bidi w:val="0"/>
        <w:rPr>
          <w:rFonts w:hint="eastAsia" w:eastAsia="宋体"/>
          <w:color w:val="auto"/>
          <w:highlight w:val="none"/>
          <w:lang w:eastAsia="zh-CN"/>
        </w:rPr>
      </w:pPr>
      <w:r>
        <w:rPr>
          <w:rFonts w:hint="eastAsia"/>
          <w:color w:val="auto"/>
          <w:szCs w:val="26"/>
          <w:highlight w:val="none"/>
          <w:lang w:eastAsia="zh-CN" w:bidi="ar"/>
        </w:rPr>
        <w:t>在充分利用已有调查资料的基础上，</w:t>
      </w:r>
      <w:r>
        <w:rPr>
          <w:color w:val="auto"/>
          <w:szCs w:val="26"/>
          <w:highlight w:val="none"/>
          <w:lang w:bidi="ar"/>
        </w:rPr>
        <w:t>项目组先后向工程沿线林业局、农委</w:t>
      </w:r>
      <w:r>
        <w:rPr>
          <w:rFonts w:hint="eastAsia"/>
          <w:color w:val="auto"/>
          <w:szCs w:val="26"/>
          <w:highlight w:val="none"/>
          <w:lang w:bidi="ar"/>
        </w:rPr>
        <w:t>等</w:t>
      </w:r>
      <w:r>
        <w:rPr>
          <w:color w:val="auto"/>
          <w:szCs w:val="26"/>
          <w:highlight w:val="none"/>
          <w:lang w:bidi="ar"/>
        </w:rPr>
        <w:t>专业技术人员及涉及乡镇政府工作人员详细咨询了解当地野生动物的种类和数量情况</w:t>
      </w:r>
      <w:r>
        <w:rPr>
          <w:rFonts w:hint="eastAsia"/>
          <w:color w:val="auto"/>
          <w:szCs w:val="26"/>
          <w:highlight w:val="none"/>
          <w:lang w:bidi="ar"/>
        </w:rPr>
        <w:t>。同时根据两栖类、鸟类、兽类、爬行类等不同类群动物的生活习性，对其进行实地调查，</w:t>
      </w:r>
      <w:r>
        <w:rPr>
          <w:rFonts w:hint="eastAsia"/>
          <w:color w:val="auto"/>
          <w:szCs w:val="26"/>
          <w:highlight w:val="none"/>
          <w:lang w:eastAsia="zh-CN" w:bidi="ar"/>
        </w:rPr>
        <w:t>重点对船闸、弃渣场区域进行了样线调查。</w:t>
      </w:r>
      <w:r>
        <w:rPr>
          <w:rFonts w:hint="eastAsia"/>
          <w:color w:val="auto"/>
          <w:szCs w:val="26"/>
          <w:highlight w:val="none"/>
          <w:lang w:bidi="ar"/>
        </w:rPr>
        <w:t>并</w:t>
      </w:r>
      <w:r>
        <w:rPr>
          <w:color w:val="auto"/>
          <w:szCs w:val="26"/>
          <w:highlight w:val="none"/>
          <w:lang w:bidi="ar"/>
        </w:rPr>
        <w:t>走访了沿线群众，了解野生动物的种类和变动情况</w:t>
      </w:r>
      <w:r>
        <w:rPr>
          <w:rFonts w:hint="eastAsia"/>
          <w:color w:val="auto"/>
          <w:szCs w:val="26"/>
          <w:highlight w:val="none"/>
          <w:lang w:bidi="ar"/>
        </w:rPr>
        <w:t>，以及重要</w:t>
      </w:r>
      <w:r>
        <w:rPr>
          <w:color w:val="auto"/>
          <w:szCs w:val="26"/>
          <w:highlight w:val="none"/>
          <w:lang w:bidi="ar"/>
        </w:rPr>
        <w:t>野生保护动物的</w:t>
      </w:r>
      <w:r>
        <w:rPr>
          <w:rFonts w:hint="eastAsia"/>
          <w:color w:val="auto"/>
          <w:szCs w:val="26"/>
          <w:highlight w:val="none"/>
          <w:lang w:bidi="ar"/>
        </w:rPr>
        <w:t>出没</w:t>
      </w:r>
      <w:r>
        <w:rPr>
          <w:color w:val="auto"/>
          <w:szCs w:val="26"/>
          <w:highlight w:val="none"/>
          <w:lang w:bidi="ar"/>
        </w:rPr>
        <w:t>情况。</w:t>
      </w:r>
      <w:r>
        <w:rPr>
          <w:rFonts w:hint="eastAsia"/>
          <w:color w:val="auto"/>
          <w:szCs w:val="26"/>
          <w:highlight w:val="none"/>
          <w:lang w:eastAsia="zh-CN" w:bidi="ar"/>
        </w:rPr>
        <w:t>项目共布置样线</w:t>
      </w:r>
      <w:r>
        <w:rPr>
          <w:rFonts w:hint="eastAsia"/>
          <w:color w:val="auto"/>
          <w:szCs w:val="26"/>
          <w:highlight w:val="none"/>
          <w:lang w:val="en-US" w:eastAsia="zh-CN" w:bidi="ar"/>
        </w:rPr>
        <w:t>9条，</w:t>
      </w:r>
      <w:r>
        <w:rPr>
          <w:rFonts w:hint="eastAsia"/>
          <w:color w:val="auto"/>
          <w:highlight w:val="none"/>
          <w:lang w:eastAsia="zh-CN"/>
        </w:rPr>
        <w:t>其中引用调查样线</w:t>
      </w:r>
      <w:r>
        <w:rPr>
          <w:rFonts w:hint="eastAsia"/>
          <w:color w:val="auto"/>
          <w:highlight w:val="none"/>
          <w:lang w:val="en-US" w:eastAsia="zh-CN"/>
        </w:rPr>
        <w:t>5条，本次补充调查样线4条。</w:t>
      </w:r>
      <w:r>
        <w:rPr>
          <w:rFonts w:hint="eastAsia"/>
          <w:color w:val="auto"/>
          <w:highlight w:val="none"/>
          <w:lang w:eastAsia="zh-CN"/>
        </w:rPr>
        <w:t>调查范围覆盖了船闸区域及弃渣场区域，涵盖了林地、耕地、水域、建设用地等多种生境类型，各生境类型样线调查数量不少于</w:t>
      </w:r>
      <w:r>
        <w:rPr>
          <w:rFonts w:hint="eastAsia"/>
          <w:color w:val="auto"/>
          <w:highlight w:val="none"/>
          <w:lang w:val="en-US" w:eastAsia="zh-CN"/>
        </w:rPr>
        <w:t>3条，满足导则要求，同时</w:t>
      </w:r>
      <w:r>
        <w:rPr>
          <w:rFonts w:hint="eastAsia"/>
          <w:color w:val="auto"/>
          <w:highlight w:val="none"/>
          <w:lang w:eastAsia="zh-CN"/>
        </w:rPr>
        <w:t>对生态保护红线、湿地公园内进行了重点调查，点位布设较为合理。</w:t>
      </w:r>
    </w:p>
    <w:p>
      <w:pPr>
        <w:autoSpaceDE w:val="0"/>
        <w:autoSpaceDN w:val="0"/>
        <w:adjustRightInd w:val="0"/>
        <w:snapToGrid w:val="0"/>
        <w:spacing w:line="240" w:lineRule="auto"/>
        <w:ind w:left="520" w:leftChars="200" w:firstLine="0" w:firstLineChars="0"/>
        <w:jc w:val="center"/>
        <w:textAlignment w:val="baseline"/>
        <w:rPr>
          <w:rFonts w:hint="eastAsia"/>
          <w:b w:val="0"/>
          <w:bCs/>
          <w:color w:val="auto"/>
          <w:highlight w:val="none"/>
        </w:rPr>
      </w:pPr>
    </w:p>
    <w:p>
      <w:pPr>
        <w:autoSpaceDE w:val="0"/>
        <w:autoSpaceDN w:val="0"/>
        <w:adjustRightInd w:val="0"/>
        <w:snapToGrid w:val="0"/>
        <w:spacing w:line="240" w:lineRule="auto"/>
        <w:ind w:left="520" w:leftChars="200" w:firstLine="0" w:firstLineChars="0"/>
        <w:jc w:val="center"/>
        <w:textAlignment w:val="baseline"/>
        <w:rPr>
          <w:rFonts w:hint="eastAsia"/>
          <w:b w:val="0"/>
          <w:bCs/>
          <w:color w:val="auto"/>
          <w:highlight w:val="none"/>
        </w:rPr>
      </w:pPr>
    </w:p>
    <w:p>
      <w:pPr>
        <w:autoSpaceDE w:val="0"/>
        <w:autoSpaceDN w:val="0"/>
        <w:adjustRightInd w:val="0"/>
        <w:snapToGrid w:val="0"/>
        <w:spacing w:line="240" w:lineRule="auto"/>
        <w:ind w:left="520" w:leftChars="200" w:firstLine="0" w:firstLineChars="0"/>
        <w:jc w:val="center"/>
        <w:textAlignment w:val="baseline"/>
        <w:rPr>
          <w:rFonts w:hint="eastAsia"/>
          <w:b w:val="0"/>
          <w:bCs/>
          <w:color w:val="auto"/>
          <w:highlight w:val="none"/>
        </w:rPr>
      </w:pPr>
    </w:p>
    <w:p>
      <w:pPr>
        <w:autoSpaceDE w:val="0"/>
        <w:autoSpaceDN w:val="0"/>
        <w:adjustRightInd w:val="0"/>
        <w:snapToGrid w:val="0"/>
        <w:spacing w:line="240" w:lineRule="auto"/>
        <w:ind w:left="520" w:leftChars="200" w:firstLine="0" w:firstLineChars="0"/>
        <w:jc w:val="center"/>
        <w:textAlignment w:val="baseline"/>
        <w:rPr>
          <w:rFonts w:hint="eastAsia"/>
          <w:b w:val="0"/>
          <w:bCs/>
          <w:color w:val="auto"/>
          <w:highlight w:val="none"/>
        </w:rPr>
      </w:pPr>
    </w:p>
    <w:p>
      <w:pPr>
        <w:autoSpaceDE w:val="0"/>
        <w:autoSpaceDN w:val="0"/>
        <w:adjustRightInd w:val="0"/>
        <w:snapToGrid w:val="0"/>
        <w:spacing w:line="240" w:lineRule="auto"/>
        <w:ind w:left="520" w:leftChars="200" w:firstLine="0" w:firstLineChars="0"/>
        <w:jc w:val="center"/>
        <w:textAlignment w:val="baseline"/>
        <w:rPr>
          <w:b w:val="0"/>
          <w:bCs/>
          <w:color w:val="auto"/>
          <w:highlight w:val="none"/>
        </w:rPr>
      </w:pPr>
      <w:r>
        <w:rPr>
          <w:rFonts w:hint="eastAsia"/>
          <w:b w:val="0"/>
          <w:bCs/>
          <w:color w:val="auto"/>
          <w:highlight w:val="none"/>
        </w:rPr>
        <w:t>表</w:t>
      </w:r>
      <w:r>
        <w:rPr>
          <w:rFonts w:hint="eastAsia"/>
          <w:b w:val="0"/>
          <w:bCs/>
          <w:color w:val="auto"/>
          <w:highlight w:val="none"/>
          <w:lang w:val="en-US" w:eastAsia="zh-CN"/>
        </w:rPr>
        <w:t xml:space="preserve">3.2.2-4  </w:t>
      </w:r>
      <w:r>
        <w:rPr>
          <w:rFonts w:hint="eastAsia"/>
          <w:b w:val="0"/>
          <w:bCs/>
          <w:color w:val="auto"/>
          <w:highlight w:val="none"/>
        </w:rPr>
        <w:t>评价区动物调查样线一览表</w:t>
      </w:r>
    </w:p>
    <w:tbl>
      <w:tblPr>
        <w:tblStyle w:val="28"/>
        <w:tblW w:w="4850" w:type="pct"/>
        <w:jc w:val="center"/>
        <w:tblLayout w:type="fixed"/>
        <w:tblCellMar>
          <w:top w:w="0" w:type="dxa"/>
          <w:left w:w="108" w:type="dxa"/>
          <w:bottom w:w="0" w:type="dxa"/>
          <w:right w:w="108" w:type="dxa"/>
        </w:tblCellMar>
      </w:tblPr>
      <w:tblGrid>
        <w:gridCol w:w="877"/>
        <w:gridCol w:w="880"/>
        <w:gridCol w:w="1288"/>
        <w:gridCol w:w="1165"/>
        <w:gridCol w:w="878"/>
        <w:gridCol w:w="1961"/>
        <w:gridCol w:w="747"/>
        <w:gridCol w:w="882"/>
      </w:tblGrid>
      <w:tr>
        <w:tblPrEx>
          <w:tblCellMar>
            <w:top w:w="0" w:type="dxa"/>
            <w:left w:w="108" w:type="dxa"/>
            <w:bottom w:w="0" w:type="dxa"/>
            <w:right w:w="108" w:type="dxa"/>
          </w:tblCellMar>
        </w:tblPrEx>
        <w:trPr>
          <w:jc w:val="center"/>
        </w:trPr>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编号</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起终点</w:t>
            </w:r>
          </w:p>
        </w:tc>
        <w:tc>
          <w:tcPr>
            <w:tcW w:w="245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经纬度（</w:t>
            </w:r>
            <w:r>
              <w:rPr>
                <w:color w:val="auto"/>
                <w:kern w:val="0"/>
                <w:sz w:val="22"/>
                <w:szCs w:val="22"/>
                <w:highlight w:val="none"/>
                <w:lang w:bidi="ar"/>
              </w:rPr>
              <w:t>°</w:t>
            </w:r>
            <w:r>
              <w:rPr>
                <w:rFonts w:hint="eastAsia"/>
                <w:color w:val="auto"/>
                <w:kern w:val="0"/>
                <w:sz w:val="22"/>
                <w:szCs w:val="22"/>
                <w:highlight w:val="none"/>
                <w:lang w:bidi="ar"/>
              </w:rPr>
              <w:t>）</w:t>
            </w:r>
          </w:p>
        </w:tc>
        <w:tc>
          <w:tcPr>
            <w:tcW w:w="8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长度</w:t>
            </w:r>
            <w:r>
              <w:rPr>
                <w:rFonts w:hint="eastAsia"/>
                <w:color w:val="auto"/>
                <w:kern w:val="0"/>
                <w:sz w:val="22"/>
                <w:szCs w:val="22"/>
                <w:highlight w:val="none"/>
                <w:lang w:eastAsia="zh-CN" w:bidi="ar"/>
              </w:rPr>
              <w:t>（</w:t>
            </w:r>
            <w:r>
              <w:rPr>
                <w:color w:val="auto"/>
                <w:kern w:val="0"/>
                <w:sz w:val="22"/>
                <w:szCs w:val="22"/>
                <w:highlight w:val="none"/>
                <w:lang w:bidi="ar"/>
              </w:rPr>
              <w:t>km</w:t>
            </w:r>
            <w:r>
              <w:rPr>
                <w:rFonts w:hint="eastAsia"/>
                <w:color w:val="auto"/>
                <w:kern w:val="0"/>
                <w:sz w:val="22"/>
                <w:szCs w:val="22"/>
                <w:highlight w:val="none"/>
                <w:lang w:bidi="ar"/>
              </w:rPr>
              <w:t>）</w:t>
            </w:r>
          </w:p>
        </w:tc>
        <w:tc>
          <w:tcPr>
            <w:tcW w:w="196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生境类型</w:t>
            </w:r>
          </w:p>
        </w:tc>
        <w:tc>
          <w:tcPr>
            <w:tcW w:w="7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eastAsia="宋体"/>
                <w:color w:val="auto"/>
                <w:kern w:val="0"/>
                <w:sz w:val="22"/>
                <w:szCs w:val="22"/>
                <w:highlight w:val="none"/>
                <w:lang w:eastAsia="zh-CN" w:bidi="ar"/>
              </w:rPr>
            </w:pPr>
            <w:r>
              <w:rPr>
                <w:rFonts w:hint="eastAsia"/>
                <w:color w:val="auto"/>
                <w:kern w:val="0"/>
                <w:sz w:val="22"/>
                <w:szCs w:val="22"/>
                <w:highlight w:val="none"/>
                <w:lang w:eastAsia="zh-CN" w:bidi="ar"/>
              </w:rPr>
              <w:t>所在区域</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备注</w:t>
            </w:r>
          </w:p>
        </w:tc>
      </w:tr>
      <w:tr>
        <w:tblPrEx>
          <w:tblCellMar>
            <w:top w:w="0" w:type="dxa"/>
            <w:left w:w="108" w:type="dxa"/>
            <w:bottom w:w="0" w:type="dxa"/>
            <w:right w:w="108" w:type="dxa"/>
          </w:tblCellMar>
        </w:tblPrEx>
        <w:trPr>
          <w:jc w:val="center"/>
        </w:trPr>
        <w:tc>
          <w:tcPr>
            <w:tcW w:w="87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eastAsia="宋体"/>
                <w:color w:val="auto"/>
                <w:sz w:val="22"/>
                <w:szCs w:val="22"/>
                <w:highlight w:val="none"/>
                <w:lang w:eastAsia="zh-CN"/>
              </w:rPr>
            </w:pPr>
            <w:r>
              <w:rPr>
                <w:rFonts w:hint="eastAsia"/>
                <w:color w:val="auto"/>
                <w:kern w:val="0"/>
                <w:sz w:val="22"/>
                <w:szCs w:val="22"/>
                <w:highlight w:val="none"/>
                <w:lang w:bidi="ar"/>
              </w:rPr>
              <w:t>样线</w:t>
            </w:r>
            <w:r>
              <w:rPr>
                <w:rFonts w:hint="eastAsia"/>
                <w:color w:val="auto"/>
                <w:kern w:val="0"/>
                <w:sz w:val="22"/>
                <w:szCs w:val="22"/>
                <w:highlight w:val="none"/>
                <w:lang w:val="en-US" w:eastAsia="zh-CN" w:bidi="ar"/>
              </w:rPr>
              <w:t>1</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起点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87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color w:val="auto"/>
                <w:kern w:val="0"/>
                <w:sz w:val="22"/>
                <w:szCs w:val="22"/>
                <w:highlight w:val="none"/>
                <w:lang w:bidi="ar"/>
              </w:rPr>
              <w:t>0.86</w:t>
            </w:r>
          </w:p>
        </w:tc>
        <w:tc>
          <w:tcPr>
            <w:tcW w:w="1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乔木林、灌木林、</w:t>
            </w:r>
            <w:r>
              <w:rPr>
                <w:rFonts w:hint="eastAsia"/>
                <w:color w:val="auto"/>
                <w:kern w:val="0"/>
                <w:sz w:val="22"/>
                <w:szCs w:val="22"/>
                <w:highlight w:val="none"/>
                <w:lang w:eastAsia="zh-CN" w:bidi="ar"/>
              </w:rPr>
              <w:t>水域、</w:t>
            </w:r>
            <w:r>
              <w:rPr>
                <w:rFonts w:hint="eastAsia"/>
                <w:color w:val="auto"/>
                <w:kern w:val="0"/>
                <w:sz w:val="22"/>
                <w:szCs w:val="22"/>
                <w:highlight w:val="none"/>
                <w:lang w:bidi="ar"/>
              </w:rPr>
              <w:t>居住点等</w:t>
            </w:r>
          </w:p>
        </w:tc>
        <w:tc>
          <w:tcPr>
            <w:tcW w:w="747" w:type="dxa"/>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eastAsia="宋体"/>
                <w:color w:val="auto"/>
                <w:kern w:val="0"/>
                <w:sz w:val="22"/>
                <w:szCs w:val="22"/>
                <w:highlight w:val="none"/>
                <w:lang w:eastAsia="zh-CN" w:bidi="ar"/>
              </w:rPr>
            </w:pPr>
            <w:r>
              <w:rPr>
                <w:rFonts w:hint="eastAsia"/>
                <w:color w:val="auto"/>
                <w:kern w:val="0"/>
                <w:sz w:val="22"/>
                <w:szCs w:val="22"/>
                <w:highlight w:val="none"/>
                <w:lang w:eastAsia="zh-CN" w:bidi="ar"/>
              </w:rPr>
              <w:t>船闸区域</w:t>
            </w:r>
          </w:p>
        </w:tc>
        <w:tc>
          <w:tcPr>
            <w:tcW w:w="882" w:type="dxa"/>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eastAsia="宋体"/>
                <w:color w:val="auto"/>
                <w:sz w:val="22"/>
                <w:szCs w:val="22"/>
                <w:highlight w:val="none"/>
                <w:lang w:eastAsia="zh-CN"/>
              </w:rPr>
            </w:pPr>
            <w:r>
              <w:rPr>
                <w:rFonts w:hint="eastAsia"/>
                <w:color w:val="auto"/>
                <w:sz w:val="22"/>
                <w:szCs w:val="22"/>
                <w:highlight w:val="none"/>
                <w:lang w:eastAsia="zh-CN"/>
              </w:rPr>
              <w:t>引用涪江重庆段航道整治工程调查数据</w:t>
            </w:r>
          </w:p>
        </w:tc>
      </w:tr>
      <w:tr>
        <w:tblPrEx>
          <w:tblCellMar>
            <w:top w:w="0" w:type="dxa"/>
            <w:left w:w="108" w:type="dxa"/>
            <w:bottom w:w="0" w:type="dxa"/>
            <w:right w:w="108" w:type="dxa"/>
          </w:tblCellMar>
        </w:tblPrEx>
        <w:trPr>
          <w:jc w:val="center"/>
        </w:trPr>
        <w:tc>
          <w:tcPr>
            <w:tcW w:w="87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终点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8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1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747"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2"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87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eastAsia="宋体"/>
                <w:color w:val="auto"/>
                <w:sz w:val="22"/>
                <w:szCs w:val="22"/>
                <w:highlight w:val="none"/>
                <w:lang w:eastAsia="zh-CN"/>
              </w:rPr>
            </w:pPr>
            <w:r>
              <w:rPr>
                <w:rFonts w:hint="eastAsia"/>
                <w:color w:val="auto"/>
                <w:kern w:val="0"/>
                <w:sz w:val="22"/>
                <w:szCs w:val="22"/>
                <w:highlight w:val="none"/>
                <w:lang w:bidi="ar"/>
              </w:rPr>
              <w:t>样线</w:t>
            </w:r>
            <w:r>
              <w:rPr>
                <w:rFonts w:hint="eastAsia"/>
                <w:color w:val="auto"/>
                <w:kern w:val="0"/>
                <w:sz w:val="22"/>
                <w:szCs w:val="22"/>
                <w:highlight w:val="none"/>
                <w:lang w:val="en-US" w:eastAsia="zh-CN" w:bidi="ar"/>
              </w:rPr>
              <w:t>2</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起点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87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color w:val="auto"/>
                <w:kern w:val="0"/>
                <w:sz w:val="22"/>
                <w:szCs w:val="22"/>
                <w:highlight w:val="none"/>
                <w:lang w:bidi="ar"/>
              </w:rPr>
              <w:t>1.16</w:t>
            </w:r>
          </w:p>
        </w:tc>
        <w:tc>
          <w:tcPr>
            <w:tcW w:w="1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灌木林、农田、居住点等</w:t>
            </w:r>
          </w:p>
        </w:tc>
        <w:tc>
          <w:tcPr>
            <w:tcW w:w="747"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color w:val="auto"/>
                <w:kern w:val="0"/>
                <w:sz w:val="22"/>
                <w:szCs w:val="22"/>
                <w:highlight w:val="none"/>
                <w:lang w:bidi="ar"/>
              </w:rPr>
            </w:pPr>
          </w:p>
        </w:tc>
        <w:tc>
          <w:tcPr>
            <w:tcW w:w="882"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87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终点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8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1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747"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2"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87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eastAsia="宋体"/>
                <w:color w:val="auto"/>
                <w:sz w:val="22"/>
                <w:szCs w:val="22"/>
                <w:highlight w:val="none"/>
                <w:lang w:eastAsia="zh-CN"/>
              </w:rPr>
            </w:pPr>
            <w:r>
              <w:rPr>
                <w:rFonts w:hint="eastAsia"/>
                <w:color w:val="auto"/>
                <w:kern w:val="0"/>
                <w:sz w:val="22"/>
                <w:szCs w:val="22"/>
                <w:highlight w:val="none"/>
                <w:lang w:bidi="ar"/>
              </w:rPr>
              <w:t>样线</w:t>
            </w:r>
            <w:r>
              <w:rPr>
                <w:rFonts w:hint="eastAsia"/>
                <w:color w:val="auto"/>
                <w:kern w:val="0"/>
                <w:sz w:val="22"/>
                <w:szCs w:val="22"/>
                <w:highlight w:val="none"/>
                <w:lang w:val="en-US" w:eastAsia="zh-CN" w:bidi="ar"/>
              </w:rPr>
              <w:t>3</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起点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87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color w:val="auto"/>
                <w:kern w:val="0"/>
                <w:sz w:val="22"/>
                <w:szCs w:val="22"/>
                <w:highlight w:val="none"/>
                <w:lang w:bidi="ar"/>
              </w:rPr>
              <w:t>0.41</w:t>
            </w:r>
          </w:p>
        </w:tc>
        <w:tc>
          <w:tcPr>
            <w:tcW w:w="1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灌木林、农田、</w:t>
            </w:r>
            <w:r>
              <w:rPr>
                <w:rFonts w:hint="eastAsia"/>
                <w:color w:val="auto"/>
                <w:kern w:val="0"/>
                <w:sz w:val="22"/>
                <w:szCs w:val="22"/>
                <w:highlight w:val="none"/>
                <w:lang w:eastAsia="zh-CN" w:bidi="ar"/>
              </w:rPr>
              <w:t>水域、</w:t>
            </w:r>
            <w:r>
              <w:rPr>
                <w:rFonts w:hint="eastAsia"/>
                <w:color w:val="auto"/>
                <w:kern w:val="0"/>
                <w:sz w:val="22"/>
                <w:szCs w:val="22"/>
                <w:highlight w:val="none"/>
                <w:lang w:bidi="ar"/>
              </w:rPr>
              <w:t>居住点等</w:t>
            </w:r>
          </w:p>
        </w:tc>
        <w:tc>
          <w:tcPr>
            <w:tcW w:w="747"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color w:val="auto"/>
                <w:kern w:val="0"/>
                <w:sz w:val="22"/>
                <w:szCs w:val="22"/>
                <w:highlight w:val="none"/>
                <w:lang w:bidi="ar"/>
              </w:rPr>
            </w:pPr>
          </w:p>
        </w:tc>
        <w:tc>
          <w:tcPr>
            <w:tcW w:w="882"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87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终点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8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1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747"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2"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87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eastAsia="宋体"/>
                <w:color w:val="auto"/>
                <w:sz w:val="22"/>
                <w:szCs w:val="22"/>
                <w:highlight w:val="none"/>
                <w:lang w:eastAsia="zh-CN"/>
              </w:rPr>
            </w:pPr>
            <w:r>
              <w:rPr>
                <w:rFonts w:hint="eastAsia"/>
                <w:color w:val="auto"/>
                <w:kern w:val="0"/>
                <w:sz w:val="22"/>
                <w:szCs w:val="22"/>
                <w:highlight w:val="none"/>
                <w:lang w:bidi="ar"/>
              </w:rPr>
              <w:t>样线</w:t>
            </w:r>
            <w:r>
              <w:rPr>
                <w:rFonts w:hint="eastAsia"/>
                <w:color w:val="auto"/>
                <w:kern w:val="0"/>
                <w:sz w:val="22"/>
                <w:szCs w:val="22"/>
                <w:highlight w:val="none"/>
                <w:lang w:val="en-US" w:eastAsia="zh-CN" w:bidi="ar"/>
              </w:rPr>
              <w:t>4</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起点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87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color w:val="auto"/>
                <w:kern w:val="0"/>
                <w:sz w:val="22"/>
                <w:szCs w:val="22"/>
                <w:highlight w:val="none"/>
                <w:lang w:bidi="ar"/>
              </w:rPr>
              <w:t>1.04</w:t>
            </w:r>
          </w:p>
        </w:tc>
        <w:tc>
          <w:tcPr>
            <w:tcW w:w="1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乔木林、灌木林、农田、</w:t>
            </w:r>
            <w:r>
              <w:rPr>
                <w:rFonts w:hint="eastAsia"/>
                <w:color w:val="auto"/>
                <w:kern w:val="0"/>
                <w:sz w:val="22"/>
                <w:szCs w:val="22"/>
                <w:highlight w:val="none"/>
                <w:lang w:eastAsia="zh-CN" w:bidi="ar"/>
              </w:rPr>
              <w:t>水域、</w:t>
            </w:r>
            <w:r>
              <w:rPr>
                <w:rFonts w:hint="eastAsia"/>
                <w:color w:val="auto"/>
                <w:kern w:val="0"/>
                <w:sz w:val="22"/>
                <w:szCs w:val="22"/>
                <w:highlight w:val="none"/>
                <w:lang w:bidi="ar"/>
              </w:rPr>
              <w:t>居住点等</w:t>
            </w:r>
          </w:p>
        </w:tc>
        <w:tc>
          <w:tcPr>
            <w:tcW w:w="747"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color w:val="auto"/>
                <w:kern w:val="0"/>
                <w:sz w:val="22"/>
                <w:szCs w:val="22"/>
                <w:highlight w:val="none"/>
                <w:lang w:bidi="ar"/>
              </w:rPr>
            </w:pPr>
          </w:p>
        </w:tc>
        <w:tc>
          <w:tcPr>
            <w:tcW w:w="882"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87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终点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8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1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747"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2"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87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eastAsia="宋体"/>
                <w:color w:val="auto"/>
                <w:sz w:val="22"/>
                <w:szCs w:val="22"/>
                <w:highlight w:val="none"/>
                <w:lang w:eastAsia="zh-CN"/>
              </w:rPr>
            </w:pPr>
            <w:r>
              <w:rPr>
                <w:rFonts w:hint="eastAsia"/>
                <w:color w:val="auto"/>
                <w:kern w:val="0"/>
                <w:sz w:val="22"/>
                <w:szCs w:val="22"/>
                <w:highlight w:val="none"/>
                <w:lang w:bidi="ar"/>
              </w:rPr>
              <w:t>样线</w:t>
            </w:r>
            <w:r>
              <w:rPr>
                <w:rFonts w:hint="eastAsia"/>
                <w:color w:val="auto"/>
                <w:kern w:val="0"/>
                <w:sz w:val="22"/>
                <w:szCs w:val="22"/>
                <w:highlight w:val="none"/>
                <w:lang w:val="en-US" w:eastAsia="zh-CN" w:bidi="ar"/>
              </w:rPr>
              <w:t>5</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起点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87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color w:val="auto"/>
                <w:kern w:val="0"/>
                <w:sz w:val="22"/>
                <w:szCs w:val="22"/>
                <w:highlight w:val="none"/>
                <w:lang w:bidi="ar"/>
              </w:rPr>
              <w:t>1.95</w:t>
            </w:r>
          </w:p>
        </w:tc>
        <w:tc>
          <w:tcPr>
            <w:tcW w:w="1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乔木林、灌木林、草丛、农田、</w:t>
            </w:r>
            <w:r>
              <w:rPr>
                <w:rFonts w:hint="eastAsia"/>
                <w:color w:val="auto"/>
                <w:kern w:val="0"/>
                <w:sz w:val="22"/>
                <w:szCs w:val="22"/>
                <w:highlight w:val="none"/>
                <w:lang w:eastAsia="zh-CN" w:bidi="ar"/>
              </w:rPr>
              <w:t>水域、</w:t>
            </w:r>
            <w:r>
              <w:rPr>
                <w:rFonts w:hint="eastAsia"/>
                <w:color w:val="auto"/>
                <w:kern w:val="0"/>
                <w:sz w:val="22"/>
                <w:szCs w:val="22"/>
                <w:highlight w:val="none"/>
                <w:lang w:bidi="ar"/>
              </w:rPr>
              <w:t>居住点等</w:t>
            </w:r>
          </w:p>
        </w:tc>
        <w:tc>
          <w:tcPr>
            <w:tcW w:w="747"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color w:val="auto"/>
                <w:kern w:val="0"/>
                <w:sz w:val="22"/>
                <w:szCs w:val="22"/>
                <w:highlight w:val="none"/>
                <w:lang w:bidi="ar"/>
              </w:rPr>
            </w:pPr>
          </w:p>
        </w:tc>
        <w:tc>
          <w:tcPr>
            <w:tcW w:w="882"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87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bidi="ar"/>
              </w:rPr>
              <w:t>终点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2"/>
                <w:szCs w:val="22"/>
                <w:highlight w:val="none"/>
              </w:rPr>
            </w:pPr>
            <w:r>
              <w:rPr>
                <w:rFonts w:hint="eastAsia"/>
                <w:color w:val="auto"/>
                <w:kern w:val="0"/>
                <w:sz w:val="22"/>
                <w:szCs w:val="22"/>
                <w:highlight w:val="none"/>
                <w:lang w:val="en-US" w:eastAsia="zh-CN" w:bidi="ar"/>
              </w:rPr>
              <w:t>***</w:t>
            </w:r>
          </w:p>
        </w:tc>
        <w:tc>
          <w:tcPr>
            <w:tcW w:w="8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1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747"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2" w:type="dxa"/>
            <w:vMerge w:val="continue"/>
            <w:tcBorders>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877" w:type="dxa"/>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bidi="ar"/>
              </w:rPr>
              <w:t>样线</w:t>
            </w:r>
            <w:r>
              <w:rPr>
                <w:rFonts w:hint="eastAsia"/>
                <w:color w:val="auto"/>
                <w:kern w:val="0"/>
                <w:sz w:val="22"/>
                <w:szCs w:val="22"/>
                <w:highlight w:val="none"/>
                <w:lang w:val="en-US" w:eastAsia="zh-CN" w:bidi="ar"/>
              </w:rPr>
              <w:t>6</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bidi="ar"/>
              </w:rPr>
              <w:t>起点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val="en-US" w:eastAsia="zh-CN" w:bidi="ar"/>
              </w:rPr>
              <w:t>***</w:t>
            </w:r>
          </w:p>
        </w:tc>
        <w:tc>
          <w:tcPr>
            <w:tcW w:w="878" w:type="dxa"/>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1.01</w:t>
            </w:r>
          </w:p>
        </w:tc>
        <w:tc>
          <w:tcPr>
            <w:tcW w:w="1961" w:type="dxa"/>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r>
              <w:rPr>
                <w:rFonts w:hint="eastAsia"/>
                <w:color w:val="auto"/>
                <w:kern w:val="0"/>
                <w:sz w:val="22"/>
                <w:szCs w:val="22"/>
                <w:highlight w:val="none"/>
                <w:lang w:bidi="ar"/>
              </w:rPr>
              <w:t>乔木林、农田、</w:t>
            </w:r>
            <w:r>
              <w:rPr>
                <w:rFonts w:hint="eastAsia"/>
                <w:color w:val="auto"/>
                <w:kern w:val="0"/>
                <w:sz w:val="22"/>
                <w:szCs w:val="22"/>
                <w:highlight w:val="none"/>
                <w:lang w:eastAsia="zh-CN" w:bidi="ar"/>
              </w:rPr>
              <w:t>水域、</w:t>
            </w:r>
            <w:r>
              <w:rPr>
                <w:rFonts w:hint="eastAsia"/>
                <w:color w:val="auto"/>
                <w:kern w:val="0"/>
                <w:sz w:val="22"/>
                <w:szCs w:val="22"/>
                <w:highlight w:val="none"/>
                <w:lang w:bidi="ar"/>
              </w:rPr>
              <w:t>居住点等</w:t>
            </w:r>
          </w:p>
        </w:tc>
        <w:tc>
          <w:tcPr>
            <w:tcW w:w="747"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2" w:type="dxa"/>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本次补充调查</w:t>
            </w:r>
          </w:p>
        </w:tc>
      </w:tr>
      <w:tr>
        <w:tblPrEx>
          <w:tblCellMar>
            <w:top w:w="0" w:type="dxa"/>
            <w:left w:w="108" w:type="dxa"/>
            <w:bottom w:w="0" w:type="dxa"/>
            <w:right w:w="108" w:type="dxa"/>
          </w:tblCellMar>
        </w:tblPrEx>
        <w:trPr>
          <w:jc w:val="center"/>
        </w:trPr>
        <w:tc>
          <w:tcPr>
            <w:tcW w:w="877" w:type="dxa"/>
            <w:vMerge w:val="continue"/>
            <w:tcBorders>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bidi="ar"/>
              </w:rPr>
              <w:t>终点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val="en-US" w:eastAsia="zh-CN" w:bidi="ar"/>
              </w:rPr>
              <w:t>***</w:t>
            </w:r>
          </w:p>
        </w:tc>
        <w:tc>
          <w:tcPr>
            <w:tcW w:w="878" w:type="dxa"/>
            <w:vMerge w:val="continue"/>
            <w:tcBorders>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1961" w:type="dxa"/>
            <w:vMerge w:val="continue"/>
            <w:tcBorders>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747" w:type="dxa"/>
            <w:vMerge w:val="continue"/>
            <w:tcBorders>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2"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877" w:type="dxa"/>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bidi="ar"/>
              </w:rPr>
              <w:t>样线</w:t>
            </w:r>
            <w:r>
              <w:rPr>
                <w:rFonts w:hint="eastAsia"/>
                <w:color w:val="auto"/>
                <w:kern w:val="0"/>
                <w:sz w:val="22"/>
                <w:szCs w:val="22"/>
                <w:highlight w:val="none"/>
                <w:lang w:val="en-US" w:eastAsia="zh-CN" w:bidi="ar"/>
              </w:rPr>
              <w:t>7</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bidi="ar"/>
              </w:rPr>
              <w:t>起点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val="en-US" w:eastAsia="zh-CN" w:bidi="ar"/>
              </w:rPr>
              <w:t>***</w:t>
            </w:r>
          </w:p>
        </w:tc>
        <w:tc>
          <w:tcPr>
            <w:tcW w:w="878" w:type="dxa"/>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1.57</w:t>
            </w:r>
          </w:p>
        </w:tc>
        <w:tc>
          <w:tcPr>
            <w:tcW w:w="1961" w:type="dxa"/>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r>
              <w:rPr>
                <w:rFonts w:hint="eastAsia"/>
                <w:color w:val="auto"/>
                <w:kern w:val="0"/>
                <w:sz w:val="22"/>
                <w:szCs w:val="22"/>
                <w:highlight w:val="none"/>
                <w:lang w:bidi="ar"/>
              </w:rPr>
              <w:t>乔木林、灌木林、居住点等</w:t>
            </w:r>
          </w:p>
        </w:tc>
        <w:tc>
          <w:tcPr>
            <w:tcW w:w="747" w:type="dxa"/>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弃渣场区域</w:t>
            </w:r>
          </w:p>
        </w:tc>
        <w:tc>
          <w:tcPr>
            <w:tcW w:w="882"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877" w:type="dxa"/>
            <w:vMerge w:val="continue"/>
            <w:tcBorders>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bidi="ar"/>
              </w:rPr>
              <w:t>终点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val="en-US" w:eastAsia="zh-CN" w:bidi="ar"/>
              </w:rPr>
              <w:t>***</w:t>
            </w:r>
          </w:p>
        </w:tc>
        <w:tc>
          <w:tcPr>
            <w:tcW w:w="878" w:type="dxa"/>
            <w:vMerge w:val="continue"/>
            <w:tcBorders>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1961" w:type="dxa"/>
            <w:vMerge w:val="continue"/>
            <w:tcBorders>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747"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2"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877" w:type="dxa"/>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bidi="ar"/>
              </w:rPr>
              <w:t>样线</w:t>
            </w:r>
            <w:r>
              <w:rPr>
                <w:rFonts w:hint="eastAsia"/>
                <w:color w:val="auto"/>
                <w:kern w:val="0"/>
                <w:sz w:val="22"/>
                <w:szCs w:val="22"/>
                <w:highlight w:val="none"/>
                <w:lang w:val="en-US" w:eastAsia="zh-CN" w:bidi="ar"/>
              </w:rPr>
              <w:t>8</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bidi="ar"/>
              </w:rPr>
              <w:t>起点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val="en-US" w:eastAsia="zh-CN" w:bidi="ar"/>
              </w:rPr>
              <w:t>***</w:t>
            </w:r>
          </w:p>
        </w:tc>
        <w:tc>
          <w:tcPr>
            <w:tcW w:w="878" w:type="dxa"/>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1.40</w:t>
            </w:r>
          </w:p>
        </w:tc>
        <w:tc>
          <w:tcPr>
            <w:tcW w:w="1961" w:type="dxa"/>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r>
              <w:rPr>
                <w:rFonts w:hint="eastAsia"/>
                <w:color w:val="auto"/>
                <w:kern w:val="0"/>
                <w:sz w:val="22"/>
                <w:szCs w:val="22"/>
                <w:highlight w:val="none"/>
                <w:lang w:bidi="ar"/>
              </w:rPr>
              <w:t>乔木林、灌木林、</w:t>
            </w:r>
            <w:r>
              <w:rPr>
                <w:rFonts w:hint="eastAsia"/>
                <w:color w:val="auto"/>
                <w:kern w:val="0"/>
                <w:sz w:val="22"/>
                <w:szCs w:val="22"/>
                <w:highlight w:val="none"/>
                <w:lang w:eastAsia="zh-CN" w:bidi="ar"/>
              </w:rPr>
              <w:t>草</w:t>
            </w:r>
            <w:r>
              <w:rPr>
                <w:rFonts w:hint="eastAsia"/>
                <w:color w:val="auto"/>
                <w:kern w:val="0"/>
                <w:sz w:val="22"/>
                <w:szCs w:val="22"/>
                <w:highlight w:val="none"/>
                <w:lang w:bidi="ar"/>
              </w:rPr>
              <w:t>丛</w:t>
            </w:r>
            <w:r>
              <w:rPr>
                <w:rFonts w:hint="eastAsia"/>
                <w:color w:val="auto"/>
                <w:kern w:val="0"/>
                <w:sz w:val="22"/>
                <w:szCs w:val="22"/>
                <w:highlight w:val="none"/>
                <w:lang w:eastAsia="zh-CN" w:bidi="ar"/>
              </w:rPr>
              <w:t>、</w:t>
            </w:r>
            <w:r>
              <w:rPr>
                <w:rFonts w:hint="eastAsia"/>
                <w:color w:val="auto"/>
                <w:kern w:val="0"/>
                <w:sz w:val="22"/>
                <w:szCs w:val="22"/>
                <w:highlight w:val="none"/>
                <w:lang w:bidi="ar"/>
              </w:rPr>
              <w:t>居住点等</w:t>
            </w:r>
          </w:p>
        </w:tc>
        <w:tc>
          <w:tcPr>
            <w:tcW w:w="747"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2"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877" w:type="dxa"/>
            <w:vMerge w:val="continue"/>
            <w:tcBorders>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bidi="ar"/>
              </w:rPr>
              <w:t>终点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val="en-US" w:eastAsia="zh-CN" w:bidi="ar"/>
              </w:rPr>
              <w:t>***</w:t>
            </w:r>
          </w:p>
        </w:tc>
        <w:tc>
          <w:tcPr>
            <w:tcW w:w="878" w:type="dxa"/>
            <w:vMerge w:val="continue"/>
            <w:tcBorders>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1961" w:type="dxa"/>
            <w:vMerge w:val="continue"/>
            <w:tcBorders>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747"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2"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877" w:type="dxa"/>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bidi="ar"/>
              </w:rPr>
              <w:t>样线</w:t>
            </w:r>
            <w:r>
              <w:rPr>
                <w:rFonts w:hint="eastAsia"/>
                <w:color w:val="auto"/>
                <w:kern w:val="0"/>
                <w:sz w:val="22"/>
                <w:szCs w:val="22"/>
                <w:highlight w:val="none"/>
                <w:lang w:val="en-US" w:eastAsia="zh-CN" w:bidi="ar"/>
              </w:rPr>
              <w:t>9</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bidi="ar"/>
              </w:rPr>
              <w:t>起点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val="en-US" w:eastAsia="zh-CN" w:bidi="ar"/>
              </w:rPr>
              <w:t>***</w:t>
            </w:r>
          </w:p>
        </w:tc>
        <w:tc>
          <w:tcPr>
            <w:tcW w:w="878" w:type="dxa"/>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1.30</w:t>
            </w:r>
          </w:p>
        </w:tc>
        <w:tc>
          <w:tcPr>
            <w:tcW w:w="1961" w:type="dxa"/>
            <w:vMerge w:val="restart"/>
            <w:tcBorders>
              <w:top w:val="single" w:color="000000" w:sz="4" w:space="0"/>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r>
              <w:rPr>
                <w:rFonts w:hint="eastAsia"/>
                <w:color w:val="auto"/>
                <w:kern w:val="0"/>
                <w:sz w:val="22"/>
                <w:szCs w:val="22"/>
                <w:highlight w:val="none"/>
                <w:lang w:bidi="ar"/>
              </w:rPr>
              <w:t>乔木林、灌木林、</w:t>
            </w:r>
            <w:r>
              <w:rPr>
                <w:rFonts w:hint="eastAsia"/>
                <w:color w:val="auto"/>
                <w:kern w:val="0"/>
                <w:sz w:val="22"/>
                <w:szCs w:val="22"/>
                <w:highlight w:val="none"/>
                <w:lang w:eastAsia="zh-CN" w:bidi="ar"/>
              </w:rPr>
              <w:t>草</w:t>
            </w:r>
            <w:r>
              <w:rPr>
                <w:rFonts w:hint="eastAsia"/>
                <w:color w:val="auto"/>
                <w:kern w:val="0"/>
                <w:sz w:val="22"/>
                <w:szCs w:val="22"/>
                <w:highlight w:val="none"/>
                <w:lang w:bidi="ar"/>
              </w:rPr>
              <w:t>丛</w:t>
            </w:r>
            <w:r>
              <w:rPr>
                <w:rFonts w:hint="eastAsia"/>
                <w:color w:val="auto"/>
                <w:kern w:val="0"/>
                <w:sz w:val="22"/>
                <w:szCs w:val="22"/>
                <w:highlight w:val="none"/>
                <w:lang w:eastAsia="zh-CN" w:bidi="ar"/>
              </w:rPr>
              <w:t>、</w:t>
            </w:r>
            <w:r>
              <w:rPr>
                <w:rFonts w:hint="eastAsia"/>
                <w:color w:val="auto"/>
                <w:kern w:val="0"/>
                <w:sz w:val="22"/>
                <w:szCs w:val="22"/>
                <w:highlight w:val="none"/>
                <w:lang w:bidi="ar"/>
              </w:rPr>
              <w:t>居住点等</w:t>
            </w:r>
          </w:p>
        </w:tc>
        <w:tc>
          <w:tcPr>
            <w:tcW w:w="747"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2" w:type="dxa"/>
            <w:vMerge w:val="continue"/>
            <w:tcBorders>
              <w:left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r>
      <w:tr>
        <w:tblPrEx>
          <w:tblCellMar>
            <w:top w:w="0" w:type="dxa"/>
            <w:left w:w="108" w:type="dxa"/>
            <w:bottom w:w="0" w:type="dxa"/>
            <w:right w:w="108" w:type="dxa"/>
          </w:tblCellMar>
        </w:tblPrEx>
        <w:trPr>
          <w:jc w:val="center"/>
        </w:trPr>
        <w:tc>
          <w:tcPr>
            <w:tcW w:w="877" w:type="dxa"/>
            <w:vMerge w:val="continue"/>
            <w:tcBorders>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bidi="ar"/>
              </w:rPr>
              <w:t>终点</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val="en-US" w:eastAsia="zh-CN" w:bidi="ar"/>
              </w:rPr>
              <w:t>***</w:t>
            </w:r>
          </w:p>
        </w:tc>
        <w:tc>
          <w:tcPr>
            <w:tcW w:w="11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2"/>
                <w:szCs w:val="22"/>
                <w:highlight w:val="none"/>
                <w:lang w:val="en-US" w:eastAsia="zh-CN" w:bidi="ar-SA"/>
              </w:rPr>
            </w:pPr>
            <w:r>
              <w:rPr>
                <w:rFonts w:hint="eastAsia"/>
                <w:color w:val="auto"/>
                <w:kern w:val="0"/>
                <w:sz w:val="22"/>
                <w:szCs w:val="22"/>
                <w:highlight w:val="none"/>
                <w:lang w:val="en-US" w:eastAsia="zh-CN" w:bidi="ar"/>
              </w:rPr>
              <w:t>***</w:t>
            </w:r>
          </w:p>
        </w:tc>
        <w:tc>
          <w:tcPr>
            <w:tcW w:w="878" w:type="dxa"/>
            <w:vMerge w:val="continue"/>
            <w:tcBorders>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1961" w:type="dxa"/>
            <w:vMerge w:val="continue"/>
            <w:tcBorders>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747" w:type="dxa"/>
            <w:vMerge w:val="continue"/>
            <w:tcBorders>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c>
          <w:tcPr>
            <w:tcW w:w="882" w:type="dxa"/>
            <w:vMerge w:val="continue"/>
            <w:tcBorders>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uto"/>
              <w:ind w:firstLine="0" w:firstLineChars="0"/>
              <w:jc w:val="center"/>
              <w:rPr>
                <w:color w:val="auto"/>
                <w:sz w:val="22"/>
                <w:szCs w:val="22"/>
                <w:highlight w:val="none"/>
              </w:rPr>
            </w:pPr>
          </w:p>
        </w:tc>
      </w:tr>
    </w:tbl>
    <w:p>
      <w:pPr>
        <w:spacing w:line="240" w:lineRule="auto"/>
        <w:rPr>
          <w:color w:val="auto"/>
          <w:highlight w:val="none"/>
        </w:rPr>
      </w:pP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24"/>
        <w:gridCol w:w="1"/>
        <w:gridCol w:w="10"/>
        <w:gridCol w:w="4315"/>
        <w:gridCol w:w="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283" w:hRule="atLeast"/>
          <w:jc w:val="center"/>
        </w:trPr>
        <w:tc>
          <w:tcPr>
            <w:tcW w:w="4324"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eastAsia="宋体"/>
                <w:b w:val="0"/>
                <w:bCs/>
                <w:color w:val="auto"/>
                <w:kern w:val="0"/>
                <w:sz w:val="22"/>
                <w:szCs w:val="22"/>
                <w:highlight w:val="none"/>
                <w:lang w:eastAsia="zh-CN"/>
              </w:rPr>
            </w:pPr>
            <w:r>
              <w:rPr>
                <w:rFonts w:hint="eastAsia" w:eastAsia="宋体"/>
                <w:b w:val="0"/>
                <w:bCs/>
                <w:color w:val="auto"/>
                <w:kern w:val="0"/>
                <w:sz w:val="22"/>
                <w:szCs w:val="22"/>
                <w:highlight w:val="none"/>
                <w:lang w:eastAsia="zh-CN"/>
              </w:rPr>
              <w:drawing>
                <wp:inline distT="0" distB="0" distL="114300" distR="114300">
                  <wp:extent cx="2663825" cy="1826260"/>
                  <wp:effectExtent l="0" t="0" r="3175" b="2540"/>
                  <wp:docPr id="60" name="图片 60" descr="IMG_7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7831"/>
                          <pic:cNvPicPr>
                            <a:picLocks noChangeAspect="1"/>
                          </pic:cNvPicPr>
                        </pic:nvPicPr>
                        <pic:blipFill>
                          <a:blip r:embed="rId54"/>
                          <a:srcRect t="26241" b="17200"/>
                          <a:stretch>
                            <a:fillRect/>
                          </a:stretch>
                        </pic:blipFill>
                        <pic:spPr>
                          <a:xfrm>
                            <a:off x="0" y="0"/>
                            <a:ext cx="2663825" cy="1826260"/>
                          </a:xfrm>
                          <a:prstGeom prst="rect">
                            <a:avLst/>
                          </a:prstGeom>
                        </pic:spPr>
                      </pic:pic>
                    </a:graphicData>
                  </a:graphic>
                </wp:inline>
              </w:drawing>
            </w:r>
          </w:p>
        </w:tc>
        <w:tc>
          <w:tcPr>
            <w:tcW w:w="4326"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eastAsia="宋体"/>
                <w:b w:val="0"/>
                <w:bCs/>
                <w:color w:val="auto"/>
                <w:kern w:val="0"/>
                <w:sz w:val="22"/>
                <w:szCs w:val="22"/>
                <w:highlight w:val="none"/>
                <w:lang w:eastAsia="zh-CN"/>
              </w:rPr>
            </w:pPr>
            <w:r>
              <w:rPr>
                <w:rFonts w:hint="eastAsia" w:eastAsia="宋体"/>
                <w:b w:val="0"/>
                <w:bCs/>
                <w:color w:val="auto"/>
                <w:kern w:val="0"/>
                <w:sz w:val="22"/>
                <w:szCs w:val="22"/>
                <w:highlight w:val="none"/>
                <w:lang w:eastAsia="zh-CN"/>
              </w:rPr>
              <w:drawing>
                <wp:inline distT="0" distB="0" distL="114300" distR="114300">
                  <wp:extent cx="2663825" cy="1823085"/>
                  <wp:effectExtent l="0" t="0" r="3175" b="5715"/>
                  <wp:docPr id="62" name="图片 62" descr="IMG_7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7747"/>
                          <pic:cNvPicPr>
                            <a:picLocks noChangeAspect="1"/>
                          </pic:cNvPicPr>
                        </pic:nvPicPr>
                        <pic:blipFill>
                          <a:blip r:embed="rId55"/>
                          <a:srcRect t="19721" b="28947"/>
                          <a:stretch>
                            <a:fillRect/>
                          </a:stretch>
                        </pic:blipFill>
                        <pic:spPr>
                          <a:xfrm>
                            <a:off x="0" y="0"/>
                            <a:ext cx="2663825" cy="18230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283" w:hRule="atLeast"/>
          <w:jc w:val="center"/>
        </w:trPr>
        <w:tc>
          <w:tcPr>
            <w:tcW w:w="4325"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eastAsia="宋体"/>
                <w:b w:val="0"/>
                <w:bCs/>
                <w:color w:val="auto"/>
                <w:kern w:val="0"/>
                <w:sz w:val="22"/>
                <w:szCs w:val="22"/>
                <w:highlight w:val="none"/>
                <w:lang w:eastAsia="zh-CN"/>
              </w:rPr>
            </w:pPr>
            <w:r>
              <w:rPr>
                <w:rFonts w:hint="eastAsia"/>
                <w:b w:val="0"/>
                <w:bCs/>
                <w:color w:val="auto"/>
                <w:kern w:val="0"/>
                <w:sz w:val="22"/>
                <w:szCs w:val="22"/>
                <w:highlight w:val="none"/>
                <w:lang w:eastAsia="zh-CN"/>
              </w:rPr>
              <w:t>白头鹎</w:t>
            </w:r>
          </w:p>
        </w:tc>
        <w:tc>
          <w:tcPr>
            <w:tcW w:w="4325"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b w:val="0"/>
                <w:bCs/>
                <w:color w:val="auto"/>
                <w:kern w:val="0"/>
                <w:sz w:val="22"/>
                <w:szCs w:val="22"/>
                <w:highlight w:val="none"/>
                <w:lang w:eastAsia="zh-CN"/>
              </w:rPr>
            </w:pPr>
            <w:r>
              <w:rPr>
                <w:rFonts w:hint="eastAsia"/>
                <w:b w:val="0"/>
                <w:bCs/>
                <w:color w:val="auto"/>
                <w:kern w:val="0"/>
                <w:sz w:val="22"/>
                <w:szCs w:val="22"/>
                <w:highlight w:val="none"/>
                <w:lang w:eastAsia="zh-CN"/>
              </w:rPr>
              <w:t>白鹡鸰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283" w:hRule="atLeast"/>
          <w:jc w:val="center"/>
        </w:trPr>
        <w:tc>
          <w:tcPr>
            <w:tcW w:w="4324"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b w:val="0"/>
                <w:bCs/>
                <w:color w:val="auto"/>
                <w:kern w:val="0"/>
                <w:sz w:val="22"/>
                <w:szCs w:val="22"/>
                <w:highlight w:val="none"/>
              </w:rPr>
            </w:pPr>
            <w:r>
              <w:rPr>
                <w:b w:val="0"/>
                <w:bCs/>
                <w:color w:val="auto"/>
                <w:kern w:val="0"/>
                <w:sz w:val="22"/>
                <w:szCs w:val="22"/>
                <w:highlight w:val="none"/>
              </w:rPr>
              <w:fldChar w:fldCharType="begin"/>
            </w:r>
            <w:r>
              <w:rPr>
                <w:b w:val="0"/>
                <w:bCs/>
                <w:color w:val="auto"/>
                <w:kern w:val="0"/>
                <w:sz w:val="22"/>
                <w:szCs w:val="22"/>
                <w:highlight w:val="none"/>
              </w:rPr>
              <w:instrText xml:space="preserve"> INCLUDEPICTURE "C:\\Users\\ADMINI~1\\AppData\\Local\\Temp\\ksohtml12524\\wps99.png" \* MERGEFORMATINET </w:instrText>
            </w:r>
            <w:r>
              <w:rPr>
                <w:b w:val="0"/>
                <w:bCs/>
                <w:color w:val="auto"/>
                <w:kern w:val="0"/>
                <w:sz w:val="22"/>
                <w:szCs w:val="22"/>
                <w:highlight w:val="none"/>
              </w:rPr>
              <w:fldChar w:fldCharType="separate"/>
            </w:r>
            <w:r>
              <w:rPr>
                <w:b w:val="0"/>
                <w:bCs/>
                <w:color w:val="auto"/>
                <w:kern w:val="0"/>
                <w:sz w:val="22"/>
                <w:szCs w:val="22"/>
                <w:highlight w:val="none"/>
              </w:rPr>
              <w:fldChar w:fldCharType="begin"/>
            </w:r>
            <w:r>
              <w:rPr>
                <w:b w:val="0"/>
                <w:bCs/>
                <w:color w:val="auto"/>
                <w:kern w:val="0"/>
                <w:sz w:val="22"/>
                <w:szCs w:val="22"/>
                <w:highlight w:val="none"/>
              </w:rPr>
              <w:instrText xml:space="preserve"> INCLUDEPICTURE  "C:\\Users\\ADMINI~1\\AppData\\Local\\Temp\\ksohtml12524\\wps99.png" \* MERGEFORMATINET </w:instrText>
            </w:r>
            <w:r>
              <w:rPr>
                <w:b w:val="0"/>
                <w:bCs/>
                <w:color w:val="auto"/>
                <w:kern w:val="0"/>
                <w:sz w:val="22"/>
                <w:szCs w:val="22"/>
                <w:highlight w:val="none"/>
              </w:rPr>
              <w:fldChar w:fldCharType="separate"/>
            </w:r>
            <w:r>
              <w:rPr>
                <w:b w:val="0"/>
                <w:bCs/>
                <w:color w:val="auto"/>
                <w:kern w:val="0"/>
                <w:sz w:val="22"/>
                <w:szCs w:val="22"/>
                <w:highlight w:val="none"/>
              </w:rPr>
              <w:fldChar w:fldCharType="begin"/>
            </w:r>
            <w:r>
              <w:rPr>
                <w:b w:val="0"/>
                <w:bCs/>
                <w:color w:val="auto"/>
                <w:kern w:val="0"/>
                <w:sz w:val="22"/>
                <w:szCs w:val="22"/>
                <w:highlight w:val="none"/>
              </w:rPr>
              <w:instrText xml:space="preserve"> INCLUDEPICTURE  "C:\\Users\\ADMINI~1\\AppData\\Local\\Temp\\ksohtml12524\\wps99.png" \* MERGEFORMATINET </w:instrText>
            </w:r>
            <w:r>
              <w:rPr>
                <w:b w:val="0"/>
                <w:bCs/>
                <w:color w:val="auto"/>
                <w:kern w:val="0"/>
                <w:sz w:val="22"/>
                <w:szCs w:val="22"/>
                <w:highlight w:val="none"/>
              </w:rPr>
              <w:fldChar w:fldCharType="separate"/>
            </w:r>
            <w:r>
              <w:rPr>
                <w:b w:val="0"/>
                <w:bCs/>
                <w:color w:val="auto"/>
                <w:kern w:val="0"/>
                <w:sz w:val="22"/>
                <w:szCs w:val="22"/>
                <w:highlight w:val="none"/>
              </w:rPr>
              <w:fldChar w:fldCharType="begin"/>
            </w:r>
            <w:r>
              <w:rPr>
                <w:b w:val="0"/>
                <w:bCs/>
                <w:color w:val="auto"/>
                <w:kern w:val="0"/>
                <w:sz w:val="22"/>
                <w:szCs w:val="22"/>
                <w:highlight w:val="none"/>
              </w:rPr>
              <w:instrText xml:space="preserve"> </w:instrText>
            </w:r>
            <w:r>
              <w:rPr>
                <w:rFonts w:hint="eastAsia"/>
                <w:b w:val="0"/>
                <w:bCs/>
                <w:color w:val="auto"/>
                <w:kern w:val="0"/>
                <w:sz w:val="22"/>
                <w:szCs w:val="22"/>
                <w:highlight w:val="none"/>
              </w:rPr>
              <w:instrText xml:space="preserve">INCLUDEPICTURE  "I:\\2024\\1-未完成项目\\ADMINI~1\\AppData\\Local\\Temp\\ksohtml12524\\wps99.png" \* MERGEFORMATINET</w:instrText>
            </w:r>
            <w:r>
              <w:rPr>
                <w:b w:val="0"/>
                <w:bCs/>
                <w:color w:val="auto"/>
                <w:kern w:val="0"/>
                <w:sz w:val="22"/>
                <w:szCs w:val="22"/>
                <w:highlight w:val="none"/>
              </w:rPr>
              <w:instrText xml:space="preserve"> </w:instrText>
            </w:r>
            <w:r>
              <w:rPr>
                <w:b w:val="0"/>
                <w:bCs/>
                <w:color w:val="auto"/>
                <w:kern w:val="0"/>
                <w:sz w:val="22"/>
                <w:szCs w:val="22"/>
                <w:highlight w:val="none"/>
              </w:rPr>
              <w:fldChar w:fldCharType="separate"/>
            </w:r>
            <w:r>
              <w:rPr>
                <w:b w:val="0"/>
                <w:bCs/>
                <w:color w:val="auto"/>
                <w:kern w:val="0"/>
                <w:sz w:val="22"/>
                <w:szCs w:val="22"/>
                <w:highlight w:val="none"/>
              </w:rPr>
              <w:drawing>
                <wp:inline distT="0" distB="0" distL="114300" distR="114300">
                  <wp:extent cx="2663825" cy="1813560"/>
                  <wp:effectExtent l="0" t="0" r="3175" b="15240"/>
                  <wp:docPr id="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
                          <pic:cNvPicPr>
                            <a:picLocks noChangeAspect="1"/>
                          </pic:cNvPicPr>
                        </pic:nvPicPr>
                        <pic:blipFill>
                          <a:blip r:embed="rId56" r:link="rId57"/>
                          <a:srcRect l="21295" t="20568" r="24719" b="33719"/>
                          <a:stretch>
                            <a:fillRect/>
                          </a:stretch>
                        </pic:blipFill>
                        <pic:spPr>
                          <a:xfrm>
                            <a:off x="0" y="0"/>
                            <a:ext cx="2663825" cy="1813560"/>
                          </a:xfrm>
                          <a:prstGeom prst="rect">
                            <a:avLst/>
                          </a:prstGeom>
                          <a:noFill/>
                          <a:ln>
                            <a:noFill/>
                          </a:ln>
                        </pic:spPr>
                      </pic:pic>
                    </a:graphicData>
                  </a:graphic>
                </wp:inline>
              </w:drawing>
            </w:r>
            <w:r>
              <w:rPr>
                <w:b w:val="0"/>
                <w:bCs/>
                <w:color w:val="auto"/>
                <w:kern w:val="0"/>
                <w:sz w:val="22"/>
                <w:szCs w:val="22"/>
                <w:highlight w:val="none"/>
              </w:rPr>
              <w:fldChar w:fldCharType="end"/>
            </w:r>
            <w:r>
              <w:rPr>
                <w:b w:val="0"/>
                <w:bCs/>
                <w:color w:val="auto"/>
                <w:kern w:val="0"/>
                <w:sz w:val="22"/>
                <w:szCs w:val="22"/>
                <w:highlight w:val="none"/>
              </w:rPr>
              <w:fldChar w:fldCharType="end"/>
            </w:r>
            <w:r>
              <w:rPr>
                <w:b w:val="0"/>
                <w:bCs/>
                <w:color w:val="auto"/>
                <w:kern w:val="0"/>
                <w:sz w:val="22"/>
                <w:szCs w:val="22"/>
                <w:highlight w:val="none"/>
              </w:rPr>
              <w:fldChar w:fldCharType="end"/>
            </w:r>
            <w:r>
              <w:rPr>
                <w:b w:val="0"/>
                <w:bCs/>
                <w:color w:val="auto"/>
                <w:kern w:val="0"/>
                <w:sz w:val="22"/>
                <w:szCs w:val="22"/>
                <w:highlight w:val="none"/>
              </w:rPr>
              <w:fldChar w:fldCharType="end"/>
            </w:r>
          </w:p>
        </w:tc>
        <w:tc>
          <w:tcPr>
            <w:tcW w:w="4326"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b w:val="0"/>
                <w:bCs/>
                <w:color w:val="auto"/>
                <w:kern w:val="0"/>
                <w:sz w:val="22"/>
                <w:szCs w:val="22"/>
                <w:highlight w:val="none"/>
              </w:rPr>
            </w:pPr>
            <w:r>
              <w:rPr>
                <w:b w:val="0"/>
                <w:bCs/>
                <w:color w:val="auto"/>
                <w:kern w:val="0"/>
                <w:sz w:val="22"/>
                <w:szCs w:val="22"/>
                <w:highlight w:val="none"/>
              </w:rPr>
              <w:drawing>
                <wp:inline distT="0" distB="0" distL="0" distR="0">
                  <wp:extent cx="2663825" cy="1798955"/>
                  <wp:effectExtent l="0" t="0" r="3175" b="10795"/>
                  <wp:docPr id="5039492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49252" name="图片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663825" cy="17989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283" w:hRule="atLeast"/>
          <w:jc w:val="center"/>
        </w:trPr>
        <w:tc>
          <w:tcPr>
            <w:tcW w:w="4325"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b w:val="0"/>
                <w:bCs/>
                <w:color w:val="auto"/>
                <w:kern w:val="0"/>
                <w:sz w:val="22"/>
                <w:szCs w:val="22"/>
                <w:highlight w:val="none"/>
              </w:rPr>
            </w:pPr>
            <w:r>
              <w:rPr>
                <w:rFonts w:hint="eastAsia" w:ascii="宋体" w:hAnsi="宋体"/>
                <w:b w:val="0"/>
                <w:bCs/>
                <w:color w:val="auto"/>
                <w:kern w:val="0"/>
                <w:sz w:val="22"/>
                <w:szCs w:val="22"/>
                <w:highlight w:val="none"/>
              </w:rPr>
              <w:t>白颊噪鹛</w:t>
            </w:r>
          </w:p>
        </w:tc>
        <w:tc>
          <w:tcPr>
            <w:tcW w:w="4325"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ascii="宋体" w:hAnsi="宋体"/>
                <w:b w:val="0"/>
                <w:bCs/>
                <w:color w:val="auto"/>
                <w:kern w:val="0"/>
                <w:sz w:val="22"/>
                <w:szCs w:val="22"/>
                <w:highlight w:val="none"/>
              </w:rPr>
            </w:pPr>
            <w:r>
              <w:rPr>
                <w:rFonts w:hint="eastAsia" w:ascii="宋体" w:hAnsi="宋体"/>
                <w:b w:val="0"/>
                <w:bCs/>
                <w:color w:val="auto"/>
                <w:kern w:val="0"/>
                <w:sz w:val="22"/>
                <w:szCs w:val="22"/>
                <w:highlight w:val="none"/>
              </w:rPr>
              <w:t>白鹭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35"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ascii="Times New Roman" w:hAnsi="Times New Roman" w:eastAsia="宋体" w:cs="Times New Roman"/>
                <w:b w:val="0"/>
                <w:bCs/>
                <w:color w:val="auto"/>
                <w:kern w:val="0"/>
                <w:sz w:val="22"/>
                <w:szCs w:val="20"/>
                <w:highlight w:val="none"/>
                <w:lang w:val="en-US" w:eastAsia="zh-CN" w:bidi="ar-SA"/>
              </w:rPr>
            </w:pPr>
            <w:r>
              <w:rPr>
                <w:rFonts w:hint="eastAsia"/>
                <w:b w:val="0"/>
                <w:bCs/>
                <w:color w:val="auto"/>
                <w:kern w:val="0"/>
                <w:sz w:val="22"/>
                <w:szCs w:val="20"/>
                <w:highlight w:val="none"/>
              </w:rPr>
              <w:drawing>
                <wp:inline distT="0" distB="0" distL="0" distR="0">
                  <wp:extent cx="2663825" cy="1813560"/>
                  <wp:effectExtent l="0" t="0" r="3175" b="1524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59" cstate="print">
                            <a:extLst>
                              <a:ext uri="{28A0092B-C50C-407E-A947-70E740481C1C}">
                                <a14:useLocalDpi xmlns:a14="http://schemas.microsoft.com/office/drawing/2010/main" val="0"/>
                              </a:ext>
                            </a:extLst>
                          </a:blip>
                          <a:srcRect l="26543" t="18132" r="26500" b="35145"/>
                          <a:stretch>
                            <a:fillRect/>
                          </a:stretch>
                        </pic:blipFill>
                        <pic:spPr>
                          <a:xfrm>
                            <a:off x="0" y="0"/>
                            <a:ext cx="2663825" cy="1813560"/>
                          </a:xfrm>
                          <a:prstGeom prst="rect">
                            <a:avLst/>
                          </a:prstGeom>
                          <a:noFill/>
                          <a:ln>
                            <a:noFill/>
                          </a:ln>
                        </pic:spPr>
                      </pic:pic>
                    </a:graphicData>
                  </a:graphic>
                </wp:inline>
              </w:drawing>
            </w:r>
          </w:p>
        </w:tc>
        <w:tc>
          <w:tcPr>
            <w:tcW w:w="4343"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b w:val="0"/>
                <w:bCs/>
                <w:color w:val="auto"/>
                <w:kern w:val="0"/>
                <w:sz w:val="22"/>
                <w:szCs w:val="22"/>
                <w:highlight w:val="none"/>
              </w:rPr>
            </w:pPr>
            <w:r>
              <w:rPr>
                <w:b w:val="0"/>
                <w:bCs/>
                <w:color w:val="auto"/>
                <w:sz w:val="22"/>
                <w:szCs w:val="22"/>
                <w:highlight w:val="none"/>
              </w:rPr>
              <w:drawing>
                <wp:inline distT="0" distB="0" distL="0" distR="0">
                  <wp:extent cx="2663825" cy="1816100"/>
                  <wp:effectExtent l="0" t="0" r="3175" b="12700"/>
                  <wp:docPr id="9031466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146676" name="图片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663825" cy="18161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35"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ascii="Times New Roman" w:hAnsi="Times New Roman" w:eastAsia="宋体" w:cs="Times New Roman"/>
                <w:b w:val="0"/>
                <w:bCs/>
                <w:color w:val="auto"/>
                <w:kern w:val="0"/>
                <w:sz w:val="22"/>
                <w:szCs w:val="20"/>
                <w:highlight w:val="none"/>
                <w:lang w:val="en-US" w:eastAsia="zh-CN" w:bidi="ar-SA"/>
              </w:rPr>
            </w:pPr>
            <w:r>
              <w:rPr>
                <w:rFonts w:hint="eastAsia"/>
                <w:b w:val="0"/>
                <w:bCs/>
                <w:color w:val="auto"/>
                <w:kern w:val="0"/>
                <w:sz w:val="22"/>
                <w:szCs w:val="20"/>
                <w:highlight w:val="none"/>
              </w:rPr>
              <w:t>树麻雀</w:t>
            </w:r>
          </w:p>
        </w:tc>
        <w:tc>
          <w:tcPr>
            <w:tcW w:w="4343"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b w:val="0"/>
                <w:bCs/>
                <w:color w:val="auto"/>
                <w:kern w:val="0"/>
                <w:sz w:val="22"/>
                <w:szCs w:val="22"/>
                <w:highlight w:val="none"/>
              </w:rPr>
            </w:pPr>
            <w:r>
              <w:rPr>
                <w:rFonts w:hint="eastAsia" w:ascii="宋体" w:hAnsi="宋体"/>
                <w:b w:val="0"/>
                <w:bCs/>
                <w:color w:val="auto"/>
                <w:sz w:val="22"/>
                <w:szCs w:val="22"/>
                <w:highlight w:val="none"/>
              </w:rPr>
              <w:t>普通鸬鹚</w:t>
            </w:r>
          </w:p>
        </w:tc>
      </w:tr>
    </w:tbl>
    <w:p>
      <w:pPr>
        <w:autoSpaceDE w:val="0"/>
        <w:autoSpaceDN w:val="0"/>
        <w:adjustRightInd w:val="0"/>
        <w:snapToGrid w:val="0"/>
        <w:spacing w:line="240" w:lineRule="auto"/>
        <w:ind w:firstLine="522"/>
        <w:jc w:val="center"/>
        <w:textAlignment w:val="baseline"/>
        <w:rPr>
          <w:b/>
          <w:bCs/>
          <w:color w:val="auto"/>
          <w:szCs w:val="28"/>
          <w:highlight w:val="none"/>
        </w:rPr>
      </w:pPr>
      <w:r>
        <w:rPr>
          <w:b/>
          <w:bCs/>
          <w:color w:val="auto"/>
          <w:szCs w:val="28"/>
          <w:highlight w:val="none"/>
        </w:rPr>
        <w:t>图</w:t>
      </w:r>
      <w:r>
        <w:rPr>
          <w:rFonts w:hint="eastAsia"/>
          <w:b/>
          <w:bCs/>
          <w:color w:val="auto"/>
          <w:szCs w:val="28"/>
          <w:highlight w:val="none"/>
          <w:lang w:val="en-US" w:eastAsia="zh-CN"/>
        </w:rPr>
        <w:t xml:space="preserve">3.2.2-2  </w:t>
      </w:r>
      <w:r>
        <w:rPr>
          <w:rFonts w:hint="eastAsia"/>
          <w:b/>
          <w:bCs/>
          <w:color w:val="auto"/>
          <w:szCs w:val="28"/>
          <w:highlight w:val="none"/>
        </w:rPr>
        <w:t>动物调查实拍</w:t>
      </w:r>
      <w:r>
        <w:rPr>
          <w:b/>
          <w:bCs/>
          <w:color w:val="auto"/>
          <w:szCs w:val="28"/>
          <w:highlight w:val="none"/>
        </w:rPr>
        <w:t>照片</w:t>
      </w:r>
    </w:p>
    <w:p>
      <w:pPr>
        <w:bidi w:val="0"/>
        <w:spacing w:line="240" w:lineRule="auto"/>
        <w:rPr>
          <w:rFonts w:hint="eastAsia"/>
          <w:color w:val="auto"/>
          <w:szCs w:val="26"/>
          <w:highlight w:val="none"/>
        </w:rPr>
      </w:pPr>
    </w:p>
    <w:p>
      <w:pPr>
        <w:bidi w:val="0"/>
        <w:rPr>
          <w:color w:val="auto"/>
          <w:szCs w:val="26"/>
          <w:highlight w:val="none"/>
        </w:rPr>
      </w:pPr>
      <w:r>
        <w:rPr>
          <w:rFonts w:hint="eastAsia"/>
          <w:color w:val="auto"/>
          <w:szCs w:val="26"/>
          <w:highlight w:val="none"/>
          <w:lang w:eastAsia="zh-CN"/>
        </w:rPr>
        <w:t>（</w:t>
      </w:r>
      <w:r>
        <w:rPr>
          <w:rFonts w:hint="eastAsia"/>
          <w:color w:val="auto"/>
          <w:szCs w:val="26"/>
          <w:highlight w:val="none"/>
          <w:lang w:val="en-US" w:eastAsia="zh-CN"/>
        </w:rPr>
        <w:t>2</w:t>
      </w:r>
      <w:r>
        <w:rPr>
          <w:rFonts w:hint="eastAsia"/>
          <w:color w:val="auto"/>
          <w:szCs w:val="26"/>
          <w:highlight w:val="none"/>
          <w:lang w:eastAsia="zh-CN"/>
        </w:rPr>
        <w:t>）</w:t>
      </w:r>
      <w:r>
        <w:rPr>
          <w:rFonts w:hint="eastAsia"/>
          <w:color w:val="auto"/>
          <w:szCs w:val="26"/>
          <w:highlight w:val="none"/>
        </w:rPr>
        <w:t>动物</w:t>
      </w:r>
      <w:r>
        <w:rPr>
          <w:color w:val="auto"/>
          <w:szCs w:val="26"/>
          <w:highlight w:val="none"/>
        </w:rPr>
        <w:t>地理区划</w:t>
      </w:r>
    </w:p>
    <w:p>
      <w:pPr>
        <w:ind w:firstLine="520"/>
        <w:rPr>
          <w:color w:val="auto"/>
          <w:szCs w:val="26"/>
          <w:highlight w:val="none"/>
        </w:rPr>
      </w:pPr>
      <w:r>
        <w:rPr>
          <w:rFonts w:hint="eastAsia"/>
          <w:color w:val="auto"/>
          <w:szCs w:val="26"/>
          <w:highlight w:val="none"/>
        </w:rPr>
        <w:t>根据《中国动物地理》（科学出版社，2011年），项目所在</w:t>
      </w:r>
      <w:r>
        <w:rPr>
          <w:color w:val="auto"/>
          <w:szCs w:val="26"/>
          <w:highlight w:val="none"/>
        </w:rPr>
        <w:t>区域</w:t>
      </w:r>
      <w:r>
        <w:rPr>
          <w:rFonts w:hint="eastAsia"/>
          <w:color w:val="auto"/>
          <w:szCs w:val="26"/>
          <w:highlight w:val="none"/>
        </w:rPr>
        <w:t>所处动物地理区划为华中区—西部山地高原亚区（VIB）— 四川盆地省—农田-亚热带林灌动物群（VIB</w:t>
      </w:r>
      <w:r>
        <w:rPr>
          <w:color w:val="auto"/>
          <w:szCs w:val="26"/>
          <w:highlight w:val="none"/>
          <w:vertAlign w:val="subscript"/>
        </w:rPr>
        <w:t>3</w:t>
      </w:r>
      <w:r>
        <w:rPr>
          <w:rFonts w:hint="eastAsia"/>
          <w:color w:val="auto"/>
          <w:szCs w:val="26"/>
          <w:highlight w:val="none"/>
        </w:rPr>
        <w:t>）所在区域。</w:t>
      </w:r>
    </w:p>
    <w:p>
      <w:pPr>
        <w:ind w:firstLine="520"/>
        <w:rPr>
          <w:color w:val="auto"/>
          <w:szCs w:val="26"/>
          <w:highlight w:val="none"/>
        </w:rPr>
      </w:pPr>
      <w:r>
        <w:rPr>
          <w:rFonts w:hint="eastAsia"/>
          <w:color w:val="auto"/>
          <w:szCs w:val="26"/>
          <w:highlight w:val="none"/>
        </w:rPr>
        <w:t>区域属川中丘陵地貌，地形以馒头状孤丘分布为主要特征。区内陆生脊椎动物分布较为明显，如耕地生境常见家燕、喜鹊、灰头鹀、北红尾鸲、珠颈斑鸠、黑线姬鼠、小家鼠、褐家鼠等，林地生境常见中华蟾蜍、斑腿泛树蛙、蓝尾石龙子、王锦蛇、噪鹃、大杜鹃、大山雀、黄鼬等，水域常见黑斑侧褶蛙、赤链蛇、小䴙䴘、赤麻鸭、绿头鸭、苍鹭、黑水鸡等。</w:t>
      </w:r>
    </w:p>
    <w:p>
      <w:pPr>
        <w:bidi w:val="0"/>
        <w:rPr>
          <w:color w:val="auto"/>
          <w:szCs w:val="26"/>
          <w:highlight w:val="none"/>
        </w:rPr>
      </w:pPr>
      <w:r>
        <w:rPr>
          <w:rFonts w:hint="eastAsia"/>
          <w:color w:val="auto"/>
          <w:szCs w:val="26"/>
          <w:highlight w:val="none"/>
          <w:lang w:eastAsia="zh-CN"/>
        </w:rPr>
        <w:t>（</w:t>
      </w:r>
      <w:r>
        <w:rPr>
          <w:rFonts w:hint="eastAsia"/>
          <w:color w:val="auto"/>
          <w:szCs w:val="26"/>
          <w:highlight w:val="none"/>
          <w:lang w:val="en-US" w:eastAsia="zh-CN"/>
        </w:rPr>
        <w:t>3</w:t>
      </w:r>
      <w:r>
        <w:rPr>
          <w:rFonts w:hint="eastAsia"/>
          <w:color w:val="auto"/>
          <w:szCs w:val="26"/>
          <w:highlight w:val="none"/>
          <w:lang w:eastAsia="zh-CN"/>
        </w:rPr>
        <w:t>）</w:t>
      </w:r>
      <w:r>
        <w:rPr>
          <w:color w:val="auto"/>
          <w:szCs w:val="26"/>
          <w:highlight w:val="none"/>
        </w:rPr>
        <w:t>区域动物现状</w:t>
      </w:r>
    </w:p>
    <w:p>
      <w:pPr>
        <w:adjustRightInd w:val="0"/>
        <w:spacing w:line="480" w:lineRule="exact"/>
        <w:ind w:firstLine="520"/>
        <w:rPr>
          <w:rFonts w:hint="eastAsia" w:eastAsia="宋体"/>
          <w:color w:val="auto"/>
          <w:szCs w:val="22"/>
          <w:highlight w:val="none"/>
          <w:lang w:eastAsia="zh-CN"/>
        </w:rPr>
      </w:pPr>
      <w:r>
        <w:rPr>
          <w:rFonts w:hint="eastAsia"/>
          <w:color w:val="auto"/>
          <w:szCs w:val="22"/>
          <w:highlight w:val="none"/>
        </w:rPr>
        <w:t>根据野外动物资源调查和</w:t>
      </w:r>
      <w:r>
        <w:rPr>
          <w:rFonts w:hint="eastAsia"/>
          <w:color w:val="auto"/>
          <w:szCs w:val="22"/>
          <w:highlight w:val="none"/>
          <w:lang w:eastAsia="zh-CN"/>
        </w:rPr>
        <w:t>历史调查</w:t>
      </w:r>
      <w:r>
        <w:rPr>
          <w:rFonts w:hint="eastAsia"/>
          <w:color w:val="auto"/>
          <w:szCs w:val="22"/>
          <w:highlight w:val="none"/>
        </w:rPr>
        <w:t>资料统计结果显示，评价范围内有陆生脊椎动物</w:t>
      </w:r>
      <w:r>
        <w:rPr>
          <w:color w:val="auto"/>
          <w:szCs w:val="22"/>
          <w:highlight w:val="none"/>
        </w:rPr>
        <w:t>4纲</w:t>
      </w:r>
      <w:r>
        <w:rPr>
          <w:rFonts w:hint="eastAsia"/>
          <w:color w:val="auto"/>
          <w:szCs w:val="22"/>
          <w:highlight w:val="none"/>
        </w:rPr>
        <w:t>20目52</w:t>
      </w:r>
      <w:r>
        <w:rPr>
          <w:color w:val="auto"/>
          <w:szCs w:val="22"/>
          <w:highlight w:val="none"/>
        </w:rPr>
        <w:t>科</w:t>
      </w:r>
      <w:r>
        <w:rPr>
          <w:rFonts w:hint="eastAsia"/>
          <w:color w:val="auto"/>
          <w:szCs w:val="22"/>
          <w:highlight w:val="none"/>
        </w:rPr>
        <w:t>136</w:t>
      </w:r>
      <w:r>
        <w:rPr>
          <w:color w:val="auto"/>
          <w:szCs w:val="22"/>
          <w:highlight w:val="none"/>
        </w:rPr>
        <w:t>种</w:t>
      </w:r>
      <w:r>
        <w:rPr>
          <w:rFonts w:hint="eastAsia"/>
          <w:color w:val="auto"/>
          <w:szCs w:val="22"/>
          <w:highlight w:val="none"/>
        </w:rPr>
        <w:t>，其中</w:t>
      </w:r>
      <w:r>
        <w:rPr>
          <w:color w:val="auto"/>
          <w:szCs w:val="22"/>
          <w:highlight w:val="none"/>
        </w:rPr>
        <w:t>两栖动物</w:t>
      </w:r>
      <w:r>
        <w:rPr>
          <w:rFonts w:hint="eastAsia"/>
          <w:color w:val="auto"/>
          <w:szCs w:val="22"/>
          <w:highlight w:val="none"/>
        </w:rPr>
        <w:t>1目5</w:t>
      </w:r>
      <w:r>
        <w:rPr>
          <w:color w:val="auto"/>
          <w:szCs w:val="22"/>
          <w:highlight w:val="none"/>
        </w:rPr>
        <w:t>科</w:t>
      </w:r>
      <w:r>
        <w:rPr>
          <w:rFonts w:hint="eastAsia"/>
          <w:color w:val="auto"/>
          <w:szCs w:val="22"/>
          <w:highlight w:val="none"/>
        </w:rPr>
        <w:t>9</w:t>
      </w:r>
      <w:r>
        <w:rPr>
          <w:color w:val="auto"/>
          <w:szCs w:val="22"/>
          <w:highlight w:val="none"/>
        </w:rPr>
        <w:t>种</w:t>
      </w:r>
      <w:r>
        <w:rPr>
          <w:rFonts w:hint="eastAsia"/>
          <w:color w:val="auto"/>
          <w:szCs w:val="22"/>
          <w:highlight w:val="none"/>
        </w:rPr>
        <w:t>，</w:t>
      </w:r>
      <w:r>
        <w:rPr>
          <w:color w:val="auto"/>
          <w:szCs w:val="22"/>
          <w:highlight w:val="none"/>
        </w:rPr>
        <w:t>爬行动物</w:t>
      </w:r>
      <w:r>
        <w:rPr>
          <w:rFonts w:hint="eastAsia"/>
          <w:color w:val="auto"/>
          <w:szCs w:val="22"/>
          <w:highlight w:val="none"/>
        </w:rPr>
        <w:t>2目6科</w:t>
      </w:r>
      <w:r>
        <w:rPr>
          <w:color w:val="auto"/>
          <w:szCs w:val="22"/>
          <w:highlight w:val="none"/>
        </w:rPr>
        <w:t>1</w:t>
      </w:r>
      <w:r>
        <w:rPr>
          <w:rFonts w:hint="eastAsia"/>
          <w:color w:val="auto"/>
          <w:szCs w:val="22"/>
          <w:highlight w:val="none"/>
        </w:rPr>
        <w:t>3</w:t>
      </w:r>
      <w:r>
        <w:rPr>
          <w:color w:val="auto"/>
          <w:szCs w:val="22"/>
          <w:highlight w:val="none"/>
        </w:rPr>
        <w:t>种，鸟类</w:t>
      </w:r>
      <w:r>
        <w:rPr>
          <w:rFonts w:hint="eastAsia"/>
          <w:color w:val="auto"/>
          <w:szCs w:val="22"/>
          <w:highlight w:val="none"/>
        </w:rPr>
        <w:t>11目31科94</w:t>
      </w:r>
      <w:r>
        <w:rPr>
          <w:color w:val="auto"/>
          <w:szCs w:val="22"/>
          <w:highlight w:val="none"/>
        </w:rPr>
        <w:t>种，哺乳动物6目1</w:t>
      </w:r>
      <w:r>
        <w:rPr>
          <w:rFonts w:hint="eastAsia"/>
          <w:color w:val="auto"/>
          <w:szCs w:val="22"/>
          <w:highlight w:val="none"/>
        </w:rPr>
        <w:t>0</w:t>
      </w:r>
      <w:r>
        <w:rPr>
          <w:color w:val="auto"/>
          <w:szCs w:val="22"/>
          <w:highlight w:val="none"/>
        </w:rPr>
        <w:t>科</w:t>
      </w:r>
      <w:r>
        <w:rPr>
          <w:rFonts w:hint="eastAsia"/>
          <w:color w:val="auto"/>
          <w:szCs w:val="22"/>
          <w:highlight w:val="none"/>
        </w:rPr>
        <w:t>20种</w:t>
      </w:r>
      <w:r>
        <w:rPr>
          <w:rFonts w:hint="eastAsia"/>
          <w:color w:val="auto"/>
          <w:szCs w:val="22"/>
          <w:highlight w:val="none"/>
          <w:lang w:eastAsia="zh-CN"/>
        </w:rPr>
        <w:t>，详见下表：</w:t>
      </w:r>
    </w:p>
    <w:p>
      <w:pPr>
        <w:autoSpaceDE w:val="0"/>
        <w:autoSpaceDN w:val="0"/>
        <w:spacing w:line="240" w:lineRule="auto"/>
        <w:ind w:firstLine="520"/>
        <w:rPr>
          <w:color w:val="auto"/>
          <w:szCs w:val="22"/>
          <w:highlight w:val="none"/>
        </w:rPr>
      </w:pPr>
    </w:p>
    <w:p>
      <w:pPr>
        <w:autoSpaceDE w:val="0"/>
        <w:autoSpaceDN w:val="0"/>
        <w:adjustRightInd w:val="0"/>
        <w:snapToGrid w:val="0"/>
        <w:spacing w:line="240" w:lineRule="auto"/>
        <w:ind w:left="520" w:leftChars="200" w:firstLine="0" w:firstLineChars="0"/>
        <w:jc w:val="center"/>
        <w:textAlignment w:val="baseline"/>
        <w:rPr>
          <w:b w:val="0"/>
          <w:bCs/>
          <w:color w:val="auto"/>
          <w:highlight w:val="none"/>
        </w:rPr>
      </w:pPr>
      <w:r>
        <w:rPr>
          <w:rFonts w:hint="eastAsia"/>
          <w:b w:val="0"/>
          <w:bCs/>
          <w:color w:val="auto"/>
          <w:highlight w:val="none"/>
        </w:rPr>
        <w:t>表</w:t>
      </w:r>
      <w:r>
        <w:rPr>
          <w:rFonts w:hint="eastAsia"/>
          <w:b w:val="0"/>
          <w:bCs/>
          <w:color w:val="auto"/>
          <w:highlight w:val="none"/>
          <w:lang w:val="en-US" w:eastAsia="zh-CN"/>
        </w:rPr>
        <w:t xml:space="preserve">3.3.2-4  </w:t>
      </w:r>
      <w:r>
        <w:rPr>
          <w:rFonts w:hint="eastAsia"/>
          <w:b w:val="0"/>
          <w:bCs/>
          <w:color w:val="auto"/>
          <w:highlight w:val="none"/>
        </w:rPr>
        <w:t>评价区脊椎动物种类组成统计</w:t>
      </w:r>
    </w:p>
    <w:tbl>
      <w:tblPr>
        <w:tblStyle w:val="28"/>
        <w:tblW w:w="4849" w:type="pct"/>
        <w:jc w:val="center"/>
        <w:tblLayout w:type="fixed"/>
        <w:tblCellMar>
          <w:top w:w="0" w:type="dxa"/>
          <w:left w:w="108" w:type="dxa"/>
          <w:bottom w:w="0" w:type="dxa"/>
          <w:right w:w="108" w:type="dxa"/>
        </w:tblCellMar>
      </w:tblPr>
      <w:tblGrid>
        <w:gridCol w:w="1507"/>
        <w:gridCol w:w="1561"/>
        <w:gridCol w:w="1561"/>
        <w:gridCol w:w="1562"/>
        <w:gridCol w:w="2484"/>
      </w:tblGrid>
      <w:tr>
        <w:tblPrEx>
          <w:tblCellMar>
            <w:top w:w="0" w:type="dxa"/>
            <w:left w:w="108" w:type="dxa"/>
            <w:bottom w:w="0" w:type="dxa"/>
            <w:right w:w="108" w:type="dxa"/>
          </w:tblCellMar>
        </w:tblPrEx>
        <w:trPr>
          <w:trHeight w:val="340" w:hRule="atLeast"/>
          <w:jc w:val="center"/>
        </w:trPr>
        <w:tc>
          <w:tcPr>
            <w:tcW w:w="1487" w:type="dxa"/>
            <w:tcBorders>
              <w:top w:val="single" w:color="000000" w:sz="8" w:space="0"/>
              <w:left w:val="single" w:color="000000" w:sz="8" w:space="0"/>
              <w:bottom w:val="single" w:color="000000" w:sz="8" w:space="0"/>
              <w:right w:val="single" w:color="000000" w:sz="8" w:space="0"/>
            </w:tcBorders>
            <w:shd w:val="clear" w:color="auto" w:fill="auto"/>
            <w:noWrap/>
            <w:vAlign w:val="center"/>
          </w:tcPr>
          <w:p>
            <w:pPr>
              <w:widowControl/>
              <w:adjustRightInd w:val="0"/>
              <w:snapToGrid w:val="0"/>
              <w:spacing w:line="240" w:lineRule="auto"/>
              <w:ind w:firstLine="0" w:firstLineChars="0"/>
              <w:jc w:val="center"/>
              <w:rPr>
                <w:b/>
                <w:bCs/>
                <w:color w:val="auto"/>
                <w:kern w:val="0"/>
                <w:sz w:val="22"/>
                <w:szCs w:val="22"/>
                <w:highlight w:val="none"/>
              </w:rPr>
            </w:pPr>
            <w:r>
              <w:rPr>
                <w:rFonts w:hint="eastAsia"/>
                <w:b/>
                <w:bCs/>
                <w:color w:val="auto"/>
                <w:kern w:val="0"/>
                <w:sz w:val="22"/>
                <w:szCs w:val="22"/>
                <w:highlight w:val="none"/>
              </w:rPr>
              <w:t>类群</w:t>
            </w:r>
          </w:p>
        </w:tc>
        <w:tc>
          <w:tcPr>
            <w:tcW w:w="1542" w:type="dxa"/>
            <w:tcBorders>
              <w:top w:val="single" w:color="000000" w:sz="8" w:space="0"/>
              <w:left w:val="nil"/>
              <w:bottom w:val="single" w:color="000000" w:sz="8" w:space="0"/>
              <w:right w:val="single" w:color="000000" w:sz="8" w:space="0"/>
            </w:tcBorders>
            <w:shd w:val="clear" w:color="auto" w:fill="auto"/>
            <w:noWrap/>
            <w:vAlign w:val="center"/>
          </w:tcPr>
          <w:p>
            <w:pPr>
              <w:widowControl/>
              <w:adjustRightInd w:val="0"/>
              <w:snapToGrid w:val="0"/>
              <w:spacing w:line="240" w:lineRule="auto"/>
              <w:ind w:firstLine="0" w:firstLineChars="0"/>
              <w:jc w:val="center"/>
              <w:rPr>
                <w:b/>
                <w:bCs/>
                <w:color w:val="auto"/>
                <w:kern w:val="0"/>
                <w:sz w:val="22"/>
                <w:szCs w:val="22"/>
                <w:highlight w:val="none"/>
              </w:rPr>
            </w:pPr>
            <w:r>
              <w:rPr>
                <w:rFonts w:hint="eastAsia"/>
                <w:b/>
                <w:bCs/>
                <w:color w:val="auto"/>
                <w:kern w:val="0"/>
                <w:sz w:val="22"/>
                <w:szCs w:val="22"/>
                <w:highlight w:val="none"/>
              </w:rPr>
              <w:t>目</w:t>
            </w:r>
          </w:p>
        </w:tc>
        <w:tc>
          <w:tcPr>
            <w:tcW w:w="1542" w:type="dxa"/>
            <w:tcBorders>
              <w:top w:val="single" w:color="000000" w:sz="8" w:space="0"/>
              <w:left w:val="nil"/>
              <w:bottom w:val="single" w:color="000000" w:sz="8" w:space="0"/>
              <w:right w:val="single" w:color="000000" w:sz="8" w:space="0"/>
            </w:tcBorders>
            <w:shd w:val="clear" w:color="auto" w:fill="auto"/>
            <w:noWrap/>
            <w:vAlign w:val="center"/>
          </w:tcPr>
          <w:p>
            <w:pPr>
              <w:widowControl/>
              <w:adjustRightInd w:val="0"/>
              <w:snapToGrid w:val="0"/>
              <w:spacing w:line="240" w:lineRule="auto"/>
              <w:ind w:firstLine="0" w:firstLineChars="0"/>
              <w:jc w:val="center"/>
              <w:rPr>
                <w:b/>
                <w:bCs/>
                <w:color w:val="auto"/>
                <w:kern w:val="0"/>
                <w:sz w:val="22"/>
                <w:szCs w:val="22"/>
                <w:highlight w:val="none"/>
              </w:rPr>
            </w:pPr>
            <w:r>
              <w:rPr>
                <w:rFonts w:hint="eastAsia"/>
                <w:b/>
                <w:bCs/>
                <w:color w:val="auto"/>
                <w:kern w:val="0"/>
                <w:sz w:val="22"/>
                <w:szCs w:val="22"/>
                <w:highlight w:val="none"/>
              </w:rPr>
              <w:t>科</w:t>
            </w:r>
          </w:p>
        </w:tc>
        <w:tc>
          <w:tcPr>
            <w:tcW w:w="1543" w:type="dxa"/>
            <w:tcBorders>
              <w:top w:val="single" w:color="000000" w:sz="8" w:space="0"/>
              <w:left w:val="nil"/>
              <w:bottom w:val="single" w:color="000000" w:sz="8" w:space="0"/>
              <w:right w:val="single" w:color="000000" w:sz="8" w:space="0"/>
            </w:tcBorders>
            <w:shd w:val="clear" w:color="auto" w:fill="auto"/>
            <w:noWrap/>
            <w:vAlign w:val="center"/>
          </w:tcPr>
          <w:p>
            <w:pPr>
              <w:widowControl/>
              <w:adjustRightInd w:val="0"/>
              <w:snapToGrid w:val="0"/>
              <w:spacing w:line="240" w:lineRule="auto"/>
              <w:ind w:firstLine="0" w:firstLineChars="0"/>
              <w:jc w:val="center"/>
              <w:rPr>
                <w:b/>
                <w:bCs/>
                <w:color w:val="auto"/>
                <w:kern w:val="0"/>
                <w:sz w:val="22"/>
                <w:szCs w:val="22"/>
                <w:highlight w:val="none"/>
              </w:rPr>
            </w:pPr>
            <w:r>
              <w:rPr>
                <w:rFonts w:hint="eastAsia"/>
                <w:b/>
                <w:bCs/>
                <w:color w:val="auto"/>
                <w:kern w:val="0"/>
                <w:sz w:val="22"/>
                <w:szCs w:val="22"/>
                <w:highlight w:val="none"/>
              </w:rPr>
              <w:t>种</w:t>
            </w:r>
          </w:p>
        </w:tc>
        <w:tc>
          <w:tcPr>
            <w:tcW w:w="2452" w:type="dxa"/>
            <w:tcBorders>
              <w:top w:val="single" w:color="000000" w:sz="8" w:space="0"/>
              <w:left w:val="nil"/>
              <w:bottom w:val="single" w:color="000000" w:sz="8" w:space="0"/>
              <w:right w:val="single" w:color="000000" w:sz="8" w:space="0"/>
            </w:tcBorders>
            <w:shd w:val="clear" w:color="auto" w:fill="auto"/>
            <w:noWrap/>
            <w:vAlign w:val="center"/>
          </w:tcPr>
          <w:p>
            <w:pPr>
              <w:widowControl/>
              <w:adjustRightInd w:val="0"/>
              <w:snapToGrid w:val="0"/>
              <w:spacing w:line="240" w:lineRule="auto"/>
              <w:ind w:firstLine="0" w:firstLineChars="0"/>
              <w:jc w:val="center"/>
              <w:rPr>
                <w:b/>
                <w:bCs/>
                <w:color w:val="auto"/>
                <w:kern w:val="0"/>
                <w:sz w:val="22"/>
                <w:szCs w:val="22"/>
                <w:highlight w:val="none"/>
              </w:rPr>
            </w:pPr>
            <w:r>
              <w:rPr>
                <w:rFonts w:hint="eastAsia"/>
                <w:b/>
                <w:bCs/>
                <w:color w:val="auto"/>
                <w:kern w:val="0"/>
                <w:sz w:val="22"/>
                <w:szCs w:val="22"/>
                <w:highlight w:val="none"/>
              </w:rPr>
              <w:t>占总种类百分比%</w:t>
            </w:r>
          </w:p>
        </w:tc>
      </w:tr>
      <w:tr>
        <w:tblPrEx>
          <w:tblCellMar>
            <w:top w:w="0" w:type="dxa"/>
            <w:left w:w="108" w:type="dxa"/>
            <w:bottom w:w="0" w:type="dxa"/>
            <w:right w:w="108" w:type="dxa"/>
          </w:tblCellMar>
        </w:tblPrEx>
        <w:trPr>
          <w:trHeight w:val="340" w:hRule="atLeast"/>
          <w:jc w:val="center"/>
        </w:trPr>
        <w:tc>
          <w:tcPr>
            <w:tcW w:w="1487" w:type="dxa"/>
            <w:tcBorders>
              <w:top w:val="nil"/>
              <w:left w:val="single" w:color="000000" w:sz="8" w:space="0"/>
              <w:bottom w:val="single" w:color="000000" w:sz="8" w:space="0"/>
              <w:right w:val="single" w:color="000000" w:sz="8" w:space="0"/>
            </w:tcBorders>
            <w:shd w:val="clear" w:color="auto" w:fill="auto"/>
            <w:noWrap/>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两栖纲</w:t>
            </w:r>
          </w:p>
        </w:tc>
        <w:tc>
          <w:tcPr>
            <w:tcW w:w="1542" w:type="dxa"/>
            <w:tcBorders>
              <w:top w:val="nil"/>
              <w:left w:val="nil"/>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bottom"/>
              <w:rPr>
                <w:color w:val="auto"/>
                <w:kern w:val="0"/>
                <w:sz w:val="22"/>
                <w:szCs w:val="22"/>
                <w:highlight w:val="none"/>
              </w:rPr>
            </w:pPr>
            <w:r>
              <w:rPr>
                <w:rFonts w:eastAsia="等线"/>
                <w:color w:val="auto"/>
                <w:kern w:val="0"/>
                <w:sz w:val="22"/>
                <w:szCs w:val="22"/>
                <w:highlight w:val="none"/>
                <w:lang w:bidi="ar"/>
              </w:rPr>
              <w:t>1</w:t>
            </w:r>
          </w:p>
        </w:tc>
        <w:tc>
          <w:tcPr>
            <w:tcW w:w="1542" w:type="dxa"/>
            <w:tcBorders>
              <w:top w:val="nil"/>
              <w:left w:val="nil"/>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bottom"/>
              <w:rPr>
                <w:color w:val="auto"/>
                <w:kern w:val="0"/>
                <w:sz w:val="22"/>
                <w:szCs w:val="22"/>
                <w:highlight w:val="none"/>
              </w:rPr>
            </w:pPr>
            <w:r>
              <w:rPr>
                <w:rFonts w:eastAsia="等线"/>
                <w:color w:val="auto"/>
                <w:kern w:val="0"/>
                <w:sz w:val="22"/>
                <w:szCs w:val="22"/>
                <w:highlight w:val="none"/>
                <w:lang w:bidi="ar"/>
              </w:rPr>
              <w:t>5</w:t>
            </w:r>
          </w:p>
        </w:tc>
        <w:tc>
          <w:tcPr>
            <w:tcW w:w="1543" w:type="dxa"/>
            <w:tcBorders>
              <w:top w:val="nil"/>
              <w:left w:val="nil"/>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bottom"/>
              <w:rPr>
                <w:color w:val="auto"/>
                <w:kern w:val="0"/>
                <w:sz w:val="22"/>
                <w:szCs w:val="22"/>
                <w:highlight w:val="none"/>
              </w:rPr>
            </w:pPr>
            <w:r>
              <w:rPr>
                <w:rFonts w:eastAsia="等线"/>
                <w:color w:val="auto"/>
                <w:kern w:val="0"/>
                <w:sz w:val="22"/>
                <w:szCs w:val="22"/>
                <w:highlight w:val="none"/>
                <w:lang w:bidi="ar"/>
              </w:rPr>
              <w:t>9</w:t>
            </w:r>
          </w:p>
        </w:tc>
        <w:tc>
          <w:tcPr>
            <w:tcW w:w="2452" w:type="dxa"/>
            <w:tcBorders>
              <w:top w:val="nil"/>
              <w:left w:val="nil"/>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bottom"/>
              <w:rPr>
                <w:color w:val="auto"/>
                <w:kern w:val="0"/>
                <w:sz w:val="22"/>
                <w:szCs w:val="22"/>
                <w:highlight w:val="none"/>
              </w:rPr>
            </w:pPr>
            <w:r>
              <w:rPr>
                <w:rFonts w:eastAsia="等线"/>
                <w:color w:val="auto"/>
                <w:sz w:val="22"/>
                <w:szCs w:val="22"/>
                <w:highlight w:val="none"/>
              </w:rPr>
              <w:t>6.62</w:t>
            </w:r>
          </w:p>
        </w:tc>
      </w:tr>
      <w:tr>
        <w:tblPrEx>
          <w:tblCellMar>
            <w:top w:w="0" w:type="dxa"/>
            <w:left w:w="108" w:type="dxa"/>
            <w:bottom w:w="0" w:type="dxa"/>
            <w:right w:w="108" w:type="dxa"/>
          </w:tblCellMar>
        </w:tblPrEx>
        <w:trPr>
          <w:trHeight w:val="340" w:hRule="atLeast"/>
          <w:jc w:val="center"/>
        </w:trPr>
        <w:tc>
          <w:tcPr>
            <w:tcW w:w="1487" w:type="dxa"/>
            <w:tcBorders>
              <w:top w:val="nil"/>
              <w:left w:val="single" w:color="000000" w:sz="8" w:space="0"/>
              <w:bottom w:val="single" w:color="000000" w:sz="8" w:space="0"/>
              <w:right w:val="single" w:color="000000" w:sz="8" w:space="0"/>
            </w:tcBorders>
            <w:shd w:val="clear" w:color="auto" w:fill="auto"/>
            <w:noWrap/>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爬行纲</w:t>
            </w:r>
          </w:p>
        </w:tc>
        <w:tc>
          <w:tcPr>
            <w:tcW w:w="1542" w:type="dxa"/>
            <w:tcBorders>
              <w:top w:val="nil"/>
              <w:left w:val="nil"/>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bottom"/>
              <w:rPr>
                <w:color w:val="auto"/>
                <w:kern w:val="0"/>
                <w:sz w:val="22"/>
                <w:szCs w:val="22"/>
                <w:highlight w:val="none"/>
              </w:rPr>
            </w:pPr>
            <w:r>
              <w:rPr>
                <w:rFonts w:eastAsia="等线"/>
                <w:color w:val="auto"/>
                <w:kern w:val="0"/>
                <w:sz w:val="22"/>
                <w:szCs w:val="22"/>
                <w:highlight w:val="none"/>
                <w:lang w:bidi="ar"/>
              </w:rPr>
              <w:t>2</w:t>
            </w:r>
          </w:p>
        </w:tc>
        <w:tc>
          <w:tcPr>
            <w:tcW w:w="1542" w:type="dxa"/>
            <w:tcBorders>
              <w:top w:val="nil"/>
              <w:left w:val="nil"/>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bottom"/>
              <w:rPr>
                <w:color w:val="auto"/>
                <w:kern w:val="0"/>
                <w:sz w:val="22"/>
                <w:szCs w:val="22"/>
                <w:highlight w:val="none"/>
              </w:rPr>
            </w:pPr>
            <w:r>
              <w:rPr>
                <w:rFonts w:eastAsia="等线"/>
                <w:color w:val="auto"/>
                <w:kern w:val="0"/>
                <w:sz w:val="22"/>
                <w:szCs w:val="22"/>
                <w:highlight w:val="none"/>
                <w:lang w:bidi="ar"/>
              </w:rPr>
              <w:t>6</w:t>
            </w:r>
          </w:p>
        </w:tc>
        <w:tc>
          <w:tcPr>
            <w:tcW w:w="1543" w:type="dxa"/>
            <w:tcBorders>
              <w:top w:val="nil"/>
              <w:left w:val="nil"/>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bottom"/>
              <w:rPr>
                <w:rFonts w:eastAsia="等线"/>
                <w:color w:val="auto"/>
                <w:kern w:val="0"/>
                <w:sz w:val="22"/>
                <w:szCs w:val="22"/>
                <w:highlight w:val="none"/>
              </w:rPr>
            </w:pPr>
            <w:r>
              <w:rPr>
                <w:rFonts w:eastAsia="等线"/>
                <w:color w:val="auto"/>
                <w:kern w:val="0"/>
                <w:sz w:val="22"/>
                <w:szCs w:val="22"/>
                <w:highlight w:val="none"/>
                <w:lang w:bidi="ar"/>
              </w:rPr>
              <w:t>1</w:t>
            </w:r>
            <w:r>
              <w:rPr>
                <w:rFonts w:hint="eastAsia" w:eastAsia="等线"/>
                <w:color w:val="auto"/>
                <w:kern w:val="0"/>
                <w:sz w:val="22"/>
                <w:szCs w:val="22"/>
                <w:highlight w:val="none"/>
                <w:lang w:bidi="ar"/>
              </w:rPr>
              <w:t>2</w:t>
            </w:r>
          </w:p>
        </w:tc>
        <w:tc>
          <w:tcPr>
            <w:tcW w:w="2452" w:type="dxa"/>
            <w:tcBorders>
              <w:top w:val="nil"/>
              <w:left w:val="nil"/>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bottom"/>
              <w:rPr>
                <w:color w:val="auto"/>
                <w:kern w:val="0"/>
                <w:sz w:val="22"/>
                <w:szCs w:val="22"/>
                <w:highlight w:val="none"/>
              </w:rPr>
            </w:pPr>
            <w:r>
              <w:rPr>
                <w:rFonts w:eastAsia="等线"/>
                <w:color w:val="auto"/>
                <w:sz w:val="22"/>
                <w:szCs w:val="22"/>
                <w:highlight w:val="none"/>
              </w:rPr>
              <w:t>9.56</w:t>
            </w:r>
          </w:p>
        </w:tc>
      </w:tr>
      <w:tr>
        <w:tblPrEx>
          <w:tblCellMar>
            <w:top w:w="0" w:type="dxa"/>
            <w:left w:w="108" w:type="dxa"/>
            <w:bottom w:w="0" w:type="dxa"/>
            <w:right w:w="108" w:type="dxa"/>
          </w:tblCellMar>
        </w:tblPrEx>
        <w:trPr>
          <w:trHeight w:val="340" w:hRule="atLeast"/>
          <w:jc w:val="center"/>
        </w:trPr>
        <w:tc>
          <w:tcPr>
            <w:tcW w:w="1487" w:type="dxa"/>
            <w:tcBorders>
              <w:top w:val="nil"/>
              <w:left w:val="single" w:color="000000" w:sz="8" w:space="0"/>
              <w:bottom w:val="single" w:color="000000" w:sz="8" w:space="0"/>
              <w:right w:val="single" w:color="000000" w:sz="8" w:space="0"/>
            </w:tcBorders>
            <w:shd w:val="clear" w:color="auto" w:fill="auto"/>
            <w:noWrap/>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鸟纲</w:t>
            </w:r>
          </w:p>
        </w:tc>
        <w:tc>
          <w:tcPr>
            <w:tcW w:w="1542" w:type="dxa"/>
            <w:tcBorders>
              <w:top w:val="nil"/>
              <w:left w:val="nil"/>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bottom"/>
              <w:rPr>
                <w:color w:val="auto"/>
                <w:kern w:val="0"/>
                <w:sz w:val="22"/>
                <w:szCs w:val="22"/>
                <w:highlight w:val="none"/>
              </w:rPr>
            </w:pPr>
            <w:r>
              <w:rPr>
                <w:rFonts w:eastAsia="等线"/>
                <w:color w:val="auto"/>
                <w:kern w:val="0"/>
                <w:sz w:val="22"/>
                <w:szCs w:val="22"/>
                <w:highlight w:val="none"/>
                <w:lang w:bidi="ar"/>
              </w:rPr>
              <w:t>11</w:t>
            </w:r>
          </w:p>
        </w:tc>
        <w:tc>
          <w:tcPr>
            <w:tcW w:w="1542" w:type="dxa"/>
            <w:tcBorders>
              <w:top w:val="nil"/>
              <w:left w:val="nil"/>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bottom"/>
              <w:rPr>
                <w:color w:val="auto"/>
                <w:kern w:val="0"/>
                <w:sz w:val="22"/>
                <w:szCs w:val="22"/>
                <w:highlight w:val="none"/>
              </w:rPr>
            </w:pPr>
            <w:r>
              <w:rPr>
                <w:rFonts w:eastAsia="等线"/>
                <w:color w:val="auto"/>
                <w:kern w:val="0"/>
                <w:sz w:val="22"/>
                <w:szCs w:val="22"/>
                <w:highlight w:val="none"/>
                <w:lang w:bidi="ar"/>
              </w:rPr>
              <w:t>31</w:t>
            </w:r>
          </w:p>
        </w:tc>
        <w:tc>
          <w:tcPr>
            <w:tcW w:w="1543" w:type="dxa"/>
            <w:tcBorders>
              <w:top w:val="nil"/>
              <w:left w:val="nil"/>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bottom"/>
              <w:rPr>
                <w:color w:val="auto"/>
                <w:kern w:val="0"/>
                <w:sz w:val="22"/>
                <w:szCs w:val="22"/>
                <w:highlight w:val="none"/>
              </w:rPr>
            </w:pPr>
            <w:r>
              <w:rPr>
                <w:rFonts w:eastAsia="等线"/>
                <w:color w:val="auto"/>
                <w:kern w:val="0"/>
                <w:sz w:val="22"/>
                <w:szCs w:val="22"/>
                <w:highlight w:val="none"/>
                <w:lang w:bidi="ar"/>
              </w:rPr>
              <w:t>9</w:t>
            </w:r>
            <w:r>
              <w:rPr>
                <w:rFonts w:hint="eastAsia" w:eastAsia="等线"/>
                <w:color w:val="auto"/>
                <w:kern w:val="0"/>
                <w:sz w:val="22"/>
                <w:szCs w:val="22"/>
                <w:highlight w:val="none"/>
                <w:lang w:bidi="ar"/>
              </w:rPr>
              <w:t>4</w:t>
            </w:r>
          </w:p>
        </w:tc>
        <w:tc>
          <w:tcPr>
            <w:tcW w:w="2452" w:type="dxa"/>
            <w:tcBorders>
              <w:top w:val="nil"/>
              <w:left w:val="nil"/>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bottom"/>
              <w:rPr>
                <w:color w:val="auto"/>
                <w:kern w:val="0"/>
                <w:sz w:val="22"/>
                <w:szCs w:val="22"/>
                <w:highlight w:val="none"/>
              </w:rPr>
            </w:pPr>
            <w:r>
              <w:rPr>
                <w:rFonts w:eastAsia="等线"/>
                <w:color w:val="auto"/>
                <w:sz w:val="22"/>
                <w:szCs w:val="22"/>
                <w:highlight w:val="none"/>
              </w:rPr>
              <w:t>69.12</w:t>
            </w:r>
          </w:p>
        </w:tc>
      </w:tr>
      <w:tr>
        <w:tblPrEx>
          <w:tblCellMar>
            <w:top w:w="0" w:type="dxa"/>
            <w:left w:w="108" w:type="dxa"/>
            <w:bottom w:w="0" w:type="dxa"/>
            <w:right w:w="108" w:type="dxa"/>
          </w:tblCellMar>
        </w:tblPrEx>
        <w:trPr>
          <w:trHeight w:val="340" w:hRule="atLeast"/>
          <w:jc w:val="center"/>
        </w:trPr>
        <w:tc>
          <w:tcPr>
            <w:tcW w:w="1487" w:type="dxa"/>
            <w:tcBorders>
              <w:top w:val="nil"/>
              <w:left w:val="single" w:color="000000" w:sz="8" w:space="0"/>
              <w:bottom w:val="single" w:color="000000" w:sz="8" w:space="0"/>
              <w:right w:val="single" w:color="000000" w:sz="8" w:space="0"/>
            </w:tcBorders>
            <w:shd w:val="clear" w:color="auto" w:fill="auto"/>
            <w:noWrap/>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哺乳纲</w:t>
            </w:r>
          </w:p>
        </w:tc>
        <w:tc>
          <w:tcPr>
            <w:tcW w:w="1542" w:type="dxa"/>
            <w:tcBorders>
              <w:top w:val="nil"/>
              <w:left w:val="nil"/>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bottom"/>
              <w:rPr>
                <w:color w:val="auto"/>
                <w:kern w:val="0"/>
                <w:sz w:val="22"/>
                <w:szCs w:val="22"/>
                <w:highlight w:val="none"/>
              </w:rPr>
            </w:pPr>
            <w:r>
              <w:rPr>
                <w:rFonts w:eastAsia="等线"/>
                <w:color w:val="auto"/>
                <w:kern w:val="0"/>
                <w:sz w:val="22"/>
                <w:szCs w:val="22"/>
                <w:highlight w:val="none"/>
                <w:lang w:bidi="ar"/>
              </w:rPr>
              <w:t>6</w:t>
            </w:r>
          </w:p>
        </w:tc>
        <w:tc>
          <w:tcPr>
            <w:tcW w:w="1542" w:type="dxa"/>
            <w:tcBorders>
              <w:top w:val="nil"/>
              <w:left w:val="nil"/>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bottom"/>
              <w:rPr>
                <w:color w:val="auto"/>
                <w:kern w:val="0"/>
                <w:sz w:val="22"/>
                <w:szCs w:val="22"/>
                <w:highlight w:val="none"/>
              </w:rPr>
            </w:pPr>
            <w:r>
              <w:rPr>
                <w:rFonts w:eastAsia="等线"/>
                <w:color w:val="auto"/>
                <w:kern w:val="0"/>
                <w:sz w:val="22"/>
                <w:szCs w:val="22"/>
                <w:highlight w:val="none"/>
                <w:lang w:bidi="ar"/>
              </w:rPr>
              <w:t>10</w:t>
            </w:r>
          </w:p>
        </w:tc>
        <w:tc>
          <w:tcPr>
            <w:tcW w:w="1543" w:type="dxa"/>
            <w:tcBorders>
              <w:top w:val="nil"/>
              <w:left w:val="nil"/>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bottom"/>
              <w:rPr>
                <w:color w:val="auto"/>
                <w:kern w:val="0"/>
                <w:sz w:val="22"/>
                <w:szCs w:val="22"/>
                <w:highlight w:val="none"/>
              </w:rPr>
            </w:pPr>
            <w:r>
              <w:rPr>
                <w:rFonts w:eastAsia="等线"/>
                <w:color w:val="auto"/>
                <w:kern w:val="0"/>
                <w:sz w:val="22"/>
                <w:szCs w:val="22"/>
                <w:highlight w:val="none"/>
                <w:lang w:bidi="ar"/>
              </w:rPr>
              <w:t>20</w:t>
            </w:r>
          </w:p>
        </w:tc>
        <w:tc>
          <w:tcPr>
            <w:tcW w:w="2452" w:type="dxa"/>
            <w:tcBorders>
              <w:top w:val="nil"/>
              <w:left w:val="nil"/>
              <w:bottom w:val="single" w:color="000000" w:sz="8" w:space="0"/>
              <w:right w:val="single" w:color="000000" w:sz="8" w:space="0"/>
            </w:tcBorders>
            <w:shd w:val="clear" w:color="auto" w:fill="auto"/>
            <w:noWrap/>
            <w:vAlign w:val="center"/>
          </w:tcPr>
          <w:p>
            <w:pPr>
              <w:widowControl/>
              <w:spacing w:line="240" w:lineRule="auto"/>
              <w:ind w:firstLine="0" w:firstLineChars="0"/>
              <w:jc w:val="center"/>
              <w:textAlignment w:val="bottom"/>
              <w:rPr>
                <w:color w:val="auto"/>
                <w:kern w:val="0"/>
                <w:sz w:val="22"/>
                <w:szCs w:val="22"/>
                <w:highlight w:val="none"/>
              </w:rPr>
            </w:pPr>
            <w:r>
              <w:rPr>
                <w:rFonts w:eastAsia="等线"/>
                <w:color w:val="auto"/>
                <w:sz w:val="22"/>
                <w:szCs w:val="22"/>
                <w:highlight w:val="none"/>
              </w:rPr>
              <w:t>14.71</w:t>
            </w:r>
          </w:p>
        </w:tc>
      </w:tr>
      <w:tr>
        <w:tblPrEx>
          <w:tblCellMar>
            <w:top w:w="0" w:type="dxa"/>
            <w:left w:w="108" w:type="dxa"/>
            <w:bottom w:w="0" w:type="dxa"/>
            <w:right w:w="108" w:type="dxa"/>
          </w:tblCellMar>
        </w:tblPrEx>
        <w:trPr>
          <w:trHeight w:val="340" w:hRule="atLeast"/>
          <w:jc w:val="center"/>
        </w:trPr>
        <w:tc>
          <w:tcPr>
            <w:tcW w:w="1487" w:type="dxa"/>
            <w:tcBorders>
              <w:top w:val="nil"/>
              <w:left w:val="single" w:color="000000" w:sz="8" w:space="0"/>
              <w:bottom w:val="single" w:color="000000" w:sz="8" w:space="0"/>
              <w:right w:val="single" w:color="000000" w:sz="8" w:space="0"/>
            </w:tcBorders>
            <w:shd w:val="clear" w:color="auto" w:fill="auto"/>
            <w:noWrap/>
            <w:vAlign w:val="center"/>
          </w:tcPr>
          <w:p>
            <w:pPr>
              <w:widowControl/>
              <w:adjustRightInd w:val="0"/>
              <w:snapToGrid w:val="0"/>
              <w:spacing w:line="340" w:lineRule="exact"/>
              <w:ind w:firstLine="0" w:firstLineChars="0"/>
              <w:jc w:val="center"/>
              <w:rPr>
                <w:color w:val="auto"/>
                <w:kern w:val="0"/>
                <w:sz w:val="22"/>
                <w:szCs w:val="22"/>
                <w:highlight w:val="none"/>
              </w:rPr>
            </w:pPr>
            <w:r>
              <w:rPr>
                <w:rFonts w:hint="eastAsia"/>
                <w:color w:val="auto"/>
                <w:kern w:val="0"/>
                <w:sz w:val="22"/>
                <w:szCs w:val="22"/>
                <w:highlight w:val="none"/>
              </w:rPr>
              <w:t>合计</w:t>
            </w:r>
          </w:p>
        </w:tc>
        <w:tc>
          <w:tcPr>
            <w:tcW w:w="1542" w:type="dxa"/>
            <w:tcBorders>
              <w:top w:val="nil"/>
              <w:left w:val="nil"/>
              <w:bottom w:val="single" w:color="000000" w:sz="8" w:space="0"/>
              <w:right w:val="single" w:color="000000" w:sz="8" w:space="0"/>
            </w:tcBorders>
            <w:shd w:val="clear" w:color="auto" w:fill="auto"/>
            <w:noWrap/>
            <w:vAlign w:val="center"/>
          </w:tcPr>
          <w:p>
            <w:pPr>
              <w:widowControl/>
              <w:spacing w:line="340" w:lineRule="exact"/>
              <w:ind w:firstLine="0" w:firstLineChars="0"/>
              <w:jc w:val="center"/>
              <w:textAlignment w:val="bottom"/>
              <w:rPr>
                <w:color w:val="auto"/>
                <w:kern w:val="0"/>
                <w:sz w:val="22"/>
                <w:szCs w:val="22"/>
                <w:highlight w:val="none"/>
              </w:rPr>
            </w:pPr>
            <w:r>
              <w:rPr>
                <w:rFonts w:eastAsia="等线"/>
                <w:color w:val="auto"/>
                <w:kern w:val="0"/>
                <w:sz w:val="22"/>
                <w:szCs w:val="22"/>
                <w:highlight w:val="none"/>
                <w:lang w:bidi="ar"/>
              </w:rPr>
              <w:t>20</w:t>
            </w:r>
          </w:p>
        </w:tc>
        <w:tc>
          <w:tcPr>
            <w:tcW w:w="1542" w:type="dxa"/>
            <w:tcBorders>
              <w:top w:val="nil"/>
              <w:left w:val="nil"/>
              <w:bottom w:val="single" w:color="000000" w:sz="8" w:space="0"/>
              <w:right w:val="single" w:color="000000" w:sz="8" w:space="0"/>
            </w:tcBorders>
            <w:shd w:val="clear" w:color="auto" w:fill="auto"/>
            <w:noWrap/>
            <w:vAlign w:val="center"/>
          </w:tcPr>
          <w:p>
            <w:pPr>
              <w:widowControl/>
              <w:spacing w:line="340" w:lineRule="exact"/>
              <w:ind w:firstLine="0" w:firstLineChars="0"/>
              <w:jc w:val="center"/>
              <w:textAlignment w:val="bottom"/>
              <w:rPr>
                <w:color w:val="auto"/>
                <w:kern w:val="0"/>
                <w:sz w:val="22"/>
                <w:szCs w:val="22"/>
                <w:highlight w:val="none"/>
              </w:rPr>
            </w:pPr>
            <w:r>
              <w:rPr>
                <w:rFonts w:eastAsia="等线"/>
                <w:color w:val="auto"/>
                <w:kern w:val="0"/>
                <w:sz w:val="22"/>
                <w:szCs w:val="22"/>
                <w:highlight w:val="none"/>
                <w:lang w:bidi="ar"/>
              </w:rPr>
              <w:t>5</w:t>
            </w:r>
            <w:r>
              <w:rPr>
                <w:rFonts w:hint="eastAsia" w:eastAsia="等线"/>
                <w:color w:val="auto"/>
                <w:kern w:val="0"/>
                <w:sz w:val="22"/>
                <w:szCs w:val="22"/>
                <w:highlight w:val="none"/>
                <w:lang w:bidi="ar"/>
              </w:rPr>
              <w:t>2</w:t>
            </w:r>
          </w:p>
        </w:tc>
        <w:tc>
          <w:tcPr>
            <w:tcW w:w="1543" w:type="dxa"/>
            <w:tcBorders>
              <w:top w:val="nil"/>
              <w:left w:val="nil"/>
              <w:bottom w:val="single" w:color="000000" w:sz="8" w:space="0"/>
              <w:right w:val="single" w:color="000000" w:sz="8" w:space="0"/>
            </w:tcBorders>
            <w:shd w:val="clear" w:color="auto" w:fill="auto"/>
            <w:noWrap/>
            <w:vAlign w:val="center"/>
          </w:tcPr>
          <w:p>
            <w:pPr>
              <w:widowControl/>
              <w:spacing w:line="340" w:lineRule="exact"/>
              <w:ind w:firstLine="0" w:firstLineChars="0"/>
              <w:jc w:val="center"/>
              <w:textAlignment w:val="bottom"/>
              <w:rPr>
                <w:rFonts w:eastAsia="等线"/>
                <w:color w:val="auto"/>
                <w:kern w:val="0"/>
                <w:sz w:val="22"/>
                <w:szCs w:val="22"/>
                <w:highlight w:val="none"/>
              </w:rPr>
            </w:pPr>
            <w:r>
              <w:rPr>
                <w:rFonts w:eastAsia="等线"/>
                <w:color w:val="auto"/>
                <w:kern w:val="0"/>
                <w:sz w:val="22"/>
                <w:szCs w:val="22"/>
                <w:highlight w:val="none"/>
                <w:lang w:bidi="ar"/>
              </w:rPr>
              <w:t>1</w:t>
            </w:r>
            <w:r>
              <w:rPr>
                <w:rFonts w:hint="eastAsia" w:eastAsia="等线"/>
                <w:color w:val="auto"/>
                <w:kern w:val="0"/>
                <w:sz w:val="22"/>
                <w:szCs w:val="22"/>
                <w:highlight w:val="none"/>
                <w:lang w:bidi="ar"/>
              </w:rPr>
              <w:t>36</w:t>
            </w:r>
          </w:p>
        </w:tc>
        <w:tc>
          <w:tcPr>
            <w:tcW w:w="2452" w:type="dxa"/>
            <w:tcBorders>
              <w:top w:val="nil"/>
              <w:left w:val="nil"/>
              <w:bottom w:val="single" w:color="000000" w:sz="8" w:space="0"/>
              <w:right w:val="single" w:color="000000" w:sz="8" w:space="0"/>
            </w:tcBorders>
            <w:shd w:val="clear" w:color="auto" w:fill="auto"/>
            <w:noWrap/>
            <w:vAlign w:val="center"/>
          </w:tcPr>
          <w:p>
            <w:pPr>
              <w:widowControl/>
              <w:spacing w:line="340" w:lineRule="exact"/>
              <w:ind w:firstLine="0" w:firstLineChars="0"/>
              <w:jc w:val="center"/>
              <w:textAlignment w:val="bottom"/>
              <w:rPr>
                <w:color w:val="auto"/>
                <w:kern w:val="0"/>
                <w:sz w:val="22"/>
                <w:szCs w:val="22"/>
                <w:highlight w:val="none"/>
              </w:rPr>
            </w:pPr>
            <w:r>
              <w:rPr>
                <w:rFonts w:eastAsia="等线"/>
                <w:color w:val="auto"/>
                <w:kern w:val="0"/>
                <w:sz w:val="22"/>
                <w:szCs w:val="22"/>
                <w:highlight w:val="none"/>
                <w:lang w:bidi="ar"/>
              </w:rPr>
              <w:t>100.00</w:t>
            </w:r>
          </w:p>
        </w:tc>
      </w:tr>
    </w:tbl>
    <w:p>
      <w:pPr>
        <w:autoSpaceDE w:val="0"/>
        <w:autoSpaceDN w:val="0"/>
        <w:spacing w:line="240" w:lineRule="auto"/>
        <w:ind w:firstLine="520"/>
        <w:rPr>
          <w:color w:val="auto"/>
          <w:szCs w:val="22"/>
          <w:highlight w:val="none"/>
        </w:rPr>
      </w:pPr>
    </w:p>
    <w:p>
      <w:pPr>
        <w:keepNext w:val="0"/>
        <w:keepLines w:val="0"/>
        <w:pageBreakBefore w:val="0"/>
        <w:widowControl w:val="0"/>
        <w:tabs>
          <w:tab w:val="center" w:pos="4625"/>
        </w:tabs>
        <w:kinsoku/>
        <w:wordWrap/>
        <w:overflowPunct/>
        <w:topLinePunct w:val="0"/>
        <w:bidi w:val="0"/>
        <w:adjustRightInd w:val="0"/>
        <w:snapToGrid w:val="0"/>
        <w:spacing w:line="480" w:lineRule="exact"/>
        <w:ind w:firstLine="522"/>
        <w:outlineLvl w:val="9"/>
        <w:rPr>
          <w:b/>
          <w:bCs/>
          <w:color w:val="auto"/>
          <w:highlight w:val="none"/>
        </w:rPr>
      </w:pPr>
      <w:bookmarkStart w:id="93" w:name="_Toc30251"/>
      <w:bookmarkStart w:id="94" w:name="_Toc448091879"/>
      <w:bookmarkStart w:id="95" w:name="_Toc3288"/>
      <w:bookmarkStart w:id="96" w:name="_Toc460701852"/>
      <w:bookmarkStart w:id="97" w:name="_Toc28661"/>
      <w:r>
        <w:rPr>
          <w:rFonts w:hint="eastAsia"/>
          <w:b/>
          <w:bCs/>
          <w:color w:val="auto"/>
          <w:highlight w:val="none"/>
          <w:lang w:val="en-US" w:eastAsia="zh-CN"/>
        </w:rPr>
        <w:fldChar w:fldCharType="begin"/>
      </w:r>
      <w:r>
        <w:rPr>
          <w:rFonts w:hint="eastAsia"/>
          <w:b/>
          <w:bCs/>
          <w:color w:val="auto"/>
          <w:highlight w:val="none"/>
          <w:lang w:val="en-US" w:eastAsia="zh-CN"/>
        </w:rPr>
        <w:instrText xml:space="preserve"> = 1 \* GB3 \* MERGEFORMAT </w:instrText>
      </w:r>
      <w:r>
        <w:rPr>
          <w:rFonts w:hint="eastAsia"/>
          <w:b/>
          <w:bCs/>
          <w:color w:val="auto"/>
          <w:highlight w:val="none"/>
          <w:lang w:val="en-US" w:eastAsia="zh-CN"/>
        </w:rPr>
        <w:fldChar w:fldCharType="separate"/>
      </w:r>
      <w:r>
        <w:rPr>
          <w:b/>
          <w:bCs/>
          <w:color w:val="auto"/>
          <w:highlight w:val="none"/>
        </w:rPr>
        <w:t>①</w:t>
      </w:r>
      <w:r>
        <w:rPr>
          <w:rFonts w:hint="eastAsia"/>
          <w:b/>
          <w:bCs/>
          <w:color w:val="auto"/>
          <w:highlight w:val="none"/>
          <w:lang w:val="en-US" w:eastAsia="zh-CN"/>
        </w:rPr>
        <w:fldChar w:fldCharType="end"/>
      </w:r>
      <w:r>
        <w:rPr>
          <w:rFonts w:hint="eastAsia"/>
          <w:b/>
          <w:bCs/>
          <w:color w:val="auto"/>
          <w:highlight w:val="none"/>
        </w:rPr>
        <w:t>两栖类</w:t>
      </w:r>
      <w:bookmarkEnd w:id="93"/>
      <w:bookmarkEnd w:id="94"/>
      <w:bookmarkEnd w:id="95"/>
      <w:bookmarkEnd w:id="96"/>
      <w:bookmarkEnd w:id="97"/>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520"/>
        <w:outlineLvl w:val="9"/>
        <w:rPr>
          <w:bCs/>
          <w:color w:val="auto"/>
          <w:szCs w:val="22"/>
          <w:highlight w:val="none"/>
        </w:rPr>
      </w:pPr>
      <w:r>
        <w:rPr>
          <w:color w:val="auto"/>
          <w:szCs w:val="22"/>
          <w:highlight w:val="none"/>
        </w:rPr>
        <w:t>根据</w:t>
      </w:r>
      <w:r>
        <w:rPr>
          <w:rFonts w:hint="eastAsia"/>
          <w:color w:val="auto"/>
          <w:szCs w:val="22"/>
          <w:highlight w:val="none"/>
          <w:lang w:eastAsia="zh-CN"/>
        </w:rPr>
        <w:t>现场调查</w:t>
      </w:r>
      <w:r>
        <w:rPr>
          <w:rFonts w:hint="eastAsia"/>
          <w:color w:val="auto"/>
          <w:szCs w:val="22"/>
          <w:highlight w:val="none"/>
        </w:rPr>
        <w:t>走访</w:t>
      </w:r>
      <w:r>
        <w:rPr>
          <w:bCs/>
          <w:color w:val="auto"/>
          <w:szCs w:val="22"/>
          <w:highlight w:val="none"/>
        </w:rPr>
        <w:t>和</w:t>
      </w:r>
      <w:r>
        <w:rPr>
          <w:rFonts w:hint="eastAsia"/>
          <w:bCs/>
          <w:color w:val="auto"/>
          <w:szCs w:val="22"/>
          <w:highlight w:val="none"/>
          <w:lang w:eastAsia="zh-CN"/>
        </w:rPr>
        <w:t>历史调查资料</w:t>
      </w:r>
      <w:r>
        <w:rPr>
          <w:bCs/>
          <w:color w:val="auto"/>
          <w:szCs w:val="22"/>
          <w:highlight w:val="none"/>
        </w:rPr>
        <w:t>记载，评价区内有两栖动物</w:t>
      </w:r>
      <w:r>
        <w:rPr>
          <w:rFonts w:hint="eastAsia"/>
          <w:color w:val="auto"/>
          <w:szCs w:val="22"/>
          <w:highlight w:val="none"/>
        </w:rPr>
        <w:t>9</w:t>
      </w:r>
      <w:r>
        <w:rPr>
          <w:color w:val="auto"/>
          <w:szCs w:val="22"/>
          <w:highlight w:val="none"/>
        </w:rPr>
        <w:t>种，隶属</w:t>
      </w:r>
      <w:r>
        <w:rPr>
          <w:rFonts w:hint="eastAsia"/>
          <w:color w:val="auto"/>
          <w:szCs w:val="22"/>
          <w:highlight w:val="none"/>
        </w:rPr>
        <w:t>1目5</w:t>
      </w:r>
      <w:r>
        <w:rPr>
          <w:color w:val="auto"/>
          <w:szCs w:val="22"/>
          <w:highlight w:val="none"/>
        </w:rPr>
        <w:t>科</w:t>
      </w:r>
      <w:r>
        <w:rPr>
          <w:rFonts w:hint="eastAsia"/>
          <w:color w:val="auto"/>
          <w:highlight w:val="none"/>
        </w:rPr>
        <w:t>。</w:t>
      </w:r>
      <w:r>
        <w:rPr>
          <w:color w:val="auto"/>
          <w:szCs w:val="22"/>
          <w:highlight w:val="none"/>
        </w:rPr>
        <w:t>根据两栖动物生活环境的不同，将两栖动物分为水栖型和林栖型，水栖型包括大部分蛙类，</w:t>
      </w:r>
      <w:r>
        <w:rPr>
          <w:bCs/>
          <w:color w:val="auto"/>
          <w:szCs w:val="22"/>
          <w:highlight w:val="none"/>
        </w:rPr>
        <w:t>在评价区内</w:t>
      </w:r>
      <w:r>
        <w:rPr>
          <w:rFonts w:hint="eastAsia"/>
          <w:bCs/>
          <w:color w:val="auto"/>
          <w:szCs w:val="22"/>
          <w:highlight w:val="none"/>
        </w:rPr>
        <w:t>主要为</w:t>
      </w:r>
      <w:r>
        <w:rPr>
          <w:bCs/>
          <w:color w:val="auto"/>
          <w:szCs w:val="22"/>
          <w:highlight w:val="none"/>
        </w:rPr>
        <w:t>河流、水田、水塘都有分布。</w:t>
      </w:r>
    </w:p>
    <w:p>
      <w:pPr>
        <w:keepNext w:val="0"/>
        <w:keepLines w:val="0"/>
        <w:pageBreakBefore w:val="0"/>
        <w:widowControl w:val="0"/>
        <w:tabs>
          <w:tab w:val="center" w:pos="4625"/>
        </w:tabs>
        <w:kinsoku/>
        <w:wordWrap/>
        <w:overflowPunct/>
        <w:topLinePunct w:val="0"/>
        <w:bidi w:val="0"/>
        <w:adjustRightInd w:val="0"/>
        <w:snapToGrid w:val="0"/>
        <w:spacing w:line="480" w:lineRule="exact"/>
        <w:ind w:firstLine="522"/>
        <w:outlineLvl w:val="9"/>
        <w:rPr>
          <w:b/>
          <w:bCs/>
          <w:color w:val="auto"/>
          <w:highlight w:val="none"/>
        </w:rPr>
      </w:pPr>
      <w:bookmarkStart w:id="98" w:name="_Toc31886"/>
      <w:bookmarkStart w:id="99" w:name="_Toc16248"/>
      <w:bookmarkStart w:id="100" w:name="_Toc8169"/>
      <w:r>
        <w:rPr>
          <w:rFonts w:hint="eastAsia"/>
          <w:b/>
          <w:bCs/>
          <w:color w:val="auto"/>
          <w:highlight w:val="none"/>
          <w:lang w:val="en-US" w:eastAsia="zh-CN"/>
        </w:rPr>
        <w:fldChar w:fldCharType="begin"/>
      </w:r>
      <w:r>
        <w:rPr>
          <w:rFonts w:hint="eastAsia"/>
          <w:b/>
          <w:bCs/>
          <w:color w:val="auto"/>
          <w:highlight w:val="none"/>
          <w:lang w:val="en-US" w:eastAsia="zh-CN"/>
        </w:rPr>
        <w:instrText xml:space="preserve"> = 2 \* GB3 \* MERGEFORMAT </w:instrText>
      </w:r>
      <w:r>
        <w:rPr>
          <w:rFonts w:hint="eastAsia"/>
          <w:b/>
          <w:bCs/>
          <w:color w:val="auto"/>
          <w:highlight w:val="none"/>
          <w:lang w:val="en-US" w:eastAsia="zh-CN"/>
        </w:rPr>
        <w:fldChar w:fldCharType="separate"/>
      </w:r>
      <w:r>
        <w:rPr>
          <w:b/>
          <w:bCs/>
          <w:color w:val="auto"/>
          <w:highlight w:val="none"/>
        </w:rPr>
        <w:t>②</w:t>
      </w:r>
      <w:r>
        <w:rPr>
          <w:rFonts w:hint="eastAsia"/>
          <w:b/>
          <w:bCs/>
          <w:color w:val="auto"/>
          <w:highlight w:val="none"/>
          <w:lang w:val="en-US" w:eastAsia="zh-CN"/>
        </w:rPr>
        <w:fldChar w:fldCharType="end"/>
      </w:r>
      <w:r>
        <w:rPr>
          <w:rFonts w:hint="eastAsia"/>
          <w:b/>
          <w:bCs/>
          <w:color w:val="auto"/>
          <w:highlight w:val="none"/>
        </w:rPr>
        <w:t>爬行类</w:t>
      </w:r>
      <w:bookmarkEnd w:id="98"/>
      <w:bookmarkEnd w:id="99"/>
      <w:bookmarkEnd w:id="100"/>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520"/>
        <w:outlineLvl w:val="9"/>
        <w:rPr>
          <w:bCs/>
          <w:color w:val="auto"/>
          <w:szCs w:val="22"/>
          <w:highlight w:val="none"/>
        </w:rPr>
      </w:pPr>
      <w:r>
        <w:rPr>
          <w:color w:val="auto"/>
          <w:szCs w:val="22"/>
          <w:highlight w:val="none"/>
        </w:rPr>
        <w:t>根据</w:t>
      </w:r>
      <w:r>
        <w:rPr>
          <w:rFonts w:hint="eastAsia"/>
          <w:color w:val="auto"/>
          <w:szCs w:val="22"/>
          <w:highlight w:val="none"/>
          <w:lang w:eastAsia="zh-CN"/>
        </w:rPr>
        <w:t>现场调查</w:t>
      </w:r>
      <w:r>
        <w:rPr>
          <w:bCs/>
          <w:color w:val="auto"/>
          <w:szCs w:val="22"/>
          <w:highlight w:val="none"/>
        </w:rPr>
        <w:t>和</w:t>
      </w:r>
      <w:r>
        <w:rPr>
          <w:rFonts w:hint="eastAsia"/>
          <w:bCs/>
          <w:color w:val="auto"/>
          <w:szCs w:val="22"/>
          <w:highlight w:val="none"/>
          <w:lang w:eastAsia="zh-CN"/>
        </w:rPr>
        <w:t>历史调查资料</w:t>
      </w:r>
      <w:r>
        <w:rPr>
          <w:bCs/>
          <w:color w:val="auto"/>
          <w:szCs w:val="22"/>
          <w:highlight w:val="none"/>
        </w:rPr>
        <w:t>记载，评价区内有爬行动物</w:t>
      </w:r>
      <w:r>
        <w:rPr>
          <w:rFonts w:hint="eastAsia"/>
          <w:color w:val="auto"/>
          <w:szCs w:val="22"/>
          <w:highlight w:val="none"/>
        </w:rPr>
        <w:t>12</w:t>
      </w:r>
      <w:r>
        <w:rPr>
          <w:color w:val="auto"/>
          <w:szCs w:val="22"/>
          <w:highlight w:val="none"/>
        </w:rPr>
        <w:t>种，隶属</w:t>
      </w:r>
      <w:r>
        <w:rPr>
          <w:rFonts w:hint="eastAsia"/>
          <w:color w:val="auto"/>
          <w:szCs w:val="22"/>
          <w:highlight w:val="none"/>
        </w:rPr>
        <w:t>2目6科</w:t>
      </w:r>
      <w:r>
        <w:rPr>
          <w:bCs/>
          <w:color w:val="auto"/>
          <w:szCs w:val="22"/>
          <w:highlight w:val="none"/>
        </w:rPr>
        <w:t>，其中</w:t>
      </w:r>
      <w:r>
        <w:rPr>
          <w:rFonts w:hint="eastAsia"/>
          <w:color w:val="auto"/>
          <w:szCs w:val="22"/>
          <w:highlight w:val="none"/>
        </w:rPr>
        <w:t>重庆市级重点</w:t>
      </w:r>
      <w:r>
        <w:rPr>
          <w:color w:val="auto"/>
          <w:szCs w:val="22"/>
          <w:highlight w:val="none"/>
        </w:rPr>
        <w:t>保护</w:t>
      </w:r>
      <w:r>
        <w:rPr>
          <w:rFonts w:hint="eastAsia"/>
          <w:color w:val="auto"/>
          <w:szCs w:val="22"/>
          <w:highlight w:val="none"/>
        </w:rPr>
        <w:t>野生</w:t>
      </w:r>
      <w:r>
        <w:rPr>
          <w:color w:val="auto"/>
          <w:szCs w:val="22"/>
          <w:highlight w:val="none"/>
        </w:rPr>
        <w:t>动物</w:t>
      </w:r>
      <w:r>
        <w:rPr>
          <w:rFonts w:hint="eastAsia"/>
          <w:color w:val="auto"/>
          <w:szCs w:val="22"/>
          <w:highlight w:val="none"/>
        </w:rPr>
        <w:t>2</w:t>
      </w:r>
      <w:r>
        <w:rPr>
          <w:color w:val="auto"/>
          <w:szCs w:val="22"/>
          <w:highlight w:val="none"/>
        </w:rPr>
        <w:t>种</w:t>
      </w:r>
      <w:r>
        <w:rPr>
          <w:rFonts w:hint="eastAsia"/>
          <w:color w:val="auto"/>
          <w:szCs w:val="22"/>
          <w:highlight w:val="none"/>
        </w:rPr>
        <w:t>，即</w:t>
      </w:r>
      <w:r>
        <w:rPr>
          <w:color w:val="auto"/>
          <w:spacing w:val="19"/>
          <w:highlight w:val="none"/>
        </w:rPr>
        <w:t>黑眉锦蛇</w:t>
      </w:r>
      <w:r>
        <w:rPr>
          <w:color w:val="auto"/>
          <w:highlight w:val="none"/>
        </w:rPr>
        <w:t>（</w:t>
      </w:r>
      <w:r>
        <w:rPr>
          <w:i/>
          <w:iCs/>
          <w:color w:val="auto"/>
          <w:spacing w:val="19"/>
          <w:highlight w:val="none"/>
        </w:rPr>
        <w:t>E.</w:t>
      </w:r>
      <w:r>
        <w:rPr>
          <w:color w:val="auto"/>
          <w:spacing w:val="19"/>
          <w:highlight w:val="none"/>
        </w:rPr>
        <w:t xml:space="preserve"> </w:t>
      </w:r>
      <w:r>
        <w:rPr>
          <w:i/>
          <w:iCs/>
          <w:color w:val="auto"/>
          <w:highlight w:val="none"/>
          <w:shd w:val="clear" w:fill="FFFFFF"/>
        </w:rPr>
        <w:t>taeniura</w:t>
      </w:r>
      <w:r>
        <w:rPr>
          <w:color w:val="auto"/>
          <w:highlight w:val="none"/>
        </w:rPr>
        <w:t>）</w:t>
      </w:r>
      <w:r>
        <w:rPr>
          <w:rFonts w:hint="eastAsia"/>
          <w:color w:val="auto"/>
          <w:szCs w:val="22"/>
          <w:highlight w:val="none"/>
        </w:rPr>
        <w:t>、</w:t>
      </w:r>
      <w:r>
        <w:rPr>
          <w:color w:val="auto"/>
          <w:spacing w:val="12"/>
          <w:highlight w:val="none"/>
        </w:rPr>
        <w:t>乌梢蛇</w:t>
      </w:r>
      <w:r>
        <w:rPr>
          <w:color w:val="auto"/>
          <w:highlight w:val="none"/>
        </w:rPr>
        <w:t>（</w:t>
      </w:r>
      <w:r>
        <w:rPr>
          <w:i/>
          <w:iCs/>
          <w:color w:val="auto"/>
          <w:spacing w:val="12"/>
          <w:highlight w:val="none"/>
          <w:shd w:val="clear" w:fill="FFFFFF"/>
        </w:rPr>
        <w:t>Zaocys</w:t>
      </w:r>
      <w:r>
        <w:rPr>
          <w:color w:val="auto"/>
          <w:spacing w:val="-40"/>
          <w:highlight w:val="none"/>
        </w:rPr>
        <w:t xml:space="preserve"> </w:t>
      </w:r>
      <w:r>
        <w:rPr>
          <w:i/>
          <w:iCs/>
          <w:color w:val="auto"/>
          <w:spacing w:val="12"/>
          <w:highlight w:val="none"/>
          <w:shd w:val="clear" w:fill="FFFFFF"/>
        </w:rPr>
        <w:t>dhumnades</w:t>
      </w:r>
      <w:r>
        <w:rPr>
          <w:color w:val="auto"/>
          <w:highlight w:val="none"/>
        </w:rPr>
        <w:t>）</w:t>
      </w:r>
      <w:r>
        <w:rPr>
          <w:color w:val="auto"/>
          <w:szCs w:val="22"/>
          <w:highlight w:val="none"/>
        </w:rPr>
        <w:t>，</w:t>
      </w:r>
      <w:r>
        <w:rPr>
          <w:bCs/>
          <w:color w:val="auto"/>
          <w:szCs w:val="22"/>
          <w:highlight w:val="none"/>
        </w:rPr>
        <w:t>在灌丛杂草间或岩石上、村舍、水域附近可见。</w:t>
      </w:r>
    </w:p>
    <w:p>
      <w:pPr>
        <w:keepNext w:val="0"/>
        <w:keepLines w:val="0"/>
        <w:pageBreakBefore w:val="0"/>
        <w:widowControl w:val="0"/>
        <w:tabs>
          <w:tab w:val="center" w:pos="4625"/>
        </w:tabs>
        <w:kinsoku/>
        <w:wordWrap/>
        <w:overflowPunct/>
        <w:topLinePunct w:val="0"/>
        <w:bidi w:val="0"/>
        <w:adjustRightInd w:val="0"/>
        <w:snapToGrid w:val="0"/>
        <w:spacing w:line="480" w:lineRule="exact"/>
        <w:ind w:firstLine="522"/>
        <w:outlineLvl w:val="9"/>
        <w:rPr>
          <w:b/>
          <w:bCs/>
          <w:color w:val="auto"/>
          <w:highlight w:val="none"/>
        </w:rPr>
      </w:pPr>
      <w:bookmarkStart w:id="101" w:name="_Toc21770"/>
      <w:bookmarkStart w:id="102" w:name="_Toc22111"/>
      <w:bookmarkStart w:id="103" w:name="_Toc7991"/>
      <w:r>
        <w:rPr>
          <w:rFonts w:hint="eastAsia"/>
          <w:b/>
          <w:bCs/>
          <w:color w:val="auto"/>
          <w:highlight w:val="none"/>
          <w:lang w:val="en-US" w:eastAsia="zh-CN"/>
        </w:rPr>
        <w:fldChar w:fldCharType="begin"/>
      </w:r>
      <w:r>
        <w:rPr>
          <w:rFonts w:hint="eastAsia"/>
          <w:b/>
          <w:bCs/>
          <w:color w:val="auto"/>
          <w:highlight w:val="none"/>
          <w:lang w:val="en-US" w:eastAsia="zh-CN"/>
        </w:rPr>
        <w:instrText xml:space="preserve"> = 3 \* GB3 \* MERGEFORMAT </w:instrText>
      </w:r>
      <w:r>
        <w:rPr>
          <w:rFonts w:hint="eastAsia"/>
          <w:b/>
          <w:bCs/>
          <w:color w:val="auto"/>
          <w:highlight w:val="none"/>
          <w:lang w:val="en-US" w:eastAsia="zh-CN"/>
        </w:rPr>
        <w:fldChar w:fldCharType="separate"/>
      </w:r>
      <w:r>
        <w:rPr>
          <w:b/>
          <w:bCs/>
          <w:color w:val="auto"/>
          <w:highlight w:val="none"/>
        </w:rPr>
        <w:t>③</w:t>
      </w:r>
      <w:r>
        <w:rPr>
          <w:rFonts w:hint="eastAsia"/>
          <w:b/>
          <w:bCs/>
          <w:color w:val="auto"/>
          <w:highlight w:val="none"/>
          <w:lang w:val="en-US" w:eastAsia="zh-CN"/>
        </w:rPr>
        <w:fldChar w:fldCharType="end"/>
      </w:r>
      <w:r>
        <w:rPr>
          <w:rFonts w:hint="eastAsia"/>
          <w:b/>
          <w:bCs/>
          <w:color w:val="auto"/>
          <w:highlight w:val="none"/>
        </w:rPr>
        <w:t>鸟类</w:t>
      </w:r>
      <w:bookmarkEnd w:id="101"/>
      <w:bookmarkEnd w:id="102"/>
      <w:bookmarkEnd w:id="103"/>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520"/>
        <w:outlineLvl w:val="9"/>
        <w:rPr>
          <w:bCs/>
          <w:color w:val="auto"/>
          <w:szCs w:val="22"/>
          <w:highlight w:val="none"/>
        </w:rPr>
      </w:pPr>
      <w:r>
        <w:rPr>
          <w:color w:val="auto"/>
          <w:szCs w:val="22"/>
          <w:highlight w:val="none"/>
        </w:rPr>
        <w:t>根据</w:t>
      </w:r>
      <w:r>
        <w:rPr>
          <w:rFonts w:hint="eastAsia"/>
          <w:color w:val="auto"/>
          <w:szCs w:val="22"/>
          <w:highlight w:val="none"/>
          <w:lang w:eastAsia="zh-CN"/>
        </w:rPr>
        <w:t>现场调查</w:t>
      </w:r>
      <w:r>
        <w:rPr>
          <w:rFonts w:hint="eastAsia"/>
          <w:color w:val="auto"/>
          <w:szCs w:val="22"/>
          <w:highlight w:val="none"/>
        </w:rPr>
        <w:t>走访</w:t>
      </w:r>
      <w:r>
        <w:rPr>
          <w:bCs/>
          <w:color w:val="auto"/>
          <w:szCs w:val="22"/>
          <w:highlight w:val="none"/>
        </w:rPr>
        <w:t>和</w:t>
      </w:r>
      <w:r>
        <w:rPr>
          <w:rFonts w:hint="eastAsia"/>
          <w:bCs/>
          <w:color w:val="auto"/>
          <w:szCs w:val="22"/>
          <w:highlight w:val="none"/>
          <w:lang w:eastAsia="zh-CN"/>
        </w:rPr>
        <w:t>历史调查资料</w:t>
      </w:r>
      <w:r>
        <w:rPr>
          <w:bCs/>
          <w:color w:val="auto"/>
          <w:szCs w:val="22"/>
          <w:highlight w:val="none"/>
        </w:rPr>
        <w:t>记载，评价区内有</w:t>
      </w:r>
      <w:r>
        <w:rPr>
          <w:color w:val="auto"/>
          <w:szCs w:val="22"/>
          <w:highlight w:val="none"/>
        </w:rPr>
        <w:t>鸟类有</w:t>
      </w:r>
      <w:r>
        <w:rPr>
          <w:rFonts w:hint="eastAsia"/>
          <w:color w:val="auto"/>
          <w:szCs w:val="22"/>
          <w:highlight w:val="none"/>
        </w:rPr>
        <w:t>94</w:t>
      </w:r>
      <w:r>
        <w:rPr>
          <w:color w:val="auto"/>
          <w:szCs w:val="22"/>
          <w:highlight w:val="none"/>
        </w:rPr>
        <w:t>种，隶属</w:t>
      </w:r>
      <w:r>
        <w:rPr>
          <w:rFonts w:hint="eastAsia"/>
          <w:color w:val="auto"/>
          <w:szCs w:val="22"/>
          <w:highlight w:val="none"/>
        </w:rPr>
        <w:t>11目31科，其中</w:t>
      </w:r>
      <w:r>
        <w:rPr>
          <w:color w:val="auto"/>
          <w:szCs w:val="22"/>
          <w:highlight w:val="none"/>
        </w:rPr>
        <w:t>国家Ⅱ级重点保护</w:t>
      </w:r>
      <w:r>
        <w:rPr>
          <w:rFonts w:hint="eastAsia"/>
          <w:color w:val="auto"/>
          <w:szCs w:val="22"/>
          <w:highlight w:val="none"/>
        </w:rPr>
        <w:t>野生</w:t>
      </w:r>
      <w:r>
        <w:rPr>
          <w:color w:val="auto"/>
          <w:szCs w:val="22"/>
          <w:highlight w:val="none"/>
        </w:rPr>
        <w:t>动物</w:t>
      </w:r>
      <w:r>
        <w:rPr>
          <w:rFonts w:hint="eastAsia"/>
          <w:color w:val="auto"/>
          <w:szCs w:val="22"/>
          <w:highlight w:val="none"/>
        </w:rPr>
        <w:t>2</w:t>
      </w:r>
      <w:r>
        <w:rPr>
          <w:color w:val="auto"/>
          <w:szCs w:val="22"/>
          <w:highlight w:val="none"/>
        </w:rPr>
        <w:t>种</w:t>
      </w:r>
      <w:r>
        <w:rPr>
          <w:rFonts w:hint="eastAsia"/>
          <w:color w:val="auto"/>
          <w:szCs w:val="22"/>
          <w:highlight w:val="none"/>
        </w:rPr>
        <w:t>，</w:t>
      </w:r>
      <w:r>
        <w:rPr>
          <w:color w:val="auto"/>
          <w:szCs w:val="22"/>
          <w:highlight w:val="none"/>
        </w:rPr>
        <w:t>即普通鵟（</w:t>
      </w:r>
      <w:r>
        <w:rPr>
          <w:i/>
          <w:color w:val="auto"/>
          <w:szCs w:val="22"/>
          <w:highlight w:val="none"/>
        </w:rPr>
        <w:t>Buteo buteo</w:t>
      </w:r>
      <w:r>
        <w:rPr>
          <w:color w:val="auto"/>
          <w:szCs w:val="22"/>
          <w:highlight w:val="none"/>
        </w:rPr>
        <w:t>）、游隼（</w:t>
      </w:r>
      <w:r>
        <w:rPr>
          <w:i/>
          <w:color w:val="auto"/>
          <w:szCs w:val="22"/>
          <w:highlight w:val="none"/>
        </w:rPr>
        <w:t xml:space="preserve">Falco </w:t>
      </w:r>
      <w:r>
        <w:rPr>
          <w:i/>
          <w:color w:val="auto"/>
          <w:szCs w:val="22"/>
          <w:highlight w:val="none"/>
          <w:shd w:val="clear" w:fill="FFFFFF"/>
        </w:rPr>
        <w:t>peredrinus</w:t>
      </w:r>
      <w:r>
        <w:rPr>
          <w:color w:val="auto"/>
          <w:szCs w:val="22"/>
          <w:highlight w:val="none"/>
        </w:rPr>
        <w:t>）</w:t>
      </w:r>
      <w:r>
        <w:rPr>
          <w:rFonts w:hint="eastAsia"/>
          <w:color w:val="auto"/>
          <w:szCs w:val="22"/>
          <w:highlight w:val="none"/>
        </w:rPr>
        <w:t>，重庆市级重点</w:t>
      </w:r>
      <w:r>
        <w:rPr>
          <w:color w:val="auto"/>
          <w:szCs w:val="22"/>
          <w:highlight w:val="none"/>
        </w:rPr>
        <w:t>保护</w:t>
      </w:r>
      <w:r>
        <w:rPr>
          <w:rFonts w:hint="eastAsia"/>
          <w:color w:val="auto"/>
          <w:szCs w:val="22"/>
          <w:highlight w:val="none"/>
        </w:rPr>
        <w:t>野生</w:t>
      </w:r>
      <w:r>
        <w:rPr>
          <w:color w:val="auto"/>
          <w:szCs w:val="22"/>
          <w:highlight w:val="none"/>
        </w:rPr>
        <w:t>动物4种</w:t>
      </w:r>
      <w:r>
        <w:rPr>
          <w:rFonts w:hint="eastAsia"/>
          <w:color w:val="auto"/>
          <w:szCs w:val="22"/>
          <w:highlight w:val="none"/>
        </w:rPr>
        <w:t>，即小</w:t>
      </w:r>
      <w:r>
        <w:rPr>
          <w:rFonts w:hint="eastAsia"/>
          <w:color w:val="auto"/>
          <w:szCs w:val="22"/>
          <w:highlight w:val="none"/>
          <w:shd w:val="clear" w:fill="FFFFFF"/>
        </w:rPr>
        <w:t>鸊鷉</w:t>
      </w:r>
      <w:r>
        <w:rPr>
          <w:rFonts w:hint="eastAsia"/>
          <w:color w:val="auto"/>
          <w:szCs w:val="22"/>
          <w:highlight w:val="none"/>
        </w:rPr>
        <w:t>（</w:t>
      </w:r>
      <w:r>
        <w:rPr>
          <w:rFonts w:hint="eastAsia"/>
          <w:i/>
          <w:iCs/>
          <w:color w:val="auto"/>
          <w:szCs w:val="22"/>
          <w:highlight w:val="none"/>
        </w:rPr>
        <w:t>Podiceps ruficollis</w:t>
      </w:r>
      <w:r>
        <w:rPr>
          <w:rFonts w:hint="eastAsia"/>
          <w:color w:val="auto"/>
          <w:szCs w:val="22"/>
          <w:highlight w:val="none"/>
        </w:rPr>
        <w:t>）、普通鸬鹚（</w:t>
      </w:r>
      <w:r>
        <w:rPr>
          <w:rFonts w:hint="eastAsia"/>
          <w:i/>
          <w:iCs/>
          <w:color w:val="auto"/>
          <w:szCs w:val="22"/>
          <w:highlight w:val="none"/>
        </w:rPr>
        <w:t>Phalacrocorax carbo</w:t>
      </w:r>
      <w:r>
        <w:rPr>
          <w:rFonts w:hint="eastAsia"/>
          <w:color w:val="auto"/>
          <w:szCs w:val="22"/>
          <w:highlight w:val="none"/>
        </w:rPr>
        <w:t>）、</w:t>
      </w:r>
      <w:r>
        <w:rPr>
          <w:rFonts w:hint="eastAsia" w:ascii="宋体" w:hAnsi="宋体"/>
          <w:color w:val="auto"/>
          <w:szCs w:val="22"/>
          <w:highlight w:val="none"/>
        </w:rPr>
        <w:t>灰胸竹鸡（</w:t>
      </w:r>
      <w:r>
        <w:rPr>
          <w:rFonts w:hint="eastAsia"/>
          <w:i/>
          <w:iCs/>
          <w:color w:val="auto"/>
          <w:szCs w:val="22"/>
          <w:highlight w:val="none"/>
        </w:rPr>
        <w:t>Bambusicola thoracica</w:t>
      </w:r>
      <w:r>
        <w:rPr>
          <w:rFonts w:hint="eastAsia" w:ascii="宋体" w:hAnsi="宋体"/>
          <w:color w:val="auto"/>
          <w:szCs w:val="22"/>
          <w:highlight w:val="none"/>
        </w:rPr>
        <w:t>）、</w:t>
      </w:r>
      <w:r>
        <w:rPr>
          <w:color w:val="auto"/>
          <w:spacing w:val="-8"/>
          <w:highlight w:val="none"/>
        </w:rPr>
        <w:t>四声杜鹃</w:t>
      </w:r>
      <w:r>
        <w:rPr>
          <w:color w:val="auto"/>
          <w:highlight w:val="none"/>
        </w:rPr>
        <w:t>（</w:t>
      </w:r>
      <w:r>
        <w:rPr>
          <w:color w:val="auto"/>
          <w:spacing w:val="-40"/>
          <w:highlight w:val="none"/>
        </w:rPr>
        <w:t xml:space="preserve"> </w:t>
      </w:r>
      <w:r>
        <w:rPr>
          <w:i/>
          <w:iCs/>
          <w:color w:val="auto"/>
          <w:spacing w:val="-8"/>
          <w:highlight w:val="none"/>
        </w:rPr>
        <w:t>C.</w:t>
      </w:r>
      <w:r>
        <w:rPr>
          <w:color w:val="auto"/>
          <w:spacing w:val="-23"/>
          <w:highlight w:val="none"/>
        </w:rPr>
        <w:t xml:space="preserve"> </w:t>
      </w:r>
      <w:r>
        <w:rPr>
          <w:i/>
          <w:iCs/>
          <w:color w:val="auto"/>
          <w:spacing w:val="-8"/>
          <w:highlight w:val="none"/>
        </w:rPr>
        <w:t>micropterus</w:t>
      </w:r>
      <w:r>
        <w:rPr>
          <w:color w:val="auto"/>
          <w:highlight w:val="none"/>
        </w:rPr>
        <w:t>）</w:t>
      </w:r>
      <w:r>
        <w:rPr>
          <w:bCs/>
          <w:color w:val="auto"/>
          <w:szCs w:val="22"/>
          <w:highlight w:val="none"/>
        </w:rPr>
        <w:t>。鸟类适应高空飞行，绝大多数鸟类生境多样，因此不同生态类型物种有所重叠。按照生态型划分，属于森林生境鸟类有</w:t>
      </w:r>
      <w:r>
        <w:rPr>
          <w:rFonts w:hint="eastAsia"/>
          <w:bCs/>
          <w:color w:val="auto"/>
          <w:szCs w:val="22"/>
          <w:highlight w:val="none"/>
        </w:rPr>
        <w:t>大山雀</w:t>
      </w:r>
      <w:r>
        <w:rPr>
          <w:bCs/>
          <w:color w:val="auto"/>
          <w:szCs w:val="22"/>
          <w:highlight w:val="none"/>
        </w:rPr>
        <w:t>等；属于草地生境鸟类有山麻雀等；属于水域和农田生境鸟类有白鹭等。</w:t>
      </w:r>
    </w:p>
    <w:p>
      <w:pPr>
        <w:keepNext w:val="0"/>
        <w:keepLines w:val="0"/>
        <w:pageBreakBefore w:val="0"/>
        <w:widowControl w:val="0"/>
        <w:tabs>
          <w:tab w:val="center" w:pos="4625"/>
        </w:tabs>
        <w:kinsoku/>
        <w:wordWrap/>
        <w:overflowPunct/>
        <w:topLinePunct w:val="0"/>
        <w:bidi w:val="0"/>
        <w:adjustRightInd w:val="0"/>
        <w:snapToGrid w:val="0"/>
        <w:spacing w:line="480" w:lineRule="exact"/>
        <w:ind w:firstLine="522"/>
        <w:outlineLvl w:val="9"/>
        <w:rPr>
          <w:b/>
          <w:bCs/>
          <w:color w:val="auto"/>
          <w:highlight w:val="none"/>
        </w:rPr>
      </w:pPr>
      <w:r>
        <w:rPr>
          <w:rFonts w:hint="eastAsia"/>
          <w:b/>
          <w:bCs/>
          <w:color w:val="auto"/>
          <w:highlight w:val="none"/>
          <w:lang w:val="en-US" w:eastAsia="zh-CN"/>
        </w:rPr>
        <w:fldChar w:fldCharType="begin"/>
      </w:r>
      <w:r>
        <w:rPr>
          <w:rFonts w:hint="eastAsia"/>
          <w:b/>
          <w:bCs/>
          <w:color w:val="auto"/>
          <w:highlight w:val="none"/>
          <w:lang w:val="en-US" w:eastAsia="zh-CN"/>
        </w:rPr>
        <w:instrText xml:space="preserve"> = 4 \* GB3 \* MERGEFORMAT </w:instrText>
      </w:r>
      <w:r>
        <w:rPr>
          <w:rFonts w:hint="eastAsia"/>
          <w:b/>
          <w:bCs/>
          <w:color w:val="auto"/>
          <w:highlight w:val="none"/>
          <w:lang w:val="en-US" w:eastAsia="zh-CN"/>
        </w:rPr>
        <w:fldChar w:fldCharType="separate"/>
      </w:r>
      <w:r>
        <w:rPr>
          <w:b/>
          <w:bCs/>
          <w:color w:val="auto"/>
          <w:highlight w:val="none"/>
        </w:rPr>
        <w:t>④</w:t>
      </w:r>
      <w:r>
        <w:rPr>
          <w:rFonts w:hint="eastAsia"/>
          <w:b/>
          <w:bCs/>
          <w:color w:val="auto"/>
          <w:highlight w:val="none"/>
          <w:lang w:val="en-US" w:eastAsia="zh-CN"/>
        </w:rPr>
        <w:fldChar w:fldCharType="end"/>
      </w:r>
      <w:r>
        <w:rPr>
          <w:rFonts w:hint="eastAsia"/>
          <w:b/>
          <w:bCs/>
          <w:color w:val="auto"/>
          <w:highlight w:val="none"/>
        </w:rPr>
        <w:t>哺乳类</w:t>
      </w:r>
    </w:p>
    <w:p>
      <w:pPr>
        <w:keepNext w:val="0"/>
        <w:keepLines w:val="0"/>
        <w:pageBreakBefore w:val="0"/>
        <w:widowControl w:val="0"/>
        <w:kinsoku/>
        <w:wordWrap/>
        <w:overflowPunct/>
        <w:topLinePunct w:val="0"/>
        <w:bidi w:val="0"/>
        <w:adjustRightInd w:val="0"/>
        <w:snapToGrid w:val="0"/>
        <w:spacing w:line="480" w:lineRule="exact"/>
        <w:ind w:firstLine="520"/>
        <w:outlineLvl w:val="9"/>
        <w:rPr>
          <w:color w:val="auto"/>
          <w:szCs w:val="26"/>
          <w:highlight w:val="none"/>
        </w:rPr>
      </w:pPr>
      <w:r>
        <w:rPr>
          <w:color w:val="auto"/>
          <w:szCs w:val="22"/>
          <w:highlight w:val="none"/>
        </w:rPr>
        <w:t>根据</w:t>
      </w:r>
      <w:r>
        <w:rPr>
          <w:rFonts w:hint="eastAsia"/>
          <w:color w:val="auto"/>
          <w:szCs w:val="22"/>
          <w:highlight w:val="none"/>
          <w:lang w:eastAsia="zh-CN"/>
        </w:rPr>
        <w:t>现场调查</w:t>
      </w:r>
      <w:r>
        <w:rPr>
          <w:rFonts w:hint="eastAsia"/>
          <w:color w:val="auto"/>
          <w:szCs w:val="22"/>
          <w:highlight w:val="none"/>
        </w:rPr>
        <w:t>走访</w:t>
      </w:r>
      <w:r>
        <w:rPr>
          <w:bCs/>
          <w:color w:val="auto"/>
          <w:szCs w:val="22"/>
          <w:highlight w:val="none"/>
        </w:rPr>
        <w:t>和</w:t>
      </w:r>
      <w:r>
        <w:rPr>
          <w:rFonts w:hint="eastAsia"/>
          <w:bCs/>
          <w:color w:val="auto"/>
          <w:szCs w:val="22"/>
          <w:highlight w:val="none"/>
          <w:lang w:eastAsia="zh-CN"/>
        </w:rPr>
        <w:t>历史调查资料</w:t>
      </w:r>
      <w:r>
        <w:rPr>
          <w:bCs/>
          <w:color w:val="auto"/>
          <w:szCs w:val="22"/>
          <w:highlight w:val="none"/>
        </w:rPr>
        <w:t>记载，评价区内</w:t>
      </w:r>
      <w:r>
        <w:rPr>
          <w:rFonts w:hint="eastAsia"/>
          <w:color w:val="auto"/>
          <w:szCs w:val="28"/>
          <w:highlight w:val="none"/>
        </w:rPr>
        <w:t>哺乳类</w:t>
      </w:r>
      <w:r>
        <w:rPr>
          <w:color w:val="auto"/>
          <w:szCs w:val="22"/>
          <w:highlight w:val="none"/>
        </w:rPr>
        <w:t>有</w:t>
      </w:r>
      <w:r>
        <w:rPr>
          <w:rFonts w:hint="eastAsia"/>
          <w:color w:val="auto"/>
          <w:szCs w:val="22"/>
          <w:highlight w:val="none"/>
        </w:rPr>
        <w:t>20</w:t>
      </w:r>
      <w:r>
        <w:rPr>
          <w:color w:val="auto"/>
          <w:szCs w:val="22"/>
          <w:highlight w:val="none"/>
        </w:rPr>
        <w:t>种，隶属6目1</w:t>
      </w:r>
      <w:r>
        <w:rPr>
          <w:rFonts w:hint="eastAsia"/>
          <w:color w:val="auto"/>
          <w:szCs w:val="22"/>
          <w:highlight w:val="none"/>
        </w:rPr>
        <w:t>0</w:t>
      </w:r>
      <w:r>
        <w:rPr>
          <w:color w:val="auto"/>
          <w:szCs w:val="22"/>
          <w:highlight w:val="none"/>
        </w:rPr>
        <w:t>科</w:t>
      </w:r>
      <w:r>
        <w:rPr>
          <w:bCs/>
          <w:color w:val="auto"/>
          <w:szCs w:val="22"/>
          <w:highlight w:val="none"/>
        </w:rPr>
        <w:t>，其中</w:t>
      </w:r>
      <w:r>
        <w:rPr>
          <w:rFonts w:hint="eastAsia"/>
          <w:color w:val="auto"/>
          <w:szCs w:val="22"/>
          <w:highlight w:val="none"/>
        </w:rPr>
        <w:t>重庆市级重点</w:t>
      </w:r>
      <w:r>
        <w:rPr>
          <w:color w:val="auto"/>
          <w:szCs w:val="22"/>
          <w:highlight w:val="none"/>
        </w:rPr>
        <w:t>保护</w:t>
      </w:r>
      <w:r>
        <w:rPr>
          <w:rFonts w:hint="eastAsia"/>
          <w:color w:val="auto"/>
          <w:szCs w:val="22"/>
          <w:highlight w:val="none"/>
        </w:rPr>
        <w:t>野生</w:t>
      </w:r>
      <w:r>
        <w:rPr>
          <w:color w:val="auto"/>
          <w:szCs w:val="22"/>
          <w:highlight w:val="none"/>
        </w:rPr>
        <w:t>动物</w:t>
      </w:r>
      <w:r>
        <w:rPr>
          <w:rFonts w:hint="eastAsia"/>
          <w:color w:val="auto"/>
          <w:szCs w:val="22"/>
          <w:highlight w:val="none"/>
        </w:rPr>
        <w:t>1</w:t>
      </w:r>
      <w:r>
        <w:rPr>
          <w:color w:val="auto"/>
          <w:szCs w:val="22"/>
          <w:highlight w:val="none"/>
        </w:rPr>
        <w:t>种</w:t>
      </w:r>
      <w:r>
        <w:rPr>
          <w:rFonts w:hint="eastAsia"/>
          <w:color w:val="auto"/>
          <w:szCs w:val="22"/>
          <w:highlight w:val="none"/>
        </w:rPr>
        <w:t>，即黄鼬</w:t>
      </w:r>
      <w:r>
        <w:rPr>
          <w:color w:val="auto"/>
          <w:spacing w:val="-3"/>
          <w:highlight w:val="none"/>
        </w:rPr>
        <w:t>（</w:t>
      </w:r>
      <w:r>
        <w:rPr>
          <w:rFonts w:hint="eastAsia"/>
          <w:i/>
          <w:iCs/>
          <w:color w:val="auto"/>
          <w:spacing w:val="-3"/>
          <w:highlight w:val="none"/>
        </w:rPr>
        <w:t>Mustela sibirica</w:t>
      </w:r>
      <w:r>
        <w:rPr>
          <w:color w:val="auto"/>
          <w:highlight w:val="none"/>
        </w:rPr>
        <w:t>）</w:t>
      </w:r>
      <w:r>
        <w:rPr>
          <w:bCs/>
          <w:color w:val="auto"/>
          <w:szCs w:val="22"/>
          <w:highlight w:val="none"/>
        </w:rPr>
        <w:t>。</w:t>
      </w:r>
      <w:r>
        <w:rPr>
          <w:rFonts w:hint="eastAsia"/>
          <w:bCs/>
          <w:color w:val="auto"/>
          <w:szCs w:val="22"/>
          <w:highlight w:val="none"/>
        </w:rPr>
        <w:t>现场调查发现，评价范围内人为干扰较为强烈，哺乳类动物数量相对较少。</w:t>
      </w:r>
    </w:p>
    <w:p>
      <w:pPr>
        <w:keepNext w:val="0"/>
        <w:keepLines w:val="0"/>
        <w:pageBreakBefore w:val="0"/>
        <w:widowControl w:val="0"/>
        <w:kinsoku/>
        <w:wordWrap/>
        <w:overflowPunct/>
        <w:topLinePunct w:val="0"/>
        <w:bidi w:val="0"/>
        <w:adjustRightInd w:val="0"/>
        <w:snapToGrid w:val="0"/>
        <w:spacing w:line="480" w:lineRule="exact"/>
        <w:ind w:firstLine="520"/>
        <w:outlineLvl w:val="9"/>
        <w:rPr>
          <w:color w:val="auto"/>
          <w:szCs w:val="26"/>
          <w:highlight w:val="none"/>
        </w:rPr>
      </w:pPr>
      <w:r>
        <w:rPr>
          <w:rFonts w:hint="eastAsia"/>
          <w:color w:val="auto"/>
          <w:szCs w:val="26"/>
          <w:highlight w:val="none"/>
          <w:lang w:eastAsia="zh-CN"/>
        </w:rPr>
        <w:t>（</w:t>
      </w:r>
      <w:r>
        <w:rPr>
          <w:rFonts w:hint="eastAsia"/>
          <w:color w:val="auto"/>
          <w:szCs w:val="26"/>
          <w:highlight w:val="none"/>
          <w:lang w:val="en-US" w:eastAsia="zh-CN"/>
        </w:rPr>
        <w:t>4</w:t>
      </w:r>
      <w:r>
        <w:rPr>
          <w:rFonts w:hint="eastAsia"/>
          <w:color w:val="auto"/>
          <w:szCs w:val="26"/>
          <w:highlight w:val="none"/>
          <w:lang w:eastAsia="zh-CN"/>
        </w:rPr>
        <w:t>）重点</w:t>
      </w:r>
      <w:r>
        <w:rPr>
          <w:color w:val="auto"/>
          <w:szCs w:val="26"/>
          <w:highlight w:val="none"/>
        </w:rPr>
        <w:t>保护</w:t>
      </w:r>
      <w:r>
        <w:rPr>
          <w:rFonts w:hint="eastAsia"/>
          <w:color w:val="auto"/>
          <w:szCs w:val="26"/>
          <w:highlight w:val="none"/>
          <w:lang w:eastAsia="zh-CN"/>
        </w:rPr>
        <w:t>野生</w:t>
      </w:r>
      <w:r>
        <w:rPr>
          <w:color w:val="auto"/>
          <w:szCs w:val="26"/>
          <w:highlight w:val="none"/>
        </w:rPr>
        <w:t>动物资源</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520"/>
        <w:textAlignment w:val="baseline"/>
        <w:outlineLvl w:val="9"/>
        <w:rPr>
          <w:color w:val="auto"/>
          <w:szCs w:val="26"/>
          <w:highlight w:val="none"/>
        </w:rPr>
      </w:pPr>
      <w:r>
        <w:rPr>
          <w:rFonts w:hint="eastAsia"/>
          <w:color w:val="auto"/>
          <w:szCs w:val="26"/>
          <w:highlight w:val="none"/>
        </w:rPr>
        <w:t>根</w:t>
      </w:r>
      <w:r>
        <w:rPr>
          <w:color w:val="auto"/>
          <w:szCs w:val="26"/>
          <w:highlight w:val="none"/>
        </w:rPr>
        <w:t>据</w:t>
      </w:r>
      <w:r>
        <w:rPr>
          <w:rFonts w:hint="eastAsia"/>
          <w:color w:val="auto"/>
          <w:szCs w:val="26"/>
          <w:highlight w:val="none"/>
        </w:rPr>
        <w:t>《国家重点保护野生动物名录》（2021）、《重庆市重点保护野生动物名录》（2023）、《中国生物多样性红色名录—脊椎动物卷（2020）》，结合</w:t>
      </w:r>
      <w:r>
        <w:rPr>
          <w:color w:val="auto"/>
          <w:szCs w:val="26"/>
          <w:highlight w:val="none"/>
        </w:rPr>
        <w:t>现场调查、走访及资料收集。本项目评价范围内</w:t>
      </w:r>
      <w:r>
        <w:rPr>
          <w:rFonts w:hint="eastAsia"/>
          <w:color w:val="auto"/>
          <w:szCs w:val="22"/>
          <w:highlight w:val="none"/>
          <w:lang w:eastAsia="zh-CN"/>
        </w:rPr>
        <w:t>分布有</w:t>
      </w:r>
      <w:r>
        <w:rPr>
          <w:color w:val="auto"/>
          <w:szCs w:val="22"/>
          <w:highlight w:val="none"/>
        </w:rPr>
        <w:t>国家</w:t>
      </w:r>
      <w:r>
        <w:rPr>
          <w:rFonts w:hint="eastAsia"/>
          <w:color w:val="auto"/>
          <w:szCs w:val="22"/>
          <w:highlight w:val="none"/>
        </w:rPr>
        <w:t>二</w:t>
      </w:r>
      <w:r>
        <w:rPr>
          <w:color w:val="auto"/>
          <w:szCs w:val="22"/>
          <w:highlight w:val="none"/>
        </w:rPr>
        <w:t>级</w:t>
      </w:r>
      <w:r>
        <w:rPr>
          <w:rFonts w:hint="eastAsia"/>
          <w:color w:val="auto"/>
          <w:szCs w:val="22"/>
          <w:highlight w:val="none"/>
        </w:rPr>
        <w:t>重点</w:t>
      </w:r>
      <w:r>
        <w:rPr>
          <w:color w:val="auto"/>
          <w:szCs w:val="22"/>
          <w:highlight w:val="none"/>
        </w:rPr>
        <w:t>保护</w:t>
      </w:r>
      <w:r>
        <w:rPr>
          <w:rFonts w:hint="eastAsia"/>
          <w:color w:val="auto"/>
          <w:szCs w:val="22"/>
          <w:highlight w:val="none"/>
        </w:rPr>
        <w:t>野生</w:t>
      </w:r>
      <w:r>
        <w:rPr>
          <w:color w:val="auto"/>
          <w:szCs w:val="22"/>
          <w:highlight w:val="none"/>
        </w:rPr>
        <w:t>动物2种</w:t>
      </w:r>
      <w:r>
        <w:rPr>
          <w:rFonts w:hint="eastAsia"/>
          <w:color w:val="auto"/>
          <w:szCs w:val="22"/>
          <w:highlight w:val="none"/>
        </w:rPr>
        <w:t>，</w:t>
      </w:r>
      <w:r>
        <w:rPr>
          <w:color w:val="auto"/>
          <w:szCs w:val="22"/>
          <w:highlight w:val="none"/>
        </w:rPr>
        <w:t>即普通鵟、游隼</w:t>
      </w:r>
      <w:r>
        <w:rPr>
          <w:rFonts w:hint="eastAsia"/>
          <w:color w:val="auto"/>
          <w:szCs w:val="22"/>
          <w:highlight w:val="none"/>
        </w:rPr>
        <w:t>，重庆市级重点保护野生动物共</w:t>
      </w:r>
      <w:r>
        <w:rPr>
          <w:rFonts w:hint="eastAsia"/>
          <w:color w:val="auto"/>
          <w:szCs w:val="22"/>
          <w:highlight w:val="none"/>
          <w:lang w:val="en-US" w:eastAsia="zh-CN"/>
        </w:rPr>
        <w:t>7</w:t>
      </w:r>
      <w:r>
        <w:rPr>
          <w:rFonts w:hint="eastAsia"/>
          <w:color w:val="auto"/>
          <w:szCs w:val="22"/>
          <w:highlight w:val="none"/>
        </w:rPr>
        <w:t>种，</w:t>
      </w:r>
      <w:r>
        <w:rPr>
          <w:color w:val="auto"/>
          <w:highlight w:val="none"/>
        </w:rPr>
        <w:t>即</w:t>
      </w:r>
      <w:r>
        <w:rPr>
          <w:color w:val="auto"/>
          <w:spacing w:val="19"/>
          <w:highlight w:val="none"/>
        </w:rPr>
        <w:t>黑眉锦蛇</w:t>
      </w:r>
      <w:r>
        <w:rPr>
          <w:rFonts w:hint="eastAsia"/>
          <w:color w:val="auto"/>
          <w:szCs w:val="22"/>
          <w:highlight w:val="none"/>
        </w:rPr>
        <w:t>、</w:t>
      </w:r>
      <w:r>
        <w:rPr>
          <w:color w:val="auto"/>
          <w:spacing w:val="12"/>
          <w:highlight w:val="none"/>
        </w:rPr>
        <w:t>乌梢蛇</w:t>
      </w:r>
      <w:r>
        <w:rPr>
          <w:rFonts w:hint="eastAsia"/>
          <w:color w:val="auto"/>
          <w:szCs w:val="22"/>
          <w:highlight w:val="none"/>
        </w:rPr>
        <w:t>、</w:t>
      </w:r>
      <w:r>
        <w:rPr>
          <w:rFonts w:hint="eastAsia"/>
          <w:color w:val="auto"/>
          <w:szCs w:val="22"/>
          <w:highlight w:val="none"/>
          <w:lang w:eastAsia="zh-CN"/>
        </w:rPr>
        <w:t>灰胸竹鸡、</w:t>
      </w:r>
      <w:r>
        <w:rPr>
          <w:rFonts w:hint="eastAsia"/>
          <w:color w:val="auto"/>
          <w:szCs w:val="22"/>
          <w:highlight w:val="none"/>
        </w:rPr>
        <w:t>小</w:t>
      </w:r>
      <w:r>
        <w:rPr>
          <w:rFonts w:hint="eastAsia"/>
          <w:color w:val="auto"/>
          <w:szCs w:val="22"/>
          <w:highlight w:val="none"/>
          <w:shd w:val="clear" w:fill="FFFFFF"/>
        </w:rPr>
        <w:t>鸊鷉</w:t>
      </w:r>
      <w:r>
        <w:rPr>
          <w:rFonts w:hint="eastAsia"/>
          <w:color w:val="auto"/>
          <w:szCs w:val="22"/>
          <w:highlight w:val="none"/>
        </w:rPr>
        <w:t>、普通鸬鹚、</w:t>
      </w:r>
      <w:r>
        <w:rPr>
          <w:color w:val="auto"/>
          <w:spacing w:val="-8"/>
          <w:highlight w:val="none"/>
        </w:rPr>
        <w:t>四声杜鹃</w:t>
      </w:r>
      <w:r>
        <w:rPr>
          <w:rFonts w:hint="eastAsia"/>
          <w:color w:val="auto"/>
          <w:highlight w:val="none"/>
        </w:rPr>
        <w:t>等</w:t>
      </w:r>
      <w:r>
        <w:rPr>
          <w:rFonts w:hint="eastAsia"/>
          <w:color w:val="auto"/>
          <w:szCs w:val="26"/>
          <w:highlight w:val="none"/>
        </w:rPr>
        <w:t>，</w:t>
      </w:r>
      <w:r>
        <w:rPr>
          <w:rFonts w:hint="eastAsia"/>
          <w:color w:val="auto"/>
          <w:szCs w:val="26"/>
          <w:highlight w:val="none"/>
          <w:lang w:eastAsia="zh-CN"/>
        </w:rPr>
        <w:t>其中灰胸竹鸡为特有种。</w:t>
      </w:r>
      <w:r>
        <w:rPr>
          <w:rFonts w:hint="eastAsia"/>
          <w:color w:val="auto"/>
          <w:szCs w:val="26"/>
          <w:highlight w:val="none"/>
        </w:rPr>
        <w:t>项目占地范围</w:t>
      </w:r>
      <w:r>
        <w:rPr>
          <w:rFonts w:hint="eastAsia"/>
          <w:color w:val="auto"/>
          <w:szCs w:val="26"/>
          <w:highlight w:val="none"/>
          <w:lang w:eastAsia="zh-CN"/>
        </w:rPr>
        <w:t>主要为渭沱枢纽管理区，人为活动干扰较大，</w:t>
      </w:r>
      <w:r>
        <w:rPr>
          <w:rFonts w:hint="eastAsia"/>
          <w:color w:val="auto"/>
          <w:szCs w:val="26"/>
          <w:highlight w:val="none"/>
        </w:rPr>
        <w:t>未发现珍稀濒危重点保护野生动物栖息地</w:t>
      </w:r>
      <w:r>
        <w:rPr>
          <w:rFonts w:hint="eastAsia"/>
          <w:color w:val="auto"/>
          <w:szCs w:val="26"/>
          <w:highlight w:val="none"/>
          <w:lang w:eastAsia="zh-CN"/>
        </w:rPr>
        <w:t>分布</w:t>
      </w:r>
      <w:r>
        <w:rPr>
          <w:rFonts w:hint="eastAsia"/>
          <w:color w:val="auto"/>
          <w:szCs w:val="26"/>
          <w:highlight w:val="none"/>
        </w:rPr>
        <w:t>。详见下表：</w:t>
      </w:r>
    </w:p>
    <w:p>
      <w:pPr>
        <w:pStyle w:val="206"/>
        <w:ind w:firstLine="520"/>
        <w:rPr>
          <w:rFonts w:ascii="Times New Roman"/>
          <w:bCs/>
          <w:color w:val="auto"/>
          <w:highlight w:val="none"/>
        </w:rPr>
      </w:pPr>
      <w:r>
        <w:rPr>
          <w:rFonts w:ascii="Times New Roman"/>
          <w:bCs/>
          <w:color w:val="auto"/>
          <w:highlight w:val="none"/>
        </w:rPr>
        <w:t>表</w:t>
      </w:r>
      <w:r>
        <w:rPr>
          <w:rFonts w:hint="eastAsia" w:ascii="Times New Roman"/>
          <w:bCs/>
          <w:color w:val="auto"/>
          <w:highlight w:val="none"/>
          <w:lang w:val="en-US" w:eastAsia="zh-CN"/>
        </w:rPr>
        <w:t>3.2.2-5</w:t>
      </w:r>
      <w:r>
        <w:rPr>
          <w:rFonts w:hint="eastAsia" w:ascii="Times New Roman"/>
          <w:bCs/>
          <w:color w:val="auto"/>
          <w:highlight w:val="none"/>
        </w:rPr>
        <w:t xml:space="preserve"> </w:t>
      </w:r>
      <w:r>
        <w:rPr>
          <w:rFonts w:ascii="Times New Roman"/>
          <w:bCs/>
          <w:color w:val="auto"/>
          <w:highlight w:val="none"/>
        </w:rPr>
        <w:t xml:space="preserve"> 重要野生动物调查结果统计表</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3"/>
        <w:gridCol w:w="3261"/>
        <w:gridCol w:w="665"/>
        <w:gridCol w:w="698"/>
        <w:gridCol w:w="674"/>
        <w:gridCol w:w="1224"/>
        <w:gridCol w:w="766"/>
        <w:gridCol w:w="8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84"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bookmarkStart w:id="104" w:name="_Hlk160534524"/>
            <w:r>
              <w:rPr>
                <w:color w:val="auto"/>
                <w:sz w:val="22"/>
                <w:szCs w:val="22"/>
                <w:highlight w:val="none"/>
              </w:rPr>
              <w:t>序号</w:t>
            </w:r>
          </w:p>
        </w:tc>
        <w:tc>
          <w:tcPr>
            <w:tcW w:w="187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物种名称（中文名/拉丁名）</w:t>
            </w:r>
          </w:p>
        </w:tc>
        <w:tc>
          <w:tcPr>
            <w:tcW w:w="383"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保护级别</w:t>
            </w:r>
          </w:p>
        </w:tc>
        <w:tc>
          <w:tcPr>
            <w:tcW w:w="402"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濒危等级</w:t>
            </w:r>
          </w:p>
        </w:tc>
        <w:tc>
          <w:tcPr>
            <w:tcW w:w="38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特有种</w:t>
            </w:r>
          </w:p>
        </w:tc>
        <w:tc>
          <w:tcPr>
            <w:tcW w:w="705"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分布区域</w:t>
            </w:r>
          </w:p>
        </w:tc>
        <w:tc>
          <w:tcPr>
            <w:tcW w:w="441"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资料来源</w:t>
            </w:r>
          </w:p>
        </w:tc>
        <w:tc>
          <w:tcPr>
            <w:tcW w:w="516"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工程占用情况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84"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1</w:t>
            </w:r>
          </w:p>
        </w:tc>
        <w:tc>
          <w:tcPr>
            <w:tcW w:w="187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普通鵟</w:t>
            </w:r>
            <w:r>
              <w:rPr>
                <w:rFonts w:hint="eastAsia" w:eastAsia="Times New Roman"/>
                <w:i/>
                <w:iCs/>
                <w:color w:val="auto"/>
                <w:sz w:val="22"/>
                <w:szCs w:val="22"/>
                <w:highlight w:val="none"/>
              </w:rPr>
              <w:t>Buteo</w:t>
            </w:r>
            <w:r>
              <w:rPr>
                <w:rFonts w:eastAsia="Times New Roman"/>
                <w:color w:val="auto"/>
                <w:sz w:val="22"/>
                <w:szCs w:val="22"/>
                <w:highlight w:val="none"/>
              </w:rPr>
              <w:t xml:space="preserve"> </w:t>
            </w:r>
            <w:r>
              <w:rPr>
                <w:rFonts w:hint="eastAsia" w:eastAsia="Times New Roman"/>
                <w:i/>
                <w:iCs/>
                <w:color w:val="auto"/>
                <w:sz w:val="22"/>
                <w:szCs w:val="22"/>
                <w:highlight w:val="none"/>
              </w:rPr>
              <w:t>buteo</w:t>
            </w:r>
          </w:p>
        </w:tc>
        <w:tc>
          <w:tcPr>
            <w:tcW w:w="383"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国家</w:t>
            </w:r>
            <w:r>
              <w:rPr>
                <w:rFonts w:eastAsia="Times New Roman"/>
                <w:color w:val="auto"/>
                <w:sz w:val="22"/>
                <w:szCs w:val="22"/>
                <w:highlight w:val="none"/>
              </w:rPr>
              <w:t>Ⅱ</w:t>
            </w:r>
            <w:r>
              <w:rPr>
                <w:rFonts w:hint="eastAsia" w:eastAsia="宋体"/>
                <w:color w:val="auto"/>
                <w:sz w:val="22"/>
                <w:szCs w:val="22"/>
                <w:highlight w:val="none"/>
                <w:lang w:eastAsia="zh-CN"/>
              </w:rPr>
              <w:t>级</w:t>
            </w:r>
          </w:p>
        </w:tc>
        <w:tc>
          <w:tcPr>
            <w:tcW w:w="402"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 xml:space="preserve">LC </w:t>
            </w:r>
          </w:p>
        </w:tc>
        <w:tc>
          <w:tcPr>
            <w:tcW w:w="38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否</w:t>
            </w:r>
          </w:p>
        </w:tc>
        <w:tc>
          <w:tcPr>
            <w:tcW w:w="705"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陆栖型</w:t>
            </w:r>
          </w:p>
        </w:tc>
        <w:tc>
          <w:tcPr>
            <w:tcW w:w="441" w:type="pct"/>
            <w:vMerge w:val="restart"/>
            <w:tcBorders>
              <w:top w:val="single" w:color="auto" w:sz="4" w:space="0"/>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历史调查资料</w:t>
            </w:r>
          </w:p>
        </w:tc>
        <w:tc>
          <w:tcPr>
            <w:tcW w:w="516"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84"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2</w:t>
            </w:r>
          </w:p>
        </w:tc>
        <w:tc>
          <w:tcPr>
            <w:tcW w:w="187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val="en-US" w:eastAsia="zh-CN"/>
              </w:rPr>
            </w:pPr>
            <w:r>
              <w:rPr>
                <w:color w:val="auto"/>
                <w:sz w:val="22"/>
                <w:szCs w:val="22"/>
                <w:highlight w:val="none"/>
              </w:rPr>
              <w:t>游隼</w:t>
            </w:r>
            <w:r>
              <w:rPr>
                <w:rFonts w:hint="eastAsia" w:eastAsia="Times New Roman"/>
                <w:i/>
                <w:iCs/>
                <w:color w:val="auto"/>
                <w:sz w:val="22"/>
                <w:szCs w:val="22"/>
                <w:highlight w:val="none"/>
              </w:rPr>
              <w:t>Falco</w:t>
            </w:r>
            <w:r>
              <w:rPr>
                <w:rFonts w:eastAsia="Times New Roman"/>
                <w:color w:val="auto"/>
                <w:sz w:val="22"/>
                <w:szCs w:val="22"/>
                <w:highlight w:val="none"/>
              </w:rPr>
              <w:t xml:space="preserve"> </w:t>
            </w:r>
            <w:r>
              <w:rPr>
                <w:rFonts w:hint="eastAsia" w:eastAsia="Times New Roman"/>
                <w:i/>
                <w:iCs/>
                <w:color w:val="auto"/>
                <w:sz w:val="22"/>
                <w:szCs w:val="22"/>
                <w:highlight w:val="none"/>
                <w:shd w:val="clear" w:fill="FFFFFF"/>
              </w:rPr>
              <w:t>peredrinus</w:t>
            </w:r>
          </w:p>
        </w:tc>
        <w:tc>
          <w:tcPr>
            <w:tcW w:w="383"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国家</w:t>
            </w:r>
            <w:r>
              <w:rPr>
                <w:rFonts w:eastAsia="Times New Roman"/>
                <w:color w:val="auto"/>
                <w:sz w:val="22"/>
                <w:szCs w:val="22"/>
                <w:highlight w:val="none"/>
              </w:rPr>
              <w:t>Ⅱ</w:t>
            </w:r>
            <w:r>
              <w:rPr>
                <w:rFonts w:hint="eastAsia" w:eastAsia="宋体"/>
                <w:color w:val="auto"/>
                <w:sz w:val="22"/>
                <w:szCs w:val="22"/>
                <w:highlight w:val="none"/>
                <w:lang w:eastAsia="zh-CN"/>
              </w:rPr>
              <w:t>级</w:t>
            </w:r>
          </w:p>
        </w:tc>
        <w:tc>
          <w:tcPr>
            <w:tcW w:w="402"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NT</w:t>
            </w:r>
          </w:p>
        </w:tc>
        <w:tc>
          <w:tcPr>
            <w:tcW w:w="38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否</w:t>
            </w:r>
          </w:p>
        </w:tc>
        <w:tc>
          <w:tcPr>
            <w:tcW w:w="705"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陆栖型</w:t>
            </w:r>
          </w:p>
        </w:tc>
        <w:tc>
          <w:tcPr>
            <w:tcW w:w="441"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16"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84"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3</w:t>
            </w:r>
          </w:p>
        </w:tc>
        <w:tc>
          <w:tcPr>
            <w:tcW w:w="187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乌梢蛇</w:t>
            </w:r>
            <w:r>
              <w:rPr>
                <w:i/>
                <w:iCs/>
                <w:color w:val="auto"/>
                <w:sz w:val="22"/>
                <w:szCs w:val="22"/>
                <w:highlight w:val="none"/>
                <w:shd w:val="clear" w:fill="FFFFFF"/>
              </w:rPr>
              <w:t>Zaocys</w:t>
            </w:r>
            <w:r>
              <w:rPr>
                <w:i/>
                <w:iCs/>
                <w:color w:val="auto"/>
                <w:sz w:val="22"/>
                <w:szCs w:val="22"/>
                <w:highlight w:val="none"/>
              </w:rPr>
              <w:t xml:space="preserve"> </w:t>
            </w:r>
            <w:r>
              <w:rPr>
                <w:i/>
                <w:iCs/>
                <w:color w:val="auto"/>
                <w:sz w:val="22"/>
                <w:szCs w:val="22"/>
                <w:highlight w:val="none"/>
                <w:shd w:val="clear" w:fill="FFFFFF"/>
              </w:rPr>
              <w:t>dhumnades</w:t>
            </w:r>
          </w:p>
        </w:tc>
        <w:tc>
          <w:tcPr>
            <w:tcW w:w="383"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市级</w:t>
            </w:r>
          </w:p>
        </w:tc>
        <w:tc>
          <w:tcPr>
            <w:tcW w:w="402"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VU</w:t>
            </w:r>
          </w:p>
        </w:tc>
        <w:tc>
          <w:tcPr>
            <w:tcW w:w="38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否</w:t>
            </w:r>
          </w:p>
        </w:tc>
        <w:tc>
          <w:tcPr>
            <w:tcW w:w="705"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陆栖型</w:t>
            </w:r>
          </w:p>
        </w:tc>
        <w:tc>
          <w:tcPr>
            <w:tcW w:w="441"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16"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284"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4</w:t>
            </w:r>
          </w:p>
        </w:tc>
        <w:tc>
          <w:tcPr>
            <w:tcW w:w="187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color w:val="auto"/>
                <w:sz w:val="22"/>
                <w:szCs w:val="22"/>
                <w:highlight w:val="none"/>
              </w:rPr>
              <w:t>黑眉锦蛇</w:t>
            </w:r>
            <w:r>
              <w:rPr>
                <w:i/>
                <w:iCs/>
                <w:color w:val="auto"/>
                <w:sz w:val="22"/>
                <w:szCs w:val="22"/>
                <w:highlight w:val="none"/>
              </w:rPr>
              <w:t xml:space="preserve">Elaphe </w:t>
            </w:r>
            <w:r>
              <w:rPr>
                <w:i/>
                <w:iCs/>
                <w:color w:val="auto"/>
                <w:sz w:val="22"/>
                <w:szCs w:val="22"/>
                <w:highlight w:val="none"/>
                <w:shd w:val="clear" w:fill="FFFFFF"/>
              </w:rPr>
              <w:t>taeniura</w:t>
            </w:r>
          </w:p>
        </w:tc>
        <w:tc>
          <w:tcPr>
            <w:tcW w:w="383"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市级</w:t>
            </w:r>
          </w:p>
        </w:tc>
        <w:tc>
          <w:tcPr>
            <w:tcW w:w="402"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EN</w:t>
            </w:r>
          </w:p>
        </w:tc>
        <w:tc>
          <w:tcPr>
            <w:tcW w:w="38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color w:val="auto"/>
                <w:sz w:val="22"/>
                <w:szCs w:val="22"/>
                <w:highlight w:val="none"/>
              </w:rPr>
              <w:t>否</w:t>
            </w:r>
          </w:p>
        </w:tc>
        <w:tc>
          <w:tcPr>
            <w:tcW w:w="705"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陆栖型</w:t>
            </w:r>
          </w:p>
        </w:tc>
        <w:tc>
          <w:tcPr>
            <w:tcW w:w="441"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16"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284"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5</w:t>
            </w:r>
          </w:p>
        </w:tc>
        <w:tc>
          <w:tcPr>
            <w:tcW w:w="187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灰胸竹鸡</w:t>
            </w:r>
            <w:r>
              <w:rPr>
                <w:rFonts w:hint="eastAsia"/>
                <w:color w:val="auto"/>
                <w:sz w:val="22"/>
                <w:szCs w:val="22"/>
                <w:highlight w:val="none"/>
                <w:lang w:val="en-US" w:eastAsia="zh-CN"/>
              </w:rPr>
              <w:t xml:space="preserve"> </w:t>
            </w:r>
            <w:r>
              <w:rPr>
                <w:rFonts w:hint="eastAsia" w:eastAsia="Times New Roman"/>
                <w:i/>
                <w:iCs/>
                <w:color w:val="auto"/>
                <w:sz w:val="22"/>
                <w:highlight w:val="none"/>
              </w:rPr>
              <w:t>Bambusicola</w:t>
            </w:r>
            <w:r>
              <w:rPr>
                <w:rFonts w:eastAsia="Times New Roman"/>
                <w:color w:val="auto"/>
                <w:sz w:val="22"/>
                <w:highlight w:val="none"/>
              </w:rPr>
              <w:t xml:space="preserve"> </w:t>
            </w:r>
            <w:r>
              <w:rPr>
                <w:rFonts w:hint="eastAsia" w:eastAsia="Times New Roman"/>
                <w:i/>
                <w:iCs/>
                <w:color w:val="auto"/>
                <w:sz w:val="22"/>
                <w:highlight w:val="none"/>
              </w:rPr>
              <w:t>thoracica</w:t>
            </w:r>
          </w:p>
        </w:tc>
        <w:tc>
          <w:tcPr>
            <w:tcW w:w="383"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市级</w:t>
            </w:r>
          </w:p>
        </w:tc>
        <w:tc>
          <w:tcPr>
            <w:tcW w:w="402"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LC</w:t>
            </w:r>
          </w:p>
        </w:tc>
        <w:tc>
          <w:tcPr>
            <w:tcW w:w="38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是</w:t>
            </w:r>
          </w:p>
        </w:tc>
        <w:tc>
          <w:tcPr>
            <w:tcW w:w="705"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color w:val="auto"/>
                <w:sz w:val="22"/>
                <w:szCs w:val="22"/>
                <w:highlight w:val="none"/>
              </w:rPr>
              <w:t>陆栖型</w:t>
            </w:r>
          </w:p>
        </w:tc>
        <w:tc>
          <w:tcPr>
            <w:tcW w:w="441"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16"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84"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6</w:t>
            </w:r>
          </w:p>
        </w:tc>
        <w:tc>
          <w:tcPr>
            <w:tcW w:w="187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小</w:t>
            </w:r>
            <w:r>
              <w:rPr>
                <w:rFonts w:hint="eastAsia"/>
                <w:color w:val="auto"/>
                <w:sz w:val="22"/>
                <w:szCs w:val="22"/>
                <w:highlight w:val="none"/>
                <w:shd w:val="clear" w:fill="FFFFFF"/>
              </w:rPr>
              <w:t>鸊鷉</w:t>
            </w:r>
            <w:r>
              <w:rPr>
                <w:rFonts w:hint="eastAsia" w:eastAsia="Times New Roman"/>
                <w:i/>
                <w:iCs/>
                <w:color w:val="auto"/>
                <w:sz w:val="22"/>
                <w:szCs w:val="22"/>
                <w:highlight w:val="none"/>
              </w:rPr>
              <w:t>Podiceps</w:t>
            </w:r>
            <w:r>
              <w:rPr>
                <w:rFonts w:eastAsia="Times New Roman"/>
                <w:color w:val="auto"/>
                <w:sz w:val="22"/>
                <w:szCs w:val="22"/>
                <w:highlight w:val="none"/>
              </w:rPr>
              <w:t xml:space="preserve"> </w:t>
            </w:r>
            <w:r>
              <w:rPr>
                <w:rFonts w:hint="eastAsia" w:eastAsia="Times New Roman"/>
                <w:i/>
                <w:iCs/>
                <w:color w:val="auto"/>
                <w:sz w:val="22"/>
                <w:szCs w:val="22"/>
                <w:highlight w:val="none"/>
              </w:rPr>
              <w:t>ruficollis</w:t>
            </w:r>
          </w:p>
        </w:tc>
        <w:tc>
          <w:tcPr>
            <w:tcW w:w="383"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市级</w:t>
            </w:r>
          </w:p>
        </w:tc>
        <w:tc>
          <w:tcPr>
            <w:tcW w:w="402"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LC</w:t>
            </w:r>
          </w:p>
        </w:tc>
        <w:tc>
          <w:tcPr>
            <w:tcW w:w="38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否</w:t>
            </w:r>
          </w:p>
        </w:tc>
        <w:tc>
          <w:tcPr>
            <w:tcW w:w="705"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lang w:eastAsia="zh-CN"/>
              </w:rPr>
              <w:t>水</w:t>
            </w:r>
            <w:r>
              <w:rPr>
                <w:color w:val="auto"/>
                <w:sz w:val="22"/>
                <w:szCs w:val="22"/>
                <w:highlight w:val="none"/>
              </w:rPr>
              <w:t>栖型</w:t>
            </w:r>
          </w:p>
        </w:tc>
        <w:tc>
          <w:tcPr>
            <w:tcW w:w="441"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16"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84"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7</w:t>
            </w:r>
          </w:p>
        </w:tc>
        <w:tc>
          <w:tcPr>
            <w:tcW w:w="187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color w:val="auto"/>
                <w:sz w:val="22"/>
                <w:szCs w:val="22"/>
                <w:highlight w:val="none"/>
              </w:rPr>
            </w:pPr>
            <w:r>
              <w:rPr>
                <w:rFonts w:hint="eastAsia"/>
                <w:color w:val="auto"/>
                <w:sz w:val="22"/>
                <w:szCs w:val="22"/>
                <w:highlight w:val="none"/>
              </w:rPr>
              <w:t>普通鸬鹚</w:t>
            </w:r>
            <w:r>
              <w:rPr>
                <w:rFonts w:hint="eastAsia" w:eastAsia="Times New Roman"/>
                <w:i/>
                <w:iCs/>
                <w:color w:val="auto"/>
                <w:sz w:val="22"/>
                <w:szCs w:val="22"/>
                <w:highlight w:val="none"/>
              </w:rPr>
              <w:t>Phalacrocorax</w:t>
            </w:r>
            <w:r>
              <w:rPr>
                <w:rFonts w:eastAsia="Times New Roman"/>
                <w:color w:val="auto"/>
                <w:sz w:val="22"/>
                <w:szCs w:val="22"/>
                <w:highlight w:val="none"/>
              </w:rPr>
              <w:t xml:space="preserve"> </w:t>
            </w:r>
            <w:r>
              <w:rPr>
                <w:rFonts w:hint="eastAsia" w:eastAsia="Times New Roman"/>
                <w:i/>
                <w:iCs/>
                <w:color w:val="auto"/>
                <w:sz w:val="22"/>
                <w:szCs w:val="22"/>
                <w:highlight w:val="none"/>
              </w:rPr>
              <w:t>carbo</w:t>
            </w:r>
          </w:p>
        </w:tc>
        <w:tc>
          <w:tcPr>
            <w:tcW w:w="383"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市级</w:t>
            </w:r>
          </w:p>
        </w:tc>
        <w:tc>
          <w:tcPr>
            <w:tcW w:w="402"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lang w:val="en-US" w:eastAsia="zh-CN"/>
              </w:rPr>
              <w:t>LC</w:t>
            </w:r>
          </w:p>
        </w:tc>
        <w:tc>
          <w:tcPr>
            <w:tcW w:w="38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否</w:t>
            </w:r>
          </w:p>
        </w:tc>
        <w:tc>
          <w:tcPr>
            <w:tcW w:w="705"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lang w:eastAsia="zh-CN"/>
              </w:rPr>
              <w:t>水</w:t>
            </w:r>
            <w:r>
              <w:rPr>
                <w:color w:val="auto"/>
                <w:sz w:val="22"/>
                <w:szCs w:val="22"/>
                <w:highlight w:val="none"/>
              </w:rPr>
              <w:t>栖型</w:t>
            </w:r>
          </w:p>
        </w:tc>
        <w:tc>
          <w:tcPr>
            <w:tcW w:w="441"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16"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84"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8</w:t>
            </w:r>
          </w:p>
        </w:tc>
        <w:tc>
          <w:tcPr>
            <w:tcW w:w="187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color w:val="auto"/>
                <w:sz w:val="22"/>
                <w:szCs w:val="22"/>
                <w:highlight w:val="none"/>
              </w:rPr>
            </w:pPr>
            <w:r>
              <w:rPr>
                <w:rFonts w:hint="eastAsia" w:ascii="宋体" w:hAnsi="宋体" w:eastAsia="Times New Roman"/>
                <w:color w:val="auto"/>
                <w:sz w:val="22"/>
                <w:szCs w:val="22"/>
                <w:highlight w:val="none"/>
              </w:rPr>
              <w:t>四声杜鹃</w:t>
            </w:r>
            <w:r>
              <w:rPr>
                <w:rFonts w:hint="eastAsia" w:eastAsia="Times New Roman"/>
                <w:color w:val="auto"/>
                <w:sz w:val="22"/>
                <w:szCs w:val="22"/>
                <w:highlight w:val="none"/>
              </w:rPr>
              <w:t xml:space="preserve"> </w:t>
            </w:r>
            <w:r>
              <w:rPr>
                <w:rFonts w:hint="eastAsia" w:eastAsia="Times New Roman"/>
                <w:i/>
                <w:iCs/>
                <w:color w:val="auto"/>
                <w:sz w:val="22"/>
                <w:szCs w:val="22"/>
                <w:highlight w:val="none"/>
              </w:rPr>
              <w:t>Cuculidae</w:t>
            </w:r>
            <w:r>
              <w:rPr>
                <w:rFonts w:hint="eastAsia" w:eastAsia="宋体"/>
                <w:i/>
                <w:iCs/>
                <w:color w:val="auto"/>
                <w:sz w:val="22"/>
                <w:szCs w:val="22"/>
                <w:highlight w:val="none"/>
                <w:lang w:val="en-US" w:eastAsia="zh-CN"/>
              </w:rPr>
              <w:t xml:space="preserve"> </w:t>
            </w:r>
            <w:r>
              <w:rPr>
                <w:rFonts w:hint="eastAsia" w:eastAsia="Times New Roman"/>
                <w:i/>
                <w:iCs/>
                <w:color w:val="auto"/>
                <w:sz w:val="22"/>
                <w:szCs w:val="22"/>
                <w:highlight w:val="none"/>
              </w:rPr>
              <w:t>micropterus</w:t>
            </w:r>
          </w:p>
        </w:tc>
        <w:tc>
          <w:tcPr>
            <w:tcW w:w="383"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市级</w:t>
            </w:r>
          </w:p>
        </w:tc>
        <w:tc>
          <w:tcPr>
            <w:tcW w:w="402"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lang w:val="en-US" w:eastAsia="zh-CN"/>
              </w:rPr>
              <w:t>LC</w:t>
            </w:r>
          </w:p>
        </w:tc>
        <w:tc>
          <w:tcPr>
            <w:tcW w:w="38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否</w:t>
            </w:r>
          </w:p>
        </w:tc>
        <w:tc>
          <w:tcPr>
            <w:tcW w:w="705"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陆栖型</w:t>
            </w:r>
          </w:p>
        </w:tc>
        <w:tc>
          <w:tcPr>
            <w:tcW w:w="441" w:type="pct"/>
            <w:vMerge w:val="continue"/>
            <w:tcBorders>
              <w:left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16"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84"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9</w:t>
            </w:r>
          </w:p>
        </w:tc>
        <w:tc>
          <w:tcPr>
            <w:tcW w:w="187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hint="eastAsia" w:ascii="宋体" w:hAnsi="宋体" w:eastAsia="Times New Roman"/>
                <w:color w:val="auto"/>
                <w:sz w:val="22"/>
                <w:szCs w:val="22"/>
                <w:highlight w:val="none"/>
              </w:rPr>
            </w:pPr>
            <w:r>
              <w:rPr>
                <w:rFonts w:hint="eastAsia"/>
                <w:color w:val="auto"/>
                <w:sz w:val="22"/>
                <w:szCs w:val="22"/>
                <w:highlight w:val="none"/>
              </w:rPr>
              <w:t>黄鼬</w:t>
            </w:r>
            <w:r>
              <w:rPr>
                <w:rFonts w:hint="eastAsia"/>
                <w:color w:val="auto"/>
                <w:sz w:val="22"/>
                <w:szCs w:val="22"/>
                <w:highlight w:val="none"/>
                <w:lang w:val="en-US" w:eastAsia="zh-CN"/>
              </w:rPr>
              <w:t xml:space="preserve"> </w:t>
            </w:r>
            <w:r>
              <w:rPr>
                <w:rFonts w:ascii="Times New Roman" w:hAnsi="Times New Roman" w:eastAsia="宋体"/>
                <w:i/>
                <w:iCs/>
                <w:color w:val="auto"/>
                <w:kern w:val="0"/>
                <w:sz w:val="22"/>
                <w:szCs w:val="22"/>
                <w:highlight w:val="none"/>
              </w:rPr>
              <w:t>Mustela</w:t>
            </w:r>
            <w:r>
              <w:rPr>
                <w:rFonts w:ascii="Times New Roman" w:hAnsi="Times New Roman" w:eastAsia="宋体"/>
                <w:color w:val="auto"/>
                <w:spacing w:val="-52"/>
                <w:kern w:val="0"/>
                <w:sz w:val="22"/>
                <w:szCs w:val="22"/>
                <w:highlight w:val="none"/>
              </w:rPr>
              <w:t xml:space="preserve"> </w:t>
            </w:r>
            <w:r>
              <w:rPr>
                <w:rFonts w:ascii="Times New Roman" w:hAnsi="Times New Roman" w:eastAsia="宋体"/>
                <w:i/>
                <w:iCs/>
                <w:color w:val="auto"/>
                <w:kern w:val="0"/>
                <w:sz w:val="22"/>
                <w:szCs w:val="22"/>
                <w:highlight w:val="none"/>
              </w:rPr>
              <w:t>sibirica</w:t>
            </w:r>
          </w:p>
        </w:tc>
        <w:tc>
          <w:tcPr>
            <w:tcW w:w="383"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市级</w:t>
            </w:r>
          </w:p>
        </w:tc>
        <w:tc>
          <w:tcPr>
            <w:tcW w:w="402"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lang w:val="en-US" w:eastAsia="zh-CN"/>
              </w:rPr>
              <w:t>LC</w:t>
            </w:r>
          </w:p>
        </w:tc>
        <w:tc>
          <w:tcPr>
            <w:tcW w:w="38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否</w:t>
            </w:r>
          </w:p>
        </w:tc>
        <w:tc>
          <w:tcPr>
            <w:tcW w:w="705"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陆栖型</w:t>
            </w:r>
          </w:p>
        </w:tc>
        <w:tc>
          <w:tcPr>
            <w:tcW w:w="441" w:type="pct"/>
            <w:vMerge w:val="continue"/>
            <w:tcBorders>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p>
        </w:tc>
        <w:tc>
          <w:tcPr>
            <w:tcW w:w="516"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否</w:t>
            </w:r>
          </w:p>
        </w:tc>
      </w:tr>
      <w:bookmarkEnd w:id="104"/>
    </w:tbl>
    <w:p>
      <w:pPr>
        <w:spacing w:line="240" w:lineRule="auto"/>
        <w:ind w:firstLine="520"/>
        <w:rPr>
          <w:color w:val="auto"/>
          <w:highlight w:val="none"/>
        </w:rPr>
      </w:pPr>
    </w:p>
    <w:p>
      <w:pPr>
        <w:pStyle w:val="6"/>
        <w:keepLines w:val="0"/>
        <w:pageBreakBefore w:val="0"/>
        <w:widowControl w:val="0"/>
        <w:kinsoku/>
        <w:wordWrap/>
        <w:overflowPunct/>
        <w:topLinePunct w:val="0"/>
        <w:autoSpaceDE/>
        <w:autoSpaceDN/>
        <w:bidi w:val="0"/>
        <w:snapToGrid w:val="0"/>
        <w:textAlignment w:val="auto"/>
        <w:rPr>
          <w:color w:val="auto"/>
          <w:highlight w:val="none"/>
        </w:rPr>
      </w:pPr>
      <w:r>
        <w:rPr>
          <w:rFonts w:hint="eastAsia"/>
          <w:color w:val="auto"/>
          <w:highlight w:val="none"/>
        </w:rPr>
        <w:t>典型区域生态环境现状</w:t>
      </w:r>
    </w:p>
    <w:p>
      <w:pPr>
        <w:pStyle w:val="7"/>
        <w:keepLines w:val="0"/>
        <w:pageBreakBefore w:val="0"/>
        <w:widowControl w:val="0"/>
        <w:numPr>
          <w:ilvl w:val="0"/>
          <w:numId w:val="26"/>
        </w:numPr>
        <w:kinsoku/>
        <w:wordWrap/>
        <w:overflowPunct/>
        <w:topLinePunct w:val="0"/>
        <w:autoSpaceDE/>
        <w:autoSpaceDN/>
        <w:bidi w:val="0"/>
        <w:snapToGrid w:val="0"/>
        <w:textAlignment w:val="auto"/>
        <w:rPr>
          <w:rFonts w:hint="eastAsia"/>
          <w:color w:val="auto"/>
          <w:highlight w:val="none"/>
          <w:lang w:eastAsia="zh-CN"/>
        </w:rPr>
      </w:pPr>
      <w:r>
        <w:rPr>
          <w:rFonts w:hint="eastAsia"/>
          <w:color w:val="auto"/>
          <w:highlight w:val="none"/>
          <w:lang w:eastAsia="zh-CN"/>
        </w:rPr>
        <w:t>船闸枢纽工程区</w:t>
      </w:r>
    </w:p>
    <w:p>
      <w:pPr>
        <w:bidi w:val="0"/>
        <w:rPr>
          <w:rFonts w:hint="eastAsia"/>
          <w:color w:val="auto"/>
          <w:highlight w:val="none"/>
          <w:lang w:eastAsia="zh-CN"/>
        </w:rPr>
      </w:pPr>
      <w:r>
        <w:rPr>
          <w:rFonts w:hint="eastAsia"/>
          <w:color w:val="auto"/>
          <w:highlight w:val="none"/>
          <w:lang w:eastAsia="zh-CN"/>
        </w:rPr>
        <w:t>渭沱船闸紧邻渭沱枢纽，大部分位于现有枢纽管理区范围内，占地类型主要为</w:t>
      </w:r>
      <w:r>
        <w:rPr>
          <w:rFonts w:hint="eastAsia"/>
          <w:color w:val="auto"/>
          <w:szCs w:val="26"/>
          <w:highlight w:val="none"/>
          <w:lang w:eastAsia="zh-CN" w:bidi="ar"/>
        </w:rPr>
        <w:t>公共设施用地</w:t>
      </w:r>
      <w:r>
        <w:rPr>
          <w:rFonts w:hint="eastAsia"/>
          <w:color w:val="auto"/>
          <w:highlight w:val="none"/>
          <w:lang w:eastAsia="zh-CN"/>
        </w:rPr>
        <w:t>、乔木林地、竹林地、部分水域、河滩地以及耕地。根据现场调查，植被类型主要有少量慈竹林、枫杨林、小叶女贞灌丛、斑茅草丛等，已经在现有枢纽管理区内人工种植的黄葛树、榕树、沿阶草等，受现有船闸运行过程中人为扰动影响，该区域野生动物较少，主要有中华蟾蜍、黑斑侧褶蛙、乌梢蛇、白鹡鸰、白鹭、黄鼬、褐家鼠等常见动物种类。</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）弃渣场区域</w:t>
      </w:r>
    </w:p>
    <w:p>
      <w:pPr>
        <w:bidi w:val="0"/>
        <w:rPr>
          <w:rFonts w:hint="eastAsia"/>
          <w:color w:val="auto"/>
          <w:highlight w:val="none"/>
          <w:lang w:eastAsia="zh-CN"/>
        </w:rPr>
      </w:pPr>
      <w:r>
        <w:rPr>
          <w:rFonts w:hint="eastAsia"/>
          <w:color w:val="auto"/>
          <w:highlight w:val="none"/>
          <w:lang w:eastAsia="zh-CN"/>
        </w:rPr>
        <w:t>本次选定临时弃渣场有</w:t>
      </w:r>
      <w:r>
        <w:rPr>
          <w:rFonts w:hint="eastAsia"/>
          <w:color w:val="auto"/>
          <w:highlight w:val="none"/>
          <w:lang w:val="en-US" w:eastAsia="zh-CN"/>
        </w:rPr>
        <w:t>2处，</w:t>
      </w:r>
      <w:r>
        <w:rPr>
          <w:rFonts w:hint="eastAsia"/>
          <w:color w:val="auto"/>
          <w:highlight w:val="none"/>
          <w:lang w:eastAsia="zh-CN"/>
        </w:rPr>
        <w:t>1#弃渣场位于渭沱枢纽东南侧约300m山沟处，</w:t>
      </w:r>
      <w:r>
        <w:rPr>
          <w:rFonts w:hint="eastAsia"/>
          <w:color w:val="auto"/>
          <w:highlight w:val="none"/>
          <w:lang w:val="en-US" w:eastAsia="zh-CN"/>
        </w:rPr>
        <w:t>2#弃渣场</w:t>
      </w:r>
      <w:r>
        <w:rPr>
          <w:rFonts w:hint="eastAsia"/>
          <w:color w:val="auto"/>
          <w:highlight w:val="none"/>
          <w:lang w:eastAsia="zh-CN"/>
        </w:rPr>
        <w:t>位于铜溪镇熊家岩坪南侧、省道S451北侧，渣场与施工场地间公路运距</w:t>
      </w:r>
      <w:r>
        <w:rPr>
          <w:rFonts w:hint="eastAsia"/>
          <w:color w:val="auto"/>
          <w:highlight w:val="none"/>
          <w:lang w:val="en-US" w:eastAsia="zh-CN"/>
        </w:rPr>
        <w:t>7</w:t>
      </w:r>
      <w:r>
        <w:rPr>
          <w:rFonts w:hint="eastAsia"/>
          <w:color w:val="auto"/>
          <w:highlight w:val="none"/>
          <w:lang w:eastAsia="zh-CN"/>
        </w:rPr>
        <w:t>km。根据现场调查，</w:t>
      </w:r>
      <w:r>
        <w:rPr>
          <w:rFonts w:hint="eastAsia"/>
          <w:color w:val="auto"/>
          <w:highlight w:val="none"/>
          <w:lang w:val="en-US" w:eastAsia="zh-CN"/>
        </w:rPr>
        <w:t>2#弃渣场</w:t>
      </w:r>
      <w:r>
        <w:rPr>
          <w:rFonts w:hint="eastAsia"/>
          <w:color w:val="auto"/>
          <w:highlight w:val="none"/>
          <w:lang w:eastAsia="zh-CN"/>
        </w:rPr>
        <w:t>现状为丘陵地貌，占地类型主要为耕地，其次有少量林地、灌草丛及坑塘水面、建设用地等，林地主要包括慈竹林、柏木林，主要分布在弃渣场周边区域，在弃渣场占地范围内零星分布，占比不大，灌丛主要为构树灌丛，在占地范围内的现有道路两侧分布，草地主要为葎草、斑茅、白茅等，在弃渣场内现有荒地分布，耕地主要包括旱地、水田，种植</w:t>
      </w:r>
      <w:r>
        <w:rPr>
          <w:rFonts w:hint="eastAsia"/>
          <w:color w:val="auto"/>
          <w:highlight w:val="none"/>
          <w:shd w:val="clear" w:fill="FFFFFF"/>
          <w:lang w:eastAsia="zh-CN"/>
        </w:rPr>
        <w:t>经济作物</w:t>
      </w:r>
      <w:r>
        <w:rPr>
          <w:rFonts w:hint="eastAsia"/>
          <w:color w:val="auto"/>
          <w:highlight w:val="none"/>
          <w:lang w:eastAsia="zh-CN"/>
        </w:rPr>
        <w:t>包括红薯、水稻等。区域野生动物主要有褐家鼠、麻雀、珠颈斑鸠、白颊噪鹛、白头鹎、乌梢蛇、黑斑侧褶蛙、中华蟾蜍等。</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35"/>
        <w:gridCol w:w="43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3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b/>
                <w:color w:val="auto"/>
                <w:kern w:val="0"/>
                <w:sz w:val="22"/>
                <w:szCs w:val="22"/>
                <w:highlight w:val="none"/>
              </w:rPr>
            </w:pPr>
            <w:r>
              <w:rPr>
                <w:color w:val="auto"/>
                <w:highlight w:val="none"/>
              </w:rPr>
              <w:drawing>
                <wp:inline distT="0" distB="0" distL="114300" distR="114300">
                  <wp:extent cx="2592070" cy="2092325"/>
                  <wp:effectExtent l="0" t="0" r="17780"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61"/>
                          <a:srcRect t="10385" b="8028"/>
                          <a:stretch>
                            <a:fillRect/>
                          </a:stretch>
                        </pic:blipFill>
                        <pic:spPr>
                          <a:xfrm>
                            <a:off x="0" y="0"/>
                            <a:ext cx="2592070" cy="2092325"/>
                          </a:xfrm>
                          <a:prstGeom prst="rect">
                            <a:avLst/>
                          </a:prstGeom>
                          <a:noFill/>
                          <a:ln>
                            <a:noFill/>
                          </a:ln>
                        </pic:spPr>
                      </pic:pic>
                    </a:graphicData>
                  </a:graphic>
                </wp:inline>
              </w:drawing>
            </w:r>
          </w:p>
        </w:tc>
        <w:tc>
          <w:tcPr>
            <w:tcW w:w="434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eastAsia="宋体"/>
                <w:color w:val="auto"/>
                <w:sz w:val="22"/>
                <w:szCs w:val="22"/>
                <w:highlight w:val="none"/>
                <w:lang w:eastAsia="zh-CN"/>
              </w:rPr>
            </w:pPr>
            <w:r>
              <w:rPr>
                <w:rFonts w:hint="eastAsia" w:eastAsia="宋体"/>
                <w:color w:val="auto"/>
                <w:sz w:val="22"/>
                <w:szCs w:val="22"/>
                <w:highlight w:val="none"/>
                <w:lang w:eastAsia="zh-CN"/>
              </w:rPr>
              <w:drawing>
                <wp:inline distT="0" distB="0" distL="114300" distR="114300">
                  <wp:extent cx="2592070" cy="2075815"/>
                  <wp:effectExtent l="0" t="0" r="17780" b="635"/>
                  <wp:docPr id="38" name="图片 38" descr="DJI_20251010135544_0050_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DJI_20251010135544_0050_V"/>
                          <pic:cNvPicPr>
                            <a:picLocks noChangeAspect="1"/>
                          </pic:cNvPicPr>
                        </pic:nvPicPr>
                        <pic:blipFill>
                          <a:blip r:embed="rId62"/>
                          <a:stretch>
                            <a:fillRect/>
                          </a:stretch>
                        </pic:blipFill>
                        <pic:spPr>
                          <a:xfrm>
                            <a:off x="0" y="0"/>
                            <a:ext cx="2592070" cy="20758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3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eastAsia="宋体"/>
                <w:color w:val="auto"/>
                <w:sz w:val="22"/>
                <w:szCs w:val="22"/>
                <w:highlight w:val="none"/>
                <w:lang w:eastAsia="zh-CN"/>
              </w:rPr>
            </w:pPr>
            <w:r>
              <w:rPr>
                <w:rFonts w:hint="eastAsia"/>
                <w:color w:val="auto"/>
                <w:sz w:val="22"/>
                <w:szCs w:val="22"/>
                <w:highlight w:val="none"/>
                <w:lang w:eastAsia="zh-CN"/>
              </w:rPr>
              <w:t>船闸区域卫星图</w:t>
            </w:r>
          </w:p>
        </w:tc>
        <w:tc>
          <w:tcPr>
            <w:tcW w:w="434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eastAsia="宋体"/>
                <w:color w:val="auto"/>
                <w:sz w:val="22"/>
                <w:szCs w:val="22"/>
                <w:highlight w:val="none"/>
                <w:lang w:eastAsia="zh-CN"/>
              </w:rPr>
            </w:pPr>
            <w:r>
              <w:rPr>
                <w:rFonts w:hint="eastAsia"/>
                <w:color w:val="auto"/>
                <w:sz w:val="22"/>
                <w:szCs w:val="22"/>
                <w:highlight w:val="none"/>
                <w:lang w:eastAsia="zh-CN"/>
              </w:rPr>
              <w:t>船闸区域航拍图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3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eastAsia="宋体"/>
                <w:color w:val="auto"/>
                <w:sz w:val="22"/>
                <w:szCs w:val="22"/>
                <w:highlight w:val="none"/>
                <w:lang w:eastAsia="zh-CN"/>
              </w:rPr>
            </w:pPr>
            <w:r>
              <w:rPr>
                <w:rFonts w:hint="eastAsia" w:eastAsia="宋体"/>
                <w:color w:val="auto"/>
                <w:sz w:val="22"/>
                <w:szCs w:val="22"/>
                <w:highlight w:val="none"/>
                <w:lang w:eastAsia="zh-CN"/>
              </w:rPr>
              <w:drawing>
                <wp:inline distT="0" distB="0" distL="114300" distR="114300">
                  <wp:extent cx="2592070" cy="1943735"/>
                  <wp:effectExtent l="0" t="0" r="17780" b="18415"/>
                  <wp:docPr id="81" name="图片 81" descr="IMG_7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IMG_7799"/>
                          <pic:cNvPicPr>
                            <a:picLocks noChangeAspect="1"/>
                          </pic:cNvPicPr>
                        </pic:nvPicPr>
                        <pic:blipFill>
                          <a:blip r:embed="rId63"/>
                          <a:stretch>
                            <a:fillRect/>
                          </a:stretch>
                        </pic:blipFill>
                        <pic:spPr>
                          <a:xfrm>
                            <a:off x="0" y="0"/>
                            <a:ext cx="2592070" cy="1943735"/>
                          </a:xfrm>
                          <a:prstGeom prst="rect">
                            <a:avLst/>
                          </a:prstGeom>
                        </pic:spPr>
                      </pic:pic>
                    </a:graphicData>
                  </a:graphic>
                </wp:inline>
              </w:drawing>
            </w:r>
          </w:p>
        </w:tc>
        <w:tc>
          <w:tcPr>
            <w:tcW w:w="434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eastAsia="宋体"/>
                <w:color w:val="auto"/>
                <w:sz w:val="22"/>
                <w:szCs w:val="22"/>
                <w:highlight w:val="none"/>
                <w:lang w:eastAsia="zh-CN"/>
              </w:rPr>
            </w:pPr>
            <w:r>
              <w:rPr>
                <w:rFonts w:hint="eastAsia" w:eastAsia="宋体"/>
                <w:color w:val="auto"/>
                <w:sz w:val="22"/>
                <w:szCs w:val="22"/>
                <w:highlight w:val="none"/>
                <w:lang w:eastAsia="zh-CN"/>
              </w:rPr>
              <w:drawing>
                <wp:inline distT="0" distB="0" distL="114300" distR="114300">
                  <wp:extent cx="2592070" cy="1943735"/>
                  <wp:effectExtent l="0" t="0" r="17780" b="18415"/>
                  <wp:docPr id="82" name="图片 82" descr="IMG_7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IMG_7827"/>
                          <pic:cNvPicPr>
                            <a:picLocks noChangeAspect="1"/>
                          </pic:cNvPicPr>
                        </pic:nvPicPr>
                        <pic:blipFill>
                          <a:blip r:embed="rId64"/>
                          <a:stretch>
                            <a:fillRect/>
                          </a:stretch>
                        </pic:blipFill>
                        <pic:spPr>
                          <a:xfrm>
                            <a:off x="0" y="0"/>
                            <a:ext cx="2592070" cy="1943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3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eastAsia="宋体"/>
                <w:color w:val="auto"/>
                <w:sz w:val="22"/>
                <w:szCs w:val="22"/>
                <w:highlight w:val="none"/>
                <w:lang w:eastAsia="zh-CN"/>
              </w:rPr>
            </w:pPr>
            <w:r>
              <w:rPr>
                <w:rFonts w:hint="eastAsia"/>
                <w:color w:val="auto"/>
                <w:sz w:val="22"/>
                <w:szCs w:val="22"/>
                <w:highlight w:val="none"/>
                <w:lang w:eastAsia="zh-CN"/>
              </w:rPr>
              <w:t>船闸区域现场图</w:t>
            </w:r>
          </w:p>
        </w:tc>
        <w:tc>
          <w:tcPr>
            <w:tcW w:w="434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eastAsia="宋体"/>
                <w:color w:val="auto"/>
                <w:sz w:val="22"/>
                <w:szCs w:val="22"/>
                <w:highlight w:val="none"/>
                <w:lang w:eastAsia="zh-CN"/>
              </w:rPr>
            </w:pPr>
            <w:r>
              <w:rPr>
                <w:rFonts w:hint="eastAsia"/>
                <w:color w:val="auto"/>
                <w:sz w:val="22"/>
                <w:szCs w:val="22"/>
                <w:highlight w:val="none"/>
                <w:lang w:eastAsia="zh-CN"/>
              </w:rPr>
              <w:t>船闸区域现场图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3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ascii="Times New Roman" w:hAnsi="Times New Roman" w:eastAsia="宋体" w:cs="Times New Roman"/>
                <w:b/>
                <w:color w:val="auto"/>
                <w:kern w:val="0"/>
                <w:sz w:val="22"/>
                <w:szCs w:val="22"/>
                <w:highlight w:val="none"/>
                <w:lang w:val="en-US" w:eastAsia="zh-CN" w:bidi="ar-SA"/>
              </w:rPr>
            </w:pPr>
            <w:r>
              <w:rPr>
                <w:color w:val="auto"/>
                <w:highlight w:val="none"/>
              </w:rPr>
              <w:drawing>
                <wp:inline distT="0" distB="0" distL="114300" distR="114300">
                  <wp:extent cx="2592070" cy="1631950"/>
                  <wp:effectExtent l="0" t="0" r="17780" b="6350"/>
                  <wp:docPr id="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2"/>
                          <pic:cNvPicPr>
                            <a:picLocks noChangeAspect="1"/>
                          </pic:cNvPicPr>
                        </pic:nvPicPr>
                        <pic:blipFill>
                          <a:blip r:embed="rId65"/>
                          <a:stretch>
                            <a:fillRect/>
                          </a:stretch>
                        </pic:blipFill>
                        <pic:spPr>
                          <a:xfrm>
                            <a:off x="0" y="0"/>
                            <a:ext cx="2592070" cy="1631950"/>
                          </a:xfrm>
                          <a:prstGeom prst="rect">
                            <a:avLst/>
                          </a:prstGeom>
                          <a:noFill/>
                          <a:ln>
                            <a:noFill/>
                          </a:ln>
                        </pic:spPr>
                      </pic:pic>
                    </a:graphicData>
                  </a:graphic>
                </wp:inline>
              </w:drawing>
            </w:r>
          </w:p>
        </w:tc>
        <w:tc>
          <w:tcPr>
            <w:tcW w:w="434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b/>
                <w:color w:val="auto"/>
                <w:kern w:val="0"/>
                <w:sz w:val="22"/>
                <w:szCs w:val="22"/>
                <w:highlight w:val="none"/>
              </w:rPr>
            </w:pPr>
            <w:r>
              <w:rPr>
                <w:color w:val="auto"/>
                <w:sz w:val="22"/>
                <w:szCs w:val="22"/>
                <w:highlight w:val="none"/>
              </w:rPr>
              <w:drawing>
                <wp:inline distT="0" distB="0" distL="114300" distR="114300">
                  <wp:extent cx="2592070" cy="1746250"/>
                  <wp:effectExtent l="0" t="0" r="17780" b="6350"/>
                  <wp:docPr id="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7"/>
                          <pic:cNvPicPr>
                            <a:picLocks noChangeAspect="1"/>
                          </pic:cNvPicPr>
                        </pic:nvPicPr>
                        <pic:blipFill>
                          <a:blip r:embed="rId66"/>
                          <a:stretch>
                            <a:fillRect/>
                          </a:stretch>
                        </pic:blipFill>
                        <pic:spPr>
                          <a:xfrm>
                            <a:off x="0" y="0"/>
                            <a:ext cx="2592070" cy="17462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3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ascii="Times New Roman" w:hAnsi="Times New Roman" w:eastAsia="宋体" w:cs="Times New Roman"/>
                <w:b/>
                <w:color w:val="auto"/>
                <w:kern w:val="0"/>
                <w:sz w:val="22"/>
                <w:szCs w:val="22"/>
                <w:highlight w:val="none"/>
                <w:lang w:val="en-US" w:eastAsia="zh-CN" w:bidi="ar-SA"/>
              </w:rPr>
            </w:pPr>
            <w:r>
              <w:rPr>
                <w:rFonts w:hint="eastAsia"/>
                <w:bCs/>
                <w:color w:val="auto"/>
                <w:kern w:val="0"/>
                <w:sz w:val="22"/>
                <w:szCs w:val="22"/>
                <w:highlight w:val="none"/>
                <w:lang w:val="en-US" w:eastAsia="zh-CN"/>
              </w:rPr>
              <w:t>2#</w:t>
            </w:r>
            <w:r>
              <w:rPr>
                <w:rFonts w:hint="eastAsia"/>
                <w:bCs/>
                <w:color w:val="auto"/>
                <w:kern w:val="0"/>
                <w:sz w:val="22"/>
                <w:szCs w:val="22"/>
                <w:highlight w:val="none"/>
                <w:lang w:eastAsia="zh-CN"/>
              </w:rPr>
              <w:t>弃渣场卫星图</w:t>
            </w:r>
          </w:p>
        </w:tc>
        <w:tc>
          <w:tcPr>
            <w:tcW w:w="434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eastAsia="宋体"/>
                <w:b/>
                <w:color w:val="auto"/>
                <w:kern w:val="0"/>
                <w:sz w:val="22"/>
                <w:szCs w:val="22"/>
                <w:highlight w:val="none"/>
                <w:lang w:eastAsia="zh-CN"/>
              </w:rPr>
            </w:pPr>
            <w:r>
              <w:rPr>
                <w:rFonts w:hint="eastAsia" w:ascii="宋体" w:hAnsi="宋体"/>
                <w:b/>
                <w:color w:val="auto"/>
                <w:sz w:val="22"/>
                <w:szCs w:val="22"/>
                <w:highlight w:val="none"/>
                <w:lang w:eastAsia="zh-CN"/>
              </w:rPr>
              <w:t>弃渣场航拍照片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3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2"/>
                <w:szCs w:val="22"/>
                <w:highlight w:val="none"/>
                <w:lang w:val="en-US" w:eastAsia="zh-CN" w:bidi="ar-SA"/>
              </w:rPr>
            </w:pPr>
            <w:r>
              <w:rPr>
                <w:rFonts w:hint="eastAsia" w:eastAsia="宋体"/>
                <w:color w:val="auto"/>
                <w:sz w:val="22"/>
                <w:szCs w:val="22"/>
                <w:highlight w:val="none"/>
                <w:lang w:eastAsia="zh-CN"/>
              </w:rPr>
              <w:drawing>
                <wp:inline distT="0" distB="0" distL="114300" distR="114300">
                  <wp:extent cx="2592070" cy="1943735"/>
                  <wp:effectExtent l="0" t="0" r="17780" b="18415"/>
                  <wp:docPr id="77" name="图片 77" descr="IMG_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IMG_7455"/>
                          <pic:cNvPicPr>
                            <a:picLocks noChangeAspect="1"/>
                          </pic:cNvPicPr>
                        </pic:nvPicPr>
                        <pic:blipFill>
                          <a:blip r:embed="rId67"/>
                          <a:stretch>
                            <a:fillRect/>
                          </a:stretch>
                        </pic:blipFill>
                        <pic:spPr>
                          <a:xfrm>
                            <a:off x="0" y="0"/>
                            <a:ext cx="2592070" cy="1943735"/>
                          </a:xfrm>
                          <a:prstGeom prst="rect">
                            <a:avLst/>
                          </a:prstGeom>
                        </pic:spPr>
                      </pic:pic>
                    </a:graphicData>
                  </a:graphic>
                </wp:inline>
              </w:drawing>
            </w:r>
          </w:p>
        </w:tc>
        <w:tc>
          <w:tcPr>
            <w:tcW w:w="434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2"/>
                <w:szCs w:val="22"/>
                <w:highlight w:val="none"/>
                <w:lang w:val="en-US" w:eastAsia="zh-CN" w:bidi="ar-SA"/>
              </w:rPr>
            </w:pPr>
            <w:r>
              <w:rPr>
                <w:rFonts w:hint="eastAsia" w:eastAsia="宋体"/>
                <w:color w:val="auto"/>
                <w:sz w:val="22"/>
                <w:szCs w:val="22"/>
                <w:highlight w:val="none"/>
                <w:lang w:eastAsia="zh-CN"/>
              </w:rPr>
              <w:drawing>
                <wp:inline distT="0" distB="0" distL="114300" distR="114300">
                  <wp:extent cx="2592070" cy="1943735"/>
                  <wp:effectExtent l="0" t="0" r="17780" b="18415"/>
                  <wp:docPr id="79" name="图片 79" descr="IMG_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IMG_7725"/>
                          <pic:cNvPicPr>
                            <a:picLocks noChangeAspect="1"/>
                          </pic:cNvPicPr>
                        </pic:nvPicPr>
                        <pic:blipFill>
                          <a:blip r:embed="rId68"/>
                          <a:stretch>
                            <a:fillRect/>
                          </a:stretch>
                        </pic:blipFill>
                        <pic:spPr>
                          <a:xfrm>
                            <a:off x="0" y="0"/>
                            <a:ext cx="2592070" cy="1943735"/>
                          </a:xfrm>
                          <a:prstGeom prst="rect">
                            <a:avLst/>
                          </a:prstGeom>
                        </pic:spPr>
                      </pic:pic>
                    </a:graphicData>
                  </a:graphic>
                </wp:inline>
              </w:drawing>
            </w:r>
          </w:p>
        </w:tc>
      </w:tr>
    </w:tbl>
    <w:p>
      <w:pPr>
        <w:pStyle w:val="7"/>
        <w:widowControl w:val="0"/>
        <w:numPr>
          <w:ilvl w:val="0"/>
          <w:numId w:val="0"/>
        </w:numPr>
        <w:spacing w:line="240" w:lineRule="auto"/>
        <w:jc w:val="center"/>
        <w:rPr>
          <w:rFonts w:hint="eastAsia"/>
          <w:color w:val="auto"/>
          <w:highlight w:val="none"/>
          <w:lang w:eastAsia="zh-CN"/>
        </w:rPr>
      </w:pPr>
      <w:r>
        <w:rPr>
          <w:rFonts w:hint="eastAsia"/>
          <w:color w:val="auto"/>
          <w:highlight w:val="none"/>
          <w:lang w:eastAsia="zh-CN"/>
        </w:rPr>
        <w:t>图</w:t>
      </w:r>
      <w:r>
        <w:rPr>
          <w:rFonts w:hint="eastAsia" w:ascii="Times New Roman"/>
          <w:bCs/>
          <w:color w:val="auto"/>
          <w:highlight w:val="none"/>
          <w:lang w:val="en-US" w:eastAsia="zh-CN"/>
        </w:rPr>
        <w:t>3.2.2-3</w:t>
      </w:r>
      <w:r>
        <w:rPr>
          <w:rFonts w:hint="eastAsia"/>
          <w:bCs/>
          <w:color w:val="auto"/>
          <w:highlight w:val="none"/>
          <w:lang w:val="en-US" w:eastAsia="zh-CN"/>
        </w:rPr>
        <w:t xml:space="preserve">  </w:t>
      </w:r>
      <w:r>
        <w:rPr>
          <w:rFonts w:hint="eastAsia"/>
          <w:color w:val="auto"/>
          <w:highlight w:val="none"/>
          <w:lang w:eastAsia="zh-CN"/>
        </w:rPr>
        <w:t>典型区域生态现状图</w:t>
      </w:r>
    </w:p>
    <w:p>
      <w:pPr>
        <w:pStyle w:val="5"/>
        <w:ind w:firstLine="522"/>
        <w:rPr>
          <w:color w:val="auto"/>
          <w:highlight w:val="none"/>
        </w:rPr>
      </w:pPr>
      <w:r>
        <w:rPr>
          <w:rFonts w:hint="eastAsia"/>
          <w:color w:val="auto"/>
          <w:highlight w:val="none"/>
        </w:rPr>
        <w:t>水生生物</w:t>
      </w:r>
      <w:r>
        <w:rPr>
          <w:color w:val="auto"/>
          <w:highlight w:val="none"/>
        </w:rPr>
        <w:t>现状调查与评价</w:t>
      </w:r>
    </w:p>
    <w:p>
      <w:pPr>
        <w:pStyle w:val="6"/>
        <w:bidi w:val="0"/>
        <w:ind w:left="0" w:leftChars="0" w:firstLine="522" w:firstLineChars="200"/>
        <w:rPr>
          <w:rFonts w:hint="default"/>
          <w:color w:val="auto"/>
          <w:highlight w:val="none"/>
        </w:rPr>
      </w:pPr>
      <w:r>
        <w:rPr>
          <w:rFonts w:hint="eastAsia"/>
          <w:color w:val="auto"/>
          <w:highlight w:val="none"/>
          <w:lang w:val="en-US" w:eastAsia="zh-CN"/>
        </w:rPr>
        <w:t>调查方法</w:t>
      </w:r>
    </w:p>
    <w:p>
      <w:pPr>
        <w:numPr>
          <w:ilvl w:val="0"/>
          <w:numId w:val="27"/>
        </w:numPr>
        <w:ind w:firstLine="52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资料收集</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eastAsia" w:cs="Times New Roman"/>
          <w:color w:val="auto"/>
          <w:kern w:val="2"/>
          <w:sz w:val="26"/>
          <w:szCs w:val="26"/>
          <w:highlight w:val="none"/>
          <w:lang w:val="en-US" w:eastAsia="zh-CN" w:bidi="ar"/>
        </w:rPr>
        <w:t>本次评价</w:t>
      </w:r>
      <w:r>
        <w:rPr>
          <w:rFonts w:hint="default" w:ascii="Times New Roman" w:hAnsi="Times New Roman" w:eastAsia="宋体" w:cs="Times New Roman"/>
          <w:color w:val="auto"/>
          <w:kern w:val="2"/>
          <w:sz w:val="26"/>
          <w:szCs w:val="26"/>
          <w:highlight w:val="none"/>
          <w:lang w:val="en-US" w:eastAsia="zh-CN" w:bidi="ar"/>
        </w:rPr>
        <w:t>以水生生态专题评价单位重庆师范大学完成的《涪江渭沱枢纽船闸扩能升级改造工程水生生物影响专题论证报告》（2023年）、重庆市2022年度水生生物资源监测资料（合川渭沱断面）作为本项目的水生生态现状及影响分析的直接支撑材料，同时收集整理了《涪江重庆段航道整治工程环境影响报告书》（2024）、《重庆合川三江国家湿地公园总体规划（2017-2021）</w:t>
      </w:r>
      <w:r>
        <w:rPr>
          <w:rFonts w:hint="default" w:ascii="Times New Roman" w:hAnsi="Times New Roman" w:eastAsia="宋体" w:cs="Times New Roman"/>
          <w:color w:val="auto"/>
          <w:kern w:val="2"/>
          <w:sz w:val="26"/>
          <w:szCs w:val="26"/>
          <w:highlight w:val="none"/>
          <w:shd w:val="clear" w:fill="FFFFFF"/>
          <w:lang w:val="en-US" w:eastAsia="zh-CN" w:bidi="ar"/>
        </w:rPr>
        <w:t>》、《</w:t>
      </w:r>
      <w:r>
        <w:rPr>
          <w:rFonts w:hint="default" w:ascii="Times New Roman" w:hAnsi="Times New Roman" w:eastAsia="宋体" w:cs="Times New Roman"/>
          <w:color w:val="auto"/>
          <w:kern w:val="2"/>
          <w:sz w:val="26"/>
          <w:szCs w:val="26"/>
          <w:highlight w:val="none"/>
          <w:lang w:val="en-US" w:eastAsia="zh-CN" w:bidi="ar"/>
        </w:rPr>
        <w:t>涪江重庆段航道整治工程对重庆合川三江国家湿地公园及合川涪江一般湿地生态影响专题报告》（2024）、《安居水电站扩建工程环境影响报告书》（2015年）、《嘉陵江流域重庆境内水生生态环境影响回顾性评价》（2017年）、《重庆市渝西水资源配置工程总体方案环境影响报告书》（2018年）、《嘉陵江流域（桐子壕至河口）航电开发环境影响回顾性评价报告》（2018年）、《重庆市涪江流域水能资源开发规划（修编）环境影响评价报告书》（2020年）、《重庆市渝西水资源配置工程环境影响评价报告书》（2020年）、《涪江重庆段流域环境影响回顾性评价报告书》（2021年）等相关报告资料，以及</w:t>
      </w:r>
      <w:r>
        <w:rPr>
          <w:rFonts w:hint="default" w:ascii="Times New Roman" w:hAnsi="Times New Roman" w:eastAsia="宋体" w:cs="Times New Roman"/>
          <w:color w:val="auto"/>
          <w:kern w:val="2"/>
          <w:sz w:val="26"/>
          <w:szCs w:val="26"/>
          <w:highlight w:val="none"/>
          <w:shd w:val="clear" w:fill="FFFFFF"/>
          <w:lang w:val="en-US" w:eastAsia="zh-CN" w:bidi="ar"/>
        </w:rPr>
        <w:t>上世纪七十年代</w:t>
      </w:r>
      <w:r>
        <w:rPr>
          <w:rFonts w:hint="default" w:ascii="Times New Roman" w:hAnsi="Times New Roman" w:eastAsia="宋体" w:cs="Times New Roman"/>
          <w:color w:val="auto"/>
          <w:kern w:val="2"/>
          <w:sz w:val="26"/>
          <w:szCs w:val="26"/>
          <w:highlight w:val="none"/>
          <w:lang w:val="en-US" w:eastAsia="zh-CN" w:bidi="ar"/>
        </w:rPr>
        <w:t>四川省嘉陵江渔业资源调查协作组《四川省嘉陵江水系鱼类资源调查报告》和西南大学</w:t>
      </w:r>
      <w:r>
        <w:rPr>
          <w:rFonts w:hint="default" w:ascii="Times New Roman" w:hAnsi="Times New Roman" w:eastAsia="宋体" w:cs="Times New Roman"/>
          <w:color w:val="auto"/>
          <w:kern w:val="2"/>
          <w:sz w:val="26"/>
          <w:szCs w:val="26"/>
          <w:highlight w:val="none"/>
          <w:shd w:val="clear" w:fill="FFFFFF"/>
          <w:lang w:val="en-US" w:eastAsia="zh-CN" w:bidi="ar"/>
        </w:rPr>
        <w:t>九十年代</w:t>
      </w:r>
      <w:r>
        <w:rPr>
          <w:rFonts w:hint="default" w:ascii="Times New Roman" w:hAnsi="Times New Roman" w:eastAsia="宋体" w:cs="Times New Roman"/>
          <w:color w:val="auto"/>
          <w:kern w:val="2"/>
          <w:sz w:val="26"/>
          <w:szCs w:val="26"/>
          <w:highlight w:val="none"/>
          <w:lang w:val="en-US" w:eastAsia="zh-CN" w:bidi="ar"/>
        </w:rPr>
        <w:t>后期对涪江下游段渔获物的统计等历史资料，初步掌握了评价区生态环境背景资料。</w:t>
      </w:r>
    </w:p>
    <w:p>
      <w:pPr>
        <w:keepNext w:val="0"/>
        <w:keepLines w:val="0"/>
        <w:widowControl w:val="0"/>
        <w:suppressLineNumbers w:val="0"/>
        <w:autoSpaceDE w:val="0"/>
        <w:autoSpaceDN w:val="0"/>
        <w:adjustRightInd w:val="0"/>
        <w:snapToGrid w:val="0"/>
        <w:spacing w:before="0" w:beforeAutospacing="0" w:after="0" w:afterAutospacing="0" w:line="480" w:lineRule="exact"/>
        <w:ind w:left="0" w:right="0" w:firstLine="520" w:firstLineChars="200"/>
        <w:jc w:val="both"/>
        <w:textAlignment w:val="baseline"/>
        <w:rPr>
          <w:rFonts w:hint="default" w:ascii="Times New Roman" w:hAnsi="Times New Roman" w:eastAsia="宋体" w:cs="Times New Roman"/>
          <w:color w:val="auto"/>
          <w:kern w:val="2"/>
          <w:sz w:val="26"/>
          <w:szCs w:val="26"/>
          <w:highlight w:val="none"/>
          <w:vertAlign w:val="baseline"/>
        </w:rPr>
      </w:pPr>
      <w:r>
        <w:rPr>
          <w:rFonts w:hint="default" w:ascii="Times New Roman" w:hAnsi="Times New Roman" w:eastAsia="宋体" w:cs="Times New Roman"/>
          <w:color w:val="auto"/>
          <w:kern w:val="2"/>
          <w:sz w:val="26"/>
          <w:szCs w:val="26"/>
          <w:highlight w:val="none"/>
          <w:vertAlign w:val="baseline"/>
          <w:lang w:val="en-US" w:eastAsia="zh-CN" w:bidi="ar"/>
        </w:rPr>
        <w:t>《涪江渭沱枢纽船闸扩能升级改造工程水生生物影响专题论证报告》（2023年）和重庆市2022年度水生生物资源监测资料在收集历史调查资料的情况下于2023年5月（鱼类主要繁殖期、丰水期）、9月（丰水期）、11月（枯水期）开展了</w:t>
      </w:r>
      <w:r>
        <w:rPr>
          <w:rFonts w:hint="default" w:ascii="Times New Roman" w:hAnsi="Times New Roman" w:cs="Times New Roman"/>
          <w:color w:val="auto"/>
          <w:kern w:val="2"/>
          <w:sz w:val="26"/>
          <w:szCs w:val="26"/>
          <w:highlight w:val="none"/>
          <w:vertAlign w:val="baseline"/>
          <w:lang w:val="en-US" w:eastAsia="zh-CN" w:bidi="ar"/>
        </w:rPr>
        <w:t>评价区内涪江</w:t>
      </w:r>
      <w:r>
        <w:rPr>
          <w:rFonts w:hint="default" w:ascii="Times New Roman" w:hAnsi="Times New Roman" w:eastAsia="宋体" w:cs="Times New Roman"/>
          <w:color w:val="auto"/>
          <w:kern w:val="2"/>
          <w:sz w:val="26"/>
          <w:szCs w:val="26"/>
          <w:highlight w:val="none"/>
          <w:vertAlign w:val="baseline"/>
          <w:lang w:val="en-US" w:eastAsia="zh-CN" w:bidi="ar"/>
        </w:rPr>
        <w:t>干流、河口和支流等不同水域类型的水生生态调查工作，包括浮游动植物、底栖动物、鱼类及其“三场”的现状等内容。其中，由于长江流域“十年禁渔”，涪江属于禁渔区域，在资料收集基础上补充采用环境DNA相结合的方法了解评价江段鱼类种类。水生生态现状的调查时间（调查时间在5年内，一级评价应至少开展丰水期、枯水期两期调查）、点位和断面（干流、河口和支流等不同水域类型）等满足导则对生态现状引用资料要求，具有较好的代表性。</w:t>
      </w:r>
    </w:p>
    <w:p>
      <w:pPr>
        <w:numPr>
          <w:ilvl w:val="0"/>
          <w:numId w:val="27"/>
        </w:numPr>
        <w:ind w:firstLine="52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调查方法</w:t>
      </w:r>
    </w:p>
    <w:p>
      <w:pPr>
        <w:keepNext w:val="0"/>
        <w:keepLines w:val="0"/>
        <w:widowControl w:val="0"/>
        <w:suppressLineNumbers w:val="0"/>
        <w:spacing w:before="0" w:beforeAutospacing="0" w:after="0" w:afterAutospacing="0" w:line="460" w:lineRule="exact"/>
        <w:ind w:left="0" w:right="0" w:firstLine="52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6"/>
          <w:szCs w:val="26"/>
          <w:highlight w:val="none"/>
          <w:lang w:val="en-US" w:eastAsia="zh-CN" w:bidi="ar"/>
        </w:rPr>
        <w:t>调查方法按照《环境影响评价技术导则 水利水电工程》(HJ/T88-2003)、《水库渔业资源调查规范》(SL 167-96)、《内陆水域渔业自然资源调查手册</w:t>
      </w:r>
      <w:r>
        <w:rPr>
          <w:rFonts w:hint="default" w:ascii="Times New Roman" w:hAnsi="Times New Roman" w:eastAsia="宋体" w:cs="Times New Roman"/>
          <w:color w:val="auto"/>
          <w:kern w:val="2"/>
          <w:sz w:val="26"/>
          <w:szCs w:val="26"/>
          <w:highlight w:val="none"/>
          <w:shd w:val="clear" w:fill="FFFFFF"/>
          <w:lang w:val="en-US" w:eastAsia="zh-CN" w:bidi="ar"/>
        </w:rPr>
        <w:t>》、《</w:t>
      </w:r>
      <w:r>
        <w:rPr>
          <w:rFonts w:hint="default" w:ascii="Times New Roman" w:hAnsi="Times New Roman" w:eastAsia="宋体" w:cs="Times New Roman"/>
          <w:color w:val="auto"/>
          <w:kern w:val="2"/>
          <w:sz w:val="26"/>
          <w:szCs w:val="26"/>
          <w:highlight w:val="none"/>
          <w:lang w:val="en-US" w:eastAsia="zh-CN" w:bidi="ar"/>
        </w:rPr>
        <w:t>淡水浮游生物研究方法》等进行现场调查、采样和检测，满足《环境影响评价技术导则 生态影响》（HJ19-2022）及《生物多样性观测技术导则 内陆水域鱼类》（HJ 710.7）要求。</w:t>
      </w:r>
    </w:p>
    <w:p>
      <w:pPr>
        <w:numPr>
          <w:ilvl w:val="0"/>
          <w:numId w:val="27"/>
        </w:numPr>
        <w:spacing w:beforeLines="0" w:afterLines="0"/>
        <w:ind w:firstLine="520"/>
        <w:rPr>
          <w:rFonts w:hint="default" w:ascii="Times New Roman" w:hAnsi="Times New Roman" w:cs="Times New Roman"/>
          <w:color w:val="auto"/>
          <w:sz w:val="26"/>
          <w:szCs w:val="24"/>
          <w:highlight w:val="none"/>
        </w:rPr>
      </w:pPr>
      <w:r>
        <w:rPr>
          <w:rFonts w:hint="default" w:ascii="Times New Roman" w:hAnsi="Times New Roman" w:cs="Times New Roman"/>
          <w:color w:val="auto"/>
          <w:sz w:val="26"/>
          <w:szCs w:val="24"/>
          <w:highlight w:val="none"/>
        </w:rPr>
        <w:t>调查</w:t>
      </w:r>
      <w:r>
        <w:rPr>
          <w:rFonts w:hint="default" w:ascii="Times New Roman" w:hAnsi="Times New Roman" w:cs="Times New Roman"/>
          <w:color w:val="auto"/>
          <w:sz w:val="26"/>
          <w:szCs w:val="24"/>
          <w:highlight w:val="none"/>
          <w:lang w:val="en-US" w:eastAsia="zh-CN"/>
        </w:rPr>
        <w:t>范围</w:t>
      </w:r>
    </w:p>
    <w:p>
      <w:pPr>
        <w:keepNext w:val="0"/>
        <w:keepLines w:val="0"/>
        <w:widowControl w:val="0"/>
        <w:suppressLineNumbers w:val="0"/>
        <w:adjustRightIn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以历史资料为基础，以工程影响区域为重点，兼顾全面的原则，根据</w:t>
      </w:r>
      <w:r>
        <w:rPr>
          <w:rFonts w:hint="default" w:ascii="Times New Roman" w:hAnsi="Times New Roman" w:cs="Times New Roman"/>
          <w:color w:val="auto"/>
          <w:kern w:val="2"/>
          <w:sz w:val="26"/>
          <w:szCs w:val="26"/>
          <w:highlight w:val="none"/>
          <w:lang w:val="en-US" w:eastAsia="zh-CN" w:bidi="ar"/>
        </w:rPr>
        <w:t>评价</w:t>
      </w:r>
      <w:r>
        <w:rPr>
          <w:rFonts w:hint="default" w:ascii="Times New Roman" w:hAnsi="Times New Roman" w:eastAsia="宋体" w:cs="Times New Roman"/>
          <w:color w:val="auto"/>
          <w:kern w:val="2"/>
          <w:sz w:val="26"/>
          <w:szCs w:val="26"/>
          <w:highlight w:val="none"/>
          <w:lang w:val="en-US" w:eastAsia="zh-CN" w:bidi="ar"/>
        </w:rPr>
        <w:t>江段的水文特征和水生生物生态习性，在渭沱库区尾段、中段、首段设置3个监测断面，渭沱坝下设置1个监测断面。</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520" w:firstLineChars="200"/>
        <w:jc w:val="center"/>
        <w:rPr>
          <w:rFonts w:hint="default" w:ascii="Times New Roman" w:hAnsi="Times New Roman" w:eastAsia="宋体" w:cs="Times New Roman"/>
          <w:color w:val="auto"/>
          <w:kern w:val="2"/>
          <w:sz w:val="26"/>
          <w:szCs w:val="26"/>
          <w:highlight w:val="none"/>
          <w:lang w:val="en-US" w:eastAsia="zh-CN" w:bidi="ar"/>
        </w:rPr>
      </w:pP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2"/>
          <w:sz w:val="26"/>
          <w:szCs w:val="26"/>
          <w:highlight w:val="none"/>
          <w:vertAlign w:val="baseline"/>
        </w:rPr>
      </w:pPr>
      <w:r>
        <w:rPr>
          <w:rFonts w:hint="default" w:ascii="Times New Roman" w:hAnsi="Times New Roman" w:eastAsia="宋体" w:cs="Times New Roman"/>
          <w:b/>
          <w:bCs/>
          <w:color w:val="auto"/>
          <w:kern w:val="2"/>
          <w:sz w:val="26"/>
          <w:szCs w:val="26"/>
          <w:highlight w:val="none"/>
          <w:vertAlign w:val="baseline"/>
          <w:lang w:val="en-US" w:eastAsia="zh-CN" w:bidi="ar"/>
        </w:rPr>
        <w:t>表</w:t>
      </w:r>
      <w:r>
        <w:rPr>
          <w:rFonts w:hint="default" w:ascii="Times New Roman" w:hAnsi="Times New Roman" w:cs="Times New Roman"/>
          <w:b/>
          <w:bCs/>
          <w:color w:val="auto"/>
          <w:kern w:val="2"/>
          <w:sz w:val="26"/>
          <w:szCs w:val="26"/>
          <w:highlight w:val="none"/>
          <w:vertAlign w:val="baseline"/>
          <w:lang w:val="en-US" w:eastAsia="zh-CN" w:bidi="ar"/>
        </w:rPr>
        <w:t>3.2.3.1</w:t>
      </w:r>
      <w:r>
        <w:rPr>
          <w:rFonts w:hint="default" w:ascii="Times New Roman" w:hAnsi="Times New Roman" w:eastAsia="宋体" w:cs="Times New Roman"/>
          <w:b/>
          <w:bCs/>
          <w:color w:val="auto"/>
          <w:kern w:val="2"/>
          <w:sz w:val="26"/>
          <w:szCs w:val="26"/>
          <w:highlight w:val="none"/>
          <w:vertAlign w:val="baseline"/>
          <w:lang w:val="en-US" w:eastAsia="zh-CN" w:bidi="ar"/>
        </w:rPr>
        <w:t>-1  评价江段水生采样断面位置</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28"/>
        <w:gridCol w:w="1044"/>
        <w:gridCol w:w="1697"/>
        <w:gridCol w:w="1697"/>
        <w:gridCol w:w="1132"/>
        <w:gridCol w:w="19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28" w:type="dxa"/>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2"/>
                <w:szCs w:val="22"/>
                <w:highlight w:val="none"/>
              </w:rPr>
            </w:pPr>
            <w:r>
              <w:rPr>
                <w:rFonts w:hint="default" w:ascii="Times New Roman" w:hAnsi="Times New Roman" w:eastAsia="宋体" w:cs="Times New Roman"/>
                <w:b/>
                <w:bCs/>
                <w:color w:val="auto"/>
                <w:kern w:val="0"/>
                <w:sz w:val="22"/>
                <w:szCs w:val="22"/>
                <w:highlight w:val="none"/>
                <w:lang w:val="en-US" w:eastAsia="zh-CN" w:bidi="ar"/>
              </w:rPr>
              <w:t>河段</w:t>
            </w:r>
          </w:p>
        </w:tc>
        <w:tc>
          <w:tcPr>
            <w:tcW w:w="1044" w:type="dxa"/>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2"/>
                <w:szCs w:val="22"/>
                <w:highlight w:val="none"/>
              </w:rPr>
            </w:pPr>
            <w:r>
              <w:rPr>
                <w:rFonts w:hint="default" w:ascii="Times New Roman" w:hAnsi="Times New Roman" w:eastAsia="宋体" w:cs="Times New Roman"/>
                <w:b/>
                <w:bCs/>
                <w:color w:val="auto"/>
                <w:kern w:val="0"/>
                <w:sz w:val="22"/>
                <w:szCs w:val="22"/>
                <w:highlight w:val="none"/>
                <w:lang w:val="en-US" w:eastAsia="zh-CN" w:bidi="ar"/>
              </w:rPr>
              <w:t>采样点</w:t>
            </w:r>
          </w:p>
        </w:tc>
        <w:tc>
          <w:tcPr>
            <w:tcW w:w="1697" w:type="dxa"/>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2"/>
                <w:szCs w:val="22"/>
                <w:highlight w:val="none"/>
              </w:rPr>
            </w:pPr>
            <w:r>
              <w:rPr>
                <w:rFonts w:hint="default" w:ascii="Times New Roman" w:hAnsi="Times New Roman" w:eastAsia="宋体" w:cs="Times New Roman"/>
                <w:b/>
                <w:bCs/>
                <w:color w:val="auto"/>
                <w:kern w:val="0"/>
                <w:sz w:val="22"/>
                <w:szCs w:val="22"/>
                <w:highlight w:val="none"/>
                <w:lang w:val="en-US" w:eastAsia="zh-CN" w:bidi="ar"/>
              </w:rPr>
              <w:t>经度</w:t>
            </w:r>
          </w:p>
        </w:tc>
        <w:tc>
          <w:tcPr>
            <w:tcW w:w="1697" w:type="dxa"/>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2"/>
                <w:szCs w:val="22"/>
                <w:highlight w:val="none"/>
              </w:rPr>
            </w:pPr>
            <w:r>
              <w:rPr>
                <w:rFonts w:hint="default" w:ascii="Times New Roman" w:hAnsi="Times New Roman" w:eastAsia="宋体" w:cs="Times New Roman"/>
                <w:b/>
                <w:bCs/>
                <w:color w:val="auto"/>
                <w:kern w:val="0"/>
                <w:sz w:val="22"/>
                <w:szCs w:val="22"/>
                <w:highlight w:val="none"/>
                <w:lang w:val="en-US" w:eastAsia="zh-CN" w:bidi="ar"/>
              </w:rPr>
              <w:t>纬度</w:t>
            </w:r>
          </w:p>
        </w:tc>
        <w:tc>
          <w:tcPr>
            <w:tcW w:w="1132" w:type="dxa"/>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2"/>
                <w:szCs w:val="22"/>
                <w:highlight w:val="none"/>
              </w:rPr>
            </w:pPr>
            <w:r>
              <w:rPr>
                <w:rFonts w:hint="default" w:ascii="Times New Roman" w:hAnsi="Times New Roman" w:eastAsia="宋体" w:cs="Times New Roman"/>
                <w:b/>
                <w:bCs/>
                <w:color w:val="auto"/>
                <w:kern w:val="0"/>
                <w:sz w:val="22"/>
                <w:szCs w:val="22"/>
                <w:highlight w:val="none"/>
                <w:lang w:val="en-US" w:eastAsia="zh-CN" w:bidi="ar"/>
              </w:rPr>
              <w:t>高程（m）</w:t>
            </w:r>
          </w:p>
        </w:tc>
        <w:tc>
          <w:tcPr>
            <w:tcW w:w="1980" w:type="dxa"/>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2"/>
                <w:szCs w:val="22"/>
                <w:highlight w:val="none"/>
              </w:rPr>
            </w:pPr>
            <w:r>
              <w:rPr>
                <w:rFonts w:hint="default" w:ascii="Times New Roman" w:hAnsi="Times New Roman" w:eastAsia="宋体" w:cs="Times New Roman"/>
                <w:b/>
                <w:bCs/>
                <w:color w:val="auto"/>
                <w:kern w:val="0"/>
                <w:sz w:val="22"/>
                <w:szCs w:val="22"/>
                <w:highlight w:val="none"/>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8" w:type="dxa"/>
            <w:vMerge w:val="restart"/>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渭沱库区</w:t>
            </w:r>
          </w:p>
        </w:tc>
        <w:tc>
          <w:tcPr>
            <w:tcW w:w="1044" w:type="dxa"/>
            <w:shd w:val="clear" w:color="auto" w:fill="auto"/>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lang w:val="en-US"/>
              </w:rPr>
            </w:pPr>
            <w:r>
              <w:rPr>
                <w:rFonts w:hint="default" w:ascii="Times New Roman" w:hAnsi="Times New Roman" w:eastAsia="宋体" w:cs="Times New Roman"/>
                <w:iCs/>
                <w:color w:val="auto"/>
                <w:kern w:val="0"/>
                <w:sz w:val="22"/>
                <w:szCs w:val="22"/>
                <w:highlight w:val="none"/>
                <w:lang w:val="en-US" w:eastAsia="zh-CN" w:bidi="ar"/>
              </w:rPr>
              <w:t>S1</w:t>
            </w:r>
          </w:p>
        </w:tc>
        <w:tc>
          <w:tcPr>
            <w:tcW w:w="1697" w:type="dxa"/>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iCs/>
                <w:color w:val="auto"/>
                <w:kern w:val="0"/>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E106.02663663</w:t>
            </w:r>
          </w:p>
        </w:tc>
        <w:tc>
          <w:tcPr>
            <w:tcW w:w="1697" w:type="dxa"/>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iCs/>
                <w:color w:val="auto"/>
                <w:kern w:val="0"/>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N29.99488693</w:t>
            </w:r>
          </w:p>
        </w:tc>
        <w:tc>
          <w:tcPr>
            <w:tcW w:w="1132" w:type="dxa"/>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iCs/>
                <w:color w:val="auto"/>
                <w:kern w:val="0"/>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211.0</w:t>
            </w:r>
          </w:p>
        </w:tc>
        <w:tc>
          <w:tcPr>
            <w:tcW w:w="1980" w:type="dxa"/>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iCs/>
                <w:color w:val="auto"/>
                <w:kern w:val="0"/>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安居镇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8" w:type="dxa"/>
            <w:vMerge w:val="continue"/>
            <w:shd w:val="clear" w:color="auto" w:fill="auto"/>
            <w:vAlign w:val="center"/>
          </w:tcPr>
          <w:p>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0"/>
                <w:szCs w:val="20"/>
                <w:highlight w:val="none"/>
              </w:rPr>
            </w:pPr>
          </w:p>
        </w:tc>
        <w:tc>
          <w:tcPr>
            <w:tcW w:w="1044" w:type="dxa"/>
            <w:shd w:val="clear" w:color="auto" w:fill="auto"/>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S2</w:t>
            </w:r>
          </w:p>
        </w:tc>
        <w:tc>
          <w:tcPr>
            <w:tcW w:w="1697" w:type="dxa"/>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iCs/>
                <w:color w:val="auto"/>
                <w:kern w:val="0"/>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E106.07932595</w:t>
            </w:r>
          </w:p>
        </w:tc>
        <w:tc>
          <w:tcPr>
            <w:tcW w:w="1697" w:type="dxa"/>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iCs/>
                <w:color w:val="auto"/>
                <w:kern w:val="0"/>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N30.00178557</w:t>
            </w:r>
          </w:p>
        </w:tc>
        <w:tc>
          <w:tcPr>
            <w:tcW w:w="1132" w:type="dxa"/>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iCs/>
                <w:color w:val="auto"/>
                <w:kern w:val="0"/>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210.0</w:t>
            </w:r>
          </w:p>
        </w:tc>
        <w:tc>
          <w:tcPr>
            <w:tcW w:w="1980" w:type="dxa"/>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iCs/>
                <w:color w:val="auto"/>
                <w:kern w:val="0"/>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回龙嘴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8" w:type="dxa"/>
            <w:vMerge w:val="continue"/>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0"/>
                <w:szCs w:val="20"/>
                <w:highlight w:val="none"/>
              </w:rPr>
            </w:pPr>
          </w:p>
        </w:tc>
        <w:tc>
          <w:tcPr>
            <w:tcW w:w="1044" w:type="dxa"/>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S3</w:t>
            </w:r>
          </w:p>
        </w:tc>
        <w:tc>
          <w:tcPr>
            <w:tcW w:w="1697" w:type="dxa"/>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iCs/>
                <w:color w:val="auto"/>
                <w:kern w:val="0"/>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E106.13309888</w:t>
            </w:r>
          </w:p>
        </w:tc>
        <w:tc>
          <w:tcPr>
            <w:tcW w:w="1697" w:type="dxa"/>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iCs/>
                <w:color w:val="auto"/>
                <w:kern w:val="0"/>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N30.00714999</w:t>
            </w:r>
          </w:p>
        </w:tc>
        <w:tc>
          <w:tcPr>
            <w:tcW w:w="1132" w:type="dxa"/>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iCs/>
                <w:color w:val="auto"/>
                <w:kern w:val="0"/>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205.0</w:t>
            </w:r>
          </w:p>
        </w:tc>
        <w:tc>
          <w:tcPr>
            <w:tcW w:w="1980" w:type="dxa"/>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iCs/>
                <w:color w:val="auto"/>
                <w:kern w:val="0"/>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铜溪镇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8" w:type="dxa"/>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lang w:val="en-US" w:eastAsia="zh-CN"/>
              </w:rPr>
            </w:pPr>
            <w:r>
              <w:rPr>
                <w:rFonts w:hint="default" w:ascii="Times New Roman" w:hAnsi="Times New Roman" w:eastAsia="宋体" w:cs="Times New Roman"/>
                <w:color w:val="auto"/>
                <w:kern w:val="0"/>
                <w:sz w:val="22"/>
                <w:szCs w:val="22"/>
                <w:highlight w:val="none"/>
                <w:lang w:val="en-US" w:eastAsia="zh-CN"/>
              </w:rPr>
              <w:t>渭沱坝下</w:t>
            </w:r>
          </w:p>
        </w:tc>
        <w:tc>
          <w:tcPr>
            <w:tcW w:w="1044" w:type="dxa"/>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S4</w:t>
            </w:r>
          </w:p>
        </w:tc>
        <w:tc>
          <w:tcPr>
            <w:tcW w:w="1697" w:type="dxa"/>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iCs/>
                <w:color w:val="auto"/>
                <w:kern w:val="0"/>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E106.14835714</w:t>
            </w:r>
          </w:p>
        </w:tc>
        <w:tc>
          <w:tcPr>
            <w:tcW w:w="1697" w:type="dxa"/>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iCs/>
                <w:color w:val="auto"/>
                <w:kern w:val="0"/>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N30.03644920</w:t>
            </w:r>
          </w:p>
        </w:tc>
        <w:tc>
          <w:tcPr>
            <w:tcW w:w="1132" w:type="dxa"/>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iCs/>
                <w:color w:val="auto"/>
                <w:kern w:val="0"/>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205.0</w:t>
            </w:r>
          </w:p>
        </w:tc>
        <w:tc>
          <w:tcPr>
            <w:tcW w:w="1980" w:type="dxa"/>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iCs/>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渭沱正街</w:t>
            </w:r>
          </w:p>
        </w:tc>
      </w:tr>
    </w:tbl>
    <w:p>
      <w:pPr>
        <w:keepNext w:val="0"/>
        <w:keepLines w:val="0"/>
        <w:widowControl w:val="0"/>
        <w:suppressLineNumbers w:val="0"/>
        <w:autoSpaceDE w:val="0"/>
        <w:autoSpaceDN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2"/>
          <w:sz w:val="26"/>
          <w:szCs w:val="26"/>
          <w:highlight w:val="none"/>
          <w:vertAlign w:val="baseline"/>
        </w:rPr>
      </w:pPr>
    </w:p>
    <w:p>
      <w:pPr>
        <w:keepNext w:val="0"/>
        <w:keepLines w:val="0"/>
        <w:widowControl w:val="0"/>
        <w:numPr>
          <w:ilvl w:val="0"/>
          <w:numId w:val="27"/>
        </w:numPr>
        <w:suppressLineNumbers w:val="0"/>
        <w:spacing w:before="0" w:beforeLines="0" w:beforeAutospacing="0" w:after="0" w:afterLines="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调查时段</w:t>
      </w:r>
    </w:p>
    <w:p>
      <w:pPr>
        <w:keepNext w:val="0"/>
        <w:keepLines w:val="0"/>
        <w:widowControl w:val="0"/>
        <w:suppressLineNumbers w:val="0"/>
        <w:spacing w:before="0" w:beforeAutospacing="0" w:after="0" w:afterAutospacing="0" w:line="460" w:lineRule="exact"/>
        <w:ind w:left="0" w:right="0" w:firstLine="52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6"/>
          <w:szCs w:val="26"/>
          <w:highlight w:val="none"/>
          <w:lang w:val="en-US" w:eastAsia="zh-CN" w:bidi="ar"/>
        </w:rPr>
        <w:t>2023年5月、9月和11月。</w:t>
      </w:r>
    </w:p>
    <w:p>
      <w:pPr>
        <w:pStyle w:val="6"/>
        <w:spacing w:beforeLines="0" w:afterLines="0"/>
        <w:ind w:left="0" w:leftChars="0" w:firstLine="522" w:firstLineChars="200"/>
        <w:rPr>
          <w:rFonts w:hint="default" w:ascii="Times New Roman" w:hAnsi="Times New Roman" w:cs="Times New Roman"/>
          <w:color w:val="auto"/>
          <w:sz w:val="26"/>
          <w:szCs w:val="26"/>
          <w:highlight w:val="none"/>
        </w:rPr>
      </w:pPr>
      <w:r>
        <w:rPr>
          <w:rFonts w:hint="default" w:ascii="Times New Roman" w:hAnsi="Times New Roman" w:cs="Times New Roman"/>
          <w:color w:val="auto"/>
          <w:sz w:val="26"/>
          <w:szCs w:val="26"/>
          <w:highlight w:val="none"/>
        </w:rPr>
        <w:t>水生生态现状</w:t>
      </w:r>
    </w:p>
    <w:p>
      <w:pPr>
        <w:bidi w:val="0"/>
        <w:rPr>
          <w:rFonts w:hint="default"/>
          <w:color w:val="auto"/>
          <w:highlight w:val="none"/>
        </w:rPr>
      </w:pPr>
      <w:r>
        <w:rPr>
          <w:rFonts w:hint="default"/>
          <w:color w:val="auto"/>
          <w:highlight w:val="none"/>
          <w:lang w:val="en-US" w:eastAsia="zh-CN"/>
        </w:rPr>
        <w:t>（1）浮游植物</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① 浮游植物种类组成</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评价区共采集到浮游植物7门、9纲、16目、40属、83种。其中，隶属硅藻门的种类为48种，占被监测藻类总种类数的57.83%。其余各门分布情况如下：蓝藻门14种，占16.87%；绿藻门12种，占14.46%；裸藻门5种，占6.02%；甲藻门2种，占2.41%；隐藻门和黄藻门均为1种，占1.20%。</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② 浮游植物种群密度及生物量</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评价区浮游植物现存量中（见下表），其生物量（湿重）为0.1127～0.2542mg/L，平均为0.1755mg/L；藻类细胞密度为12×10</w:t>
      </w:r>
      <w:r>
        <w:rPr>
          <w:rFonts w:hint="default" w:ascii="Times New Roman" w:hAnsi="Times New Roman" w:eastAsia="宋体" w:cs="Times New Roman"/>
          <w:color w:val="auto"/>
          <w:kern w:val="2"/>
          <w:sz w:val="26"/>
          <w:szCs w:val="26"/>
          <w:highlight w:val="none"/>
          <w:vertAlign w:val="superscript"/>
          <w:lang w:val="en-US" w:eastAsia="zh-CN" w:bidi="ar"/>
        </w:rPr>
        <w:t>4</w:t>
      </w:r>
      <w:r>
        <w:rPr>
          <w:rFonts w:hint="default" w:ascii="Times New Roman" w:hAnsi="Times New Roman" w:eastAsia="宋体" w:cs="Times New Roman"/>
          <w:color w:val="auto"/>
          <w:kern w:val="2"/>
          <w:sz w:val="26"/>
          <w:szCs w:val="26"/>
          <w:highlight w:val="none"/>
          <w:lang w:val="en-US" w:eastAsia="zh-CN" w:bidi="ar"/>
        </w:rPr>
        <w:t>～17.87×10</w:t>
      </w:r>
      <w:r>
        <w:rPr>
          <w:rFonts w:hint="default" w:ascii="Times New Roman" w:hAnsi="Times New Roman" w:eastAsia="宋体" w:cs="Times New Roman"/>
          <w:color w:val="auto"/>
          <w:kern w:val="2"/>
          <w:sz w:val="26"/>
          <w:szCs w:val="26"/>
          <w:highlight w:val="none"/>
          <w:vertAlign w:val="superscript"/>
          <w:lang w:val="en-US" w:eastAsia="zh-CN" w:bidi="ar"/>
        </w:rPr>
        <w:t>4</w:t>
      </w:r>
      <w:r>
        <w:rPr>
          <w:rFonts w:hint="default" w:ascii="Times New Roman" w:hAnsi="Times New Roman" w:eastAsia="宋体" w:cs="Times New Roman"/>
          <w:color w:val="auto"/>
          <w:kern w:val="2"/>
          <w:sz w:val="26"/>
          <w:szCs w:val="26"/>
          <w:highlight w:val="none"/>
          <w:lang w:val="en-US" w:eastAsia="zh-CN" w:bidi="ar"/>
        </w:rPr>
        <w:t>个/L。硅藻门植物种群密度和生物量最大，占绝对优势，硅藻门藻类平均数量和平均生物量分别占浮游植物总平均数和总平均生物量的57.47%和66.7%。评价区江段浮游植物主要以硅藻门的舟形藻属</w:t>
      </w:r>
      <w:r>
        <w:rPr>
          <w:rFonts w:hint="default" w:ascii="Times New Roman" w:hAnsi="Times New Roman" w:eastAsia="宋体" w:cs="Times New Roman"/>
          <w:color w:val="auto"/>
          <w:kern w:val="2"/>
          <w:sz w:val="26"/>
          <w:szCs w:val="26"/>
          <w:highlight w:val="none"/>
          <w:shd w:val="clear" w:fill="FFFFFF"/>
          <w:lang w:val="en-US" w:eastAsia="zh-CN" w:bidi="ar"/>
        </w:rPr>
        <w:t>、等</w:t>
      </w:r>
      <w:r>
        <w:rPr>
          <w:rFonts w:hint="default" w:ascii="Times New Roman" w:hAnsi="Times New Roman" w:eastAsia="宋体" w:cs="Times New Roman"/>
          <w:color w:val="auto"/>
          <w:kern w:val="2"/>
          <w:sz w:val="26"/>
          <w:szCs w:val="26"/>
          <w:highlight w:val="none"/>
          <w:lang w:val="en-US" w:eastAsia="zh-CN" w:bidi="ar"/>
        </w:rPr>
        <w:t>片藻属、直链藻属等数量最多，在各采样断面位置均有发现。</w:t>
      </w:r>
    </w:p>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 xml:space="preserve"> </w:t>
      </w:r>
    </w:p>
    <w:p>
      <w:pPr>
        <w:keepNext w:val="0"/>
        <w:keepLines w:val="0"/>
        <w:widowControl w:val="0"/>
        <w:suppressLineNumbers w:val="0"/>
        <w:autoSpaceDE w:val="0"/>
        <w:autoSpaceDN w:val="0"/>
        <w:adjustRightInd w:val="0"/>
        <w:snapToGrid w:val="0"/>
        <w:spacing w:before="0" w:beforeAutospacing="0" w:after="0" w:afterAutospacing="0" w:line="240" w:lineRule="auto"/>
        <w:ind w:left="0" w:leftChars="0" w:right="0" w:firstLine="0" w:firstLineChars="0"/>
        <w:jc w:val="center"/>
        <w:textAlignment w:val="baseline"/>
        <w:rPr>
          <w:rFonts w:hint="default" w:ascii="Times New Roman" w:hAnsi="Times New Roman" w:eastAsia="宋体" w:cs="Times New Roman"/>
          <w:b/>
          <w:bCs w:val="0"/>
          <w:color w:val="auto"/>
          <w:kern w:val="2"/>
          <w:sz w:val="26"/>
          <w:szCs w:val="26"/>
          <w:highlight w:val="none"/>
          <w:vertAlign w:val="baseline"/>
        </w:rPr>
      </w:pPr>
      <w:r>
        <w:rPr>
          <w:rFonts w:hint="default" w:ascii="Times New Roman" w:hAnsi="Times New Roman" w:eastAsia="宋体" w:cs="Times New Roman"/>
          <w:b/>
          <w:bCs w:val="0"/>
          <w:color w:val="auto"/>
          <w:kern w:val="2"/>
          <w:sz w:val="26"/>
          <w:szCs w:val="26"/>
          <w:highlight w:val="none"/>
          <w:vertAlign w:val="baseline"/>
          <w:lang w:val="en-US" w:eastAsia="zh-CN" w:bidi="ar"/>
        </w:rPr>
        <w:t>表</w:t>
      </w:r>
      <w:r>
        <w:rPr>
          <w:rFonts w:hint="default" w:ascii="Times New Roman" w:hAnsi="Times New Roman" w:cs="Times New Roman"/>
          <w:b/>
          <w:bCs w:val="0"/>
          <w:color w:val="auto"/>
          <w:kern w:val="2"/>
          <w:sz w:val="26"/>
          <w:szCs w:val="26"/>
          <w:highlight w:val="none"/>
          <w:vertAlign w:val="baseline"/>
          <w:lang w:val="en-US" w:eastAsia="zh-CN" w:bidi="ar"/>
        </w:rPr>
        <w:t xml:space="preserve">3.2.3.2-1  </w:t>
      </w:r>
      <w:r>
        <w:rPr>
          <w:rFonts w:hint="default" w:ascii="Times New Roman" w:hAnsi="Times New Roman" w:eastAsia="宋体" w:cs="Times New Roman"/>
          <w:b/>
          <w:bCs w:val="0"/>
          <w:color w:val="auto"/>
          <w:kern w:val="2"/>
          <w:sz w:val="26"/>
          <w:szCs w:val="26"/>
          <w:highlight w:val="none"/>
          <w:vertAlign w:val="baseline"/>
          <w:lang w:val="en-US" w:eastAsia="zh-CN" w:bidi="ar"/>
        </w:rPr>
        <w:t>评价江段浮游植物密度及生物量</w:t>
      </w:r>
      <w:r>
        <w:rPr>
          <w:rFonts w:hint="default" w:ascii="Times New Roman" w:hAnsi="Times New Roman" w:eastAsia="宋体" w:cs="Times New Roman"/>
          <w:b/>
          <w:bCs w:val="0"/>
          <w:color w:val="auto"/>
          <w:kern w:val="2"/>
          <w:sz w:val="22"/>
          <w:szCs w:val="22"/>
          <w:highlight w:val="none"/>
          <w:vertAlign w:val="baseline"/>
          <w:lang w:val="en-US" w:eastAsia="zh-CN" w:bidi="ar"/>
        </w:rPr>
        <w:t>（密度10</w:t>
      </w:r>
      <w:r>
        <w:rPr>
          <w:rFonts w:hint="default" w:ascii="Times New Roman" w:hAnsi="Times New Roman" w:eastAsia="宋体" w:cs="Times New Roman"/>
          <w:b/>
          <w:bCs w:val="0"/>
          <w:color w:val="auto"/>
          <w:kern w:val="2"/>
          <w:sz w:val="22"/>
          <w:szCs w:val="22"/>
          <w:highlight w:val="none"/>
          <w:vertAlign w:val="superscript"/>
          <w:lang w:val="en-US" w:eastAsia="zh-CN" w:bidi="ar"/>
        </w:rPr>
        <w:t>4</w:t>
      </w:r>
      <w:r>
        <w:rPr>
          <w:rFonts w:hint="default" w:ascii="Times New Roman" w:hAnsi="Times New Roman" w:eastAsia="宋体" w:cs="Times New Roman"/>
          <w:b/>
          <w:bCs w:val="0"/>
          <w:color w:val="auto"/>
          <w:kern w:val="2"/>
          <w:sz w:val="22"/>
          <w:szCs w:val="22"/>
          <w:highlight w:val="none"/>
          <w:vertAlign w:val="baseline"/>
          <w:lang w:val="en-US" w:eastAsia="zh-CN" w:bidi="ar"/>
        </w:rPr>
        <w:t>个/L；生物量mg/L）</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25"/>
        <w:gridCol w:w="734"/>
        <w:gridCol w:w="858"/>
        <w:gridCol w:w="713"/>
        <w:gridCol w:w="878"/>
        <w:gridCol w:w="698"/>
        <w:gridCol w:w="887"/>
        <w:gridCol w:w="3"/>
        <w:gridCol w:w="708"/>
        <w:gridCol w:w="878"/>
        <w:gridCol w:w="4"/>
        <w:gridCol w:w="715"/>
        <w:gridCol w:w="8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72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采样断面</w:t>
            </w:r>
          </w:p>
        </w:tc>
        <w:tc>
          <w:tcPr>
            <w:tcW w:w="159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总量</w:t>
            </w:r>
          </w:p>
        </w:tc>
        <w:tc>
          <w:tcPr>
            <w:tcW w:w="159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硅藻门</w:t>
            </w:r>
          </w:p>
        </w:tc>
        <w:tc>
          <w:tcPr>
            <w:tcW w:w="1587"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绿藻门</w:t>
            </w:r>
          </w:p>
        </w:tc>
        <w:tc>
          <w:tcPr>
            <w:tcW w:w="1589"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蓝藻门</w:t>
            </w:r>
          </w:p>
        </w:tc>
        <w:tc>
          <w:tcPr>
            <w:tcW w:w="159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shd w:val="clear" w:fill="FFFFFF"/>
                <w:lang w:val="en-US" w:eastAsia="zh-CN" w:bidi="ar"/>
              </w:rPr>
              <w:t>其它门</w:t>
            </w:r>
            <w:r>
              <w:rPr>
                <w:rFonts w:hint="default" w:ascii="Times New Roman" w:hAnsi="Times New Roman" w:eastAsia="宋体" w:cs="Times New Roman"/>
                <w:color w:val="auto"/>
                <w:kern w:val="2"/>
                <w:sz w:val="22"/>
                <w:szCs w:val="22"/>
                <w:highlight w:val="none"/>
                <w:lang w:val="en-US" w:eastAsia="zh-CN" w:bidi="ar"/>
              </w:rPr>
              <w:t>藻类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72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0"/>
                <w:szCs w:val="20"/>
                <w:highlight w:val="none"/>
              </w:rPr>
            </w:pPr>
          </w:p>
        </w:tc>
        <w:tc>
          <w:tcPr>
            <w:tcW w:w="73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密度</w:t>
            </w:r>
          </w:p>
        </w:tc>
        <w:tc>
          <w:tcPr>
            <w:tcW w:w="85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130" w:leftChars="-50" w:right="-130" w:rightChars="-5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生物量</w:t>
            </w:r>
          </w:p>
        </w:tc>
        <w:tc>
          <w:tcPr>
            <w:tcW w:w="7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密度</w:t>
            </w:r>
          </w:p>
        </w:tc>
        <w:tc>
          <w:tcPr>
            <w:tcW w:w="8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生物量</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密度</w:t>
            </w:r>
          </w:p>
        </w:tc>
        <w:tc>
          <w:tcPr>
            <w:tcW w:w="88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生物量</w:t>
            </w:r>
          </w:p>
        </w:tc>
        <w:tc>
          <w:tcPr>
            <w:tcW w:w="71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密度</w:t>
            </w:r>
          </w:p>
        </w:tc>
        <w:tc>
          <w:tcPr>
            <w:tcW w:w="8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生物量</w:t>
            </w:r>
          </w:p>
        </w:tc>
        <w:tc>
          <w:tcPr>
            <w:tcW w:w="71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密度</w:t>
            </w:r>
          </w:p>
        </w:tc>
        <w:tc>
          <w:tcPr>
            <w:tcW w:w="8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生物量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7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S1</w:t>
            </w:r>
          </w:p>
        </w:tc>
        <w:tc>
          <w:tcPr>
            <w:tcW w:w="73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13.57</w:t>
            </w:r>
          </w:p>
        </w:tc>
        <w:tc>
          <w:tcPr>
            <w:tcW w:w="85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0.1230</w:t>
            </w:r>
          </w:p>
        </w:tc>
        <w:tc>
          <w:tcPr>
            <w:tcW w:w="7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6.14</w:t>
            </w:r>
          </w:p>
        </w:tc>
        <w:tc>
          <w:tcPr>
            <w:tcW w:w="8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0.0678</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6.00</w:t>
            </w:r>
          </w:p>
        </w:tc>
        <w:tc>
          <w:tcPr>
            <w:tcW w:w="88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0.0394</w:t>
            </w:r>
          </w:p>
        </w:tc>
        <w:tc>
          <w:tcPr>
            <w:tcW w:w="71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0.14</w:t>
            </w:r>
          </w:p>
        </w:tc>
        <w:tc>
          <w:tcPr>
            <w:tcW w:w="8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0.0007</w:t>
            </w:r>
          </w:p>
        </w:tc>
        <w:tc>
          <w:tcPr>
            <w:tcW w:w="71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1.29</w:t>
            </w:r>
          </w:p>
        </w:tc>
        <w:tc>
          <w:tcPr>
            <w:tcW w:w="8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7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S2</w:t>
            </w:r>
          </w:p>
        </w:tc>
        <w:tc>
          <w:tcPr>
            <w:tcW w:w="73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12.00</w:t>
            </w:r>
          </w:p>
        </w:tc>
        <w:tc>
          <w:tcPr>
            <w:tcW w:w="85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0.1127</w:t>
            </w:r>
          </w:p>
        </w:tc>
        <w:tc>
          <w:tcPr>
            <w:tcW w:w="7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6.00</w:t>
            </w:r>
          </w:p>
        </w:tc>
        <w:tc>
          <w:tcPr>
            <w:tcW w:w="8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0.0646</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4.29</w:t>
            </w:r>
          </w:p>
        </w:tc>
        <w:tc>
          <w:tcPr>
            <w:tcW w:w="88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0.0327</w:t>
            </w:r>
          </w:p>
        </w:tc>
        <w:tc>
          <w:tcPr>
            <w:tcW w:w="71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0.71</w:t>
            </w:r>
          </w:p>
        </w:tc>
        <w:tc>
          <w:tcPr>
            <w:tcW w:w="8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0.0050</w:t>
            </w:r>
          </w:p>
        </w:tc>
        <w:tc>
          <w:tcPr>
            <w:tcW w:w="71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w:t>
            </w:r>
          </w:p>
        </w:tc>
        <w:tc>
          <w:tcPr>
            <w:tcW w:w="8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7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S3</w:t>
            </w:r>
          </w:p>
        </w:tc>
        <w:tc>
          <w:tcPr>
            <w:tcW w:w="73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16.00</w:t>
            </w:r>
          </w:p>
        </w:tc>
        <w:tc>
          <w:tcPr>
            <w:tcW w:w="85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0.2175</w:t>
            </w:r>
          </w:p>
        </w:tc>
        <w:tc>
          <w:tcPr>
            <w:tcW w:w="7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10.14</w:t>
            </w:r>
          </w:p>
        </w:tc>
        <w:tc>
          <w:tcPr>
            <w:tcW w:w="8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0.1742</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4.57</w:t>
            </w:r>
          </w:p>
        </w:tc>
        <w:tc>
          <w:tcPr>
            <w:tcW w:w="88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0.0249</w:t>
            </w:r>
          </w:p>
        </w:tc>
        <w:tc>
          <w:tcPr>
            <w:tcW w:w="71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0.29</w:t>
            </w:r>
          </w:p>
        </w:tc>
        <w:tc>
          <w:tcPr>
            <w:tcW w:w="8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0.0097</w:t>
            </w:r>
          </w:p>
        </w:tc>
        <w:tc>
          <w:tcPr>
            <w:tcW w:w="71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w:t>
            </w:r>
          </w:p>
        </w:tc>
        <w:tc>
          <w:tcPr>
            <w:tcW w:w="8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0.0093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7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iCs/>
                <w:color w:val="auto"/>
                <w:kern w:val="0"/>
                <w:sz w:val="22"/>
                <w:szCs w:val="22"/>
                <w:highlight w:val="none"/>
                <w:lang w:val="en-US" w:eastAsia="zh-CN" w:bidi="ar"/>
              </w:rPr>
              <w:t>S4</w:t>
            </w:r>
          </w:p>
        </w:tc>
        <w:tc>
          <w:tcPr>
            <w:tcW w:w="73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17.87</w:t>
            </w:r>
          </w:p>
        </w:tc>
        <w:tc>
          <w:tcPr>
            <w:tcW w:w="85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0.2542</w:t>
            </w:r>
          </w:p>
        </w:tc>
        <w:tc>
          <w:tcPr>
            <w:tcW w:w="7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11.86</w:t>
            </w:r>
          </w:p>
        </w:tc>
        <w:tc>
          <w:tcPr>
            <w:tcW w:w="8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0.1653</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3.43</w:t>
            </w:r>
          </w:p>
        </w:tc>
        <w:tc>
          <w:tcPr>
            <w:tcW w:w="88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0.0201</w:t>
            </w:r>
          </w:p>
        </w:tc>
        <w:tc>
          <w:tcPr>
            <w:tcW w:w="71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1.14</w:t>
            </w:r>
          </w:p>
        </w:tc>
        <w:tc>
          <w:tcPr>
            <w:tcW w:w="8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0.0523</w:t>
            </w:r>
          </w:p>
        </w:tc>
        <w:tc>
          <w:tcPr>
            <w:tcW w:w="71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1.43</w:t>
            </w:r>
          </w:p>
        </w:tc>
        <w:tc>
          <w:tcPr>
            <w:tcW w:w="8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平均</w:t>
            </w:r>
          </w:p>
        </w:tc>
        <w:tc>
          <w:tcPr>
            <w:tcW w:w="73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
              </w:rPr>
            </w:pPr>
            <w:r>
              <w:rPr>
                <w:rFonts w:hint="default" w:ascii="Times New Roman" w:hAnsi="Times New Roman" w:cs="Times New Roman"/>
                <w:color w:val="auto"/>
                <w:sz w:val="21"/>
                <w:szCs w:val="21"/>
                <w:highlight w:val="none"/>
              </w:rPr>
              <w:t>14.86</w:t>
            </w:r>
          </w:p>
        </w:tc>
        <w:tc>
          <w:tcPr>
            <w:tcW w:w="85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
              </w:rPr>
            </w:pPr>
            <w:r>
              <w:rPr>
                <w:rFonts w:hint="default" w:ascii="Times New Roman" w:hAnsi="Times New Roman" w:cs="Times New Roman"/>
                <w:color w:val="auto"/>
                <w:sz w:val="21"/>
                <w:szCs w:val="21"/>
                <w:highlight w:val="none"/>
              </w:rPr>
              <w:t>0.1769</w:t>
            </w:r>
          </w:p>
        </w:tc>
        <w:tc>
          <w:tcPr>
            <w:tcW w:w="7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
              </w:rPr>
            </w:pPr>
            <w:r>
              <w:rPr>
                <w:rFonts w:hint="default" w:ascii="Times New Roman" w:hAnsi="Times New Roman" w:cs="Times New Roman"/>
                <w:color w:val="auto"/>
                <w:sz w:val="21"/>
                <w:szCs w:val="21"/>
                <w:highlight w:val="none"/>
              </w:rPr>
              <w:t>8.54</w:t>
            </w:r>
          </w:p>
        </w:tc>
        <w:tc>
          <w:tcPr>
            <w:tcW w:w="8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
              </w:rPr>
            </w:pPr>
            <w:r>
              <w:rPr>
                <w:rFonts w:hint="default" w:ascii="Times New Roman" w:hAnsi="Times New Roman" w:cs="Times New Roman"/>
                <w:color w:val="auto"/>
                <w:sz w:val="21"/>
                <w:szCs w:val="21"/>
                <w:highlight w:val="none"/>
              </w:rPr>
              <w:t>0.1180</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
              </w:rPr>
            </w:pPr>
            <w:r>
              <w:rPr>
                <w:rFonts w:hint="default" w:ascii="Times New Roman" w:hAnsi="Times New Roman" w:cs="Times New Roman"/>
                <w:color w:val="auto"/>
                <w:sz w:val="21"/>
                <w:szCs w:val="21"/>
                <w:highlight w:val="none"/>
              </w:rPr>
              <w:t>4.57</w:t>
            </w:r>
          </w:p>
        </w:tc>
        <w:tc>
          <w:tcPr>
            <w:tcW w:w="88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
              </w:rPr>
            </w:pPr>
            <w:r>
              <w:rPr>
                <w:rFonts w:hint="default" w:ascii="Times New Roman" w:hAnsi="Times New Roman" w:cs="Times New Roman"/>
                <w:color w:val="auto"/>
                <w:sz w:val="21"/>
                <w:szCs w:val="21"/>
                <w:highlight w:val="none"/>
              </w:rPr>
              <w:t>0.0293</w:t>
            </w:r>
          </w:p>
        </w:tc>
        <w:tc>
          <w:tcPr>
            <w:tcW w:w="71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
              </w:rPr>
            </w:pPr>
            <w:r>
              <w:rPr>
                <w:rFonts w:hint="default" w:ascii="Times New Roman" w:hAnsi="Times New Roman" w:cs="Times New Roman"/>
                <w:color w:val="auto"/>
                <w:sz w:val="21"/>
                <w:szCs w:val="21"/>
                <w:highlight w:val="none"/>
              </w:rPr>
              <w:t>0.57</w:t>
            </w:r>
          </w:p>
        </w:tc>
        <w:tc>
          <w:tcPr>
            <w:tcW w:w="8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
              </w:rPr>
            </w:pPr>
            <w:r>
              <w:rPr>
                <w:rFonts w:hint="default" w:ascii="Times New Roman" w:hAnsi="Times New Roman" w:cs="Times New Roman"/>
                <w:color w:val="auto"/>
                <w:sz w:val="21"/>
                <w:szCs w:val="21"/>
                <w:highlight w:val="none"/>
              </w:rPr>
              <w:t>0.0169</w:t>
            </w:r>
          </w:p>
        </w:tc>
        <w:tc>
          <w:tcPr>
            <w:tcW w:w="71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
              </w:rPr>
            </w:pPr>
            <w:r>
              <w:rPr>
                <w:rFonts w:hint="default" w:ascii="Times New Roman" w:hAnsi="Times New Roman" w:cs="Times New Roman"/>
                <w:color w:val="auto"/>
                <w:sz w:val="21"/>
                <w:szCs w:val="21"/>
                <w:highlight w:val="none"/>
              </w:rPr>
              <w:t>1.18</w:t>
            </w:r>
          </w:p>
        </w:tc>
        <w:tc>
          <w:tcPr>
            <w:tcW w:w="8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2"/>
                <w:szCs w:val="22"/>
                <w:highlight w:val="none"/>
                <w:lang w:val="en-US" w:eastAsia="zh-CN" w:bidi="ar"/>
              </w:rPr>
            </w:pPr>
            <w:r>
              <w:rPr>
                <w:rFonts w:hint="default" w:ascii="Times New Roman" w:hAnsi="Times New Roman" w:cs="Times New Roman"/>
                <w:color w:val="auto"/>
                <w:sz w:val="21"/>
                <w:szCs w:val="21"/>
                <w:highlight w:val="none"/>
              </w:rPr>
              <w:t>0.0123</w:t>
            </w:r>
          </w:p>
        </w:tc>
      </w:tr>
    </w:tbl>
    <w:p>
      <w:pPr>
        <w:keepNext w:val="0"/>
        <w:keepLines w:val="0"/>
        <w:widowControl w:val="0"/>
        <w:suppressLineNumbers w:val="0"/>
        <w:autoSpaceDE w:val="0"/>
        <w:autoSpaceDN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Cs/>
          <w:color w:val="auto"/>
          <w:kern w:val="2"/>
          <w:sz w:val="26"/>
          <w:szCs w:val="26"/>
          <w:highlight w:val="none"/>
          <w:vertAlign w:val="baseline"/>
        </w:rPr>
      </w:pPr>
      <w:r>
        <w:rPr>
          <w:rFonts w:hint="default" w:ascii="Times New Roman" w:hAnsi="Times New Roman" w:eastAsia="宋体" w:cs="Times New Roman"/>
          <w:bCs/>
          <w:color w:val="auto"/>
          <w:kern w:val="2"/>
          <w:sz w:val="26"/>
          <w:szCs w:val="26"/>
          <w:highlight w:val="none"/>
          <w:vertAlign w:val="baseline"/>
          <w:lang w:val="en-US" w:eastAsia="zh-CN" w:bidi="ar"/>
        </w:rPr>
        <w:t xml:space="preserve"> </w:t>
      </w:r>
    </w:p>
    <w:p>
      <w:pPr>
        <w:bidi w:val="0"/>
        <w:rPr>
          <w:rFonts w:hint="default"/>
          <w:color w:val="auto"/>
          <w:highlight w:val="none"/>
        </w:rPr>
      </w:pPr>
      <w:r>
        <w:rPr>
          <w:rFonts w:hint="default"/>
          <w:color w:val="auto"/>
          <w:highlight w:val="none"/>
          <w:lang w:val="en-US" w:eastAsia="zh-CN"/>
        </w:rPr>
        <w:t>（2）浮游动物</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① 浮游动物种类组成</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评价区共采集到浮游动物3门、27属、44种。其中轮虫11属16种，占浮游动物总数的36.36%；原生动物4属13种，占浮游动物总数的29.55%；桡足类7属9种，占浮游动物总数20.45%；枝角类5属6种，占浮游动物总数的13.64%。常见枝角类为长额象鼻溞，常见轮虫为螺形龟甲轮虫和前节晶囊轮虫，常见的原生动物为普通表壳虫和球形砂壳虫，常见桡足类为近邻剑水蚤和广布中剑水蚤等。</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②浮游动物种群密度及生物量</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评价区江段浮游动物平均数量为115.5个/L，平均生物量0.205mg/L，生物量很高。从浮游动物各类别的数量和生物量上看，调查断面轮虫数量所占比例最高，其平均值为62.09%；其次为枝角类，所占比例平均值为23.33%；桡足类为12.54%；原生动物为1.06%。</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eastAsia" w:cs="Times New Roman"/>
          <w:b/>
          <w:bCs w:val="0"/>
          <w:color w:val="auto"/>
          <w:kern w:val="2"/>
          <w:sz w:val="26"/>
          <w:szCs w:val="26"/>
          <w:highlight w:val="none"/>
          <w:vertAlign w:val="baseline"/>
          <w:lang w:val="en-US" w:eastAsia="zh-CN" w:bidi="ar"/>
        </w:rPr>
      </w:pPr>
    </w:p>
    <w:p>
      <w:pPr>
        <w:pStyle w:val="36"/>
        <w:rPr>
          <w:rFonts w:hint="eastAsia" w:cs="Times New Roman"/>
          <w:b/>
          <w:bCs w:val="0"/>
          <w:color w:val="auto"/>
          <w:kern w:val="2"/>
          <w:sz w:val="26"/>
          <w:szCs w:val="26"/>
          <w:highlight w:val="none"/>
          <w:vertAlign w:val="baseline"/>
          <w:lang w:val="en-US" w:eastAsia="zh-CN" w:bidi="ar"/>
        </w:rPr>
      </w:pPr>
    </w:p>
    <w:p>
      <w:pPr>
        <w:rPr>
          <w:rFonts w:hint="eastAsia"/>
          <w:color w:val="auto"/>
          <w:highlight w:val="none"/>
          <w:lang w:val="en-US" w:eastAsia="zh-CN"/>
        </w:rPr>
      </w:pP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Times New Roman" w:hAnsi="Times New Roman" w:eastAsia="宋体" w:cs="Times New Roman"/>
          <w:b/>
          <w:bCs w:val="0"/>
          <w:color w:val="auto"/>
          <w:kern w:val="2"/>
          <w:sz w:val="26"/>
          <w:szCs w:val="26"/>
          <w:highlight w:val="none"/>
          <w:vertAlign w:val="baseline"/>
        </w:rPr>
      </w:pPr>
      <w:r>
        <w:rPr>
          <w:rFonts w:hint="default" w:ascii="Times New Roman" w:hAnsi="Times New Roman" w:eastAsia="宋体" w:cs="Times New Roman"/>
          <w:b/>
          <w:bCs w:val="0"/>
          <w:color w:val="auto"/>
          <w:kern w:val="2"/>
          <w:sz w:val="26"/>
          <w:szCs w:val="26"/>
          <w:highlight w:val="none"/>
          <w:vertAlign w:val="baseline"/>
          <w:lang w:val="en-US" w:eastAsia="zh-CN" w:bidi="ar"/>
        </w:rPr>
        <w:t>表</w:t>
      </w:r>
      <w:r>
        <w:rPr>
          <w:rFonts w:hint="eastAsia" w:ascii="Times New Roman" w:hAnsi="Times New Roman" w:cs="Times New Roman"/>
          <w:b/>
          <w:bCs w:val="0"/>
          <w:color w:val="auto"/>
          <w:kern w:val="2"/>
          <w:sz w:val="26"/>
          <w:szCs w:val="26"/>
          <w:highlight w:val="none"/>
          <w:vertAlign w:val="baseline"/>
          <w:lang w:val="en-US" w:eastAsia="zh-CN" w:bidi="ar"/>
        </w:rPr>
        <w:t>3.2.3.2-2</w:t>
      </w:r>
      <w:r>
        <w:rPr>
          <w:rFonts w:hint="default" w:ascii="Times New Roman" w:hAnsi="Times New Roman" w:eastAsia="宋体" w:cs="Times New Roman"/>
          <w:b/>
          <w:bCs w:val="0"/>
          <w:color w:val="auto"/>
          <w:kern w:val="2"/>
          <w:sz w:val="26"/>
          <w:szCs w:val="26"/>
          <w:highlight w:val="none"/>
          <w:vertAlign w:val="baseline"/>
          <w:lang w:val="en-US" w:eastAsia="zh-CN" w:bidi="ar"/>
        </w:rPr>
        <w:t xml:space="preserve">  评价区域浮游动物密度及生物量</w:t>
      </w:r>
    </w:p>
    <w:tbl>
      <w:tblPr>
        <w:tblStyle w:val="28"/>
        <w:tblW w:w="485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3"/>
        <w:gridCol w:w="1340"/>
        <w:gridCol w:w="1342"/>
        <w:gridCol w:w="1153"/>
        <w:gridCol w:w="1231"/>
        <w:gridCol w:w="1266"/>
        <w:gridCol w:w="123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641"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kern w:val="2"/>
                <w:sz w:val="22"/>
                <w:szCs w:val="22"/>
                <w:highlight w:val="none"/>
              </w:rPr>
            </w:pPr>
            <w:r>
              <w:rPr>
                <w:rFonts w:hint="default" w:ascii="Times New Roman" w:hAnsi="Times New Roman" w:eastAsia="宋体" w:cs="Times New Roman"/>
                <w:b/>
                <w:bCs/>
                <w:color w:val="auto"/>
                <w:kern w:val="2"/>
                <w:sz w:val="22"/>
                <w:szCs w:val="22"/>
                <w:highlight w:val="none"/>
                <w:lang w:val="en-US" w:eastAsia="zh-CN" w:bidi="ar"/>
              </w:rPr>
              <w:t>采样断面</w:t>
            </w:r>
          </w:p>
        </w:tc>
        <w:tc>
          <w:tcPr>
            <w:tcW w:w="1545" w:type="pct"/>
            <w:gridSpan w:val="2"/>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kern w:val="2"/>
                <w:sz w:val="22"/>
                <w:szCs w:val="22"/>
                <w:highlight w:val="none"/>
              </w:rPr>
            </w:pPr>
            <w:r>
              <w:rPr>
                <w:rFonts w:hint="default" w:ascii="Times New Roman" w:hAnsi="Times New Roman" w:eastAsia="宋体" w:cs="Times New Roman"/>
                <w:b/>
                <w:bCs/>
                <w:color w:val="auto"/>
                <w:kern w:val="2"/>
                <w:sz w:val="22"/>
                <w:szCs w:val="22"/>
                <w:highlight w:val="none"/>
                <w:lang w:val="en-US" w:eastAsia="zh-CN" w:bidi="ar"/>
              </w:rPr>
              <w:t>浮游动物总量</w:t>
            </w:r>
          </w:p>
        </w:tc>
        <w:tc>
          <w:tcPr>
            <w:tcW w:w="2812" w:type="pct"/>
            <w:gridSpan w:val="4"/>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kern w:val="2"/>
                <w:sz w:val="22"/>
                <w:szCs w:val="22"/>
                <w:highlight w:val="none"/>
              </w:rPr>
            </w:pPr>
            <w:r>
              <w:rPr>
                <w:rFonts w:hint="default" w:ascii="Times New Roman" w:hAnsi="Times New Roman" w:eastAsia="宋体" w:cs="Times New Roman"/>
                <w:b/>
                <w:bCs/>
                <w:color w:val="auto"/>
                <w:kern w:val="2"/>
                <w:sz w:val="22"/>
                <w:szCs w:val="22"/>
                <w:highlight w:val="none"/>
                <w:lang w:val="en-US" w:eastAsia="zh-CN" w:bidi="ar"/>
              </w:rPr>
              <w:t>各门类动物生物量占总量的百分比（%）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41"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cs="Times New Roman"/>
                <w:color w:val="auto"/>
                <w:sz w:val="20"/>
                <w:szCs w:val="20"/>
                <w:highlight w:val="none"/>
              </w:rPr>
            </w:pPr>
          </w:p>
        </w:tc>
        <w:tc>
          <w:tcPr>
            <w:tcW w:w="772" w:type="pct"/>
            <w:tcBorders>
              <w:top w:val="nil"/>
              <w:left w:val="nil"/>
              <w:bottom w:val="nil"/>
              <w:right w:val="single" w:color="000000" w:sz="8" w:space="0"/>
            </w:tcBorders>
            <w:shd w:val="clear" w:color="auto" w:fill="auto"/>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密度</w:t>
            </w:r>
          </w:p>
        </w:tc>
        <w:tc>
          <w:tcPr>
            <w:tcW w:w="772" w:type="pct"/>
            <w:tcBorders>
              <w:top w:val="nil"/>
              <w:left w:val="nil"/>
              <w:bottom w:val="nil"/>
              <w:right w:val="single" w:color="000000" w:sz="8" w:space="0"/>
            </w:tcBorders>
            <w:shd w:val="clear" w:color="auto" w:fill="auto"/>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生物量</w:t>
            </w:r>
          </w:p>
        </w:tc>
        <w:tc>
          <w:tcPr>
            <w:tcW w:w="664"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原生动物</w:t>
            </w:r>
          </w:p>
        </w:tc>
        <w:tc>
          <w:tcPr>
            <w:tcW w:w="709"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轮虫</w:t>
            </w:r>
          </w:p>
        </w:tc>
        <w:tc>
          <w:tcPr>
            <w:tcW w:w="729"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枝角类</w:t>
            </w:r>
          </w:p>
        </w:tc>
        <w:tc>
          <w:tcPr>
            <w:tcW w:w="709"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桡足类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41"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cs="Times New Roman"/>
                <w:color w:val="auto"/>
                <w:sz w:val="20"/>
                <w:szCs w:val="20"/>
                <w:highlight w:val="none"/>
              </w:rPr>
            </w:pPr>
          </w:p>
        </w:tc>
        <w:tc>
          <w:tcPr>
            <w:tcW w:w="772"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（个/L）</w:t>
            </w:r>
          </w:p>
        </w:tc>
        <w:tc>
          <w:tcPr>
            <w:tcW w:w="772"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（mg/L）</w:t>
            </w:r>
          </w:p>
        </w:tc>
        <w:tc>
          <w:tcPr>
            <w:tcW w:w="664"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cs="Times New Roman"/>
                <w:color w:val="auto"/>
                <w:sz w:val="20"/>
                <w:szCs w:val="20"/>
                <w:highlight w:val="none"/>
              </w:rPr>
            </w:pPr>
          </w:p>
        </w:tc>
        <w:tc>
          <w:tcPr>
            <w:tcW w:w="709"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cs="Times New Roman"/>
                <w:color w:val="auto"/>
                <w:sz w:val="20"/>
                <w:szCs w:val="20"/>
                <w:highlight w:val="none"/>
              </w:rPr>
            </w:pPr>
          </w:p>
        </w:tc>
        <w:tc>
          <w:tcPr>
            <w:tcW w:w="729"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cs="Times New Roman"/>
                <w:color w:val="auto"/>
                <w:sz w:val="20"/>
                <w:szCs w:val="20"/>
                <w:highlight w:val="none"/>
              </w:rPr>
            </w:pPr>
          </w:p>
        </w:tc>
        <w:tc>
          <w:tcPr>
            <w:tcW w:w="709"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cs="Times New Roman"/>
                <w:color w:val="auto"/>
                <w:sz w:val="20"/>
                <w:szCs w:val="20"/>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41"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cs="Times New Roman"/>
                <w:bCs/>
                <w:color w:val="auto"/>
                <w:sz w:val="21"/>
                <w:szCs w:val="21"/>
                <w:highlight w:val="none"/>
              </w:rPr>
              <w:t>S1</w:t>
            </w:r>
          </w:p>
        </w:tc>
        <w:tc>
          <w:tcPr>
            <w:tcW w:w="772"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94.00</w:t>
            </w:r>
          </w:p>
        </w:tc>
        <w:tc>
          <w:tcPr>
            <w:tcW w:w="772"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0.1300</w:t>
            </w:r>
          </w:p>
        </w:tc>
        <w:tc>
          <w:tcPr>
            <w:tcW w:w="664"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1.55</w:t>
            </w:r>
          </w:p>
        </w:tc>
        <w:tc>
          <w:tcPr>
            <w:tcW w:w="709"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55.16</w:t>
            </w:r>
          </w:p>
        </w:tc>
        <w:tc>
          <w:tcPr>
            <w:tcW w:w="729"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43.31</w:t>
            </w:r>
          </w:p>
        </w:tc>
        <w:tc>
          <w:tcPr>
            <w:tcW w:w="709"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41"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cs="Times New Roman"/>
                <w:bCs/>
                <w:color w:val="auto"/>
                <w:sz w:val="21"/>
                <w:szCs w:val="21"/>
                <w:highlight w:val="none"/>
              </w:rPr>
              <w:t>S2</w:t>
            </w:r>
          </w:p>
        </w:tc>
        <w:tc>
          <w:tcPr>
            <w:tcW w:w="772"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109.00</w:t>
            </w:r>
          </w:p>
        </w:tc>
        <w:tc>
          <w:tcPr>
            <w:tcW w:w="772"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0.1600</w:t>
            </w:r>
          </w:p>
        </w:tc>
        <w:tc>
          <w:tcPr>
            <w:tcW w:w="664"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0.23</w:t>
            </w:r>
          </w:p>
        </w:tc>
        <w:tc>
          <w:tcPr>
            <w:tcW w:w="709"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69.34</w:t>
            </w:r>
          </w:p>
        </w:tc>
        <w:tc>
          <w:tcPr>
            <w:tcW w:w="729"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25.55</w:t>
            </w:r>
          </w:p>
        </w:tc>
        <w:tc>
          <w:tcPr>
            <w:tcW w:w="709"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4.88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41"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cs="Times New Roman"/>
                <w:bCs/>
                <w:color w:val="auto"/>
                <w:sz w:val="21"/>
                <w:szCs w:val="21"/>
                <w:highlight w:val="none"/>
              </w:rPr>
              <w:t>S3</w:t>
            </w:r>
          </w:p>
        </w:tc>
        <w:tc>
          <w:tcPr>
            <w:tcW w:w="772"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124.00</w:t>
            </w:r>
          </w:p>
        </w:tc>
        <w:tc>
          <w:tcPr>
            <w:tcW w:w="772"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0.2900</w:t>
            </w:r>
          </w:p>
        </w:tc>
        <w:tc>
          <w:tcPr>
            <w:tcW w:w="664"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0.67</w:t>
            </w:r>
          </w:p>
        </w:tc>
        <w:tc>
          <w:tcPr>
            <w:tcW w:w="709"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48.27</w:t>
            </w:r>
          </w:p>
        </w:tc>
        <w:tc>
          <w:tcPr>
            <w:tcW w:w="729"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28.45</w:t>
            </w:r>
          </w:p>
        </w:tc>
        <w:tc>
          <w:tcPr>
            <w:tcW w:w="709" w:type="pct"/>
            <w:tcBorders>
              <w:top w:val="nil"/>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22.61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41"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cs="Times New Roman"/>
                <w:bCs/>
                <w:color w:val="auto"/>
                <w:sz w:val="21"/>
                <w:szCs w:val="21"/>
                <w:highlight w:val="none"/>
              </w:rPr>
              <w:t>S4</w:t>
            </w:r>
          </w:p>
        </w:tc>
        <w:tc>
          <w:tcPr>
            <w:tcW w:w="772"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135.00</w:t>
            </w:r>
          </w:p>
        </w:tc>
        <w:tc>
          <w:tcPr>
            <w:tcW w:w="772"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0.2400</w:t>
            </w:r>
          </w:p>
        </w:tc>
        <w:tc>
          <w:tcPr>
            <w:tcW w:w="664"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1.77</w:t>
            </w:r>
          </w:p>
        </w:tc>
        <w:tc>
          <w:tcPr>
            <w:tcW w:w="709"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75.58</w:t>
            </w:r>
          </w:p>
        </w:tc>
        <w:tc>
          <w:tcPr>
            <w:tcW w:w="729"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0.00</w:t>
            </w:r>
          </w:p>
        </w:tc>
        <w:tc>
          <w:tcPr>
            <w:tcW w:w="709"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z w:val="22"/>
                <w:szCs w:val="22"/>
                <w:highlight w:val="none"/>
              </w:rPr>
              <w:t>22.65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41"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cs="Times New Roman"/>
                <w:bCs/>
                <w:color w:val="auto"/>
                <w:sz w:val="21"/>
                <w:szCs w:val="21"/>
                <w:highlight w:val="none"/>
              </w:rPr>
              <w:t>平均</w:t>
            </w:r>
          </w:p>
        </w:tc>
        <w:tc>
          <w:tcPr>
            <w:tcW w:w="772"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color w:val="auto"/>
                <w:kern w:val="0"/>
                <w:sz w:val="22"/>
                <w:szCs w:val="22"/>
                <w:highlight w:val="none"/>
                <w:lang w:bidi="ar"/>
              </w:rPr>
              <w:t>115.5</w:t>
            </w:r>
          </w:p>
        </w:tc>
        <w:tc>
          <w:tcPr>
            <w:tcW w:w="772"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color w:val="auto"/>
                <w:kern w:val="0"/>
                <w:sz w:val="22"/>
                <w:szCs w:val="22"/>
                <w:highlight w:val="none"/>
                <w:lang w:bidi="ar"/>
              </w:rPr>
              <w:t>0.205</w:t>
            </w:r>
          </w:p>
        </w:tc>
        <w:tc>
          <w:tcPr>
            <w:tcW w:w="664"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color w:val="auto"/>
                <w:kern w:val="0"/>
                <w:sz w:val="22"/>
                <w:szCs w:val="22"/>
                <w:highlight w:val="none"/>
                <w:lang w:bidi="ar"/>
              </w:rPr>
              <w:t>1.06</w:t>
            </w:r>
          </w:p>
        </w:tc>
        <w:tc>
          <w:tcPr>
            <w:tcW w:w="709"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color w:val="auto"/>
                <w:kern w:val="0"/>
                <w:sz w:val="22"/>
                <w:szCs w:val="22"/>
                <w:highlight w:val="none"/>
                <w:lang w:bidi="ar"/>
              </w:rPr>
              <w:t>62.09</w:t>
            </w:r>
          </w:p>
        </w:tc>
        <w:tc>
          <w:tcPr>
            <w:tcW w:w="729"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color w:val="auto"/>
                <w:kern w:val="0"/>
                <w:sz w:val="22"/>
                <w:szCs w:val="22"/>
                <w:highlight w:val="none"/>
                <w:lang w:bidi="ar"/>
              </w:rPr>
              <w:t>23.33</w:t>
            </w:r>
          </w:p>
        </w:tc>
        <w:tc>
          <w:tcPr>
            <w:tcW w:w="709"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color w:val="auto"/>
                <w:kern w:val="0"/>
                <w:sz w:val="22"/>
                <w:szCs w:val="22"/>
                <w:highlight w:val="none"/>
                <w:lang w:bidi="ar"/>
              </w:rPr>
              <w:t>12.54</w:t>
            </w:r>
          </w:p>
        </w:tc>
      </w:tr>
    </w:tbl>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Times New Roman" w:hAnsi="Times New Roman" w:eastAsia="宋体" w:cs="Times New Roman"/>
          <w:bCs/>
          <w:color w:val="auto"/>
          <w:kern w:val="2"/>
          <w:sz w:val="26"/>
          <w:szCs w:val="26"/>
          <w:highlight w:val="none"/>
          <w:vertAlign w:val="baseline"/>
        </w:rPr>
      </w:pPr>
    </w:p>
    <w:p>
      <w:pPr>
        <w:bidi w:val="0"/>
        <w:rPr>
          <w:rFonts w:hint="default"/>
          <w:color w:val="auto"/>
          <w:highlight w:val="none"/>
        </w:rPr>
      </w:pPr>
      <w:r>
        <w:rPr>
          <w:rFonts w:hint="eastAsia"/>
          <w:color w:val="auto"/>
          <w:highlight w:val="none"/>
          <w:lang w:val="en-US" w:eastAsia="zh-CN"/>
        </w:rPr>
        <w:t>（3）</w:t>
      </w:r>
      <w:r>
        <w:rPr>
          <w:rFonts w:hint="default"/>
          <w:color w:val="auto"/>
          <w:highlight w:val="none"/>
          <w:lang w:val="en-US" w:eastAsia="zh-CN"/>
        </w:rPr>
        <w:t>底栖动物</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80" w:lineRule="exact"/>
        <w:ind w:left="0" w:right="0" w:firstLine="520" w:firstLineChars="200"/>
        <w:jc w:val="both"/>
        <w:textAlignment w:val="auto"/>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底栖动物大多固着于岩石等坚硬的基体上和埋没于泥沙等松软的基底中。此外，还有附着于植物或其他底栖动物体表的，以及栖息在潮间带的底栖种类。多数底栖动物长期生活在底泥中，具有区域性强，迁移能力弱等特点，其区域群落较为一致。本次底栖动物调查过程中，由于靠近库首断面水位较深，不易取底栖动物，因此底栖动物调查结果仅以库区为整体统计其种类和生物量。</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调查在</w:t>
      </w:r>
      <w:r>
        <w:rPr>
          <w:rFonts w:hint="default" w:ascii="Times New Roman" w:hAnsi="Times New Roman" w:cs="Times New Roman"/>
          <w:color w:val="auto"/>
          <w:kern w:val="2"/>
          <w:sz w:val="26"/>
          <w:szCs w:val="26"/>
          <w:highlight w:val="none"/>
          <w:lang w:val="en-US" w:eastAsia="zh-CN" w:bidi="ar"/>
        </w:rPr>
        <w:t>评价江段</w:t>
      </w:r>
      <w:r>
        <w:rPr>
          <w:rFonts w:hint="default" w:ascii="Times New Roman" w:hAnsi="Times New Roman" w:eastAsia="宋体" w:cs="Times New Roman"/>
          <w:color w:val="auto"/>
          <w:kern w:val="2"/>
          <w:sz w:val="26"/>
          <w:szCs w:val="26"/>
          <w:highlight w:val="none"/>
          <w:lang w:val="en-US" w:eastAsia="zh-CN" w:bidi="ar"/>
        </w:rPr>
        <w:t>渭沱库区和渭沱坝下共采集到底栖动物6种，隶属于3门4纲5目；优势种类为宁波短沟蜷和沼蛤；底栖动物密度为4~86ind/m</w:t>
      </w:r>
      <w:r>
        <w:rPr>
          <w:rFonts w:hint="default" w:ascii="Times New Roman" w:hAnsi="Times New Roman" w:eastAsia="宋体" w:cs="Times New Roman"/>
          <w:color w:val="auto"/>
          <w:kern w:val="2"/>
          <w:sz w:val="26"/>
          <w:szCs w:val="26"/>
          <w:highlight w:val="none"/>
          <w:vertAlign w:val="superscript"/>
          <w:lang w:val="en-US" w:eastAsia="zh-CN" w:bidi="ar"/>
        </w:rPr>
        <w:t>2</w:t>
      </w:r>
      <w:r>
        <w:rPr>
          <w:rFonts w:hint="default" w:ascii="Times New Roman" w:hAnsi="Times New Roman" w:eastAsia="宋体" w:cs="Times New Roman"/>
          <w:color w:val="auto"/>
          <w:kern w:val="2"/>
          <w:sz w:val="26"/>
          <w:szCs w:val="26"/>
          <w:highlight w:val="none"/>
          <w:lang w:val="en-US" w:eastAsia="zh-CN" w:bidi="ar"/>
        </w:rPr>
        <w:t>之间，生物量在1.30~6.75g/m</w:t>
      </w:r>
      <w:r>
        <w:rPr>
          <w:rFonts w:hint="default" w:ascii="Times New Roman" w:hAnsi="Times New Roman" w:eastAsia="宋体" w:cs="Times New Roman"/>
          <w:color w:val="auto"/>
          <w:kern w:val="2"/>
          <w:sz w:val="26"/>
          <w:szCs w:val="26"/>
          <w:highlight w:val="none"/>
          <w:vertAlign w:val="superscript"/>
          <w:lang w:val="en-US" w:eastAsia="zh-CN" w:bidi="ar"/>
        </w:rPr>
        <w:t>2</w:t>
      </w:r>
      <w:r>
        <w:rPr>
          <w:rFonts w:hint="default" w:ascii="Times New Roman" w:hAnsi="Times New Roman" w:eastAsia="宋体" w:cs="Times New Roman"/>
          <w:color w:val="auto"/>
          <w:kern w:val="2"/>
          <w:sz w:val="26"/>
          <w:szCs w:val="26"/>
          <w:highlight w:val="none"/>
          <w:lang w:val="en-US" w:eastAsia="zh-CN" w:bidi="ar"/>
        </w:rPr>
        <w:t>之间。底栖动物季节差异较大，整个评价区域底栖动物平均密度为28 ind/m</w:t>
      </w:r>
      <w:r>
        <w:rPr>
          <w:rFonts w:hint="default" w:ascii="Times New Roman" w:hAnsi="Times New Roman" w:eastAsia="宋体" w:cs="Times New Roman"/>
          <w:color w:val="auto"/>
          <w:kern w:val="2"/>
          <w:sz w:val="26"/>
          <w:szCs w:val="26"/>
          <w:highlight w:val="none"/>
          <w:vertAlign w:val="superscript"/>
          <w:lang w:val="en-US" w:eastAsia="zh-CN" w:bidi="ar"/>
        </w:rPr>
        <w:t>2</w:t>
      </w:r>
      <w:r>
        <w:rPr>
          <w:rFonts w:hint="default" w:ascii="Times New Roman" w:hAnsi="Times New Roman" w:eastAsia="宋体" w:cs="Times New Roman"/>
          <w:color w:val="auto"/>
          <w:kern w:val="2"/>
          <w:sz w:val="26"/>
          <w:szCs w:val="26"/>
          <w:highlight w:val="none"/>
          <w:lang w:val="en-US" w:eastAsia="zh-CN" w:bidi="ar"/>
        </w:rPr>
        <w:t>，平均生物量约1.89g/m</w:t>
      </w:r>
      <w:r>
        <w:rPr>
          <w:rFonts w:hint="default" w:ascii="Times New Roman" w:hAnsi="Times New Roman" w:eastAsia="宋体" w:cs="Times New Roman"/>
          <w:color w:val="auto"/>
          <w:kern w:val="2"/>
          <w:sz w:val="26"/>
          <w:szCs w:val="26"/>
          <w:highlight w:val="none"/>
          <w:vertAlign w:val="superscript"/>
          <w:lang w:val="en-US" w:eastAsia="zh-CN" w:bidi="ar"/>
        </w:rPr>
        <w:t>2</w:t>
      </w:r>
      <w:r>
        <w:rPr>
          <w:rFonts w:hint="default" w:ascii="Times New Roman" w:hAnsi="Times New Roman" w:eastAsia="宋体" w:cs="Times New Roman"/>
          <w:color w:val="auto"/>
          <w:kern w:val="2"/>
          <w:sz w:val="26"/>
          <w:szCs w:val="26"/>
          <w:highlight w:val="none"/>
          <w:lang w:val="en-US" w:eastAsia="zh-CN" w:bidi="ar"/>
        </w:rPr>
        <w:t>。</w:t>
      </w:r>
    </w:p>
    <w:p>
      <w:pPr>
        <w:bidi w:val="0"/>
        <w:rPr>
          <w:rFonts w:hint="default"/>
          <w:color w:val="auto"/>
          <w:highlight w:val="none"/>
        </w:rPr>
      </w:pPr>
      <w:r>
        <w:rPr>
          <w:rFonts w:hint="eastAsia"/>
          <w:color w:val="auto"/>
          <w:highlight w:val="none"/>
          <w:lang w:val="en-US" w:eastAsia="zh-CN"/>
        </w:rPr>
        <w:t>（4）</w:t>
      </w:r>
      <w:r>
        <w:rPr>
          <w:rFonts w:hint="default"/>
          <w:color w:val="auto"/>
          <w:highlight w:val="none"/>
          <w:lang w:val="en-US" w:eastAsia="zh-CN"/>
        </w:rPr>
        <w:t>鱼类资源</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由于长江流</w:t>
      </w:r>
      <w:r>
        <w:rPr>
          <w:rFonts w:hint="eastAsia" w:ascii="宋体" w:hAnsi="宋体" w:eastAsia="宋体" w:cs="宋体"/>
          <w:color w:val="auto"/>
          <w:kern w:val="2"/>
          <w:sz w:val="26"/>
          <w:szCs w:val="26"/>
          <w:highlight w:val="none"/>
          <w:lang w:val="en-US" w:eastAsia="zh-CN" w:bidi="ar"/>
        </w:rPr>
        <w:t>域“十年禁渔”，</w:t>
      </w:r>
      <w:r>
        <w:rPr>
          <w:rFonts w:hint="default" w:ascii="Times New Roman" w:hAnsi="Times New Roman" w:eastAsia="宋体" w:cs="Times New Roman"/>
          <w:color w:val="auto"/>
          <w:kern w:val="2"/>
          <w:sz w:val="26"/>
          <w:szCs w:val="26"/>
          <w:highlight w:val="none"/>
          <w:lang w:val="en-US" w:eastAsia="zh-CN" w:bidi="ar"/>
        </w:rPr>
        <w:t>涪江也实行全面禁捕。调查采用资料收集以及环境DNA相结合的方法了解评价江段鱼类资源演变，同时参考重庆市2022年度水生生物资源监测资料，基本能全面真实反映涪江流域鱼类资源现状。</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eastAsia" w:cs="Times New Roman"/>
          <w:color w:val="auto"/>
          <w:kern w:val="2"/>
          <w:sz w:val="26"/>
          <w:szCs w:val="26"/>
          <w:highlight w:val="none"/>
          <w:lang w:val="en-US" w:eastAsia="zh-CN" w:bidi="ar"/>
        </w:rPr>
        <w:t xml:space="preserve">① </w:t>
      </w:r>
      <w:r>
        <w:rPr>
          <w:rFonts w:hint="default" w:ascii="Times New Roman" w:hAnsi="Times New Roman" w:eastAsia="宋体" w:cs="Times New Roman"/>
          <w:color w:val="auto"/>
          <w:kern w:val="2"/>
          <w:sz w:val="26"/>
          <w:szCs w:val="26"/>
          <w:highlight w:val="none"/>
          <w:lang w:val="en-US" w:eastAsia="zh-CN" w:bidi="ar"/>
        </w:rPr>
        <w:t>鱼类资源现状</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为了解涪江重庆段鱼类资源现状，本次调查采用eDNA检测方法在渭沱船闸上下游设置2个断面进行鱼类资源调查，同时参考2022年度重庆市水生生物资源监测在涪江流域的监测结果进行分析。eDNA检测到评价江段鱼类现状为：分布鱼类48种，分隶于4目9科40属，鲤形目为该区的主要类群，已知有31属38种，鲇形目3属4种，鲈形目5属5种，合鳃目1属1种，其中长江上游特有鱼类5种。</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b w:val="0"/>
          <w:bCs w:val="0"/>
          <w:color w:val="auto"/>
          <w:kern w:val="2"/>
          <w:sz w:val="26"/>
          <w:szCs w:val="26"/>
          <w:highlight w:val="none"/>
        </w:rPr>
      </w:pPr>
      <w:r>
        <w:rPr>
          <w:rFonts w:hint="eastAsia" w:cs="Times New Roman"/>
          <w:b w:val="0"/>
          <w:bCs w:val="0"/>
          <w:color w:val="auto"/>
          <w:kern w:val="2"/>
          <w:sz w:val="26"/>
          <w:szCs w:val="26"/>
          <w:highlight w:val="none"/>
          <w:lang w:val="en-US" w:eastAsia="zh-CN" w:bidi="ar"/>
        </w:rPr>
        <w:t>②</w:t>
      </w:r>
      <w:r>
        <w:rPr>
          <w:rFonts w:hint="default" w:ascii="Times New Roman" w:hAnsi="Times New Roman" w:eastAsia="宋体" w:cs="Times New Roman"/>
          <w:b w:val="0"/>
          <w:bCs w:val="0"/>
          <w:color w:val="auto"/>
          <w:kern w:val="2"/>
          <w:sz w:val="26"/>
          <w:szCs w:val="26"/>
          <w:highlight w:val="none"/>
          <w:lang w:val="en-US" w:eastAsia="zh-CN" w:bidi="ar"/>
        </w:rPr>
        <w:t xml:space="preserve"> 水流偏好性</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现状调查显示，评价区江段共检测到48种鱼类，鱼类流速类型与其生活的江段水域环境状况密切相关，鱼类的流速类型分为以下3种类型：</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喜流水鱼类：包括吻鮈、银鮈、乐山小鳔鮈、马口鱼等鱼类，共计9种，占本地区鱼类种类数的18.75%。</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喜缓静水鱼类：黄鳝、张氏䱗、鳜、黄颡鱼等共21种鱼类，占本地区鱼类种类数的43.75%，占据绝对优势。这与该评价区江段水流流速缓慢相关。</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广适性鱼类：鲤、鲫、似鳊、草鱼、鲇、赤眼鳟等，共计18种，占本地区鱼类种类数的37.5%。</w:t>
      </w:r>
    </w:p>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lang w:val="en-US" w:eastAsia="zh-CN" w:bidi="ar"/>
        </w:rPr>
        <w:drawing>
          <wp:inline distT="0" distB="0" distL="0" distR="0">
            <wp:extent cx="5039995" cy="2632710"/>
            <wp:effectExtent l="0" t="0" r="8255" b="1524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5039995" cy="2632710"/>
                    </a:xfrm>
                    <a:prstGeom prst="rect">
                      <a:avLst/>
                    </a:prstGeom>
                    <a:noFill/>
                    <a:ln>
                      <a:noFill/>
                    </a:ln>
                  </pic:spPr>
                </pic:pic>
              </a:graphicData>
            </a:graphic>
          </wp:inline>
        </w:drawing>
      </w:r>
      <w:r>
        <w:rPr>
          <w:rFonts w:hint="default" w:ascii="Times New Roman" w:hAnsi="Times New Roman" w:eastAsia="宋体" w:cs="Times New Roman"/>
          <w:bCs/>
          <w:color w:val="auto"/>
          <w:kern w:val="2"/>
          <w:sz w:val="24"/>
          <w:szCs w:val="24"/>
          <w:highlight w:val="none"/>
          <w:lang w:val="en-US" w:eastAsia="zh-CN" w:bidi="ar"/>
        </w:rPr>
        <w:t xml:space="preserve"> </w:t>
      </w:r>
    </w:p>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6"/>
          <w:szCs w:val="26"/>
          <w:highlight w:val="none"/>
        </w:rPr>
      </w:pPr>
      <w:r>
        <w:rPr>
          <w:rFonts w:hint="default" w:ascii="Times New Roman" w:hAnsi="Times New Roman" w:eastAsia="宋体" w:cs="Times New Roman"/>
          <w:b/>
          <w:bCs/>
          <w:color w:val="auto"/>
          <w:kern w:val="2"/>
          <w:sz w:val="26"/>
          <w:szCs w:val="26"/>
          <w:highlight w:val="none"/>
          <w:lang w:val="en-US" w:eastAsia="zh-CN" w:bidi="ar"/>
        </w:rPr>
        <w:t xml:space="preserve"> </w:t>
      </w:r>
      <w:r>
        <w:rPr>
          <w:rFonts w:hint="eastAsia" w:ascii="Times New Roman" w:hAnsi="Times New Roman" w:cs="Times New Roman"/>
          <w:b/>
          <w:bCs/>
          <w:color w:val="auto"/>
          <w:kern w:val="2"/>
          <w:sz w:val="26"/>
          <w:szCs w:val="26"/>
          <w:highlight w:val="none"/>
          <w:lang w:val="en-US" w:eastAsia="zh-CN" w:bidi="ar"/>
        </w:rPr>
        <w:t xml:space="preserve">图3.2.3-1  </w:t>
      </w:r>
      <w:r>
        <w:rPr>
          <w:rFonts w:hint="default" w:ascii="Times New Roman" w:hAnsi="Times New Roman" w:eastAsia="宋体" w:cs="Times New Roman"/>
          <w:b/>
          <w:bCs/>
          <w:color w:val="auto"/>
          <w:kern w:val="2"/>
          <w:sz w:val="26"/>
          <w:szCs w:val="26"/>
          <w:highlight w:val="none"/>
          <w:lang w:val="en-US" w:eastAsia="zh-CN" w:bidi="ar"/>
        </w:rPr>
        <w:t>评价区域鱼类流速类型现状</w:t>
      </w:r>
    </w:p>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lang w:val="en-US" w:eastAsia="zh-CN" w:bidi="ar"/>
        </w:rPr>
        <w:t xml:space="preserve"> </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fldChar w:fldCharType="begin"/>
      </w:r>
      <w:r>
        <w:rPr>
          <w:rFonts w:hint="default" w:ascii="Times New Roman" w:hAnsi="Times New Roman" w:eastAsia="宋体" w:cs="Times New Roman"/>
          <w:bCs/>
          <w:color w:val="auto"/>
          <w:kern w:val="2"/>
          <w:sz w:val="26"/>
          <w:szCs w:val="26"/>
          <w:highlight w:val="none"/>
          <w:lang w:val="en-US" w:eastAsia="zh-CN" w:bidi="ar"/>
        </w:rPr>
        <w:instrText xml:space="preserve"> = 3 \* GB3 \* MERGEFORMAT </w:instrText>
      </w:r>
      <w:r>
        <w:rPr>
          <w:rFonts w:hint="default" w:ascii="Times New Roman" w:hAnsi="Times New Roman" w:eastAsia="宋体" w:cs="Times New Roman"/>
          <w:bCs/>
          <w:color w:val="auto"/>
          <w:kern w:val="2"/>
          <w:sz w:val="26"/>
          <w:szCs w:val="26"/>
          <w:highlight w:val="none"/>
          <w:lang w:val="en-US" w:eastAsia="zh-CN" w:bidi="ar"/>
        </w:rPr>
        <w:fldChar w:fldCharType="separate"/>
      </w:r>
      <w:r>
        <w:rPr>
          <w:color w:val="auto"/>
          <w:highlight w:val="none"/>
        </w:rPr>
        <w:t>③</w:t>
      </w:r>
      <w:r>
        <w:rPr>
          <w:rFonts w:hint="default" w:ascii="Times New Roman" w:hAnsi="Times New Roman" w:eastAsia="宋体" w:cs="Times New Roman"/>
          <w:bCs/>
          <w:color w:val="auto"/>
          <w:kern w:val="2"/>
          <w:sz w:val="26"/>
          <w:szCs w:val="26"/>
          <w:highlight w:val="none"/>
          <w:lang w:val="en-US" w:eastAsia="zh-CN" w:bidi="ar"/>
        </w:rPr>
        <w:fldChar w:fldCharType="end"/>
      </w:r>
      <w:r>
        <w:rPr>
          <w:rFonts w:hint="eastAsia" w:cs="Times New Roman"/>
          <w:bCs/>
          <w:color w:val="auto"/>
          <w:kern w:val="2"/>
          <w:sz w:val="26"/>
          <w:szCs w:val="26"/>
          <w:highlight w:val="none"/>
          <w:lang w:val="en-US" w:eastAsia="zh-CN" w:bidi="ar"/>
        </w:rPr>
        <w:t xml:space="preserve"> </w:t>
      </w:r>
      <w:r>
        <w:rPr>
          <w:rFonts w:hint="default" w:ascii="Times New Roman" w:hAnsi="Times New Roman" w:eastAsia="宋体" w:cs="Times New Roman"/>
          <w:bCs/>
          <w:color w:val="auto"/>
          <w:kern w:val="2"/>
          <w:sz w:val="26"/>
          <w:szCs w:val="26"/>
          <w:highlight w:val="none"/>
          <w:lang w:val="en-US" w:eastAsia="zh-CN" w:bidi="ar"/>
        </w:rPr>
        <w:t>栖息水层偏好性</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评价区江段鱼类的栖息水层类型共有3种。</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中上层鱼类：包括马口鱼、翘嘴鲌、银飘鱼、半䱗等14种鱼类，占本地区鱼类种类数的29.17%。</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中下层鱼类：包括黑鳍鳈、似鳊、厚颌鲂、银鮈、大口鲇等鱼类，共计19种，占本地区鱼类种类数的39.58%。</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底栖鱼类：大鳍鱊、黄鳝、高体鳑鲏、乐山小鳔鮈等，共15种鱼类，占本地区鱼类种类数的31.25%。</w:t>
      </w:r>
    </w:p>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lang w:val="en-US" w:eastAsia="zh-CN" w:bidi="ar"/>
        </w:rPr>
        <w:drawing>
          <wp:inline distT="0" distB="0" distL="0" distR="0">
            <wp:extent cx="5039995" cy="2632710"/>
            <wp:effectExtent l="0" t="0" r="8255" b="1524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5039995" cy="2632710"/>
                    </a:xfrm>
                    <a:prstGeom prst="rect">
                      <a:avLst/>
                    </a:prstGeom>
                    <a:noFill/>
                    <a:ln>
                      <a:noFill/>
                    </a:ln>
                  </pic:spPr>
                </pic:pic>
              </a:graphicData>
            </a:graphic>
          </wp:inline>
        </w:drawing>
      </w:r>
      <w:r>
        <w:rPr>
          <w:rFonts w:hint="default" w:ascii="Times New Roman" w:hAnsi="Times New Roman" w:eastAsia="宋体" w:cs="Times New Roman"/>
          <w:bCs/>
          <w:color w:val="auto"/>
          <w:kern w:val="2"/>
          <w:sz w:val="24"/>
          <w:szCs w:val="24"/>
          <w:highlight w:val="none"/>
          <w:lang w:val="en-US" w:eastAsia="zh-CN" w:bidi="ar"/>
        </w:rPr>
        <w:t xml:space="preserve"> </w:t>
      </w:r>
    </w:p>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6"/>
          <w:szCs w:val="26"/>
          <w:highlight w:val="none"/>
        </w:rPr>
      </w:pPr>
      <w:r>
        <w:rPr>
          <w:rFonts w:hint="eastAsia" w:ascii="Times New Roman" w:hAnsi="Times New Roman" w:cs="Times New Roman"/>
          <w:b/>
          <w:bCs/>
          <w:color w:val="auto"/>
          <w:kern w:val="2"/>
          <w:sz w:val="26"/>
          <w:szCs w:val="26"/>
          <w:highlight w:val="none"/>
          <w:lang w:val="en-US" w:eastAsia="zh-CN" w:bidi="ar"/>
        </w:rPr>
        <w:t xml:space="preserve">图3.2.3-2  </w:t>
      </w:r>
      <w:r>
        <w:rPr>
          <w:rFonts w:hint="default" w:ascii="Times New Roman" w:hAnsi="Times New Roman" w:eastAsia="宋体" w:cs="Times New Roman"/>
          <w:b/>
          <w:bCs/>
          <w:color w:val="auto"/>
          <w:kern w:val="2"/>
          <w:sz w:val="26"/>
          <w:szCs w:val="26"/>
          <w:highlight w:val="none"/>
          <w:lang w:val="en-US" w:eastAsia="zh-CN" w:bidi="ar"/>
        </w:rPr>
        <w:t>评价区域鱼类栖息水层类型现状</w:t>
      </w:r>
    </w:p>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lang w:val="en-US" w:eastAsia="zh-CN" w:bidi="ar"/>
        </w:rPr>
        <w:t xml:space="preserve"> </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480" w:lineRule="exact"/>
        <w:ind w:left="0" w:right="0" w:firstLine="520" w:firstLineChars="200"/>
        <w:jc w:val="both"/>
        <w:textAlignment w:val="auto"/>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fldChar w:fldCharType="begin"/>
      </w:r>
      <w:r>
        <w:rPr>
          <w:rFonts w:hint="default" w:ascii="Times New Roman" w:hAnsi="Times New Roman" w:eastAsia="宋体" w:cs="Times New Roman"/>
          <w:bCs/>
          <w:color w:val="auto"/>
          <w:kern w:val="2"/>
          <w:sz w:val="26"/>
          <w:szCs w:val="26"/>
          <w:highlight w:val="none"/>
          <w:lang w:val="en-US" w:eastAsia="zh-CN" w:bidi="ar"/>
        </w:rPr>
        <w:instrText xml:space="preserve"> = 4 \* GB3 \* MERGEFORMAT </w:instrText>
      </w:r>
      <w:r>
        <w:rPr>
          <w:rFonts w:hint="default" w:ascii="Times New Roman" w:hAnsi="Times New Roman" w:eastAsia="宋体" w:cs="Times New Roman"/>
          <w:bCs/>
          <w:color w:val="auto"/>
          <w:kern w:val="2"/>
          <w:sz w:val="26"/>
          <w:szCs w:val="26"/>
          <w:highlight w:val="none"/>
          <w:lang w:val="en-US" w:eastAsia="zh-CN" w:bidi="ar"/>
        </w:rPr>
        <w:fldChar w:fldCharType="separate"/>
      </w:r>
      <w:r>
        <w:rPr>
          <w:color w:val="auto"/>
          <w:highlight w:val="none"/>
        </w:rPr>
        <w:t>④</w:t>
      </w:r>
      <w:r>
        <w:rPr>
          <w:rFonts w:hint="default" w:ascii="Times New Roman" w:hAnsi="Times New Roman" w:eastAsia="宋体" w:cs="Times New Roman"/>
          <w:bCs/>
          <w:color w:val="auto"/>
          <w:kern w:val="2"/>
          <w:sz w:val="26"/>
          <w:szCs w:val="26"/>
          <w:highlight w:val="none"/>
          <w:lang w:val="en-US" w:eastAsia="zh-CN" w:bidi="ar"/>
        </w:rPr>
        <w:fldChar w:fldCharType="end"/>
      </w:r>
      <w:r>
        <w:rPr>
          <w:rFonts w:hint="default" w:ascii="Times New Roman" w:hAnsi="Times New Roman" w:eastAsia="宋体" w:cs="Times New Roman"/>
          <w:bCs/>
          <w:color w:val="auto"/>
          <w:kern w:val="2"/>
          <w:sz w:val="26"/>
          <w:szCs w:val="26"/>
          <w:highlight w:val="none"/>
          <w:lang w:val="en-US" w:eastAsia="zh-CN" w:bidi="ar"/>
        </w:rPr>
        <w:t xml:space="preserve"> 食性</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评价区鱼类的食性类型共有3种。</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肉食性鱼类：包括乌鳢、大口鲇、拟尖头鲌、鳜等凶猛性鱼类，共计13种，占本地区鱼类种类数的27.03%。</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植食性鱼类：草鱼、鲢、鳙、团头鲂，共4种，占本地区鱼类种类数的8.33%，种类较少，这可能与评价区水生植物数量较少相关。</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杂食性鱼类：张氏䱗、黄颡鱼、银飘鱼、似鳊等共计31种鱼类，占本地区鱼类种类数的64.58%。是评价区的重要组成部分。</w:t>
      </w:r>
    </w:p>
    <w:p>
      <w:pPr>
        <w:pStyle w:val="23"/>
        <w:keepNext w:val="0"/>
        <w:keepLines w:val="0"/>
        <w:widowControl w:val="0"/>
        <w:suppressLineNumbers w:val="0"/>
        <w:adjustRightInd w:val="0"/>
        <w:snapToGrid w:val="0"/>
        <w:spacing w:before="0" w:beforeAutospacing="0" w:after="0" w:afterAutospacing="0" w:line="240" w:lineRule="auto"/>
        <w:ind w:left="0" w:right="0" w:firstLine="520" w:firstLineChars="200"/>
        <w:jc w:val="center"/>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 xml:space="preserve"> </w:t>
      </w:r>
    </w:p>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drawing>
          <wp:inline distT="0" distB="0" distL="0" distR="0">
            <wp:extent cx="5039995" cy="2632710"/>
            <wp:effectExtent l="0" t="0" r="8255" b="1524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039995" cy="2632710"/>
                    </a:xfrm>
                    <a:prstGeom prst="rect">
                      <a:avLst/>
                    </a:prstGeom>
                    <a:noFill/>
                    <a:ln>
                      <a:noFill/>
                    </a:ln>
                  </pic:spPr>
                </pic:pic>
              </a:graphicData>
            </a:graphic>
          </wp:inline>
        </w:drawing>
      </w:r>
      <w:r>
        <w:rPr>
          <w:rFonts w:hint="default" w:ascii="Times New Roman" w:hAnsi="Times New Roman" w:eastAsia="宋体" w:cs="Times New Roman"/>
          <w:bCs/>
          <w:color w:val="auto"/>
          <w:kern w:val="2"/>
          <w:sz w:val="26"/>
          <w:szCs w:val="26"/>
          <w:highlight w:val="none"/>
          <w:lang w:val="en-US" w:eastAsia="zh-CN" w:bidi="ar"/>
        </w:rPr>
        <w:t xml:space="preserve"> </w:t>
      </w:r>
    </w:p>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6"/>
          <w:szCs w:val="26"/>
          <w:highlight w:val="none"/>
        </w:rPr>
      </w:pPr>
      <w:r>
        <w:rPr>
          <w:rFonts w:hint="eastAsia" w:ascii="Times New Roman" w:hAnsi="Times New Roman" w:cs="Times New Roman"/>
          <w:b/>
          <w:bCs/>
          <w:color w:val="auto"/>
          <w:kern w:val="2"/>
          <w:sz w:val="26"/>
          <w:szCs w:val="26"/>
          <w:highlight w:val="none"/>
          <w:lang w:val="en-US" w:eastAsia="zh-CN" w:bidi="ar"/>
        </w:rPr>
        <w:t xml:space="preserve">图3.2.3-3  </w:t>
      </w:r>
      <w:r>
        <w:rPr>
          <w:rFonts w:hint="default" w:ascii="Times New Roman" w:hAnsi="Times New Roman" w:eastAsia="宋体" w:cs="Times New Roman"/>
          <w:b/>
          <w:bCs/>
          <w:color w:val="auto"/>
          <w:kern w:val="2"/>
          <w:sz w:val="26"/>
          <w:szCs w:val="26"/>
          <w:highlight w:val="none"/>
          <w:lang w:val="en-US" w:eastAsia="zh-CN" w:bidi="ar"/>
        </w:rPr>
        <w:t>评价区域鱼类食性类型现状</w:t>
      </w:r>
    </w:p>
    <w:p>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480" w:lineRule="exact"/>
        <w:ind w:left="0" w:right="0" w:firstLine="520" w:firstLineChars="200"/>
        <w:jc w:val="both"/>
        <w:textAlignment w:val="auto"/>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⑤ 鱼类繁殖类型组成</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评价区江段的鱼类主要</w:t>
      </w:r>
      <w:r>
        <w:rPr>
          <w:rFonts w:hint="eastAsia" w:cs="Times New Roman"/>
          <w:color w:val="auto"/>
          <w:kern w:val="2"/>
          <w:sz w:val="26"/>
          <w:szCs w:val="26"/>
          <w:highlight w:val="none"/>
          <w:shd w:val="clear" w:fill="FFFFFF"/>
          <w:lang w:val="en-US" w:eastAsia="zh-CN" w:bidi="ar"/>
        </w:rPr>
        <w:t>分为</w:t>
      </w:r>
      <w:r>
        <w:rPr>
          <w:rFonts w:hint="default" w:ascii="Times New Roman" w:hAnsi="Times New Roman" w:eastAsia="宋体" w:cs="Times New Roman"/>
          <w:color w:val="auto"/>
          <w:kern w:val="2"/>
          <w:sz w:val="26"/>
          <w:szCs w:val="26"/>
          <w:highlight w:val="none"/>
          <w:lang w:val="en-US" w:eastAsia="zh-CN" w:bidi="ar"/>
        </w:rPr>
        <w:t>5种繁殖类型，即产粘性卵、产沉性卵、产浮性卵、产漂流性卵及其他特殊产卵类型，具体如下：</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产粘性卵类型：包括黄颡鱼、张氏䱗、花䱻、宽口光唇鱼等鱼类23种，占本地区鱼类繁殖种类数的47.92%，是本区域的主要繁殖类型。</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产沉性卵类型：大鳞副泥鳅、赤眼鳟、半䱗3种。占本地区鱼类种数的6.25%。</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产浮性卵类型：包括鳜和乌鳢2种鱼类物种，占本地区鱼类繁殖种类数的4.17%。</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产漂流性卵类型：评价区鱼类中产漂流性卵的鱼类包括吻鮈、银鮈、马口鱼、乐山小鳔鮈等15种，占本地繁殖种类数的31.25%。</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特殊产卵类型：包括产卵于软体动物外套腔中的鱊亚科（中华鳑鲏、高体鳑鲏和大鳍鱊）及通过口腔孵育幼鱼的齐氏罗非鱼、尼罗罗非鱼的5种鱼类物种，占本地区鱼类繁殖种类数的10.42%。</w:t>
      </w:r>
    </w:p>
    <w:p>
      <w:pPr>
        <w:pStyle w:val="23"/>
        <w:keepNext w:val="0"/>
        <w:keepLines w:val="0"/>
        <w:widowControl w:val="0"/>
        <w:suppressLineNumbers w:val="0"/>
        <w:adjustRightInd w:val="0"/>
        <w:snapToGrid w:val="0"/>
        <w:spacing w:before="0" w:beforeAutospacing="0" w:after="0" w:afterAutospacing="0" w:line="240" w:lineRule="auto"/>
        <w:ind w:left="0" w:right="0" w:firstLine="520" w:firstLineChars="200"/>
        <w:jc w:val="center"/>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 xml:space="preserve"> </w:t>
      </w:r>
    </w:p>
    <w:p>
      <w:pPr>
        <w:keepNext w:val="0"/>
        <w:keepLines w:val="0"/>
        <w:widowControl w:val="0"/>
        <w:suppressLineNumbers w:val="0"/>
        <w:overflowPunct w:val="0"/>
        <w:autoSpaceDE w:val="0"/>
        <w:autoSpaceDN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drawing>
          <wp:inline distT="0" distB="0" distL="0" distR="0">
            <wp:extent cx="5039995" cy="2632710"/>
            <wp:effectExtent l="0" t="0" r="8255" b="15240"/>
            <wp:docPr id="188814729" name="图片 18881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14729" name="图片 18881472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039995" cy="2632710"/>
                    </a:xfrm>
                    <a:prstGeom prst="rect">
                      <a:avLst/>
                    </a:prstGeom>
                    <a:noFill/>
                    <a:ln>
                      <a:noFill/>
                    </a:ln>
                  </pic:spPr>
                </pic:pic>
              </a:graphicData>
            </a:graphic>
          </wp:inline>
        </w:drawing>
      </w:r>
      <w:r>
        <w:rPr>
          <w:rFonts w:hint="default" w:ascii="Times New Roman" w:hAnsi="Times New Roman" w:eastAsia="宋体" w:cs="Times New Roman"/>
          <w:color w:val="auto"/>
          <w:kern w:val="2"/>
          <w:sz w:val="26"/>
          <w:szCs w:val="26"/>
          <w:highlight w:val="none"/>
          <w:lang w:val="en-US" w:eastAsia="zh-CN" w:bidi="ar"/>
        </w:rPr>
        <w:t xml:space="preserve"> </w:t>
      </w:r>
    </w:p>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6"/>
          <w:szCs w:val="26"/>
          <w:highlight w:val="none"/>
        </w:rPr>
      </w:pPr>
      <w:r>
        <w:rPr>
          <w:rFonts w:hint="default" w:ascii="Times New Roman" w:hAnsi="Times New Roman" w:eastAsia="宋体" w:cs="Times New Roman"/>
          <w:b/>
          <w:bCs/>
          <w:color w:val="auto"/>
          <w:kern w:val="2"/>
          <w:sz w:val="26"/>
          <w:szCs w:val="26"/>
          <w:highlight w:val="none"/>
          <w:lang w:val="en-US" w:eastAsia="zh-CN" w:bidi="ar"/>
        </w:rPr>
        <w:t xml:space="preserve"> </w:t>
      </w:r>
      <w:r>
        <w:rPr>
          <w:rFonts w:hint="eastAsia" w:ascii="Times New Roman" w:hAnsi="Times New Roman" w:cs="Times New Roman"/>
          <w:b/>
          <w:bCs/>
          <w:color w:val="auto"/>
          <w:kern w:val="2"/>
          <w:sz w:val="26"/>
          <w:szCs w:val="26"/>
          <w:highlight w:val="none"/>
          <w:lang w:val="en-US" w:eastAsia="zh-CN" w:bidi="ar"/>
        </w:rPr>
        <w:t xml:space="preserve">图3.2.3-4  </w:t>
      </w:r>
      <w:r>
        <w:rPr>
          <w:rFonts w:hint="default" w:ascii="Times New Roman" w:hAnsi="Times New Roman" w:eastAsia="宋体" w:cs="Times New Roman"/>
          <w:b/>
          <w:bCs/>
          <w:color w:val="auto"/>
          <w:kern w:val="2"/>
          <w:sz w:val="26"/>
          <w:szCs w:val="26"/>
          <w:highlight w:val="none"/>
          <w:lang w:val="en-US" w:eastAsia="zh-CN" w:bidi="ar"/>
        </w:rPr>
        <w:t>评价区域鱼类繁殖类型现状</w:t>
      </w:r>
    </w:p>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 xml:space="preserve"> </w:t>
      </w:r>
    </w:p>
    <w:p>
      <w:pPr>
        <w:bidi w:val="0"/>
        <w:spacing w:line="240" w:lineRule="auto"/>
        <w:rPr>
          <w:rFonts w:hint="default"/>
          <w:color w:val="auto"/>
          <w:highlight w:val="none"/>
        </w:rPr>
      </w:pPr>
      <w:r>
        <w:rPr>
          <w:rFonts w:hint="eastAsia"/>
          <w:color w:val="auto"/>
          <w:highlight w:val="none"/>
          <w:lang w:val="en-US" w:eastAsia="zh-CN"/>
        </w:rPr>
        <w:t>（6）</w:t>
      </w:r>
      <w:r>
        <w:rPr>
          <w:rFonts w:hint="default"/>
          <w:color w:val="auto"/>
          <w:highlight w:val="none"/>
          <w:lang w:val="en-US" w:eastAsia="zh-CN"/>
        </w:rPr>
        <w:t>重点保护物种现状</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由于鱼类迁移能力强，较少次数的数据调查难以</w:t>
      </w:r>
      <w:r>
        <w:rPr>
          <w:rFonts w:hint="eastAsia" w:cs="Times New Roman"/>
          <w:color w:val="auto"/>
          <w:kern w:val="2"/>
          <w:sz w:val="26"/>
          <w:szCs w:val="26"/>
          <w:highlight w:val="none"/>
          <w:shd w:val="clear" w:fill="FFFFFF"/>
          <w:lang w:val="en-US" w:eastAsia="zh-CN" w:bidi="ar"/>
        </w:rPr>
        <w:t>反映</w:t>
      </w:r>
      <w:r>
        <w:rPr>
          <w:rFonts w:hint="default" w:ascii="Times New Roman" w:hAnsi="Times New Roman" w:eastAsia="宋体" w:cs="Times New Roman"/>
          <w:color w:val="auto"/>
          <w:kern w:val="2"/>
          <w:sz w:val="26"/>
          <w:szCs w:val="26"/>
          <w:highlight w:val="none"/>
          <w:lang w:val="en-US" w:eastAsia="zh-CN" w:bidi="ar"/>
        </w:rPr>
        <w:t>流域整体情况，且保护物种相对稀少，很难通过一次调查定性。因此本报告中重点保护物种综合2022年度重庆市水生生物资源监测以及本次eDNA调查结果进行分析。评价江段目前分布的国家保护鱼类为2种（岩原鲤、胭脂鱼），均为国家二级保护动物种。</w:t>
      </w:r>
    </w:p>
    <w:p>
      <w:pPr>
        <w:bidi w:val="0"/>
        <w:rPr>
          <w:rFonts w:hint="default"/>
          <w:color w:val="auto"/>
          <w:highlight w:val="none"/>
        </w:rPr>
      </w:pPr>
      <w:r>
        <w:rPr>
          <w:rFonts w:hint="default"/>
          <w:color w:val="auto"/>
          <w:highlight w:val="none"/>
          <w:lang w:val="en-US" w:eastAsia="zh-CN"/>
        </w:rPr>
        <w:t>① 国家保护鱼类</w:t>
      </w:r>
    </w:p>
    <w:p>
      <w:pPr>
        <w:keepNext w:val="0"/>
        <w:keepLines w:val="0"/>
        <w:widowControl w:val="0"/>
        <w:suppressLineNumbers w:val="0"/>
        <w:adjustRightInd w:val="0"/>
        <w:snapToGrid w:val="0"/>
        <w:spacing w:before="0" w:beforeAutospacing="0" w:after="0" w:afterAutospacing="0" w:line="480" w:lineRule="exact"/>
        <w:ind w:left="0" w:right="0" w:firstLine="522" w:firstLineChars="200"/>
        <w:jc w:val="both"/>
        <w:rPr>
          <w:rFonts w:hint="default" w:ascii="Times New Roman" w:hAnsi="Times New Roman" w:eastAsia="宋体" w:cs="Times New Roman"/>
          <w:b/>
          <w:bCs/>
          <w:color w:val="auto"/>
          <w:kern w:val="2"/>
          <w:sz w:val="26"/>
          <w:szCs w:val="26"/>
          <w:highlight w:val="none"/>
        </w:rPr>
      </w:pPr>
      <w:r>
        <w:rPr>
          <w:rFonts w:hint="default" w:ascii="Times New Roman" w:hAnsi="Times New Roman" w:eastAsia="宋体" w:cs="Times New Roman"/>
          <w:b/>
          <w:bCs/>
          <w:color w:val="auto"/>
          <w:kern w:val="2"/>
          <w:sz w:val="26"/>
          <w:szCs w:val="26"/>
          <w:highlight w:val="none"/>
          <w:lang w:val="en-US" w:eastAsia="zh-CN" w:bidi="ar"/>
        </w:rPr>
        <w:t>胭脂鱼（</w:t>
      </w:r>
      <w:r>
        <w:rPr>
          <w:rFonts w:hint="default" w:ascii="Times New Roman" w:hAnsi="Times New Roman" w:eastAsia="宋体" w:cs="Times New Roman"/>
          <w:b/>
          <w:bCs/>
          <w:i/>
          <w:iCs w:val="0"/>
          <w:color w:val="auto"/>
          <w:kern w:val="2"/>
          <w:sz w:val="26"/>
          <w:szCs w:val="26"/>
          <w:highlight w:val="none"/>
          <w:shd w:val="clear" w:fill="FFFFFF"/>
          <w:lang w:val="en-US" w:eastAsia="zh-CN" w:bidi="ar"/>
        </w:rPr>
        <w:t>Mgxocyprinus</w:t>
      </w:r>
      <w:r>
        <w:rPr>
          <w:rFonts w:hint="default" w:ascii="Times New Roman" w:hAnsi="Times New Roman" w:eastAsia="宋体" w:cs="Times New Roman"/>
          <w:b/>
          <w:bCs/>
          <w:i/>
          <w:iCs w:val="0"/>
          <w:color w:val="auto"/>
          <w:kern w:val="2"/>
          <w:sz w:val="26"/>
          <w:szCs w:val="26"/>
          <w:highlight w:val="none"/>
          <w:lang w:val="en-US" w:eastAsia="zh-CN" w:bidi="ar"/>
        </w:rPr>
        <w:t xml:space="preserve"> asiaticus</w:t>
      </w:r>
      <w:r>
        <w:rPr>
          <w:rFonts w:hint="default" w:ascii="Times New Roman" w:hAnsi="Times New Roman" w:eastAsia="宋体" w:cs="Times New Roman"/>
          <w:b/>
          <w:bCs/>
          <w:color w:val="auto"/>
          <w:kern w:val="2"/>
          <w:sz w:val="26"/>
          <w:szCs w:val="26"/>
          <w:highlight w:val="none"/>
          <w:lang w:val="en-US" w:eastAsia="zh-CN" w:bidi="ar"/>
        </w:rPr>
        <w:t>）</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胭脂鱼俗称黄排、血排、火烧鳊等，是我国胭脂鱼科中仅有的一属一种。长江流域均有分布，但主要分布于长江上游干流、嘉陵江下游及金沙江下游江段。主要以底栖无脊椎动物为食，常见个体体重5-15kg，最大个体重达35kg。性成熟年龄为5-6龄，繁殖季节为春季的3-4月，在水流湍急的石滩上产卵，卵具有</w:t>
      </w:r>
      <w:r>
        <w:rPr>
          <w:rFonts w:hint="default" w:ascii="Times New Roman" w:hAnsi="Times New Roman" w:eastAsia="宋体" w:cs="Times New Roman"/>
          <w:color w:val="auto"/>
          <w:kern w:val="2"/>
          <w:sz w:val="26"/>
          <w:szCs w:val="26"/>
          <w:highlight w:val="none"/>
          <w:shd w:val="clear" w:fill="FFFFFF"/>
          <w:lang w:val="en-US" w:eastAsia="zh-CN" w:bidi="ar"/>
        </w:rPr>
        <w:t>粘性</w:t>
      </w:r>
      <w:r>
        <w:rPr>
          <w:rFonts w:hint="default" w:ascii="Times New Roman" w:hAnsi="Times New Roman" w:eastAsia="宋体" w:cs="Times New Roman"/>
          <w:color w:val="auto"/>
          <w:kern w:val="2"/>
          <w:sz w:val="26"/>
          <w:szCs w:val="26"/>
          <w:highlight w:val="none"/>
          <w:lang w:val="en-US" w:eastAsia="zh-CN" w:bidi="ar"/>
        </w:rPr>
        <w:t>。</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根据历史资料记载，在富金坝电站成库前可见胭脂鱼，在成库后很少见其踪影。2022年度重庆市水生生物资源监测在涪江采集到胭脂鱼。</w:t>
      </w:r>
    </w:p>
    <w:p>
      <w:pPr>
        <w:keepNext w:val="0"/>
        <w:keepLines w:val="0"/>
        <w:widowControl w:val="0"/>
        <w:suppressLineNumbers w:val="0"/>
        <w:adjustRightInd w:val="0"/>
        <w:snapToGrid w:val="0"/>
        <w:spacing w:before="0" w:beforeAutospacing="0" w:after="0" w:afterAutospacing="0" w:line="480" w:lineRule="exact"/>
        <w:ind w:left="0" w:right="0" w:firstLine="522" w:firstLineChars="200"/>
        <w:jc w:val="both"/>
        <w:rPr>
          <w:rFonts w:hint="default" w:ascii="Times New Roman" w:hAnsi="Times New Roman" w:eastAsia="宋体" w:cs="Times New Roman"/>
          <w:b/>
          <w:bCs/>
          <w:color w:val="auto"/>
          <w:kern w:val="2"/>
          <w:sz w:val="26"/>
          <w:szCs w:val="26"/>
          <w:highlight w:val="none"/>
        </w:rPr>
      </w:pPr>
      <w:r>
        <w:rPr>
          <w:rFonts w:hint="default" w:ascii="Times New Roman" w:hAnsi="Times New Roman" w:eastAsia="宋体" w:cs="Times New Roman"/>
          <w:b/>
          <w:bCs/>
          <w:color w:val="auto"/>
          <w:kern w:val="2"/>
          <w:sz w:val="26"/>
          <w:szCs w:val="26"/>
          <w:highlight w:val="none"/>
          <w:lang w:val="en-US" w:eastAsia="zh-CN" w:bidi="ar"/>
        </w:rPr>
        <w:t>岩原鲤（</w:t>
      </w:r>
      <w:r>
        <w:rPr>
          <w:rFonts w:hint="default" w:ascii="Times New Roman" w:hAnsi="Times New Roman" w:eastAsia="宋体" w:cs="Times New Roman"/>
          <w:b/>
          <w:bCs/>
          <w:i/>
          <w:iCs w:val="0"/>
          <w:color w:val="auto"/>
          <w:kern w:val="2"/>
          <w:sz w:val="26"/>
          <w:szCs w:val="26"/>
          <w:highlight w:val="none"/>
          <w:shd w:val="clear" w:fill="FFFFFF"/>
          <w:lang w:val="en-US" w:eastAsia="zh-CN" w:bidi="ar"/>
        </w:rPr>
        <w:t>Procypris</w:t>
      </w:r>
      <w:r>
        <w:rPr>
          <w:rFonts w:hint="default" w:ascii="Times New Roman" w:hAnsi="Times New Roman" w:eastAsia="宋体" w:cs="Times New Roman"/>
          <w:b/>
          <w:bCs/>
          <w:i/>
          <w:iCs w:val="0"/>
          <w:color w:val="auto"/>
          <w:kern w:val="2"/>
          <w:sz w:val="26"/>
          <w:szCs w:val="26"/>
          <w:highlight w:val="none"/>
          <w:lang w:val="en-US" w:eastAsia="zh-CN" w:bidi="ar"/>
        </w:rPr>
        <w:t xml:space="preserve"> </w:t>
      </w:r>
      <w:r>
        <w:rPr>
          <w:rFonts w:hint="default" w:ascii="Times New Roman" w:hAnsi="Times New Roman" w:eastAsia="宋体" w:cs="Times New Roman"/>
          <w:b/>
          <w:bCs/>
          <w:i/>
          <w:iCs w:val="0"/>
          <w:color w:val="auto"/>
          <w:kern w:val="2"/>
          <w:sz w:val="26"/>
          <w:szCs w:val="26"/>
          <w:highlight w:val="none"/>
          <w:shd w:val="clear" w:fill="FFFFFF"/>
          <w:lang w:val="en-US" w:eastAsia="zh-CN" w:bidi="ar"/>
        </w:rPr>
        <w:t>rabaudi</w:t>
      </w:r>
      <w:r>
        <w:rPr>
          <w:rFonts w:hint="default" w:ascii="Times New Roman" w:hAnsi="Times New Roman" w:eastAsia="宋体" w:cs="Times New Roman"/>
          <w:b/>
          <w:bCs/>
          <w:color w:val="auto"/>
          <w:kern w:val="2"/>
          <w:sz w:val="26"/>
          <w:szCs w:val="26"/>
          <w:highlight w:val="none"/>
          <w:lang w:val="en-US" w:eastAsia="zh-CN" w:bidi="ar"/>
        </w:rPr>
        <w:t>）</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体略高，背部隆起。唇厚，表面乳突不明显。须2对。背鳍、臀鳍具有粗壮的后缘带锯齿的硬刺。背鳍外缘平截。</w:t>
      </w:r>
      <w:r>
        <w:rPr>
          <w:rFonts w:hint="default" w:ascii="Times New Roman" w:hAnsi="Times New Roman" w:eastAsia="宋体" w:cs="Times New Roman"/>
          <w:color w:val="auto"/>
          <w:kern w:val="2"/>
          <w:sz w:val="26"/>
          <w:szCs w:val="26"/>
          <w:highlight w:val="none"/>
          <w:shd w:val="clear" w:fill="FFFFFF"/>
          <w:lang w:val="en-US" w:eastAsia="zh-CN" w:bidi="ar"/>
        </w:rPr>
        <w:t>胸鳍未端</w:t>
      </w:r>
      <w:r>
        <w:rPr>
          <w:rFonts w:hint="default" w:ascii="Times New Roman" w:hAnsi="Times New Roman" w:eastAsia="宋体" w:cs="Times New Roman"/>
          <w:color w:val="auto"/>
          <w:kern w:val="2"/>
          <w:sz w:val="26"/>
          <w:szCs w:val="26"/>
          <w:highlight w:val="none"/>
          <w:lang w:val="en-US" w:eastAsia="zh-CN" w:bidi="ar"/>
        </w:rPr>
        <w:t>接近或达到腹鳍起点。生殖期间雌雄鱼头部都出现珠星。深水中生活，常在岩石缝隙间巡游觅食。冬天潜入岩穴或深坑。2</w:t>
      </w:r>
      <w:r>
        <w:rPr>
          <w:rFonts w:hint="eastAsia" w:cs="Times New Roman"/>
          <w:color w:val="auto"/>
          <w:kern w:val="2"/>
          <w:sz w:val="26"/>
          <w:szCs w:val="26"/>
          <w:highlight w:val="none"/>
          <w:shd w:val="clear" w:fill="FFFFFF"/>
          <w:lang w:val="en-US" w:eastAsia="zh-CN" w:bidi="ar"/>
        </w:rPr>
        <w:t>月份</w:t>
      </w:r>
      <w:r>
        <w:rPr>
          <w:rFonts w:hint="default" w:ascii="Times New Roman" w:hAnsi="Times New Roman" w:eastAsia="宋体" w:cs="Times New Roman"/>
          <w:color w:val="auto"/>
          <w:kern w:val="2"/>
          <w:sz w:val="26"/>
          <w:szCs w:val="26"/>
          <w:highlight w:val="none"/>
          <w:lang w:val="en-US" w:eastAsia="zh-CN" w:bidi="ar"/>
        </w:rPr>
        <w:t>始向产卵场游动，2～4月在水质清澄、底质为砾石的急滩处分批产卵。卵</w:t>
      </w:r>
      <w:r>
        <w:rPr>
          <w:rFonts w:hint="default" w:ascii="Times New Roman" w:hAnsi="Times New Roman" w:eastAsia="宋体" w:cs="Times New Roman"/>
          <w:color w:val="auto"/>
          <w:kern w:val="2"/>
          <w:sz w:val="26"/>
          <w:szCs w:val="26"/>
          <w:highlight w:val="none"/>
          <w:shd w:val="clear" w:fill="FFFFFF"/>
          <w:lang w:val="en-US" w:eastAsia="zh-CN" w:bidi="ar"/>
        </w:rPr>
        <w:t>粘附</w:t>
      </w:r>
      <w:r>
        <w:rPr>
          <w:rFonts w:hint="default" w:ascii="Times New Roman" w:hAnsi="Times New Roman" w:eastAsia="宋体" w:cs="Times New Roman"/>
          <w:color w:val="auto"/>
          <w:kern w:val="2"/>
          <w:sz w:val="26"/>
          <w:szCs w:val="26"/>
          <w:highlight w:val="none"/>
          <w:lang w:val="en-US" w:eastAsia="zh-CN" w:bidi="ar"/>
        </w:rPr>
        <w:t>在石块上。以底栖动物和水生植物为食。生长缓慢。最大达10kg。分布于长江上游干支流。</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2022年度重庆市水生生物资源监测及本次eDNA调查均在涪江调查到岩原鲤。</w:t>
      </w:r>
    </w:p>
    <w:p>
      <w:pPr>
        <w:bidi w:val="0"/>
        <w:rPr>
          <w:rFonts w:hint="default"/>
          <w:color w:val="auto"/>
          <w:highlight w:val="none"/>
        </w:rPr>
      </w:pPr>
      <w:r>
        <w:rPr>
          <w:rFonts w:hint="default"/>
          <w:color w:val="auto"/>
          <w:highlight w:val="none"/>
          <w:lang w:val="en-US" w:eastAsia="zh-CN"/>
        </w:rPr>
        <w:t>② 长江上游特有鱼类</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综合2022年度重庆市水生生物资源监测以及本次eDNA调查结果，涪江流域目前</w:t>
      </w:r>
      <w:r>
        <w:rPr>
          <w:rFonts w:hint="default" w:ascii="Times New Roman" w:hAnsi="Times New Roman" w:eastAsia="宋体" w:cs="Times New Roman"/>
          <w:color w:val="auto"/>
          <w:kern w:val="2"/>
          <w:sz w:val="26"/>
          <w:szCs w:val="26"/>
          <w:highlight w:val="none"/>
          <w:shd w:val="clear" w:fill="FFFFFF"/>
          <w:lang w:val="en-US" w:eastAsia="zh-CN" w:bidi="ar"/>
        </w:rPr>
        <w:t>分布长江</w:t>
      </w:r>
      <w:r>
        <w:rPr>
          <w:rFonts w:hint="default" w:ascii="Times New Roman" w:hAnsi="Times New Roman" w:eastAsia="宋体" w:cs="Times New Roman"/>
          <w:color w:val="auto"/>
          <w:kern w:val="2"/>
          <w:sz w:val="26"/>
          <w:szCs w:val="26"/>
          <w:highlight w:val="none"/>
          <w:lang w:val="en-US" w:eastAsia="zh-CN" w:bidi="ar"/>
        </w:rPr>
        <w:t>上游特有鱼类10种（张氏䱗、黑尾近红鲌、厚颌鲂、高体近红鲌、半䱗、岩原鲤、伦氏孟加拉鲮、宽体沙鳅、短臀近红鲌、宽口光唇鱼）。</w:t>
      </w:r>
    </w:p>
    <w:p>
      <w:pPr>
        <w:bidi w:val="0"/>
        <w:rPr>
          <w:rFonts w:hint="default"/>
          <w:color w:val="auto"/>
          <w:highlight w:val="none"/>
        </w:rPr>
      </w:pPr>
      <w:r>
        <w:rPr>
          <w:rFonts w:hint="default"/>
          <w:color w:val="auto"/>
          <w:highlight w:val="none"/>
          <w:lang w:val="en-US" w:eastAsia="zh-CN"/>
        </w:rPr>
        <w:t>③ 重庆市重点保护鱼类</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评价区域内未分布有重庆市重点保护鱼类。</w:t>
      </w:r>
    </w:p>
    <w:p>
      <w:pPr>
        <w:keepNext w:val="0"/>
        <w:keepLines w:val="0"/>
        <w:pageBreakBefore w:val="0"/>
        <w:widowControl w:val="0"/>
        <w:suppressLineNumbers w:val="0"/>
        <w:kinsoku/>
        <w:wordWrap/>
        <w:overflow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6"/>
          <w:szCs w:val="26"/>
          <w:highlight w:val="none"/>
        </w:rPr>
      </w:pPr>
    </w:p>
    <w:p>
      <w:pPr>
        <w:keepNext w:val="0"/>
        <w:keepLines w:val="0"/>
        <w:pageBreakBefore w:val="0"/>
        <w:widowControl w:val="0"/>
        <w:suppressLineNumbers w:val="0"/>
        <w:kinsoku/>
        <w:wordWrap/>
        <w:overflowPunct/>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Times New Roman" w:hAnsi="Times New Roman" w:eastAsia="宋体" w:cs="Times New Roman"/>
          <w:b/>
          <w:bCs w:val="0"/>
          <w:color w:val="auto"/>
          <w:kern w:val="2"/>
          <w:sz w:val="26"/>
          <w:szCs w:val="26"/>
          <w:highlight w:val="none"/>
          <w:vertAlign w:val="baseline"/>
        </w:rPr>
      </w:pPr>
      <w:r>
        <w:rPr>
          <w:rFonts w:hint="default" w:ascii="Times New Roman" w:hAnsi="Times New Roman" w:eastAsia="宋体" w:cs="Times New Roman"/>
          <w:b/>
          <w:bCs w:val="0"/>
          <w:color w:val="auto"/>
          <w:kern w:val="2"/>
          <w:sz w:val="26"/>
          <w:szCs w:val="26"/>
          <w:highlight w:val="none"/>
          <w:vertAlign w:val="baseline"/>
          <w:lang w:val="en-US" w:eastAsia="zh-CN" w:bidi="ar"/>
        </w:rPr>
        <w:t>表</w:t>
      </w:r>
      <w:r>
        <w:rPr>
          <w:rFonts w:hint="eastAsia" w:ascii="Times New Roman" w:hAnsi="Times New Roman" w:cs="Times New Roman"/>
          <w:b/>
          <w:bCs w:val="0"/>
          <w:color w:val="auto"/>
          <w:kern w:val="2"/>
          <w:sz w:val="26"/>
          <w:szCs w:val="26"/>
          <w:highlight w:val="none"/>
          <w:vertAlign w:val="baseline"/>
          <w:lang w:val="en-US" w:eastAsia="zh-CN" w:bidi="ar"/>
        </w:rPr>
        <w:t>3.2.3.2-3</w:t>
      </w:r>
      <w:r>
        <w:rPr>
          <w:rFonts w:hint="default" w:ascii="Times New Roman" w:hAnsi="Times New Roman" w:eastAsia="宋体" w:cs="Times New Roman"/>
          <w:b/>
          <w:bCs w:val="0"/>
          <w:color w:val="auto"/>
          <w:kern w:val="2"/>
          <w:sz w:val="26"/>
          <w:szCs w:val="26"/>
          <w:highlight w:val="none"/>
          <w:vertAlign w:val="baseline"/>
          <w:lang w:val="en-US" w:eastAsia="zh-CN" w:bidi="ar"/>
        </w:rPr>
        <w:t xml:space="preserve">  评价区长江上游特有鱼类名录及习性</w:t>
      </w:r>
    </w:p>
    <w:tbl>
      <w:tblPr>
        <w:tblStyle w:val="28"/>
        <w:tblW w:w="485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Layout w:type="fixed"/>
        <w:tblCellMar>
          <w:top w:w="0" w:type="dxa"/>
          <w:left w:w="108" w:type="dxa"/>
          <w:bottom w:w="0" w:type="dxa"/>
          <w:right w:w="108" w:type="dxa"/>
        </w:tblCellMar>
      </w:tblPr>
      <w:tblGrid>
        <w:gridCol w:w="428"/>
        <w:gridCol w:w="1071"/>
        <w:gridCol w:w="926"/>
        <w:gridCol w:w="2588"/>
        <w:gridCol w:w="1672"/>
        <w:gridCol w:w="199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jc w:val="center"/>
        </w:trPr>
        <w:tc>
          <w:tcPr>
            <w:tcW w:w="42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序号</w:t>
            </w:r>
          </w:p>
        </w:tc>
        <w:tc>
          <w:tcPr>
            <w:tcW w:w="1071"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鱼名</w:t>
            </w:r>
          </w:p>
        </w:tc>
        <w:tc>
          <w:tcPr>
            <w:tcW w:w="926"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长江上游特有</w:t>
            </w:r>
          </w:p>
        </w:tc>
        <w:tc>
          <w:tcPr>
            <w:tcW w:w="258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生活习性</w:t>
            </w:r>
          </w:p>
        </w:tc>
        <w:tc>
          <w:tcPr>
            <w:tcW w:w="1672"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繁殖</w:t>
            </w:r>
          </w:p>
        </w:tc>
        <w:tc>
          <w:tcPr>
            <w:tcW w:w="1993"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评价区资源现状</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jc w:val="center"/>
        </w:trPr>
        <w:tc>
          <w:tcPr>
            <w:tcW w:w="42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numPr>
                <w:ilvl w:val="0"/>
                <w:numId w:val="28"/>
              </w:numPr>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p>
        </w:tc>
        <w:tc>
          <w:tcPr>
            <w:tcW w:w="1071"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lang w:val="en-US" w:eastAsia="zh-CN" w:bidi="ar"/>
              </w:rPr>
            </w:pPr>
            <w:r>
              <w:rPr>
                <w:rFonts w:hint="default" w:ascii="Times New Roman" w:hAnsi="Times New Roman" w:eastAsia="宋体" w:cs="Times New Roman"/>
                <w:color w:val="auto"/>
                <w:kern w:val="2"/>
                <w:sz w:val="22"/>
                <w:szCs w:val="22"/>
                <w:highlight w:val="none"/>
                <w:lang w:val="en-US" w:eastAsia="zh-CN" w:bidi="ar"/>
              </w:rPr>
              <w:t>宽体</w:t>
            </w:r>
          </w:p>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沙鳅</w:t>
            </w:r>
          </w:p>
        </w:tc>
        <w:tc>
          <w:tcPr>
            <w:tcW w:w="926"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w:t>
            </w:r>
          </w:p>
        </w:tc>
        <w:tc>
          <w:tcPr>
            <w:tcW w:w="258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栖居于砂石底缓水区</w:t>
            </w:r>
          </w:p>
        </w:tc>
        <w:tc>
          <w:tcPr>
            <w:tcW w:w="1672"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5-6月繁殖，漂流性卵</w:t>
            </w:r>
          </w:p>
        </w:tc>
        <w:tc>
          <w:tcPr>
            <w:tcW w:w="1993"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有一定资源量</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jc w:val="center"/>
        </w:trPr>
        <w:tc>
          <w:tcPr>
            <w:tcW w:w="42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numPr>
                <w:ilvl w:val="0"/>
                <w:numId w:val="28"/>
              </w:numPr>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p>
        </w:tc>
        <w:tc>
          <w:tcPr>
            <w:tcW w:w="1071"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高体近红鲌</w:t>
            </w:r>
          </w:p>
        </w:tc>
        <w:tc>
          <w:tcPr>
            <w:tcW w:w="926"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w:t>
            </w:r>
          </w:p>
        </w:tc>
        <w:tc>
          <w:tcPr>
            <w:tcW w:w="258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激流岸边</w:t>
            </w:r>
          </w:p>
        </w:tc>
        <w:tc>
          <w:tcPr>
            <w:tcW w:w="1672"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3~4月产卵</w:t>
            </w:r>
          </w:p>
        </w:tc>
        <w:tc>
          <w:tcPr>
            <w:tcW w:w="1993"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无渔获物统计资料</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jc w:val="center"/>
        </w:trPr>
        <w:tc>
          <w:tcPr>
            <w:tcW w:w="42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numPr>
                <w:ilvl w:val="0"/>
                <w:numId w:val="28"/>
              </w:numPr>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p>
        </w:tc>
        <w:tc>
          <w:tcPr>
            <w:tcW w:w="1071"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短臀近红鲌</w:t>
            </w:r>
          </w:p>
        </w:tc>
        <w:tc>
          <w:tcPr>
            <w:tcW w:w="926"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w:t>
            </w:r>
          </w:p>
        </w:tc>
        <w:tc>
          <w:tcPr>
            <w:tcW w:w="258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autoSpaceDE/>
              <w:autoSpaceDN/>
              <w:bidi w:val="0"/>
              <w:adjustRightInd w:val="0"/>
              <w:snapToGrid w:val="0"/>
              <w:spacing w:before="0" w:beforeAutospacing="0" w:after="0" w:afterAutospacing="0" w:line="240" w:lineRule="auto"/>
              <w:ind w:left="-130" w:leftChars="-50" w:right="-130" w:rightChars="-50" w:firstLine="0" w:firstLineChars="0"/>
              <w:jc w:val="center"/>
              <w:textAlignment w:val="auto"/>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pacing w:val="-4"/>
                <w:kern w:val="2"/>
                <w:sz w:val="22"/>
                <w:szCs w:val="22"/>
                <w:highlight w:val="none"/>
                <w:lang w:val="en-US" w:eastAsia="zh-CN" w:bidi="ar"/>
              </w:rPr>
              <w:t>以水生昆虫、小鱼、虾为食</w:t>
            </w:r>
          </w:p>
        </w:tc>
        <w:tc>
          <w:tcPr>
            <w:tcW w:w="1672"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pacing w:val="-4"/>
                <w:kern w:val="2"/>
                <w:sz w:val="22"/>
                <w:szCs w:val="22"/>
                <w:highlight w:val="none"/>
                <w:lang w:val="en-US" w:eastAsia="zh-CN" w:bidi="ar"/>
              </w:rPr>
              <w:t>5-6月繁殖，漂流性卵</w:t>
            </w:r>
          </w:p>
        </w:tc>
        <w:tc>
          <w:tcPr>
            <w:tcW w:w="1993"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无渔获物统计资料</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jc w:val="center"/>
        </w:trPr>
        <w:tc>
          <w:tcPr>
            <w:tcW w:w="42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numPr>
                <w:ilvl w:val="0"/>
                <w:numId w:val="28"/>
              </w:numPr>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p>
        </w:tc>
        <w:tc>
          <w:tcPr>
            <w:tcW w:w="1071"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黑尾近红鲌</w:t>
            </w:r>
          </w:p>
        </w:tc>
        <w:tc>
          <w:tcPr>
            <w:tcW w:w="926"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w:t>
            </w:r>
          </w:p>
        </w:tc>
        <w:tc>
          <w:tcPr>
            <w:tcW w:w="258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autoSpaceDE/>
              <w:autoSpaceDN/>
              <w:bidi w:val="0"/>
              <w:adjustRightInd w:val="0"/>
              <w:snapToGrid w:val="0"/>
              <w:spacing w:before="0" w:beforeAutospacing="0" w:after="0" w:afterAutospacing="0" w:line="240" w:lineRule="auto"/>
              <w:ind w:left="-130" w:leftChars="-50" w:right="-130" w:rightChars="-50" w:firstLine="0" w:firstLineChars="0"/>
              <w:jc w:val="center"/>
              <w:textAlignment w:val="auto"/>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pacing w:val="-4"/>
                <w:kern w:val="2"/>
                <w:sz w:val="22"/>
                <w:szCs w:val="22"/>
                <w:highlight w:val="none"/>
                <w:lang w:val="en-US" w:eastAsia="zh-CN" w:bidi="ar"/>
              </w:rPr>
              <w:t>以水生昆虫、小鱼、虾为食</w:t>
            </w:r>
          </w:p>
        </w:tc>
        <w:tc>
          <w:tcPr>
            <w:tcW w:w="1672"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pacing w:val="-4"/>
                <w:kern w:val="2"/>
                <w:sz w:val="22"/>
                <w:szCs w:val="22"/>
                <w:highlight w:val="none"/>
                <w:lang w:val="en-US" w:eastAsia="zh-CN" w:bidi="ar"/>
              </w:rPr>
              <w:t>5-6月繁殖，漂流性卵</w:t>
            </w:r>
          </w:p>
        </w:tc>
        <w:tc>
          <w:tcPr>
            <w:tcW w:w="1993"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无渔获物统计资料</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jc w:val="center"/>
        </w:trPr>
        <w:tc>
          <w:tcPr>
            <w:tcW w:w="42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numPr>
                <w:ilvl w:val="0"/>
                <w:numId w:val="28"/>
              </w:numPr>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p>
        </w:tc>
        <w:tc>
          <w:tcPr>
            <w:tcW w:w="1071"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半䱗</w:t>
            </w:r>
          </w:p>
        </w:tc>
        <w:tc>
          <w:tcPr>
            <w:tcW w:w="926"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w:t>
            </w:r>
          </w:p>
        </w:tc>
        <w:tc>
          <w:tcPr>
            <w:tcW w:w="258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pacing w:val="-4"/>
                <w:kern w:val="2"/>
                <w:sz w:val="22"/>
                <w:szCs w:val="22"/>
                <w:highlight w:val="none"/>
                <w:lang w:val="en-US" w:eastAsia="zh-CN" w:bidi="ar"/>
              </w:rPr>
              <w:t>湾、沱水域水体上层，集群活动</w:t>
            </w:r>
          </w:p>
        </w:tc>
        <w:tc>
          <w:tcPr>
            <w:tcW w:w="1672"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spacing w:val="-4"/>
                <w:kern w:val="2"/>
                <w:sz w:val="22"/>
                <w:szCs w:val="22"/>
                <w:highlight w:val="none"/>
                <w:lang w:val="en-US" w:eastAsia="zh-CN" w:bidi="ar"/>
              </w:rPr>
              <w:t>4-5月份产漂流性卵</w:t>
            </w:r>
          </w:p>
        </w:tc>
        <w:tc>
          <w:tcPr>
            <w:tcW w:w="1993"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无渔获物统计资料</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42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numPr>
                <w:ilvl w:val="0"/>
                <w:numId w:val="28"/>
              </w:numPr>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p>
        </w:tc>
        <w:tc>
          <w:tcPr>
            <w:tcW w:w="1071"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张氏䱗</w:t>
            </w:r>
          </w:p>
        </w:tc>
        <w:tc>
          <w:tcPr>
            <w:tcW w:w="926"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w:t>
            </w:r>
          </w:p>
        </w:tc>
        <w:tc>
          <w:tcPr>
            <w:tcW w:w="258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杂食性，以藻类、高等植物碎屑、水生昆虫为食</w:t>
            </w:r>
          </w:p>
        </w:tc>
        <w:tc>
          <w:tcPr>
            <w:tcW w:w="1672"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繁殖季节6-7月</w:t>
            </w:r>
          </w:p>
        </w:tc>
        <w:tc>
          <w:tcPr>
            <w:tcW w:w="1993"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无渔获物统计资料</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42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numPr>
                <w:ilvl w:val="0"/>
                <w:numId w:val="28"/>
              </w:numPr>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p>
        </w:tc>
        <w:tc>
          <w:tcPr>
            <w:tcW w:w="1071"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厚颌</w:t>
            </w:r>
            <w:r>
              <w:rPr>
                <w:rFonts w:hint="default" w:ascii="Times New Roman" w:hAnsi="Times New Roman" w:eastAsia="宋体" w:cs="Times New Roman"/>
                <w:color w:val="auto"/>
                <w:kern w:val="2"/>
                <w:sz w:val="22"/>
                <w:szCs w:val="22"/>
                <w:highlight w:val="none"/>
                <w:shd w:val="clear" w:fill="FFFFFF"/>
                <w:lang w:val="en-US" w:eastAsia="zh-CN" w:bidi="ar"/>
              </w:rPr>
              <w:t>魴</w:t>
            </w:r>
          </w:p>
        </w:tc>
        <w:tc>
          <w:tcPr>
            <w:tcW w:w="926"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w:t>
            </w:r>
          </w:p>
        </w:tc>
        <w:tc>
          <w:tcPr>
            <w:tcW w:w="258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水体中、下层，杂食性</w:t>
            </w:r>
          </w:p>
        </w:tc>
        <w:tc>
          <w:tcPr>
            <w:tcW w:w="1672"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4-6月产粘性卵</w:t>
            </w:r>
          </w:p>
        </w:tc>
        <w:tc>
          <w:tcPr>
            <w:tcW w:w="1993"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较少</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42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numPr>
                <w:ilvl w:val="0"/>
                <w:numId w:val="28"/>
              </w:numPr>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p>
        </w:tc>
        <w:tc>
          <w:tcPr>
            <w:tcW w:w="1071"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宽口光唇鱼</w:t>
            </w:r>
          </w:p>
        </w:tc>
        <w:tc>
          <w:tcPr>
            <w:tcW w:w="926"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w:t>
            </w:r>
          </w:p>
        </w:tc>
        <w:tc>
          <w:tcPr>
            <w:tcW w:w="258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急流底栖环境</w:t>
            </w:r>
          </w:p>
        </w:tc>
        <w:tc>
          <w:tcPr>
            <w:tcW w:w="1672"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繁殖季节5-6月</w:t>
            </w:r>
          </w:p>
        </w:tc>
        <w:tc>
          <w:tcPr>
            <w:tcW w:w="1993"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无渔获物统计资料</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42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numPr>
                <w:ilvl w:val="0"/>
                <w:numId w:val="28"/>
              </w:numPr>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p>
        </w:tc>
        <w:tc>
          <w:tcPr>
            <w:tcW w:w="1071"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华鲮</w:t>
            </w:r>
          </w:p>
        </w:tc>
        <w:tc>
          <w:tcPr>
            <w:tcW w:w="926"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w:t>
            </w:r>
          </w:p>
        </w:tc>
        <w:tc>
          <w:tcPr>
            <w:tcW w:w="258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急流底栖环境</w:t>
            </w:r>
          </w:p>
        </w:tc>
        <w:tc>
          <w:tcPr>
            <w:tcW w:w="1672"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4-5月产粘性卵</w:t>
            </w:r>
          </w:p>
        </w:tc>
        <w:tc>
          <w:tcPr>
            <w:tcW w:w="1993"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2"/>
                <w:sz w:val="22"/>
                <w:szCs w:val="22"/>
                <w:highlight w:val="none"/>
              </w:rPr>
            </w:pPr>
            <w:r>
              <w:rPr>
                <w:rFonts w:hint="default" w:ascii="Times New Roman" w:hAnsi="Times New Roman" w:eastAsia="宋体" w:cs="Times New Roman"/>
                <w:bCs/>
                <w:color w:val="auto"/>
                <w:kern w:val="2"/>
                <w:sz w:val="22"/>
                <w:szCs w:val="22"/>
                <w:highlight w:val="none"/>
                <w:lang w:val="en-US" w:eastAsia="zh-CN" w:bidi="ar"/>
              </w:rPr>
              <w:t>稀少</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42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numPr>
                <w:ilvl w:val="0"/>
                <w:numId w:val="28"/>
              </w:numPr>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p>
        </w:tc>
        <w:tc>
          <w:tcPr>
            <w:tcW w:w="1071"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岩原鲤</w:t>
            </w:r>
          </w:p>
        </w:tc>
        <w:tc>
          <w:tcPr>
            <w:tcW w:w="926"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w:t>
            </w:r>
          </w:p>
        </w:tc>
        <w:tc>
          <w:tcPr>
            <w:tcW w:w="2588"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激流底栖，杂食性</w:t>
            </w:r>
          </w:p>
        </w:tc>
        <w:tc>
          <w:tcPr>
            <w:tcW w:w="1672"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2-4月产粘性卵</w:t>
            </w:r>
          </w:p>
        </w:tc>
        <w:tc>
          <w:tcPr>
            <w:tcW w:w="1993" w:type="dxa"/>
            <w:tcBorders>
              <w:top w:val="single" w:color="auto" w:sz="8" w:space="0"/>
              <w:left w:val="single" w:color="auto" w:sz="8" w:space="0"/>
              <w:bottom w:val="single" w:color="auto" w:sz="8" w:space="0"/>
              <w:right w:val="single" w:color="auto" w:sz="8" w:space="0"/>
            </w:tcBorders>
            <w:shd w:val="clear" w:color="auto" w:fill="auto"/>
            <w:vAlign w:val="center"/>
          </w:tcPr>
          <w:p>
            <w:pPr>
              <w:keepNext w:val="0"/>
              <w:keepLines w:val="0"/>
              <w:pageBreakBefore w:val="0"/>
              <w:widowControl w:val="0"/>
              <w:suppressLineNumbers w:val="0"/>
              <w:kinsoku/>
              <w:wordWrap/>
              <w:overflowPunct/>
              <w:topLinePunct/>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较少</w:t>
            </w:r>
          </w:p>
        </w:tc>
      </w:tr>
    </w:tbl>
    <w:p>
      <w:pPr>
        <w:bidi w:val="0"/>
        <w:spacing w:line="240" w:lineRule="auto"/>
        <w:rPr>
          <w:rFonts w:hint="eastAsia"/>
          <w:color w:val="auto"/>
          <w:highlight w:val="none"/>
          <w:lang w:val="en-US" w:eastAsia="zh-CN"/>
        </w:rPr>
      </w:pPr>
    </w:p>
    <w:p>
      <w:pPr>
        <w:bidi w:val="0"/>
        <w:rPr>
          <w:rFonts w:hint="default"/>
          <w:color w:val="auto"/>
          <w:highlight w:val="none"/>
        </w:rPr>
      </w:pPr>
      <w:r>
        <w:rPr>
          <w:rFonts w:hint="eastAsia"/>
          <w:color w:val="auto"/>
          <w:highlight w:val="none"/>
          <w:lang w:val="en-US" w:eastAsia="zh-CN"/>
        </w:rPr>
        <w:t>（7）</w:t>
      </w:r>
      <w:r>
        <w:rPr>
          <w:rFonts w:hint="default"/>
          <w:color w:val="auto"/>
          <w:highlight w:val="none"/>
          <w:lang w:val="en-US" w:eastAsia="zh-CN"/>
        </w:rPr>
        <w:t>鱼类“三场”及洄游通道</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b/>
          <w:bCs/>
          <w:color w:val="auto"/>
          <w:kern w:val="2"/>
          <w:sz w:val="26"/>
          <w:szCs w:val="26"/>
          <w:highlight w:val="none"/>
        </w:rPr>
      </w:pPr>
      <w:r>
        <w:rPr>
          <w:rFonts w:hint="default" w:ascii="Times New Roman" w:hAnsi="Times New Roman" w:eastAsia="宋体" w:cs="Times New Roman"/>
          <w:color w:val="auto"/>
          <w:kern w:val="0"/>
          <w:sz w:val="26"/>
          <w:szCs w:val="26"/>
          <w:highlight w:val="none"/>
          <w:lang w:val="en-US" w:eastAsia="zh-CN" w:bidi="ar"/>
        </w:rPr>
        <w:t>结合《潼南航电枢纽工程水生生物影响专题评价报告》（2014年6月，重庆师范大学）、《涪江干流铜梁区段水电开发环境影响回顾性评价研究报告》（2014年）、《重庆市潼南区江河鱼类资源现状调查及保护研究专题报告》（2015年11月）、《嘉陵江流域（桐子壕至河口）航电开发环境影响回顾性评价报告》（2018年9月，长江水资源保护科学研究所）、《重庆市涪江流域水能</w:t>
      </w:r>
      <w:r>
        <w:rPr>
          <w:rFonts w:hint="default" w:ascii="Times New Roman" w:hAnsi="Times New Roman" w:eastAsia="宋体" w:cs="Times New Roman"/>
          <w:color w:val="auto"/>
          <w:kern w:val="2"/>
          <w:sz w:val="26"/>
          <w:szCs w:val="26"/>
          <w:highlight w:val="none"/>
          <w:lang w:val="en-US" w:eastAsia="zh-CN" w:bidi="ar"/>
        </w:rPr>
        <w:t>资源开发规划（修编）环境影响评价报告书》（2020年11月）、《涪江重庆段流域环境影响回顾性评价》（2021年）以及铜梁、潼南、合川区农委等提供的资料和文献的综合分析，涪江流域存在产卵场21个，索饵场9个，越冬场3个。</w:t>
      </w:r>
    </w:p>
    <w:p>
      <w:pPr>
        <w:bidi w:val="0"/>
        <w:rPr>
          <w:rFonts w:hint="default"/>
          <w:color w:val="auto"/>
          <w:highlight w:val="none"/>
        </w:rPr>
      </w:pPr>
      <w:r>
        <w:rPr>
          <w:rFonts w:hint="default"/>
          <w:color w:val="auto"/>
          <w:highlight w:val="none"/>
          <w:lang w:val="en-US" w:eastAsia="zh-CN"/>
        </w:rPr>
        <w:t>① 产卵场</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rPr>
      </w:pPr>
      <w:r>
        <w:rPr>
          <w:rFonts w:hint="default" w:ascii="Times New Roman" w:hAnsi="Times New Roman" w:eastAsia="宋体" w:cs="Times New Roman"/>
          <w:color w:val="auto"/>
          <w:kern w:val="2"/>
          <w:sz w:val="26"/>
          <w:szCs w:val="26"/>
          <w:highlight w:val="none"/>
          <w:lang w:val="en-US" w:eastAsia="zh-CN" w:bidi="ar"/>
        </w:rPr>
        <w:t>评价区分布1处产卵场（安居电站坝下产卵场），位于项目上游约13.6km。</w:t>
      </w:r>
    </w:p>
    <w:p>
      <w:pPr>
        <w:keepNext w:val="0"/>
        <w:keepLines w:val="0"/>
        <w:widowControl w:val="0"/>
        <w:suppressLineNumbers w:val="0"/>
        <w:autoSpaceDE w:val="0"/>
        <w:autoSpaceDN w:val="0"/>
        <w:adjustRightInd w:val="0"/>
        <w:snapToGrid w:val="0"/>
        <w:spacing w:before="0" w:beforeAutospacing="0" w:after="0" w:afterAutospacing="0" w:line="240" w:lineRule="auto"/>
        <w:ind w:left="520" w:leftChars="200" w:right="0" w:firstLine="0" w:firstLineChars="0"/>
        <w:jc w:val="center"/>
        <w:textAlignment w:val="baseline"/>
        <w:rPr>
          <w:rFonts w:hint="default" w:ascii="Times New Roman" w:hAnsi="Times New Roman" w:eastAsia="宋体" w:cs="Times New Roman"/>
          <w:b/>
          <w:bCs w:val="0"/>
          <w:color w:val="auto"/>
          <w:kern w:val="2"/>
          <w:sz w:val="26"/>
          <w:szCs w:val="26"/>
          <w:highlight w:val="none"/>
          <w:vertAlign w:val="baseline"/>
          <w:lang w:val="en-US" w:eastAsia="zh-CN" w:bidi="ar"/>
        </w:rPr>
      </w:pPr>
    </w:p>
    <w:p>
      <w:pPr>
        <w:keepNext w:val="0"/>
        <w:keepLines w:val="0"/>
        <w:widowControl w:val="0"/>
        <w:suppressLineNumbers w:val="0"/>
        <w:autoSpaceDE w:val="0"/>
        <w:autoSpaceDN w:val="0"/>
        <w:adjustRightInd w:val="0"/>
        <w:snapToGrid w:val="0"/>
        <w:spacing w:before="0" w:beforeAutospacing="0" w:after="0" w:afterAutospacing="0" w:line="240" w:lineRule="auto"/>
        <w:ind w:left="520" w:leftChars="200" w:right="0" w:firstLine="0" w:firstLineChars="0"/>
        <w:jc w:val="center"/>
        <w:textAlignment w:val="baseline"/>
        <w:rPr>
          <w:rFonts w:hint="default" w:ascii="Times New Roman" w:hAnsi="Times New Roman" w:eastAsia="宋体" w:cs="Times New Roman"/>
          <w:b/>
          <w:bCs w:val="0"/>
          <w:color w:val="auto"/>
          <w:kern w:val="2"/>
          <w:sz w:val="26"/>
          <w:szCs w:val="26"/>
          <w:highlight w:val="none"/>
          <w:vertAlign w:val="baseline"/>
          <w:lang w:val="en-US" w:eastAsia="zh-CN" w:bidi="ar"/>
        </w:rPr>
      </w:pPr>
    </w:p>
    <w:p>
      <w:pPr>
        <w:keepNext w:val="0"/>
        <w:keepLines w:val="0"/>
        <w:widowControl w:val="0"/>
        <w:suppressLineNumbers w:val="0"/>
        <w:autoSpaceDE w:val="0"/>
        <w:autoSpaceDN w:val="0"/>
        <w:adjustRightInd w:val="0"/>
        <w:snapToGrid w:val="0"/>
        <w:spacing w:before="0" w:beforeAutospacing="0" w:after="0" w:afterAutospacing="0" w:line="240" w:lineRule="auto"/>
        <w:ind w:left="520" w:leftChars="200" w:right="0" w:firstLine="0" w:firstLineChars="0"/>
        <w:jc w:val="center"/>
        <w:textAlignment w:val="baseline"/>
        <w:rPr>
          <w:rFonts w:hint="default" w:ascii="Times New Roman" w:hAnsi="Times New Roman" w:eastAsia="宋体" w:cs="Times New Roman"/>
          <w:b/>
          <w:bCs w:val="0"/>
          <w:color w:val="auto"/>
          <w:kern w:val="2"/>
          <w:sz w:val="26"/>
          <w:szCs w:val="26"/>
          <w:highlight w:val="none"/>
          <w:vertAlign w:val="baseline"/>
          <w:lang w:val="en-US" w:eastAsia="zh-CN" w:bidi="ar"/>
        </w:rPr>
      </w:pPr>
    </w:p>
    <w:p>
      <w:pPr>
        <w:keepNext w:val="0"/>
        <w:keepLines w:val="0"/>
        <w:widowControl w:val="0"/>
        <w:suppressLineNumbers w:val="0"/>
        <w:autoSpaceDE w:val="0"/>
        <w:autoSpaceDN w:val="0"/>
        <w:adjustRightInd w:val="0"/>
        <w:snapToGrid w:val="0"/>
        <w:spacing w:before="0" w:beforeAutospacing="0" w:after="0" w:afterAutospacing="0" w:line="240" w:lineRule="auto"/>
        <w:ind w:left="520" w:leftChars="200" w:right="0" w:firstLine="0" w:firstLineChars="0"/>
        <w:jc w:val="center"/>
        <w:textAlignment w:val="baseline"/>
        <w:rPr>
          <w:rFonts w:hint="default" w:ascii="Times New Roman" w:hAnsi="Times New Roman" w:eastAsia="宋体" w:cs="Times New Roman"/>
          <w:b/>
          <w:bCs w:val="0"/>
          <w:color w:val="auto"/>
          <w:kern w:val="2"/>
          <w:sz w:val="26"/>
          <w:szCs w:val="26"/>
          <w:highlight w:val="none"/>
          <w:vertAlign w:val="baseline"/>
          <w:lang w:val="en-US" w:eastAsia="zh-CN" w:bidi="ar"/>
        </w:rPr>
      </w:pPr>
    </w:p>
    <w:p>
      <w:pPr>
        <w:keepNext w:val="0"/>
        <w:keepLines w:val="0"/>
        <w:widowControl w:val="0"/>
        <w:suppressLineNumbers w:val="0"/>
        <w:autoSpaceDE w:val="0"/>
        <w:autoSpaceDN w:val="0"/>
        <w:adjustRightInd w:val="0"/>
        <w:snapToGrid w:val="0"/>
        <w:spacing w:before="0" w:beforeAutospacing="0" w:after="0" w:afterAutospacing="0" w:line="240" w:lineRule="auto"/>
        <w:ind w:left="520" w:leftChars="200" w:right="0" w:firstLine="0" w:firstLineChars="0"/>
        <w:jc w:val="center"/>
        <w:textAlignment w:val="baseline"/>
        <w:rPr>
          <w:rFonts w:hint="default" w:ascii="Times New Roman" w:hAnsi="Times New Roman" w:eastAsia="宋体" w:cs="Times New Roman"/>
          <w:b/>
          <w:bCs w:val="0"/>
          <w:color w:val="auto"/>
          <w:kern w:val="2"/>
          <w:sz w:val="26"/>
          <w:szCs w:val="26"/>
          <w:highlight w:val="none"/>
          <w:vertAlign w:val="baseline"/>
        </w:rPr>
      </w:pPr>
      <w:r>
        <w:rPr>
          <w:rFonts w:hint="default" w:ascii="Times New Roman" w:hAnsi="Times New Roman" w:eastAsia="宋体" w:cs="Times New Roman"/>
          <w:b/>
          <w:bCs w:val="0"/>
          <w:color w:val="auto"/>
          <w:kern w:val="2"/>
          <w:sz w:val="26"/>
          <w:szCs w:val="26"/>
          <w:highlight w:val="none"/>
          <w:vertAlign w:val="baseline"/>
          <w:lang w:val="en-US" w:eastAsia="zh-CN" w:bidi="ar"/>
        </w:rPr>
        <w:t>表</w:t>
      </w:r>
      <w:r>
        <w:rPr>
          <w:rFonts w:hint="eastAsia" w:ascii="Times New Roman" w:hAnsi="Times New Roman" w:cs="Times New Roman"/>
          <w:b/>
          <w:bCs w:val="0"/>
          <w:color w:val="auto"/>
          <w:kern w:val="2"/>
          <w:sz w:val="26"/>
          <w:szCs w:val="26"/>
          <w:highlight w:val="none"/>
          <w:vertAlign w:val="baseline"/>
          <w:lang w:val="en-US" w:eastAsia="zh-CN" w:bidi="ar"/>
        </w:rPr>
        <w:t>3.2.3.2-4</w:t>
      </w:r>
      <w:r>
        <w:rPr>
          <w:rFonts w:hint="default" w:ascii="Times New Roman" w:hAnsi="Times New Roman" w:eastAsia="宋体" w:cs="Times New Roman"/>
          <w:b/>
          <w:bCs w:val="0"/>
          <w:color w:val="auto"/>
          <w:kern w:val="2"/>
          <w:sz w:val="26"/>
          <w:szCs w:val="26"/>
          <w:highlight w:val="none"/>
          <w:vertAlign w:val="baseline"/>
          <w:lang w:val="en-US" w:eastAsia="zh-CN" w:bidi="ar"/>
        </w:rPr>
        <w:t xml:space="preserve">  </w:t>
      </w:r>
      <w:r>
        <w:rPr>
          <w:rFonts w:hint="eastAsia" w:ascii="Times New Roman" w:hAnsi="Times New Roman" w:cs="Times New Roman"/>
          <w:b/>
          <w:bCs w:val="0"/>
          <w:color w:val="auto"/>
          <w:kern w:val="2"/>
          <w:sz w:val="26"/>
          <w:szCs w:val="26"/>
          <w:highlight w:val="none"/>
          <w:vertAlign w:val="baseline"/>
          <w:lang w:val="en-US" w:eastAsia="zh-CN" w:bidi="ar"/>
        </w:rPr>
        <w:t>评价区</w:t>
      </w:r>
      <w:r>
        <w:rPr>
          <w:rFonts w:hint="default" w:ascii="Times New Roman" w:hAnsi="Times New Roman" w:eastAsia="宋体" w:cs="Times New Roman"/>
          <w:b/>
          <w:bCs w:val="0"/>
          <w:color w:val="auto"/>
          <w:kern w:val="2"/>
          <w:sz w:val="26"/>
          <w:szCs w:val="26"/>
          <w:highlight w:val="none"/>
          <w:vertAlign w:val="baseline"/>
          <w:lang w:val="en-US" w:eastAsia="zh-CN" w:bidi="ar"/>
        </w:rPr>
        <w:t>鱼类产卵场</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768"/>
        <w:gridCol w:w="1494"/>
        <w:gridCol w:w="2222"/>
        <w:gridCol w:w="1787"/>
        <w:gridCol w:w="24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76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val="0"/>
                <w:color w:val="auto"/>
                <w:kern w:val="2"/>
                <w:sz w:val="22"/>
                <w:szCs w:val="22"/>
                <w:highlight w:val="none"/>
              </w:rPr>
            </w:pPr>
            <w:r>
              <w:rPr>
                <w:rFonts w:hint="default" w:ascii="Times New Roman" w:hAnsi="Times New Roman" w:eastAsia="宋体" w:cs="Times New Roman"/>
                <w:b/>
                <w:bCs w:val="0"/>
                <w:color w:val="auto"/>
                <w:kern w:val="2"/>
                <w:sz w:val="22"/>
                <w:szCs w:val="22"/>
                <w:highlight w:val="none"/>
                <w:lang w:val="en-US" w:eastAsia="zh-CN" w:bidi="ar"/>
              </w:rPr>
              <w:t>序号</w:t>
            </w:r>
          </w:p>
        </w:tc>
        <w:tc>
          <w:tcPr>
            <w:tcW w:w="149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val="0"/>
                <w:color w:val="auto"/>
                <w:kern w:val="2"/>
                <w:sz w:val="22"/>
                <w:szCs w:val="22"/>
                <w:highlight w:val="none"/>
              </w:rPr>
            </w:pPr>
            <w:r>
              <w:rPr>
                <w:rFonts w:hint="default" w:ascii="Times New Roman" w:hAnsi="Times New Roman" w:eastAsia="宋体" w:cs="Times New Roman"/>
                <w:b/>
                <w:bCs w:val="0"/>
                <w:color w:val="auto"/>
                <w:kern w:val="2"/>
                <w:sz w:val="22"/>
                <w:szCs w:val="22"/>
                <w:highlight w:val="none"/>
                <w:lang w:val="en-US" w:eastAsia="zh-CN" w:bidi="ar"/>
              </w:rPr>
              <w:t>产卵场名称</w:t>
            </w:r>
          </w:p>
        </w:tc>
        <w:tc>
          <w:tcPr>
            <w:tcW w:w="222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val="0"/>
                <w:color w:val="auto"/>
                <w:kern w:val="2"/>
                <w:sz w:val="22"/>
                <w:szCs w:val="22"/>
                <w:highlight w:val="none"/>
              </w:rPr>
            </w:pPr>
            <w:r>
              <w:rPr>
                <w:rFonts w:hint="default" w:ascii="Times New Roman" w:hAnsi="Times New Roman" w:eastAsia="宋体" w:cs="Times New Roman"/>
                <w:b/>
                <w:bCs w:val="0"/>
                <w:color w:val="auto"/>
                <w:kern w:val="2"/>
                <w:sz w:val="22"/>
                <w:szCs w:val="22"/>
                <w:highlight w:val="none"/>
                <w:lang w:val="en-US" w:eastAsia="zh-CN" w:bidi="ar"/>
              </w:rPr>
              <w:t>范围及生境</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val="0"/>
                <w:color w:val="auto"/>
                <w:kern w:val="2"/>
                <w:sz w:val="22"/>
                <w:szCs w:val="22"/>
                <w:highlight w:val="none"/>
              </w:rPr>
            </w:pPr>
            <w:r>
              <w:rPr>
                <w:rFonts w:hint="default" w:ascii="Times New Roman" w:hAnsi="Times New Roman" w:eastAsia="宋体" w:cs="Times New Roman"/>
                <w:b/>
                <w:bCs w:val="0"/>
                <w:color w:val="auto"/>
                <w:kern w:val="2"/>
                <w:sz w:val="22"/>
                <w:szCs w:val="22"/>
                <w:highlight w:val="none"/>
                <w:lang w:val="en-US" w:eastAsia="zh-CN" w:bidi="ar"/>
              </w:rPr>
              <w:t>产卵鱼类品种</w:t>
            </w:r>
          </w:p>
        </w:tc>
        <w:tc>
          <w:tcPr>
            <w:tcW w:w="240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val="0"/>
                <w:color w:val="auto"/>
                <w:kern w:val="2"/>
                <w:sz w:val="22"/>
                <w:szCs w:val="22"/>
                <w:highlight w:val="none"/>
                <w:lang w:val="en-US" w:eastAsia="zh-CN" w:bidi="ar"/>
              </w:rPr>
            </w:pPr>
            <w:r>
              <w:rPr>
                <w:rFonts w:hint="eastAsia" w:cs="Times New Roman"/>
                <w:b/>
                <w:bCs w:val="0"/>
                <w:color w:val="auto"/>
                <w:kern w:val="2"/>
                <w:sz w:val="22"/>
                <w:szCs w:val="22"/>
                <w:highlight w:val="none"/>
                <w:lang w:val="en-US" w:eastAsia="zh-CN" w:bidi="ar"/>
              </w:rPr>
              <w:t>位置关系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w:t>
            </w:r>
          </w:p>
        </w:tc>
        <w:tc>
          <w:tcPr>
            <w:tcW w:w="149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安居电站坝下</w:t>
            </w:r>
          </w:p>
        </w:tc>
        <w:tc>
          <w:tcPr>
            <w:tcW w:w="222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琼江支流汇合处、现为渭沱电站库区</w:t>
            </w:r>
          </w:p>
        </w:tc>
        <w:tc>
          <w:tcPr>
            <w:tcW w:w="178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鲤、鲫、鲶等</w:t>
            </w:r>
          </w:p>
        </w:tc>
        <w:tc>
          <w:tcPr>
            <w:tcW w:w="240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lang w:val="en-US" w:eastAsia="zh-CN" w:bidi="ar"/>
              </w:rPr>
            </w:pPr>
            <w:r>
              <w:rPr>
                <w:rFonts w:hint="default"/>
                <w:color w:val="auto"/>
                <w:sz w:val="22"/>
                <w:szCs w:val="22"/>
                <w:highlight w:val="none"/>
              </w:rPr>
              <w:t>不直接占用产卵场，</w:t>
            </w:r>
            <w:r>
              <w:rPr>
                <w:rFonts w:hint="eastAsia"/>
                <w:color w:val="auto"/>
                <w:sz w:val="22"/>
                <w:szCs w:val="22"/>
                <w:highlight w:val="none"/>
                <w:lang w:val="en-US" w:eastAsia="zh-CN"/>
              </w:rPr>
              <w:t>安居电站坝下</w:t>
            </w:r>
            <w:r>
              <w:rPr>
                <w:rFonts w:hint="default"/>
                <w:color w:val="auto"/>
                <w:sz w:val="22"/>
                <w:szCs w:val="22"/>
                <w:highlight w:val="none"/>
              </w:rPr>
              <w:t>产卵场</w:t>
            </w:r>
            <w:r>
              <w:rPr>
                <w:rFonts w:hint="eastAsia"/>
                <w:color w:val="auto"/>
                <w:sz w:val="22"/>
                <w:szCs w:val="22"/>
                <w:highlight w:val="none"/>
                <w:lang w:val="en-US" w:eastAsia="zh-CN"/>
              </w:rPr>
              <w:t>位于项目上游约13.6km。</w:t>
            </w:r>
          </w:p>
        </w:tc>
      </w:tr>
    </w:tbl>
    <w:p>
      <w:pPr>
        <w:keepNext w:val="0"/>
        <w:keepLines w:val="0"/>
        <w:widowControl w:val="0"/>
        <w:suppressLineNumbers w:val="0"/>
        <w:autoSpaceDE w:val="0"/>
        <w:autoSpaceDN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Cs/>
          <w:color w:val="auto"/>
          <w:kern w:val="2"/>
          <w:sz w:val="26"/>
          <w:szCs w:val="26"/>
          <w:highlight w:val="none"/>
          <w:vertAlign w:val="baseline"/>
        </w:rPr>
      </w:pPr>
      <w:r>
        <w:rPr>
          <w:rFonts w:hint="default" w:ascii="Times New Roman" w:hAnsi="Times New Roman" w:eastAsia="宋体" w:cs="Times New Roman"/>
          <w:bCs/>
          <w:color w:val="auto"/>
          <w:kern w:val="2"/>
          <w:sz w:val="26"/>
          <w:szCs w:val="26"/>
          <w:highlight w:val="none"/>
          <w:vertAlign w:val="baseline"/>
          <w:lang w:val="en-US" w:eastAsia="zh-CN" w:bidi="ar"/>
        </w:rPr>
        <w:t xml:space="preserve"> </w:t>
      </w:r>
    </w:p>
    <w:p>
      <w:pPr>
        <w:keepNext w:val="0"/>
        <w:keepLines w:val="0"/>
        <w:widowControl w:val="0"/>
        <w:suppressLineNumbers w:val="0"/>
        <w:adjustRightInd w:val="0"/>
        <w:snapToGrid w:val="0"/>
        <w:spacing w:before="0" w:beforeAutospacing="0" w:after="0" w:afterAutospacing="0" w:line="240" w:lineRule="auto"/>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本次评价根据实际航拍及生境调查分析判断上述产卵场功能现状。</w:t>
      </w:r>
    </w:p>
    <w:p>
      <w:pPr>
        <w:keepNext w:val="0"/>
        <w:keepLines w:val="0"/>
        <w:widowControl w:val="0"/>
        <w:suppressLineNumbers w:val="0"/>
        <w:adjustRightInd w:val="0"/>
        <w:snapToGrid w:val="0"/>
        <w:spacing w:before="0" w:beforeAutospacing="0" w:after="0" w:afterAutospacing="0" w:line="240" w:lineRule="auto"/>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 xml:space="preserve"> </w:t>
      </w:r>
    </w:p>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8"/>
          <w:szCs w:val="28"/>
          <w:highlight w:val="none"/>
        </w:rPr>
      </w:pPr>
      <w:r>
        <w:rPr>
          <w:rFonts w:hint="default" w:ascii="Times New Roman" w:hAnsi="Times New Roman" w:eastAsia="宋体" w:cs="Times New Roman"/>
          <w:color w:val="auto"/>
          <w:kern w:val="2"/>
          <w:sz w:val="26"/>
          <w:szCs w:val="26"/>
          <w:highlight w:val="none"/>
          <w:lang w:val="en-US" w:eastAsia="zh-CN" w:bidi="ar"/>
        </w:rPr>
        <w:drawing>
          <wp:inline distT="0" distB="0" distL="114300" distR="114300">
            <wp:extent cx="5400040" cy="2320925"/>
            <wp:effectExtent l="0" t="0" r="10160" b="3175"/>
            <wp:docPr id="53" name="图片 49"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9" descr="IMG_299"/>
                    <pic:cNvPicPr>
                      <a:picLocks noChangeAspect="1"/>
                    </pic:cNvPicPr>
                  </pic:nvPicPr>
                  <pic:blipFill>
                    <a:blip r:embed="rId73"/>
                    <a:stretch>
                      <a:fillRect/>
                    </a:stretch>
                  </pic:blipFill>
                  <pic:spPr>
                    <a:xfrm>
                      <a:off x="0" y="0"/>
                      <a:ext cx="5400040" cy="2320925"/>
                    </a:xfrm>
                    <a:prstGeom prst="rect">
                      <a:avLst/>
                    </a:prstGeom>
                    <a:noFill/>
                    <a:ln w="9525">
                      <a:noFill/>
                    </a:ln>
                  </pic:spPr>
                </pic:pic>
              </a:graphicData>
            </a:graphic>
          </wp:inline>
        </w:drawing>
      </w:r>
    </w:p>
    <w:p>
      <w:pPr>
        <w:keepNext w:val="0"/>
        <w:keepLines w:val="0"/>
        <w:widowControl w:val="0"/>
        <w:suppressLineNumbers w:val="0"/>
        <w:adjustRightInd w:val="0"/>
        <w:snapToGrid w:val="0"/>
        <w:spacing w:before="0" w:beforeAutospacing="0" w:after="0" w:afterAutospacing="0" w:line="240" w:lineRule="auto"/>
        <w:ind w:left="0" w:right="0" w:firstLine="522" w:firstLineChars="200"/>
        <w:jc w:val="center"/>
        <w:rPr>
          <w:rFonts w:hint="default" w:ascii="Times New Roman" w:hAnsi="Times New Roman" w:eastAsia="宋体" w:cs="Times New Roman"/>
          <w:b/>
          <w:bCs w:val="0"/>
          <w:color w:val="auto"/>
          <w:kern w:val="2"/>
          <w:sz w:val="26"/>
          <w:szCs w:val="26"/>
          <w:highlight w:val="none"/>
        </w:rPr>
      </w:pPr>
      <w:r>
        <w:rPr>
          <w:rFonts w:hint="default" w:ascii="Times New Roman" w:hAnsi="Times New Roman" w:eastAsia="宋体" w:cs="Times New Roman"/>
          <w:b/>
          <w:bCs w:val="0"/>
          <w:color w:val="auto"/>
          <w:kern w:val="2"/>
          <w:sz w:val="26"/>
          <w:szCs w:val="26"/>
          <w:highlight w:val="none"/>
          <w:lang w:val="en-US" w:eastAsia="zh-CN" w:bidi="ar"/>
        </w:rPr>
        <w:t>图</w:t>
      </w:r>
      <w:r>
        <w:rPr>
          <w:rFonts w:hint="eastAsia" w:ascii="Times New Roman" w:hAnsi="Times New Roman" w:cs="Times New Roman"/>
          <w:b/>
          <w:bCs w:val="0"/>
          <w:color w:val="auto"/>
          <w:kern w:val="2"/>
          <w:sz w:val="26"/>
          <w:szCs w:val="26"/>
          <w:highlight w:val="none"/>
          <w:lang w:val="en-US" w:eastAsia="zh-CN" w:bidi="ar"/>
        </w:rPr>
        <w:t>3.2.3-5</w:t>
      </w:r>
      <w:r>
        <w:rPr>
          <w:rFonts w:hint="default" w:ascii="Times New Roman" w:hAnsi="Times New Roman" w:eastAsia="宋体" w:cs="Times New Roman"/>
          <w:b/>
          <w:bCs w:val="0"/>
          <w:color w:val="auto"/>
          <w:kern w:val="2"/>
          <w:sz w:val="26"/>
          <w:szCs w:val="26"/>
          <w:highlight w:val="none"/>
          <w:lang w:val="en-US" w:eastAsia="zh-CN" w:bidi="ar"/>
        </w:rPr>
        <w:t xml:space="preserve">  “安居电站坝下产卵场”生境航拍现状</w:t>
      </w:r>
    </w:p>
    <w:p>
      <w:pPr>
        <w:pStyle w:val="23"/>
        <w:keepNext w:val="0"/>
        <w:keepLines w:val="0"/>
        <w:widowControl w:val="0"/>
        <w:suppressLineNumbers w:val="0"/>
        <w:adjustRightInd w:val="0"/>
        <w:snapToGrid w:val="0"/>
        <w:spacing w:before="0" w:beforeAutospacing="0" w:after="0" w:afterAutospacing="0" w:line="240" w:lineRule="auto"/>
        <w:ind w:left="0" w:right="0" w:firstLine="520" w:firstLineChars="200"/>
        <w:jc w:val="center"/>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 xml:space="preserve"> </w:t>
      </w:r>
    </w:p>
    <w:p>
      <w:pPr>
        <w:bidi w:val="0"/>
        <w:rPr>
          <w:rFonts w:hint="default"/>
          <w:color w:val="auto"/>
          <w:highlight w:val="none"/>
        </w:rPr>
      </w:pPr>
      <w:r>
        <w:rPr>
          <w:rFonts w:hint="default"/>
          <w:color w:val="auto"/>
          <w:highlight w:val="none"/>
          <w:lang w:val="en-US" w:eastAsia="zh-CN"/>
        </w:rPr>
        <w:t>② 索饵场</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r>
        <w:rPr>
          <w:rFonts w:hint="eastAsia" w:cs="Times New Roman"/>
          <w:color w:val="auto"/>
          <w:kern w:val="2"/>
          <w:sz w:val="26"/>
          <w:szCs w:val="26"/>
          <w:highlight w:val="none"/>
          <w:lang w:val="en-US" w:eastAsia="zh-CN" w:bidi="ar"/>
        </w:rPr>
        <w:t>根据历史资料及现场调查，</w:t>
      </w:r>
      <w:r>
        <w:rPr>
          <w:rFonts w:hint="default" w:ascii="Times New Roman" w:hAnsi="Times New Roman" w:eastAsia="宋体" w:cs="Times New Roman"/>
          <w:color w:val="auto"/>
          <w:kern w:val="2"/>
          <w:sz w:val="26"/>
          <w:szCs w:val="26"/>
          <w:highlight w:val="none"/>
          <w:lang w:val="en-US" w:eastAsia="zh-CN" w:bidi="ar"/>
        </w:rPr>
        <w:t>评价区分布3处索饵场，分别为琼江汇合口、安居电站下游索饵场和白羊河口索饵场。</w:t>
      </w:r>
    </w:p>
    <w:p>
      <w:pPr>
        <w:keepNext w:val="0"/>
        <w:keepLines w:val="0"/>
        <w:widowControl w:val="0"/>
        <w:suppressLineNumbers w:val="0"/>
        <w:autoSpaceDE w:val="0"/>
        <w:autoSpaceDN w:val="0"/>
        <w:adjustRightInd w:val="0"/>
        <w:snapToGrid w:val="0"/>
        <w:spacing w:before="0" w:beforeAutospacing="0" w:after="0" w:afterAutospacing="0" w:line="240" w:lineRule="auto"/>
        <w:ind w:left="520" w:leftChars="200" w:right="0" w:firstLine="0" w:firstLineChars="0"/>
        <w:jc w:val="center"/>
        <w:textAlignment w:val="baseline"/>
        <w:rPr>
          <w:rFonts w:hint="default" w:ascii="Times New Roman" w:hAnsi="Times New Roman" w:eastAsia="宋体" w:cs="Times New Roman"/>
          <w:b/>
          <w:bCs w:val="0"/>
          <w:color w:val="auto"/>
          <w:kern w:val="2"/>
          <w:sz w:val="26"/>
          <w:szCs w:val="26"/>
          <w:highlight w:val="none"/>
          <w:vertAlign w:val="baseline"/>
        </w:rPr>
      </w:pPr>
      <w:r>
        <w:rPr>
          <w:rFonts w:hint="default" w:ascii="Times New Roman" w:hAnsi="Times New Roman" w:eastAsia="宋体" w:cs="Times New Roman"/>
          <w:b/>
          <w:bCs w:val="0"/>
          <w:color w:val="auto"/>
          <w:kern w:val="2"/>
          <w:sz w:val="26"/>
          <w:szCs w:val="26"/>
          <w:highlight w:val="none"/>
          <w:vertAlign w:val="baseline"/>
          <w:lang w:val="en-US" w:eastAsia="zh-CN" w:bidi="ar"/>
        </w:rPr>
        <w:t>表</w:t>
      </w:r>
      <w:r>
        <w:rPr>
          <w:rFonts w:hint="eastAsia" w:ascii="Times New Roman" w:hAnsi="Times New Roman" w:cs="Times New Roman"/>
          <w:b/>
          <w:bCs w:val="0"/>
          <w:color w:val="auto"/>
          <w:kern w:val="2"/>
          <w:sz w:val="26"/>
          <w:szCs w:val="26"/>
          <w:highlight w:val="none"/>
          <w:vertAlign w:val="baseline"/>
          <w:lang w:val="en-US" w:eastAsia="zh-CN" w:bidi="ar"/>
        </w:rPr>
        <w:t>3.2.3.2-5</w:t>
      </w:r>
      <w:r>
        <w:rPr>
          <w:rFonts w:hint="default" w:ascii="Times New Roman" w:hAnsi="Times New Roman" w:eastAsia="宋体" w:cs="Times New Roman"/>
          <w:b/>
          <w:bCs w:val="0"/>
          <w:color w:val="auto"/>
          <w:kern w:val="2"/>
          <w:sz w:val="26"/>
          <w:szCs w:val="26"/>
          <w:highlight w:val="none"/>
          <w:vertAlign w:val="baseline"/>
          <w:lang w:val="en-US" w:eastAsia="zh-CN" w:bidi="ar"/>
        </w:rPr>
        <w:t xml:space="preserve">  </w:t>
      </w:r>
      <w:r>
        <w:rPr>
          <w:rFonts w:hint="eastAsia" w:ascii="Times New Roman" w:hAnsi="Times New Roman" w:cs="Times New Roman"/>
          <w:b/>
          <w:bCs w:val="0"/>
          <w:color w:val="auto"/>
          <w:kern w:val="2"/>
          <w:sz w:val="26"/>
          <w:szCs w:val="26"/>
          <w:highlight w:val="none"/>
          <w:vertAlign w:val="baseline"/>
          <w:lang w:val="en-US" w:eastAsia="zh-CN" w:bidi="ar"/>
        </w:rPr>
        <w:t>评价区</w:t>
      </w:r>
      <w:r>
        <w:rPr>
          <w:rFonts w:hint="default" w:ascii="Times New Roman" w:hAnsi="Times New Roman" w:eastAsia="宋体" w:cs="Times New Roman"/>
          <w:b/>
          <w:bCs w:val="0"/>
          <w:color w:val="auto"/>
          <w:kern w:val="2"/>
          <w:sz w:val="26"/>
          <w:szCs w:val="26"/>
          <w:highlight w:val="none"/>
          <w:vertAlign w:val="baseline"/>
          <w:lang w:val="en-US" w:eastAsia="zh-CN" w:bidi="ar"/>
        </w:rPr>
        <w:t>鱼类</w:t>
      </w:r>
      <w:r>
        <w:rPr>
          <w:rFonts w:hint="eastAsia" w:cs="Times New Roman"/>
          <w:b/>
          <w:bCs w:val="0"/>
          <w:color w:val="auto"/>
          <w:kern w:val="2"/>
          <w:sz w:val="26"/>
          <w:szCs w:val="26"/>
          <w:highlight w:val="none"/>
          <w:vertAlign w:val="baseline"/>
          <w:lang w:val="en-US" w:eastAsia="zh-CN" w:bidi="ar"/>
        </w:rPr>
        <w:t>索饵场</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717"/>
        <w:gridCol w:w="2267"/>
        <w:gridCol w:w="2652"/>
        <w:gridCol w:w="30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val="0"/>
                <w:color w:val="auto"/>
                <w:kern w:val="2"/>
                <w:sz w:val="22"/>
                <w:szCs w:val="22"/>
                <w:highlight w:val="none"/>
              </w:rPr>
            </w:pPr>
            <w:r>
              <w:rPr>
                <w:rFonts w:hint="default" w:ascii="Times New Roman" w:hAnsi="Times New Roman" w:eastAsia="宋体" w:cs="Times New Roman"/>
                <w:b/>
                <w:bCs w:val="0"/>
                <w:color w:val="auto"/>
                <w:kern w:val="2"/>
                <w:sz w:val="22"/>
                <w:szCs w:val="22"/>
                <w:highlight w:val="none"/>
                <w:lang w:val="en-US" w:eastAsia="zh-CN" w:bidi="ar"/>
              </w:rPr>
              <w:t>序号</w:t>
            </w:r>
          </w:p>
        </w:tc>
        <w:tc>
          <w:tcPr>
            <w:tcW w:w="2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val="0"/>
                <w:color w:val="auto"/>
                <w:kern w:val="2"/>
                <w:sz w:val="22"/>
                <w:szCs w:val="22"/>
                <w:highlight w:val="none"/>
              </w:rPr>
            </w:pPr>
            <w:r>
              <w:rPr>
                <w:rFonts w:hint="eastAsia" w:cs="Times New Roman"/>
                <w:b/>
                <w:bCs w:val="0"/>
                <w:color w:val="auto"/>
                <w:kern w:val="2"/>
                <w:sz w:val="22"/>
                <w:szCs w:val="22"/>
                <w:highlight w:val="none"/>
                <w:lang w:val="en-US" w:eastAsia="zh-CN" w:bidi="ar"/>
              </w:rPr>
              <w:t>索饵场</w:t>
            </w:r>
            <w:r>
              <w:rPr>
                <w:rFonts w:hint="default" w:ascii="Times New Roman" w:hAnsi="Times New Roman" w:eastAsia="宋体" w:cs="Times New Roman"/>
                <w:b/>
                <w:bCs w:val="0"/>
                <w:color w:val="auto"/>
                <w:kern w:val="2"/>
                <w:sz w:val="22"/>
                <w:szCs w:val="22"/>
                <w:highlight w:val="none"/>
                <w:lang w:val="en-US" w:eastAsia="zh-CN" w:bidi="ar"/>
              </w:rPr>
              <w:t>名称</w:t>
            </w:r>
          </w:p>
        </w:tc>
        <w:tc>
          <w:tcPr>
            <w:tcW w:w="265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val="0"/>
                <w:color w:val="auto"/>
                <w:kern w:val="2"/>
                <w:sz w:val="22"/>
                <w:szCs w:val="22"/>
                <w:highlight w:val="none"/>
              </w:rPr>
            </w:pPr>
            <w:r>
              <w:rPr>
                <w:rFonts w:hint="default" w:ascii="Times New Roman" w:hAnsi="Times New Roman" w:eastAsia="宋体" w:cs="Times New Roman"/>
                <w:b/>
                <w:bCs w:val="0"/>
                <w:color w:val="auto"/>
                <w:kern w:val="2"/>
                <w:sz w:val="22"/>
                <w:szCs w:val="22"/>
                <w:highlight w:val="none"/>
                <w:lang w:val="en-US" w:eastAsia="zh-CN" w:bidi="ar"/>
              </w:rPr>
              <w:t>范围及生境</w:t>
            </w:r>
          </w:p>
        </w:tc>
        <w:tc>
          <w:tcPr>
            <w:tcW w:w="304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val="0"/>
                <w:color w:val="auto"/>
                <w:kern w:val="2"/>
                <w:sz w:val="22"/>
                <w:szCs w:val="22"/>
                <w:highlight w:val="none"/>
                <w:lang w:val="en-US" w:eastAsia="zh-CN"/>
              </w:rPr>
            </w:pPr>
            <w:r>
              <w:rPr>
                <w:rFonts w:hint="eastAsia" w:cs="Times New Roman"/>
                <w:b/>
                <w:bCs w:val="0"/>
                <w:color w:val="auto"/>
                <w:kern w:val="2"/>
                <w:sz w:val="22"/>
                <w:szCs w:val="22"/>
                <w:highlight w:val="none"/>
                <w:lang w:val="en-US" w:eastAsia="zh-CN"/>
              </w:rPr>
              <w:t>位置关系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w:t>
            </w:r>
          </w:p>
        </w:tc>
        <w:tc>
          <w:tcPr>
            <w:tcW w:w="2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color w:val="auto"/>
                <w:sz w:val="22"/>
                <w:szCs w:val="22"/>
                <w:highlight w:val="none"/>
              </w:rPr>
              <w:t>琼江汇合口</w:t>
            </w:r>
            <w:r>
              <w:rPr>
                <w:rFonts w:hint="eastAsia"/>
                <w:color w:val="auto"/>
                <w:sz w:val="22"/>
                <w:szCs w:val="22"/>
                <w:highlight w:val="none"/>
                <w:lang w:val="en-US" w:eastAsia="zh-CN"/>
              </w:rPr>
              <w:t>索饵场</w:t>
            </w:r>
          </w:p>
        </w:tc>
        <w:tc>
          <w:tcPr>
            <w:tcW w:w="265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琼江支流汇合处、现为渭沱电站库区</w:t>
            </w:r>
          </w:p>
        </w:tc>
        <w:tc>
          <w:tcPr>
            <w:tcW w:w="304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rPr>
            </w:pPr>
            <w:r>
              <w:rPr>
                <w:rFonts w:hint="eastAsia"/>
                <w:color w:val="auto"/>
                <w:sz w:val="22"/>
                <w:szCs w:val="22"/>
                <w:highlight w:val="none"/>
                <w:lang w:val="en-US" w:eastAsia="zh-CN"/>
              </w:rPr>
              <w:t>不直接占用索饵场，位于项目上游14.1km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lang w:val="en-US" w:eastAsia="zh-CN" w:bidi="ar"/>
              </w:rPr>
            </w:pPr>
            <w:r>
              <w:rPr>
                <w:rFonts w:hint="eastAsia" w:cs="Times New Roman"/>
                <w:color w:val="auto"/>
                <w:kern w:val="2"/>
                <w:sz w:val="22"/>
                <w:szCs w:val="22"/>
                <w:highlight w:val="none"/>
                <w:lang w:val="en-US" w:eastAsia="zh-CN" w:bidi="ar"/>
              </w:rPr>
              <w:t>2</w:t>
            </w:r>
          </w:p>
        </w:tc>
        <w:tc>
          <w:tcPr>
            <w:tcW w:w="2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lang w:val="en-US" w:eastAsia="zh-CN" w:bidi="ar"/>
              </w:rPr>
            </w:pPr>
            <w:r>
              <w:rPr>
                <w:rFonts w:hint="eastAsia"/>
                <w:color w:val="auto"/>
                <w:sz w:val="22"/>
                <w:szCs w:val="22"/>
                <w:highlight w:val="none"/>
                <w:lang w:val="en-US" w:eastAsia="zh-CN"/>
              </w:rPr>
              <w:t>安居电站下游索饵场</w:t>
            </w:r>
          </w:p>
        </w:tc>
        <w:tc>
          <w:tcPr>
            <w:tcW w:w="265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lang w:val="en-US" w:eastAsia="zh-CN" w:bidi="ar"/>
              </w:rPr>
            </w:pPr>
            <w:r>
              <w:rPr>
                <w:rFonts w:hint="eastAsia"/>
                <w:color w:val="auto"/>
                <w:sz w:val="22"/>
                <w:szCs w:val="22"/>
                <w:highlight w:val="none"/>
                <w:lang w:val="en-US" w:eastAsia="zh-CN"/>
              </w:rPr>
              <w:t>安居电站下游</w:t>
            </w:r>
            <w:r>
              <w:rPr>
                <w:rFonts w:hint="default" w:ascii="Times New Roman" w:hAnsi="Times New Roman" w:eastAsia="宋体" w:cs="Times New Roman"/>
                <w:color w:val="auto"/>
                <w:kern w:val="2"/>
                <w:sz w:val="22"/>
                <w:szCs w:val="22"/>
                <w:highlight w:val="none"/>
                <w:lang w:val="en-US" w:eastAsia="zh-CN" w:bidi="ar"/>
              </w:rPr>
              <w:t>处、现为渭沱电站库区</w:t>
            </w:r>
          </w:p>
        </w:tc>
        <w:tc>
          <w:tcPr>
            <w:tcW w:w="304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lang w:val="en-US" w:eastAsia="zh-CN" w:bidi="ar"/>
              </w:rPr>
            </w:pPr>
            <w:r>
              <w:rPr>
                <w:rFonts w:hint="eastAsia"/>
                <w:color w:val="auto"/>
                <w:sz w:val="22"/>
                <w:szCs w:val="22"/>
                <w:highlight w:val="none"/>
                <w:lang w:val="en-US" w:eastAsia="zh-CN"/>
              </w:rPr>
              <w:t>不直接占用索饵场，位于项目上游12.8km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lang w:val="en-US" w:eastAsia="zh-CN" w:bidi="ar"/>
              </w:rPr>
            </w:pPr>
            <w:r>
              <w:rPr>
                <w:rFonts w:hint="eastAsia" w:cs="Times New Roman"/>
                <w:color w:val="auto"/>
                <w:kern w:val="2"/>
                <w:sz w:val="22"/>
                <w:szCs w:val="22"/>
                <w:highlight w:val="none"/>
                <w:lang w:val="en-US" w:eastAsia="zh-CN" w:bidi="ar"/>
              </w:rPr>
              <w:t>3</w:t>
            </w:r>
          </w:p>
        </w:tc>
        <w:tc>
          <w:tcPr>
            <w:tcW w:w="2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lang w:val="en-US" w:eastAsia="zh-CN" w:bidi="ar"/>
              </w:rPr>
            </w:pPr>
            <w:r>
              <w:rPr>
                <w:rFonts w:hint="eastAsia"/>
                <w:color w:val="auto"/>
                <w:sz w:val="22"/>
                <w:szCs w:val="22"/>
                <w:highlight w:val="none"/>
                <w:lang w:val="en-US" w:eastAsia="zh-CN"/>
              </w:rPr>
              <w:t>白羊河口索饵场</w:t>
            </w:r>
          </w:p>
        </w:tc>
        <w:tc>
          <w:tcPr>
            <w:tcW w:w="265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lang w:val="en-US" w:eastAsia="zh-CN" w:bidi="ar"/>
              </w:rPr>
            </w:pPr>
            <w:r>
              <w:rPr>
                <w:rFonts w:hint="eastAsia"/>
                <w:color w:val="auto"/>
                <w:sz w:val="22"/>
                <w:szCs w:val="22"/>
                <w:highlight w:val="none"/>
                <w:lang w:val="en-US" w:eastAsia="zh-CN"/>
              </w:rPr>
              <w:t>白羊河口</w:t>
            </w:r>
            <w:r>
              <w:rPr>
                <w:rFonts w:hint="default" w:ascii="Times New Roman" w:hAnsi="Times New Roman" w:eastAsia="宋体" w:cs="Times New Roman"/>
                <w:color w:val="auto"/>
                <w:kern w:val="2"/>
                <w:sz w:val="22"/>
                <w:szCs w:val="22"/>
                <w:highlight w:val="none"/>
                <w:lang w:val="en-US" w:eastAsia="zh-CN" w:bidi="ar"/>
              </w:rPr>
              <w:t>处、现为渭沱电站库区</w:t>
            </w:r>
          </w:p>
        </w:tc>
        <w:tc>
          <w:tcPr>
            <w:tcW w:w="304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2"/>
                <w:szCs w:val="22"/>
                <w:highlight w:val="none"/>
                <w:lang w:val="en-US" w:eastAsia="zh-CN" w:bidi="ar"/>
              </w:rPr>
            </w:pPr>
            <w:r>
              <w:rPr>
                <w:rFonts w:hint="eastAsia"/>
                <w:color w:val="auto"/>
                <w:sz w:val="22"/>
                <w:szCs w:val="22"/>
                <w:highlight w:val="none"/>
                <w:lang w:val="en-US" w:eastAsia="zh-CN"/>
              </w:rPr>
              <w:t>不直接占用索饵场，位于项目上游5.8km</w:t>
            </w:r>
          </w:p>
        </w:tc>
      </w:tr>
    </w:tbl>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eastAsia="zh-CN" w:bidi="ar"/>
        </w:rPr>
      </w:pP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本次评价根据实际航拍及生境调查分析判断上述索饵场功能现状。</w:t>
      </w:r>
    </w:p>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8"/>
          <w:szCs w:val="28"/>
          <w:highlight w:val="none"/>
        </w:rPr>
      </w:pPr>
      <w:r>
        <w:rPr>
          <w:rFonts w:ascii="宋体" w:hAnsi="宋体"/>
          <w:color w:val="auto"/>
          <w:sz w:val="28"/>
          <w:szCs w:val="24"/>
          <w:highlight w:val="none"/>
        </w:rPr>
        <w:drawing>
          <wp:inline distT="0" distB="0" distL="0" distR="0">
            <wp:extent cx="5447030" cy="3477895"/>
            <wp:effectExtent l="0" t="0" r="1270" b="8255"/>
            <wp:docPr id="143" name="图片 143" descr="C:\Users\30495\Documents\WeChat Files\syj304957304\FileStorage\Temp\1701234027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C:\Users\30495\Documents\WeChat Files\syj304957304\FileStorage\Temp\1701234027939.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447030" cy="3477895"/>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val="0"/>
          <w:color w:val="auto"/>
          <w:kern w:val="2"/>
          <w:sz w:val="26"/>
          <w:szCs w:val="26"/>
          <w:highlight w:val="none"/>
        </w:rPr>
      </w:pPr>
      <w:r>
        <w:rPr>
          <w:rFonts w:hint="eastAsia" w:ascii="Times New Roman" w:hAnsi="Times New Roman" w:cs="Times New Roman"/>
          <w:b/>
          <w:bCs w:val="0"/>
          <w:color w:val="auto"/>
          <w:kern w:val="2"/>
          <w:sz w:val="26"/>
          <w:szCs w:val="26"/>
          <w:highlight w:val="none"/>
          <w:lang w:val="en-US" w:eastAsia="zh-CN" w:bidi="ar"/>
        </w:rPr>
        <w:t xml:space="preserve">图3.2.3-6  </w:t>
      </w:r>
      <w:r>
        <w:rPr>
          <w:rFonts w:hint="eastAsia" w:cs="Times New Roman"/>
          <w:b/>
          <w:bCs w:val="0"/>
          <w:color w:val="auto"/>
          <w:kern w:val="2"/>
          <w:sz w:val="26"/>
          <w:szCs w:val="26"/>
          <w:highlight w:val="none"/>
          <w:lang w:val="en-US" w:eastAsia="zh-CN" w:bidi="ar"/>
        </w:rPr>
        <w:t>“琼江汇入口”及</w:t>
      </w:r>
      <w:r>
        <w:rPr>
          <w:rFonts w:hint="default" w:ascii="Times New Roman" w:hAnsi="Times New Roman" w:eastAsia="宋体" w:cs="Times New Roman"/>
          <w:b/>
          <w:bCs w:val="0"/>
          <w:color w:val="auto"/>
          <w:kern w:val="2"/>
          <w:sz w:val="26"/>
          <w:szCs w:val="26"/>
          <w:highlight w:val="none"/>
          <w:lang w:val="en-US" w:eastAsia="zh-CN" w:bidi="ar"/>
        </w:rPr>
        <w:t>“安居电站下游索饵场”生境航拍现状</w:t>
      </w:r>
    </w:p>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color w:val="auto"/>
          <w:kern w:val="2"/>
          <w:sz w:val="26"/>
          <w:szCs w:val="26"/>
          <w:highlight w:val="none"/>
          <w:lang w:val="en-US" w:eastAsia="zh-CN" w:bidi="ar"/>
        </w:rPr>
        <w:drawing>
          <wp:inline distT="0" distB="0" distL="114300" distR="114300">
            <wp:extent cx="5400040" cy="2687320"/>
            <wp:effectExtent l="0" t="0" r="10160" b="17780"/>
            <wp:docPr id="47" name="图片 57"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7" descr="IMG_307"/>
                    <pic:cNvPicPr>
                      <a:picLocks noChangeAspect="1"/>
                    </pic:cNvPicPr>
                  </pic:nvPicPr>
                  <pic:blipFill>
                    <a:blip r:embed="rId75"/>
                    <a:stretch>
                      <a:fillRect/>
                    </a:stretch>
                  </pic:blipFill>
                  <pic:spPr>
                    <a:xfrm>
                      <a:off x="0" y="0"/>
                      <a:ext cx="5400040" cy="2687320"/>
                    </a:xfrm>
                    <a:prstGeom prst="rect">
                      <a:avLst/>
                    </a:prstGeom>
                    <a:noFill/>
                    <a:ln w="9525">
                      <a:noFill/>
                    </a:ln>
                  </pic:spPr>
                </pic:pic>
              </a:graphicData>
            </a:graphic>
          </wp:inline>
        </w:drawing>
      </w:r>
      <w:r>
        <w:rPr>
          <w:rFonts w:hint="eastAsia" w:ascii="Times New Roman" w:hAnsi="Times New Roman" w:cs="Times New Roman"/>
          <w:b/>
          <w:bCs w:val="0"/>
          <w:color w:val="auto"/>
          <w:kern w:val="2"/>
          <w:sz w:val="26"/>
          <w:szCs w:val="26"/>
          <w:highlight w:val="none"/>
          <w:lang w:val="en-US" w:eastAsia="zh-CN" w:bidi="ar"/>
        </w:rPr>
        <w:t>图3.2.3-</w:t>
      </w:r>
      <w:r>
        <w:rPr>
          <w:rFonts w:hint="eastAsia" w:cs="Times New Roman"/>
          <w:b/>
          <w:bCs w:val="0"/>
          <w:color w:val="auto"/>
          <w:kern w:val="2"/>
          <w:sz w:val="26"/>
          <w:szCs w:val="26"/>
          <w:highlight w:val="none"/>
          <w:lang w:val="en-US" w:eastAsia="zh-CN" w:bidi="ar"/>
        </w:rPr>
        <w:t xml:space="preserve">7  </w:t>
      </w:r>
      <w:r>
        <w:rPr>
          <w:rFonts w:hint="default" w:ascii="Times New Roman" w:hAnsi="Times New Roman" w:eastAsia="宋体" w:cs="Times New Roman"/>
          <w:b/>
          <w:bCs w:val="0"/>
          <w:color w:val="auto"/>
          <w:kern w:val="2"/>
          <w:sz w:val="26"/>
          <w:szCs w:val="26"/>
          <w:highlight w:val="none"/>
          <w:lang w:val="en-US" w:eastAsia="zh-CN" w:bidi="ar"/>
        </w:rPr>
        <w:t>“白羊河口索饵场”生境航拍现状</w:t>
      </w:r>
    </w:p>
    <w:p>
      <w:pPr>
        <w:pStyle w:val="23"/>
        <w:keepNext w:val="0"/>
        <w:keepLines w:val="0"/>
        <w:widowControl w:val="0"/>
        <w:suppressLineNumbers w:val="0"/>
        <w:adjustRightInd w:val="0"/>
        <w:snapToGrid w:val="0"/>
        <w:spacing w:before="0" w:beforeAutospacing="0" w:after="0" w:afterAutospacing="0" w:line="240" w:lineRule="auto"/>
        <w:ind w:left="0" w:right="0" w:firstLine="520" w:firstLineChars="200"/>
        <w:jc w:val="center"/>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 xml:space="preserve"> </w:t>
      </w:r>
    </w:p>
    <w:p>
      <w:pPr>
        <w:keepNext w:val="0"/>
        <w:keepLines w:val="0"/>
        <w:pageBreakBefore w:val="0"/>
        <w:widowControl w:val="0"/>
        <w:kinsoku/>
        <w:wordWrap/>
        <w:overflowPunct/>
        <w:topLinePunct w:val="0"/>
        <w:autoSpaceDE/>
        <w:autoSpaceDN/>
        <w:bidi w:val="0"/>
        <w:adjustRightInd w:val="0"/>
        <w:snapToGrid w:val="0"/>
        <w:textAlignment w:val="auto"/>
        <w:rPr>
          <w:rFonts w:hint="default"/>
          <w:color w:val="auto"/>
          <w:highlight w:val="none"/>
        </w:rPr>
      </w:pPr>
      <w:r>
        <w:rPr>
          <w:rFonts w:hint="default"/>
          <w:color w:val="auto"/>
          <w:highlight w:val="none"/>
          <w:lang w:val="en-US" w:eastAsia="zh-CN"/>
        </w:rPr>
        <w:t>③ 越冬场</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lang w:val="en-US"/>
        </w:rPr>
      </w:pPr>
      <w:r>
        <w:rPr>
          <w:rFonts w:hint="eastAsia" w:cs="Times New Roman"/>
          <w:color w:val="auto"/>
          <w:kern w:val="2"/>
          <w:sz w:val="26"/>
          <w:szCs w:val="26"/>
          <w:highlight w:val="none"/>
          <w:lang w:val="en-US" w:eastAsia="zh-CN" w:bidi="ar"/>
        </w:rPr>
        <w:t>根据历史资料及现场调查，</w:t>
      </w:r>
      <w:r>
        <w:rPr>
          <w:rFonts w:hint="default" w:ascii="Times New Roman" w:hAnsi="Times New Roman" w:eastAsia="宋体" w:cs="Times New Roman"/>
          <w:color w:val="auto"/>
          <w:kern w:val="2"/>
          <w:sz w:val="26"/>
          <w:szCs w:val="26"/>
          <w:highlight w:val="none"/>
          <w:lang w:val="en-US" w:eastAsia="zh-CN" w:bidi="ar"/>
        </w:rPr>
        <w:t>评价区分布1处越冬场，为渭沱库区越冬场，本项目不直接占用鱼类越冬场，与项目疏浚区距离约50m。</w:t>
      </w:r>
    </w:p>
    <w:p>
      <w:pPr>
        <w:keepNext w:val="0"/>
        <w:keepLines w:val="0"/>
        <w:widowControl w:val="0"/>
        <w:suppressLineNumbers w:val="0"/>
        <w:adjustRightInd w:val="0"/>
        <w:spacing w:before="0" w:beforeAutospacing="0" w:after="0" w:afterAutospacing="0" w:line="240" w:lineRule="auto"/>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 xml:space="preserve"> </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drawing>
          <wp:inline distT="0" distB="0" distL="114300" distR="114300">
            <wp:extent cx="5400040" cy="2601595"/>
            <wp:effectExtent l="0" t="0" r="10160" b="8255"/>
            <wp:docPr id="39" name="图片 58"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8" descr="IMG_308"/>
                    <pic:cNvPicPr>
                      <a:picLocks noChangeAspect="1"/>
                    </pic:cNvPicPr>
                  </pic:nvPicPr>
                  <pic:blipFill>
                    <a:blip r:embed="rId76"/>
                    <a:stretch>
                      <a:fillRect/>
                    </a:stretch>
                  </pic:blipFill>
                  <pic:spPr>
                    <a:xfrm>
                      <a:off x="0" y="0"/>
                      <a:ext cx="5400040" cy="2601595"/>
                    </a:xfrm>
                    <a:prstGeom prst="rect">
                      <a:avLst/>
                    </a:prstGeom>
                    <a:noFill/>
                    <a:ln w="9525">
                      <a:noFill/>
                    </a:ln>
                  </pic:spPr>
                </pic:pic>
              </a:graphicData>
            </a:graphic>
          </wp:inline>
        </w:drawing>
      </w:r>
      <w:r>
        <w:rPr>
          <w:rFonts w:hint="default" w:ascii="Times New Roman" w:hAnsi="Times New Roman" w:eastAsia="宋体" w:cs="Times New Roman"/>
          <w:color w:val="auto"/>
          <w:kern w:val="2"/>
          <w:sz w:val="26"/>
          <w:szCs w:val="26"/>
          <w:highlight w:val="none"/>
          <w:lang w:val="en-US" w:eastAsia="zh-CN" w:bidi="ar"/>
        </w:rPr>
        <w:t xml:space="preserve"> </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26"/>
          <w:szCs w:val="26"/>
          <w:highlight w:val="none"/>
        </w:rPr>
      </w:pPr>
      <w:r>
        <w:rPr>
          <w:rFonts w:hint="eastAsia" w:ascii="Times New Roman" w:hAnsi="Times New Roman" w:cs="Times New Roman"/>
          <w:b/>
          <w:bCs w:val="0"/>
          <w:color w:val="auto"/>
          <w:kern w:val="2"/>
          <w:sz w:val="26"/>
          <w:szCs w:val="26"/>
          <w:highlight w:val="none"/>
          <w:lang w:val="en-US" w:eastAsia="zh-CN" w:bidi="ar"/>
        </w:rPr>
        <w:t>图3.2.3-</w:t>
      </w:r>
      <w:r>
        <w:rPr>
          <w:rFonts w:hint="eastAsia" w:cs="Times New Roman"/>
          <w:b/>
          <w:bCs w:val="0"/>
          <w:color w:val="auto"/>
          <w:kern w:val="2"/>
          <w:sz w:val="26"/>
          <w:szCs w:val="26"/>
          <w:highlight w:val="none"/>
          <w:lang w:val="en-US" w:eastAsia="zh-CN" w:bidi="ar"/>
        </w:rPr>
        <w:t xml:space="preserve">8  </w:t>
      </w:r>
      <w:r>
        <w:rPr>
          <w:rFonts w:hint="default" w:ascii="Times New Roman" w:hAnsi="Times New Roman" w:eastAsia="宋体" w:cs="Times New Roman"/>
          <w:b/>
          <w:bCs w:val="0"/>
          <w:color w:val="auto"/>
          <w:kern w:val="2"/>
          <w:sz w:val="26"/>
          <w:szCs w:val="26"/>
          <w:highlight w:val="none"/>
          <w:lang w:val="en-US" w:eastAsia="zh-CN" w:bidi="ar"/>
        </w:rPr>
        <w:t>“渭沱库区越冬场”生境航拍现状</w:t>
      </w:r>
    </w:p>
    <w:p>
      <w:pPr>
        <w:pStyle w:val="23"/>
        <w:keepNext w:val="0"/>
        <w:keepLines w:val="0"/>
        <w:widowControl w:val="0"/>
        <w:suppressLineNumbers w:val="0"/>
        <w:adjustRightInd w:val="0"/>
        <w:snapToGrid w:val="0"/>
        <w:spacing w:before="0" w:beforeAutospacing="0" w:after="0" w:afterAutospacing="0" w:line="240" w:lineRule="auto"/>
        <w:ind w:left="0" w:right="0" w:firstLine="520" w:firstLineChars="200"/>
        <w:jc w:val="center"/>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 xml:space="preserve"> </w:t>
      </w:r>
    </w:p>
    <w:p>
      <w:pPr>
        <w:bidi w:val="0"/>
        <w:rPr>
          <w:rFonts w:hint="default"/>
          <w:color w:val="auto"/>
          <w:highlight w:val="none"/>
        </w:rPr>
      </w:pPr>
      <w:r>
        <w:rPr>
          <w:rFonts w:hint="default"/>
          <w:color w:val="auto"/>
          <w:highlight w:val="none"/>
          <w:lang w:val="en-US" w:eastAsia="zh-CN"/>
        </w:rPr>
        <w:t>④ 漂流及洄游通道</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历史上涪江重庆段是嘉陵江和长江干流的大中型鱼类上溯索饵洄游的通道。但随着嘉陵江流域水电梯级开发及河流渠化的进程，目前涪江重庆段仅136km河段已建设双江航电枢纽、潼南航电枢纽、富金坝航电枢纽、安居枢纽、渭沱电站枢纽共5个梯级水电枢纽，完全阻断了长江干流及嘉陵江鱼类进入涪江繁殖、索饵的通道，此外潼南城区上游三块石电站、东风电站、文峰电站及螺丝池电站、金华电站、白禅寺电站的兴建又阻断了涪江下游鱼类与中上游之间的洄游通道。因此目前，评价范围涪江江段鱼类洄游通道的功能已经消失。</w:t>
      </w:r>
    </w:p>
    <w:p>
      <w:pPr>
        <w:bidi w:val="0"/>
        <w:rPr>
          <w:rFonts w:hint="default"/>
          <w:color w:val="auto"/>
          <w:highlight w:val="none"/>
        </w:rPr>
      </w:pPr>
      <w:r>
        <w:rPr>
          <w:rFonts w:hint="eastAsia"/>
          <w:color w:val="auto"/>
          <w:highlight w:val="none"/>
          <w:lang w:val="en-US" w:eastAsia="zh-CN"/>
        </w:rPr>
        <w:t>（8）</w:t>
      </w:r>
      <w:r>
        <w:rPr>
          <w:rFonts w:hint="default"/>
          <w:color w:val="auto"/>
          <w:highlight w:val="none"/>
          <w:lang w:val="en-US" w:eastAsia="zh-CN"/>
        </w:rPr>
        <w:t>工程影响水域生态功能分析</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contextualSpacing/>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本次调查在涪江流域各监测断面共检测到浮游植物7门、9纲、16目、40属、83种；浮游动物3门、27属、44种；底栖动物6种，隶属于3门4纲5目，优势种类为宁波短沟蜷和沼蛤；调查到植物17种； eDNA 检测方法在涪江重庆段检测到鱼类48种，隶属于4目9科40属，鲤形目为该区的主要类群。鱼类流水偏好性以喜缓静水和广适性类群占据绝对优势；繁殖类型上以适应静水产卵并对产卵环境水体流速无特殊要求的静水或缓流环境产粘性卵类型为本区域主要繁殖类群；食性方面以杂食性鱼类为主要构成成分。</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contextualSpacing/>
        <w:jc w:val="both"/>
        <w:rPr>
          <w:rFonts w:hint="default" w:ascii="Times New Roman" w:hAnsi="Times New Roman" w:eastAsia="宋体" w:cs="Times New Roman"/>
          <w:color w:val="auto"/>
          <w:kern w:val="2"/>
          <w:sz w:val="26"/>
          <w:szCs w:val="26"/>
          <w:highlight w:val="none"/>
          <w:lang w:val="en-US" w:eastAsia="zh-CN" w:bidi="ar"/>
        </w:rPr>
      </w:pPr>
      <w:r>
        <w:rPr>
          <w:rFonts w:hint="default" w:ascii="Times New Roman" w:hAnsi="Times New Roman" w:eastAsia="宋体" w:cs="Times New Roman"/>
          <w:color w:val="auto"/>
          <w:kern w:val="2"/>
          <w:sz w:val="26"/>
          <w:szCs w:val="26"/>
          <w:highlight w:val="none"/>
          <w:lang w:val="en-US" w:eastAsia="zh-CN" w:bidi="ar"/>
        </w:rPr>
        <w:t>评价</w:t>
      </w:r>
      <w:r>
        <w:rPr>
          <w:rFonts w:hint="eastAsia" w:ascii="Times New Roman" w:hAnsi="Times New Roman" w:eastAsia="宋体" w:cs="Times New Roman"/>
          <w:color w:val="auto"/>
          <w:kern w:val="2"/>
          <w:sz w:val="26"/>
          <w:szCs w:val="26"/>
          <w:highlight w:val="none"/>
          <w:lang w:val="en-US" w:eastAsia="zh-CN" w:bidi="ar"/>
        </w:rPr>
        <w:t>范围</w:t>
      </w:r>
      <w:r>
        <w:rPr>
          <w:rFonts w:hint="default" w:ascii="Times New Roman" w:hAnsi="Times New Roman" w:eastAsia="宋体" w:cs="Times New Roman"/>
          <w:color w:val="auto"/>
          <w:kern w:val="2"/>
          <w:sz w:val="26"/>
          <w:szCs w:val="26"/>
          <w:highlight w:val="none"/>
          <w:lang w:val="en-US" w:eastAsia="zh-CN" w:bidi="ar"/>
        </w:rPr>
        <w:t>内共有产卵场1个，索饵场2个，主要在安居电站下游段，越冬场位于渭沱库区。评价流域内的洄游通道因河流梯级开发而基本上丧失了功能。</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contextualSpacing/>
        <w:jc w:val="both"/>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目前，干流中鱼类栖息类型以静水、敞水性鱼类为主，繁殖类型以浅水草滩产</w:t>
      </w:r>
      <w:r>
        <w:rPr>
          <w:rFonts w:hint="default" w:ascii="Times New Roman" w:hAnsi="Times New Roman" w:eastAsia="宋体" w:cs="Times New Roman"/>
          <w:color w:val="auto"/>
          <w:kern w:val="2"/>
          <w:sz w:val="26"/>
          <w:szCs w:val="26"/>
          <w:highlight w:val="none"/>
          <w:shd w:val="clear" w:fill="FFFFFF"/>
          <w:lang w:val="en-US" w:eastAsia="zh-CN" w:bidi="ar"/>
        </w:rPr>
        <w:t>弱粘性</w:t>
      </w:r>
      <w:r>
        <w:rPr>
          <w:rFonts w:hint="default" w:ascii="Times New Roman" w:hAnsi="Times New Roman" w:eastAsia="宋体" w:cs="Times New Roman"/>
          <w:color w:val="auto"/>
          <w:kern w:val="2"/>
          <w:sz w:val="26"/>
          <w:szCs w:val="26"/>
          <w:highlight w:val="none"/>
          <w:lang w:val="en-US" w:eastAsia="zh-CN" w:bidi="ar"/>
        </w:rPr>
        <w:t>卵的鲤鲫鱼类为主。对于珍稀保护鱼类，胭脂鱼为国家Ⅱ级保护鱼类，梯级开发后胭脂鱼自然种群在流域已较为少见。岩原鲤为国家Ⅱ级保护鱼类，随着流域航电梯级的不断开发，水域污染等因素叠加影响，其资源量也已呈减少趋势。总体看流域内梯级开发对鱼类多样性及其重要生境等已经产生了较大影响，水域生态功能较历史状态已经发生改变。</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contextualSpacing/>
        <w:jc w:val="both"/>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通过查阅历史资料及开展的水生生态调查，本项目占地范围与鱼类“三场”不重叠，工程实施不会直接破坏鱼类“三场”。</w:t>
      </w:r>
    </w:p>
    <w:p>
      <w:pPr>
        <w:pStyle w:val="5"/>
        <w:ind w:firstLine="522"/>
        <w:rPr>
          <w:color w:val="auto"/>
          <w:highlight w:val="none"/>
        </w:rPr>
      </w:pPr>
      <w:r>
        <w:rPr>
          <w:rFonts w:hint="eastAsia"/>
          <w:color w:val="auto"/>
          <w:highlight w:val="none"/>
        </w:rPr>
        <w:t>生态</w:t>
      </w:r>
      <w:r>
        <w:rPr>
          <w:color w:val="auto"/>
          <w:highlight w:val="none"/>
        </w:rPr>
        <w:t>系统</w:t>
      </w:r>
      <w:r>
        <w:rPr>
          <w:rFonts w:hint="eastAsia"/>
          <w:color w:val="auto"/>
          <w:highlight w:val="none"/>
        </w:rPr>
        <w:t>现状</w:t>
      </w:r>
      <w:r>
        <w:rPr>
          <w:color w:val="auto"/>
          <w:highlight w:val="none"/>
        </w:rPr>
        <w:t>调查</w:t>
      </w:r>
    </w:p>
    <w:p>
      <w:pPr>
        <w:ind w:firstLine="522"/>
        <w:jc w:val="left"/>
        <w:rPr>
          <w:b/>
          <w:color w:val="auto"/>
          <w:szCs w:val="26"/>
          <w:highlight w:val="none"/>
        </w:rPr>
      </w:pPr>
      <w:r>
        <w:rPr>
          <w:rFonts w:hint="eastAsia"/>
          <w:b/>
          <w:color w:val="auto"/>
          <w:szCs w:val="26"/>
          <w:highlight w:val="none"/>
        </w:rPr>
        <w:t>（1）生态系统类型及分布</w:t>
      </w:r>
    </w:p>
    <w:p>
      <w:pPr>
        <w:ind w:firstLine="520"/>
        <w:rPr>
          <w:color w:val="auto"/>
          <w:highlight w:val="none"/>
        </w:rPr>
      </w:pPr>
      <w:r>
        <w:rPr>
          <w:color w:val="auto"/>
          <w:highlight w:val="none"/>
        </w:rPr>
        <w:t>根据现场调查及遥感解译，结合《全国生态状况调查评估技术规范—生态系统遥感解译与野外核查》（HJ 1166-2021）中生态系统分类系统，评价范围内生态系统包括森林</w:t>
      </w:r>
      <w:r>
        <w:rPr>
          <w:rFonts w:hint="eastAsia"/>
          <w:color w:val="auto"/>
          <w:highlight w:val="none"/>
        </w:rPr>
        <w:t>、</w:t>
      </w:r>
      <w:r>
        <w:rPr>
          <w:color w:val="auto"/>
          <w:highlight w:val="none"/>
        </w:rPr>
        <w:t>灌丛</w:t>
      </w:r>
      <w:r>
        <w:rPr>
          <w:rFonts w:hint="eastAsia"/>
          <w:color w:val="auto"/>
          <w:highlight w:val="none"/>
        </w:rPr>
        <w:t>、草丛生态系统</w:t>
      </w:r>
      <w:r>
        <w:rPr>
          <w:color w:val="auto"/>
          <w:highlight w:val="none"/>
        </w:rPr>
        <w:t>等</w:t>
      </w:r>
      <w:r>
        <w:rPr>
          <w:rFonts w:hint="eastAsia"/>
          <w:color w:val="auto"/>
          <w:highlight w:val="none"/>
          <w:lang w:eastAsia="zh-CN"/>
        </w:rPr>
        <w:t>七</w:t>
      </w:r>
      <w:r>
        <w:rPr>
          <w:color w:val="auto"/>
          <w:highlight w:val="none"/>
        </w:rPr>
        <w:t>大类，共计</w:t>
      </w:r>
      <w:r>
        <w:rPr>
          <w:rFonts w:hint="eastAsia"/>
          <w:color w:val="auto"/>
          <w:highlight w:val="none"/>
          <w:lang w:val="en-US" w:eastAsia="zh-CN"/>
        </w:rPr>
        <w:t>11</w:t>
      </w:r>
      <w:r>
        <w:rPr>
          <w:color w:val="auto"/>
          <w:highlight w:val="none"/>
        </w:rPr>
        <w:t>小类</w:t>
      </w:r>
      <w:r>
        <w:rPr>
          <w:rFonts w:hint="eastAsia"/>
          <w:color w:val="auto"/>
          <w:highlight w:val="none"/>
          <w:lang w:eastAsia="zh-CN"/>
        </w:rPr>
        <w:t>，</w:t>
      </w:r>
      <w:r>
        <w:rPr>
          <w:color w:val="auto"/>
          <w:highlight w:val="none"/>
        </w:rPr>
        <w:t>评价区的生态系统类型组成</w:t>
      </w:r>
      <w:r>
        <w:rPr>
          <w:rFonts w:hint="eastAsia"/>
          <w:color w:val="auto"/>
          <w:highlight w:val="none"/>
        </w:rPr>
        <w:t>见下表：</w:t>
      </w:r>
    </w:p>
    <w:p>
      <w:pPr>
        <w:spacing w:line="240" w:lineRule="auto"/>
        <w:ind w:firstLine="0" w:firstLineChars="0"/>
        <w:jc w:val="center"/>
        <w:rPr>
          <w:color w:val="auto"/>
          <w:highlight w:val="none"/>
        </w:rPr>
      </w:pPr>
    </w:p>
    <w:p>
      <w:pPr>
        <w:spacing w:line="240" w:lineRule="auto"/>
        <w:ind w:firstLine="0" w:firstLineChars="0"/>
        <w:jc w:val="center"/>
        <w:rPr>
          <w:color w:val="auto"/>
          <w:highlight w:val="none"/>
        </w:rPr>
      </w:pPr>
      <w:r>
        <w:rPr>
          <w:color w:val="auto"/>
          <w:highlight w:val="none"/>
        </w:rPr>
        <w:t>表</w:t>
      </w:r>
      <w:r>
        <w:rPr>
          <w:rFonts w:hint="eastAsia"/>
          <w:color w:val="auto"/>
          <w:highlight w:val="none"/>
          <w:lang w:val="en-US" w:eastAsia="zh-CN"/>
        </w:rPr>
        <w:t>3.2.4</w:t>
      </w:r>
      <w:r>
        <w:rPr>
          <w:rFonts w:hint="eastAsia"/>
          <w:color w:val="auto"/>
          <w:highlight w:val="none"/>
        </w:rPr>
        <w:t xml:space="preserve">-1  </w:t>
      </w:r>
      <w:r>
        <w:rPr>
          <w:color w:val="auto"/>
          <w:highlight w:val="none"/>
        </w:rPr>
        <w:t>评价区生态系统类型统计表</w:t>
      </w:r>
    </w:p>
    <w:tbl>
      <w:tblPr>
        <w:tblStyle w:val="28"/>
        <w:tblW w:w="485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03"/>
        <w:gridCol w:w="1800"/>
        <w:gridCol w:w="1119"/>
        <w:gridCol w:w="1777"/>
        <w:gridCol w:w="1572"/>
        <w:gridCol w:w="13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103"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I</w:t>
            </w:r>
            <w:r>
              <w:rPr>
                <w:rFonts w:hint="eastAsia" w:ascii="宋体" w:hAnsi="宋体" w:eastAsia="宋体" w:cs="宋体"/>
                <w:i w:val="0"/>
                <w:iCs w:val="0"/>
                <w:color w:val="auto"/>
                <w:kern w:val="0"/>
                <w:sz w:val="22"/>
                <w:szCs w:val="22"/>
                <w:highlight w:val="none"/>
                <w:u w:val="none"/>
                <w:lang w:val="en-US" w:eastAsia="zh-CN" w:bidi="ar"/>
              </w:rPr>
              <w:t>级代码</w:t>
            </w:r>
          </w:p>
        </w:tc>
        <w:tc>
          <w:tcPr>
            <w:tcW w:w="180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I</w:t>
            </w:r>
            <w:r>
              <w:rPr>
                <w:rFonts w:hint="eastAsia" w:ascii="宋体" w:hAnsi="宋体" w:eastAsia="宋体" w:cs="宋体"/>
                <w:i w:val="0"/>
                <w:iCs w:val="0"/>
                <w:color w:val="auto"/>
                <w:kern w:val="0"/>
                <w:sz w:val="22"/>
                <w:szCs w:val="22"/>
                <w:highlight w:val="none"/>
                <w:u w:val="none"/>
                <w:lang w:val="en-US" w:eastAsia="zh-CN" w:bidi="ar"/>
              </w:rPr>
              <w:t>级分类</w:t>
            </w:r>
          </w:p>
        </w:tc>
        <w:tc>
          <w:tcPr>
            <w:tcW w:w="1119"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shd w:val="clear" w:fill="FFFFFF"/>
                <w:lang w:val="en-US" w:eastAsia="zh-CN" w:bidi="ar"/>
              </w:rPr>
              <w:t>II</w:t>
            </w:r>
            <w:r>
              <w:rPr>
                <w:rFonts w:hint="eastAsia" w:ascii="宋体" w:hAnsi="宋体" w:eastAsia="宋体" w:cs="宋体"/>
                <w:i w:val="0"/>
                <w:iCs w:val="0"/>
                <w:color w:val="auto"/>
                <w:kern w:val="0"/>
                <w:sz w:val="22"/>
                <w:szCs w:val="22"/>
                <w:highlight w:val="none"/>
                <w:u w:val="none"/>
                <w:shd w:val="clear" w:fill="FFFFFF"/>
                <w:lang w:val="en-US" w:eastAsia="zh-CN" w:bidi="ar"/>
              </w:rPr>
              <w:t>级</w:t>
            </w:r>
            <w:r>
              <w:rPr>
                <w:rFonts w:hint="eastAsia" w:ascii="宋体" w:hAnsi="宋体" w:eastAsia="宋体" w:cs="宋体"/>
                <w:i w:val="0"/>
                <w:iCs w:val="0"/>
                <w:color w:val="auto"/>
                <w:kern w:val="0"/>
                <w:sz w:val="22"/>
                <w:szCs w:val="22"/>
                <w:highlight w:val="none"/>
                <w:u w:val="none"/>
                <w:lang w:val="en-US" w:eastAsia="zh-CN" w:bidi="ar"/>
              </w:rPr>
              <w:t>代码</w:t>
            </w:r>
          </w:p>
        </w:tc>
        <w:tc>
          <w:tcPr>
            <w:tcW w:w="1777"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shd w:val="clear" w:fill="FFFFFF"/>
                <w:lang w:val="en-US" w:eastAsia="zh-CN" w:bidi="ar"/>
              </w:rPr>
              <w:t>II</w:t>
            </w:r>
            <w:r>
              <w:rPr>
                <w:rFonts w:hint="eastAsia" w:ascii="宋体" w:hAnsi="宋体" w:eastAsia="宋体" w:cs="宋体"/>
                <w:i w:val="0"/>
                <w:iCs w:val="0"/>
                <w:color w:val="auto"/>
                <w:kern w:val="0"/>
                <w:sz w:val="22"/>
                <w:szCs w:val="22"/>
                <w:highlight w:val="none"/>
                <w:u w:val="none"/>
                <w:shd w:val="clear" w:fill="FFFFFF"/>
                <w:lang w:val="en-US" w:eastAsia="zh-CN" w:bidi="ar"/>
              </w:rPr>
              <w:t>级</w:t>
            </w:r>
            <w:r>
              <w:rPr>
                <w:rFonts w:hint="eastAsia" w:ascii="宋体" w:hAnsi="宋体" w:eastAsia="宋体" w:cs="宋体"/>
                <w:i w:val="0"/>
                <w:iCs w:val="0"/>
                <w:color w:val="auto"/>
                <w:kern w:val="0"/>
                <w:sz w:val="22"/>
                <w:szCs w:val="22"/>
                <w:highlight w:val="none"/>
                <w:u w:val="none"/>
                <w:lang w:val="en-US" w:eastAsia="zh-CN" w:bidi="ar"/>
              </w:rPr>
              <w:t>分类</w:t>
            </w:r>
          </w:p>
        </w:tc>
        <w:tc>
          <w:tcPr>
            <w:tcW w:w="1572"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面积（</w:t>
            </w:r>
            <w:r>
              <w:rPr>
                <w:rFonts w:hint="default" w:ascii="Times New Roman" w:hAnsi="Times New Roman" w:eastAsia="宋体" w:cs="Times New Roman"/>
                <w:i w:val="0"/>
                <w:iCs w:val="0"/>
                <w:color w:val="auto"/>
                <w:kern w:val="0"/>
                <w:sz w:val="22"/>
                <w:szCs w:val="22"/>
                <w:highlight w:val="none"/>
                <w:u w:val="none"/>
                <w:lang w:val="en-US" w:eastAsia="zh-CN" w:bidi="ar"/>
              </w:rPr>
              <w:t>hm</w:t>
            </w:r>
            <w:r>
              <w:rPr>
                <w:rFonts w:hint="default" w:ascii="Times New Roman" w:hAnsi="Times New Roman" w:eastAsia="宋体" w:cs="Times New Roman"/>
                <w:i w:val="0"/>
                <w:iCs w:val="0"/>
                <w:color w:val="auto"/>
                <w:kern w:val="0"/>
                <w:sz w:val="22"/>
                <w:szCs w:val="22"/>
                <w:highlight w:val="none"/>
                <w:u w:val="none"/>
                <w:vertAlign w:val="superscript"/>
                <w:lang w:val="en-US" w:eastAsia="zh-CN" w:bidi="ar"/>
              </w:rPr>
              <w:t>2</w:t>
            </w:r>
            <w:r>
              <w:rPr>
                <w:rFonts w:hint="eastAsia" w:ascii="宋体" w:hAnsi="宋体" w:eastAsia="宋体" w:cs="宋体"/>
                <w:i w:val="0"/>
                <w:iCs w:val="0"/>
                <w:color w:val="auto"/>
                <w:kern w:val="0"/>
                <w:sz w:val="22"/>
                <w:szCs w:val="22"/>
                <w:highlight w:val="none"/>
                <w:u w:val="none"/>
                <w:lang w:val="en-US" w:eastAsia="zh-CN" w:bidi="ar"/>
              </w:rPr>
              <w:t>）</w:t>
            </w:r>
          </w:p>
        </w:tc>
        <w:tc>
          <w:tcPr>
            <w:tcW w:w="1307"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占比（</w:t>
            </w:r>
            <w:r>
              <w:rPr>
                <w:rFonts w:hint="default" w:ascii="Times New Roman" w:hAnsi="Times New Roman" w:eastAsia="宋体" w:cs="Times New Roman"/>
                <w:i w:val="0"/>
                <w:iCs w:val="0"/>
                <w:color w:val="auto"/>
                <w:kern w:val="0"/>
                <w:sz w:val="22"/>
                <w:szCs w:val="22"/>
                <w:highlight w:val="none"/>
                <w:u w:val="none"/>
                <w:lang w:val="en-US" w:eastAsia="zh-CN" w:bidi="ar"/>
              </w:rPr>
              <w:t>%</w:t>
            </w:r>
            <w:r>
              <w:rPr>
                <w:rFonts w:hint="eastAsia" w:ascii="宋体" w:hAnsi="宋体" w:eastAsia="宋体" w:cs="宋体"/>
                <w:i w:val="0"/>
                <w:iCs w:val="0"/>
                <w:color w:val="auto"/>
                <w:kern w:val="0"/>
                <w:sz w:val="22"/>
                <w:szCs w:val="22"/>
                <w:highlight w:val="none"/>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103" w:type="dxa"/>
            <w:vMerge w:val="restar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w:t>
            </w:r>
          </w:p>
        </w:tc>
        <w:tc>
          <w:tcPr>
            <w:tcW w:w="1800" w:type="dxa"/>
            <w:vMerge w:val="restar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森林生态系统</w:t>
            </w:r>
          </w:p>
        </w:tc>
        <w:tc>
          <w:tcPr>
            <w:tcW w:w="111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11</w:t>
            </w:r>
          </w:p>
        </w:tc>
        <w:tc>
          <w:tcPr>
            <w:tcW w:w="177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阔叶林</w:t>
            </w:r>
          </w:p>
        </w:tc>
        <w:tc>
          <w:tcPr>
            <w:tcW w:w="157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76.32 </w:t>
            </w:r>
          </w:p>
        </w:tc>
        <w:tc>
          <w:tcPr>
            <w:tcW w:w="130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9.02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103" w:type="dxa"/>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1800" w:type="dxa"/>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auto"/>
                <w:sz w:val="22"/>
                <w:szCs w:val="22"/>
                <w:highlight w:val="none"/>
                <w:u w:val="none"/>
              </w:rPr>
            </w:pPr>
          </w:p>
        </w:tc>
        <w:tc>
          <w:tcPr>
            <w:tcW w:w="111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12</w:t>
            </w:r>
          </w:p>
        </w:tc>
        <w:tc>
          <w:tcPr>
            <w:tcW w:w="177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针叶林</w:t>
            </w:r>
          </w:p>
        </w:tc>
        <w:tc>
          <w:tcPr>
            <w:tcW w:w="157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139.07 </w:t>
            </w:r>
          </w:p>
        </w:tc>
        <w:tc>
          <w:tcPr>
            <w:tcW w:w="130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16.43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103"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2</w:t>
            </w:r>
          </w:p>
        </w:tc>
        <w:tc>
          <w:tcPr>
            <w:tcW w:w="1800"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灌丛生态系统</w:t>
            </w:r>
          </w:p>
        </w:tc>
        <w:tc>
          <w:tcPr>
            <w:tcW w:w="111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21</w:t>
            </w:r>
          </w:p>
        </w:tc>
        <w:tc>
          <w:tcPr>
            <w:tcW w:w="177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阔叶灌丛</w:t>
            </w:r>
          </w:p>
        </w:tc>
        <w:tc>
          <w:tcPr>
            <w:tcW w:w="157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41.66 </w:t>
            </w:r>
          </w:p>
        </w:tc>
        <w:tc>
          <w:tcPr>
            <w:tcW w:w="130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4.92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103"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3</w:t>
            </w:r>
          </w:p>
        </w:tc>
        <w:tc>
          <w:tcPr>
            <w:tcW w:w="1800"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草地生态系统</w:t>
            </w:r>
          </w:p>
        </w:tc>
        <w:tc>
          <w:tcPr>
            <w:tcW w:w="111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33</w:t>
            </w:r>
          </w:p>
        </w:tc>
        <w:tc>
          <w:tcPr>
            <w:tcW w:w="177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草丛</w:t>
            </w:r>
          </w:p>
        </w:tc>
        <w:tc>
          <w:tcPr>
            <w:tcW w:w="157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2.57 </w:t>
            </w:r>
          </w:p>
        </w:tc>
        <w:tc>
          <w:tcPr>
            <w:tcW w:w="130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0.30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1103" w:type="dxa"/>
            <w:vMerge w:val="restar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4</w:t>
            </w:r>
          </w:p>
        </w:tc>
        <w:tc>
          <w:tcPr>
            <w:tcW w:w="1800" w:type="dxa"/>
            <w:vMerge w:val="restar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湿地生态系统</w:t>
            </w:r>
          </w:p>
        </w:tc>
        <w:tc>
          <w:tcPr>
            <w:tcW w:w="111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42</w:t>
            </w:r>
          </w:p>
        </w:tc>
        <w:tc>
          <w:tcPr>
            <w:tcW w:w="177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湖泊</w:t>
            </w:r>
          </w:p>
        </w:tc>
        <w:tc>
          <w:tcPr>
            <w:tcW w:w="157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14.18 </w:t>
            </w:r>
          </w:p>
        </w:tc>
        <w:tc>
          <w:tcPr>
            <w:tcW w:w="130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1.68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1103" w:type="dxa"/>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1800" w:type="dxa"/>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auto"/>
                <w:sz w:val="22"/>
                <w:szCs w:val="22"/>
                <w:highlight w:val="none"/>
                <w:u w:val="none"/>
              </w:rPr>
            </w:pPr>
          </w:p>
        </w:tc>
        <w:tc>
          <w:tcPr>
            <w:tcW w:w="111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43</w:t>
            </w:r>
          </w:p>
        </w:tc>
        <w:tc>
          <w:tcPr>
            <w:tcW w:w="177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河流</w:t>
            </w:r>
          </w:p>
        </w:tc>
        <w:tc>
          <w:tcPr>
            <w:tcW w:w="157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165.19 </w:t>
            </w:r>
          </w:p>
        </w:tc>
        <w:tc>
          <w:tcPr>
            <w:tcW w:w="130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19.52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1103" w:type="dxa"/>
            <w:vMerge w:val="restart"/>
            <w:tcBorders>
              <w:top w:val="nil"/>
              <w:left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5</w:t>
            </w:r>
          </w:p>
        </w:tc>
        <w:tc>
          <w:tcPr>
            <w:tcW w:w="1800" w:type="dxa"/>
            <w:vMerge w:val="restart"/>
            <w:tcBorders>
              <w:top w:val="nil"/>
              <w:left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农田生态系统</w:t>
            </w:r>
          </w:p>
        </w:tc>
        <w:tc>
          <w:tcPr>
            <w:tcW w:w="111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51</w:t>
            </w:r>
          </w:p>
        </w:tc>
        <w:tc>
          <w:tcPr>
            <w:tcW w:w="177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耕地</w:t>
            </w:r>
          </w:p>
        </w:tc>
        <w:tc>
          <w:tcPr>
            <w:tcW w:w="157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316.38 </w:t>
            </w:r>
          </w:p>
        </w:tc>
        <w:tc>
          <w:tcPr>
            <w:tcW w:w="130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37.38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1103" w:type="dxa"/>
            <w:vMerge w:val="continue"/>
            <w:tcBorders>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p>
        </w:tc>
        <w:tc>
          <w:tcPr>
            <w:tcW w:w="1800" w:type="dxa"/>
            <w:vMerge w:val="continue"/>
            <w:tcBorders>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2"/>
                <w:szCs w:val="22"/>
                <w:highlight w:val="none"/>
                <w:u w:val="none"/>
                <w:lang w:val="en-US" w:eastAsia="zh-CN" w:bidi="ar"/>
              </w:rPr>
            </w:pPr>
          </w:p>
        </w:tc>
        <w:tc>
          <w:tcPr>
            <w:tcW w:w="111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52</w:t>
            </w:r>
          </w:p>
        </w:tc>
        <w:tc>
          <w:tcPr>
            <w:tcW w:w="177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2"/>
                <w:szCs w:val="22"/>
                <w:highlight w:val="none"/>
                <w:u w:val="none"/>
                <w:lang w:val="en-US" w:eastAsia="zh-CN" w:bidi="ar"/>
              </w:rPr>
            </w:pPr>
            <w:r>
              <w:rPr>
                <w:rFonts w:hint="eastAsia" w:ascii="宋体" w:hAnsi="宋体" w:cs="宋体"/>
                <w:i w:val="0"/>
                <w:iCs w:val="0"/>
                <w:color w:val="auto"/>
                <w:kern w:val="0"/>
                <w:sz w:val="22"/>
                <w:szCs w:val="22"/>
                <w:highlight w:val="none"/>
                <w:u w:val="none"/>
                <w:lang w:val="en-US" w:eastAsia="zh-CN" w:bidi="ar"/>
              </w:rPr>
              <w:t>园地</w:t>
            </w:r>
          </w:p>
        </w:tc>
        <w:tc>
          <w:tcPr>
            <w:tcW w:w="157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6.70 </w:t>
            </w:r>
          </w:p>
        </w:tc>
        <w:tc>
          <w:tcPr>
            <w:tcW w:w="130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0.79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1103" w:type="dxa"/>
            <w:vMerge w:val="restar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6</w:t>
            </w:r>
          </w:p>
        </w:tc>
        <w:tc>
          <w:tcPr>
            <w:tcW w:w="1800" w:type="dxa"/>
            <w:vMerge w:val="restar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城镇生态系统</w:t>
            </w:r>
          </w:p>
        </w:tc>
        <w:tc>
          <w:tcPr>
            <w:tcW w:w="111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61</w:t>
            </w:r>
          </w:p>
        </w:tc>
        <w:tc>
          <w:tcPr>
            <w:tcW w:w="177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居住地</w:t>
            </w:r>
          </w:p>
        </w:tc>
        <w:tc>
          <w:tcPr>
            <w:tcW w:w="157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59.35 </w:t>
            </w:r>
          </w:p>
        </w:tc>
        <w:tc>
          <w:tcPr>
            <w:tcW w:w="130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7.01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1103" w:type="dxa"/>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1800" w:type="dxa"/>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auto"/>
                <w:sz w:val="22"/>
                <w:szCs w:val="22"/>
                <w:highlight w:val="none"/>
                <w:u w:val="none"/>
              </w:rPr>
            </w:pPr>
          </w:p>
        </w:tc>
        <w:tc>
          <w:tcPr>
            <w:tcW w:w="111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62</w:t>
            </w:r>
          </w:p>
        </w:tc>
        <w:tc>
          <w:tcPr>
            <w:tcW w:w="177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工矿交通</w:t>
            </w:r>
          </w:p>
        </w:tc>
        <w:tc>
          <w:tcPr>
            <w:tcW w:w="157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21.81 </w:t>
            </w:r>
          </w:p>
        </w:tc>
        <w:tc>
          <w:tcPr>
            <w:tcW w:w="130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2.58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1103"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cs="Times New Roman"/>
                <w:i w:val="0"/>
                <w:iCs w:val="0"/>
                <w:color w:val="auto"/>
                <w:kern w:val="0"/>
                <w:sz w:val="22"/>
                <w:szCs w:val="22"/>
                <w:highlight w:val="none"/>
                <w:u w:val="none"/>
                <w:lang w:val="en-US" w:eastAsia="zh-CN" w:bidi="ar"/>
              </w:rPr>
              <w:t>7</w:t>
            </w:r>
          </w:p>
        </w:tc>
        <w:tc>
          <w:tcPr>
            <w:tcW w:w="1800"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其他</w:t>
            </w:r>
          </w:p>
        </w:tc>
        <w:tc>
          <w:tcPr>
            <w:tcW w:w="111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82</w:t>
            </w:r>
          </w:p>
        </w:tc>
        <w:tc>
          <w:tcPr>
            <w:tcW w:w="177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裸地</w:t>
            </w:r>
          </w:p>
        </w:tc>
        <w:tc>
          <w:tcPr>
            <w:tcW w:w="157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3.20 </w:t>
            </w:r>
          </w:p>
        </w:tc>
        <w:tc>
          <w:tcPr>
            <w:tcW w:w="130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0.38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5799" w:type="dxa"/>
            <w:gridSpan w:val="4"/>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合计</w:t>
            </w:r>
          </w:p>
        </w:tc>
        <w:tc>
          <w:tcPr>
            <w:tcW w:w="157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846.43 </w:t>
            </w:r>
          </w:p>
        </w:tc>
        <w:tc>
          <w:tcPr>
            <w:tcW w:w="130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 xml:space="preserve">100.00 </w:t>
            </w:r>
          </w:p>
        </w:tc>
      </w:tr>
    </w:tbl>
    <w:p>
      <w:pPr>
        <w:pStyle w:val="2"/>
        <w:snapToGrid w:val="0"/>
        <w:ind w:firstLine="520" w:firstLineChars="200"/>
        <w:rPr>
          <w:rFonts w:hint="eastAsia" w:ascii="宋体" w:hAnsi="宋体" w:cs="宋体"/>
          <w:color w:val="auto"/>
          <w:sz w:val="26"/>
          <w:szCs w:val="26"/>
          <w:highlight w:val="none"/>
          <w:lang w:val="en-US"/>
        </w:rPr>
      </w:pPr>
    </w:p>
    <w:p>
      <w:pPr>
        <w:pStyle w:val="2"/>
        <w:snapToGrid w:val="0"/>
        <w:ind w:firstLine="520" w:firstLineChars="200"/>
        <w:rPr>
          <w:color w:val="auto"/>
          <w:sz w:val="26"/>
          <w:szCs w:val="26"/>
          <w:highlight w:val="none"/>
          <w:lang w:val="en-US"/>
        </w:rPr>
      </w:pPr>
      <w:r>
        <w:rPr>
          <w:rFonts w:hint="eastAsia" w:ascii="宋体" w:hAnsi="宋体" w:cs="宋体"/>
          <w:color w:val="auto"/>
          <w:sz w:val="26"/>
          <w:szCs w:val="26"/>
          <w:highlight w:val="none"/>
          <w:lang w:val="en-US"/>
        </w:rPr>
        <w:t>①</w:t>
      </w:r>
      <w:r>
        <w:rPr>
          <w:color w:val="auto"/>
          <w:sz w:val="26"/>
          <w:szCs w:val="26"/>
          <w:highlight w:val="none"/>
          <w:lang w:val="en-US"/>
        </w:rPr>
        <w:t xml:space="preserve"> 森林生态系统</w:t>
      </w:r>
    </w:p>
    <w:p>
      <w:pPr>
        <w:pStyle w:val="2"/>
        <w:snapToGrid w:val="0"/>
        <w:spacing w:line="480" w:lineRule="exact"/>
        <w:ind w:firstLine="520" w:firstLineChars="200"/>
        <w:rPr>
          <w:color w:val="auto"/>
          <w:sz w:val="26"/>
          <w:szCs w:val="26"/>
          <w:highlight w:val="none"/>
          <w:lang w:val="en-US"/>
        </w:rPr>
      </w:pPr>
      <w:r>
        <w:rPr>
          <w:rFonts w:hint="eastAsia"/>
          <w:color w:val="auto"/>
          <w:sz w:val="26"/>
          <w:szCs w:val="26"/>
          <w:highlight w:val="none"/>
          <w:lang w:val="en-US"/>
        </w:rPr>
        <w:t>评价区</w:t>
      </w:r>
      <w:r>
        <w:rPr>
          <w:color w:val="auto"/>
          <w:sz w:val="26"/>
          <w:szCs w:val="26"/>
          <w:highlight w:val="none"/>
          <w:lang w:val="en-US"/>
        </w:rPr>
        <w:t>森林生态系统</w:t>
      </w:r>
      <w:r>
        <w:rPr>
          <w:rFonts w:hint="eastAsia"/>
          <w:color w:val="auto"/>
          <w:sz w:val="26"/>
          <w:szCs w:val="26"/>
          <w:highlight w:val="none"/>
          <w:lang w:val="en-US"/>
        </w:rPr>
        <w:t>面积</w:t>
      </w:r>
      <w:r>
        <w:rPr>
          <w:rFonts w:hint="eastAsia"/>
          <w:color w:val="auto"/>
          <w:sz w:val="26"/>
          <w:szCs w:val="26"/>
          <w:highlight w:val="none"/>
          <w:lang w:val="en-US" w:eastAsia="zh-CN"/>
        </w:rPr>
        <w:t>为215.39m</w:t>
      </w:r>
      <w:r>
        <w:rPr>
          <w:rFonts w:hint="eastAsia"/>
          <w:color w:val="auto"/>
          <w:sz w:val="26"/>
          <w:szCs w:val="26"/>
          <w:highlight w:val="none"/>
          <w:vertAlign w:val="superscript"/>
          <w:lang w:val="en-US" w:eastAsia="zh-CN"/>
        </w:rPr>
        <w:t>2</w:t>
      </w:r>
      <w:r>
        <w:rPr>
          <w:color w:val="auto"/>
          <w:sz w:val="26"/>
          <w:szCs w:val="26"/>
          <w:highlight w:val="none"/>
          <w:lang w:val="en-US"/>
        </w:rPr>
        <w:t>，</w:t>
      </w:r>
      <w:r>
        <w:rPr>
          <w:rFonts w:hint="eastAsia"/>
          <w:color w:val="auto"/>
          <w:sz w:val="26"/>
          <w:szCs w:val="26"/>
          <w:highlight w:val="none"/>
          <w:lang w:val="en-US" w:eastAsia="zh-CN"/>
        </w:rPr>
        <w:t>占评价区范围的25.45%，</w:t>
      </w:r>
      <w:r>
        <w:rPr>
          <w:color w:val="auto"/>
          <w:sz w:val="26"/>
          <w:szCs w:val="26"/>
          <w:highlight w:val="none"/>
          <w:lang w:val="en-US"/>
        </w:rPr>
        <w:t>主要呈斑块状分布于</w:t>
      </w:r>
      <w:r>
        <w:rPr>
          <w:rFonts w:hint="eastAsia"/>
          <w:color w:val="auto"/>
          <w:sz w:val="26"/>
          <w:szCs w:val="26"/>
          <w:highlight w:val="none"/>
          <w:lang w:val="en-US" w:eastAsia="zh-CN"/>
        </w:rPr>
        <w:t>渭沱船闸东侧区域</w:t>
      </w:r>
      <w:r>
        <w:rPr>
          <w:rFonts w:hint="eastAsia"/>
          <w:color w:val="auto"/>
          <w:sz w:val="26"/>
          <w:szCs w:val="26"/>
          <w:highlight w:val="none"/>
          <w:lang w:val="en-US"/>
        </w:rPr>
        <w:t>及</w:t>
      </w:r>
      <w:r>
        <w:rPr>
          <w:rFonts w:hint="eastAsia"/>
          <w:color w:val="auto"/>
          <w:sz w:val="26"/>
          <w:szCs w:val="26"/>
          <w:highlight w:val="none"/>
          <w:lang w:val="en-US" w:eastAsia="zh-CN"/>
        </w:rPr>
        <w:t>临时弃渣场周边</w:t>
      </w:r>
      <w:r>
        <w:rPr>
          <w:color w:val="auto"/>
          <w:sz w:val="26"/>
          <w:szCs w:val="26"/>
          <w:highlight w:val="none"/>
          <w:lang w:val="en-US"/>
        </w:rPr>
        <w:t>，森林生态系统的主要植被为</w:t>
      </w:r>
      <w:r>
        <w:rPr>
          <w:rFonts w:hint="eastAsia"/>
          <w:color w:val="auto"/>
          <w:sz w:val="26"/>
          <w:szCs w:val="26"/>
          <w:highlight w:val="none"/>
          <w:lang w:val="en-US" w:eastAsia="zh-CN"/>
        </w:rPr>
        <w:t>柏树、枫杨、青冈、</w:t>
      </w:r>
      <w:r>
        <w:rPr>
          <w:color w:val="auto"/>
          <w:sz w:val="26"/>
          <w:szCs w:val="26"/>
          <w:highlight w:val="none"/>
          <w:lang w:val="en-US"/>
        </w:rPr>
        <w:t>慈竹林</w:t>
      </w:r>
      <w:r>
        <w:rPr>
          <w:rFonts w:hint="eastAsia"/>
          <w:color w:val="auto"/>
          <w:sz w:val="26"/>
          <w:szCs w:val="26"/>
          <w:highlight w:val="none"/>
          <w:lang w:val="en-US" w:eastAsia="zh-CN"/>
        </w:rPr>
        <w:t>等</w:t>
      </w:r>
      <w:r>
        <w:rPr>
          <w:color w:val="auto"/>
          <w:sz w:val="26"/>
          <w:szCs w:val="26"/>
          <w:highlight w:val="none"/>
          <w:lang w:val="en-US"/>
        </w:rPr>
        <w:t>，森林覆盖率一般，人为干扰较为明显。</w:t>
      </w:r>
    </w:p>
    <w:p>
      <w:pPr>
        <w:pStyle w:val="2"/>
        <w:snapToGrid w:val="0"/>
        <w:spacing w:line="480" w:lineRule="exact"/>
        <w:ind w:firstLine="520" w:firstLineChars="200"/>
        <w:rPr>
          <w:color w:val="auto"/>
          <w:sz w:val="26"/>
          <w:szCs w:val="26"/>
          <w:highlight w:val="none"/>
          <w:lang w:val="en-US"/>
        </w:rPr>
      </w:pPr>
      <w:r>
        <w:rPr>
          <w:color w:val="auto"/>
          <w:sz w:val="26"/>
          <w:szCs w:val="26"/>
          <w:highlight w:val="none"/>
          <w:lang w:val="en-US"/>
        </w:rPr>
        <w:t>植被以阔叶林、竹林为主</w:t>
      </w:r>
      <w:r>
        <w:rPr>
          <w:rFonts w:hint="eastAsia"/>
          <w:color w:val="auto"/>
          <w:sz w:val="26"/>
          <w:szCs w:val="26"/>
          <w:highlight w:val="none"/>
          <w:lang w:val="en-US"/>
        </w:rPr>
        <w:t>，针叶林</w:t>
      </w:r>
      <w:r>
        <w:rPr>
          <w:rFonts w:hint="eastAsia"/>
          <w:color w:val="auto"/>
          <w:sz w:val="26"/>
          <w:szCs w:val="26"/>
          <w:highlight w:val="none"/>
          <w:lang w:val="en-US" w:eastAsia="zh-CN"/>
        </w:rPr>
        <w:t>较</w:t>
      </w:r>
      <w:r>
        <w:rPr>
          <w:rFonts w:hint="eastAsia"/>
          <w:color w:val="auto"/>
          <w:sz w:val="26"/>
          <w:szCs w:val="26"/>
          <w:highlight w:val="none"/>
          <w:lang w:val="en-US"/>
        </w:rPr>
        <w:t>少</w:t>
      </w:r>
      <w:r>
        <w:rPr>
          <w:color w:val="auto"/>
          <w:sz w:val="26"/>
          <w:szCs w:val="26"/>
          <w:highlight w:val="none"/>
          <w:lang w:val="en-US"/>
        </w:rPr>
        <w:t>。阔叶林多呈斑块状或片状分布于村落附近。</w:t>
      </w:r>
      <w:r>
        <w:rPr>
          <w:rFonts w:hint="eastAsia"/>
          <w:color w:val="auto"/>
          <w:sz w:val="26"/>
          <w:szCs w:val="26"/>
          <w:highlight w:val="none"/>
          <w:lang w:val="en-US"/>
        </w:rPr>
        <w:t>评价</w:t>
      </w:r>
      <w:r>
        <w:rPr>
          <w:color w:val="auto"/>
          <w:sz w:val="26"/>
          <w:szCs w:val="26"/>
          <w:highlight w:val="none"/>
          <w:lang w:val="en-US"/>
        </w:rPr>
        <w:t>范围内阔叶林以落叶阔叶林为主，其中落叶阔叶林</w:t>
      </w:r>
      <w:r>
        <w:rPr>
          <w:rFonts w:hint="eastAsia"/>
          <w:color w:val="auto"/>
          <w:sz w:val="26"/>
          <w:szCs w:val="26"/>
          <w:highlight w:val="none"/>
          <w:lang w:val="en-US" w:eastAsia="zh-CN"/>
        </w:rPr>
        <w:t>、竹林</w:t>
      </w:r>
      <w:r>
        <w:rPr>
          <w:color w:val="auto"/>
          <w:sz w:val="26"/>
          <w:szCs w:val="26"/>
          <w:highlight w:val="none"/>
          <w:lang w:val="en-US"/>
        </w:rPr>
        <w:t>多分布于</w:t>
      </w:r>
      <w:r>
        <w:rPr>
          <w:rFonts w:hint="eastAsia"/>
          <w:color w:val="auto"/>
          <w:sz w:val="26"/>
          <w:szCs w:val="26"/>
          <w:highlight w:val="none"/>
          <w:lang w:val="en-US" w:eastAsia="zh-CN"/>
        </w:rPr>
        <w:t>涪江沿岸区域</w:t>
      </w:r>
      <w:r>
        <w:rPr>
          <w:color w:val="auto"/>
          <w:sz w:val="26"/>
          <w:szCs w:val="26"/>
          <w:highlight w:val="none"/>
          <w:lang w:val="en-US"/>
        </w:rPr>
        <w:t>，常见的群系有</w:t>
      </w:r>
      <w:r>
        <w:rPr>
          <w:rFonts w:hint="eastAsia"/>
          <w:color w:val="auto"/>
          <w:sz w:val="26"/>
          <w:szCs w:val="26"/>
          <w:highlight w:val="none"/>
          <w:lang w:val="en-US" w:eastAsia="zh-CN"/>
        </w:rPr>
        <w:t>枫杨、慈竹</w:t>
      </w:r>
      <w:r>
        <w:rPr>
          <w:color w:val="auto"/>
          <w:sz w:val="26"/>
          <w:szCs w:val="26"/>
          <w:highlight w:val="none"/>
          <w:lang w:val="en-US"/>
        </w:rPr>
        <w:t>等。</w:t>
      </w:r>
      <w:r>
        <w:rPr>
          <w:rFonts w:hint="eastAsia"/>
          <w:color w:val="auto"/>
          <w:sz w:val="26"/>
          <w:szCs w:val="26"/>
          <w:highlight w:val="none"/>
          <w:lang w:val="en-US" w:eastAsia="zh-CN"/>
        </w:rPr>
        <w:t>针叶林则主要为弃渣场周边的柏木林，分布相对较少</w:t>
      </w:r>
      <w:r>
        <w:rPr>
          <w:color w:val="auto"/>
          <w:sz w:val="26"/>
          <w:szCs w:val="26"/>
          <w:highlight w:val="none"/>
          <w:lang w:val="en-US"/>
        </w:rPr>
        <w:t>。</w:t>
      </w:r>
    </w:p>
    <w:p>
      <w:pPr>
        <w:adjustRightInd w:val="0"/>
        <w:snapToGrid w:val="0"/>
        <w:ind w:firstLine="520"/>
        <w:rPr>
          <w:color w:val="auto"/>
          <w:szCs w:val="22"/>
          <w:highlight w:val="none"/>
        </w:rPr>
      </w:pPr>
      <w:r>
        <w:rPr>
          <w:color w:val="auto"/>
          <w:szCs w:val="22"/>
          <w:highlight w:val="none"/>
        </w:rPr>
        <w:t>森林生态系统是各种动物的良好避难所，也是区域</w:t>
      </w:r>
      <w:r>
        <w:rPr>
          <w:rFonts w:hint="eastAsia"/>
          <w:color w:val="auto"/>
          <w:szCs w:val="22"/>
          <w:highlight w:val="none"/>
          <w:shd w:val="clear" w:fill="FFFFFF"/>
          <w:lang w:eastAsia="zh-CN"/>
        </w:rPr>
        <w:t>内</w:t>
      </w:r>
      <w:r>
        <w:rPr>
          <w:color w:val="auto"/>
          <w:szCs w:val="22"/>
          <w:highlight w:val="none"/>
        </w:rPr>
        <w:t>野生动物的主要活动场所，</w:t>
      </w:r>
      <w:r>
        <w:rPr>
          <w:rFonts w:hint="eastAsia"/>
          <w:color w:val="auto"/>
          <w:szCs w:val="22"/>
          <w:highlight w:val="none"/>
        </w:rPr>
        <w:t>但</w:t>
      </w:r>
      <w:r>
        <w:rPr>
          <w:color w:val="auto"/>
          <w:szCs w:val="22"/>
          <w:highlight w:val="none"/>
        </w:rPr>
        <w:t>由于区域森林</w:t>
      </w:r>
      <w:r>
        <w:rPr>
          <w:rFonts w:hint="eastAsia"/>
          <w:color w:val="auto"/>
          <w:szCs w:val="22"/>
          <w:highlight w:val="none"/>
        </w:rPr>
        <w:t>生态</w:t>
      </w:r>
      <w:r>
        <w:rPr>
          <w:color w:val="auto"/>
          <w:szCs w:val="22"/>
          <w:highlight w:val="none"/>
        </w:rPr>
        <w:t>系统斑块较少，主要为人工林，故动物均为区域常见物种，如两栖类中的陆栖型种类如中华蟾蜍等；爬行类中的灌丛石隙型种类如：</w:t>
      </w:r>
      <w:r>
        <w:rPr>
          <w:rFonts w:hint="eastAsia"/>
          <w:color w:val="auto"/>
          <w:szCs w:val="22"/>
          <w:highlight w:val="none"/>
        </w:rPr>
        <w:t>北草蜥</w:t>
      </w:r>
      <w:r>
        <w:rPr>
          <w:color w:val="auto"/>
          <w:szCs w:val="22"/>
          <w:highlight w:val="none"/>
        </w:rPr>
        <w:t>等，林栖傍水型种类如</w:t>
      </w:r>
      <w:r>
        <w:rPr>
          <w:rFonts w:hint="eastAsia"/>
          <w:color w:val="auto"/>
          <w:szCs w:val="22"/>
          <w:highlight w:val="none"/>
        </w:rPr>
        <w:t>黑眉锦蛇</w:t>
      </w:r>
      <w:r>
        <w:rPr>
          <w:color w:val="auto"/>
          <w:szCs w:val="22"/>
          <w:highlight w:val="none"/>
        </w:rPr>
        <w:t>等；鸟类中的陆禽如山斑鸠等，攀禽如大杜鹃、鸣禽如大山雀等。</w:t>
      </w:r>
    </w:p>
    <w:p>
      <w:pPr>
        <w:pStyle w:val="2"/>
        <w:snapToGrid w:val="0"/>
        <w:spacing w:line="480" w:lineRule="exact"/>
        <w:ind w:firstLine="520" w:firstLineChars="200"/>
        <w:rPr>
          <w:color w:val="auto"/>
          <w:sz w:val="26"/>
          <w:szCs w:val="26"/>
          <w:highlight w:val="none"/>
          <w:lang w:val="en-US"/>
        </w:rPr>
      </w:pPr>
      <w:r>
        <w:rPr>
          <w:rFonts w:hint="eastAsia"/>
          <w:color w:val="auto"/>
          <w:sz w:val="26"/>
          <w:szCs w:val="22"/>
          <w:highlight w:val="none"/>
          <w:lang w:val="en-US"/>
        </w:rPr>
        <w:t>森林生态系统比地表其他生态系统更加具有复杂的空间结构和营养链式结构，这有助于提高系统自身调节适应能力。其生态服务功能包括光能利用、调节大气、调节气温、涵养水源、稳定</w:t>
      </w:r>
      <w:r>
        <w:rPr>
          <w:rFonts w:hint="eastAsia"/>
          <w:color w:val="auto"/>
          <w:sz w:val="26"/>
          <w:szCs w:val="22"/>
          <w:highlight w:val="none"/>
          <w:shd w:val="clear" w:fill="FFFFFF"/>
          <w:lang w:val="en-US"/>
        </w:rPr>
        <w:t>水文</w:t>
      </w:r>
      <w:r>
        <w:rPr>
          <w:rFonts w:hint="eastAsia"/>
          <w:color w:val="auto"/>
          <w:sz w:val="26"/>
          <w:szCs w:val="22"/>
          <w:highlight w:val="none"/>
          <w:lang w:val="en-US"/>
        </w:rPr>
        <w:t>、改良土壤、防风固沙、水土保持、净化环境、孕育和保存生物多样性等</w:t>
      </w:r>
      <w:r>
        <w:rPr>
          <w:color w:val="auto"/>
          <w:sz w:val="26"/>
          <w:szCs w:val="22"/>
          <w:highlight w:val="none"/>
          <w:lang w:val="en-US"/>
        </w:rPr>
        <w:t>。</w:t>
      </w:r>
    </w:p>
    <w:p>
      <w:pPr>
        <w:snapToGrid w:val="0"/>
        <w:ind w:firstLine="520"/>
        <w:rPr>
          <w:color w:val="auto"/>
          <w:szCs w:val="22"/>
          <w:highlight w:val="none"/>
        </w:rPr>
      </w:pPr>
      <w:r>
        <w:rPr>
          <w:rFonts w:hint="eastAsia" w:ascii="宋体" w:hAnsi="宋体" w:cs="宋体"/>
          <w:color w:val="auto"/>
          <w:szCs w:val="22"/>
          <w:highlight w:val="none"/>
        </w:rPr>
        <w:t>②</w:t>
      </w:r>
      <w:r>
        <w:rPr>
          <w:color w:val="auto"/>
          <w:szCs w:val="22"/>
          <w:highlight w:val="none"/>
        </w:rPr>
        <w:t>灌丛生态系统</w:t>
      </w:r>
    </w:p>
    <w:p>
      <w:pPr>
        <w:adjustRightInd w:val="0"/>
        <w:snapToGrid w:val="0"/>
        <w:spacing w:line="480" w:lineRule="exact"/>
        <w:ind w:firstLine="520"/>
        <w:rPr>
          <w:color w:val="auto"/>
          <w:highlight w:val="none"/>
        </w:rPr>
      </w:pPr>
      <w:r>
        <w:rPr>
          <w:rFonts w:hint="eastAsia"/>
          <w:color w:val="auto"/>
          <w:highlight w:val="none"/>
        </w:rPr>
        <w:t>评价范围灌丛生态系统面积为</w:t>
      </w:r>
      <w:r>
        <w:rPr>
          <w:rFonts w:hint="eastAsia"/>
          <w:color w:val="auto"/>
          <w:highlight w:val="none"/>
          <w:lang w:val="en-US" w:eastAsia="zh-CN" w:bidi="ar"/>
        </w:rPr>
        <w:t>41.66</w:t>
      </w:r>
      <w:r>
        <w:rPr>
          <w:color w:val="auto"/>
          <w:highlight w:val="none"/>
        </w:rPr>
        <w:t>hm</w:t>
      </w:r>
      <w:r>
        <w:rPr>
          <w:color w:val="auto"/>
          <w:highlight w:val="none"/>
          <w:vertAlign w:val="superscript"/>
        </w:rPr>
        <w:t>2</w:t>
      </w:r>
      <w:r>
        <w:rPr>
          <w:rFonts w:hint="eastAsia"/>
          <w:color w:val="auto"/>
          <w:highlight w:val="none"/>
        </w:rPr>
        <w:t>，占评价范围总面积的</w:t>
      </w:r>
      <w:r>
        <w:rPr>
          <w:rFonts w:hint="eastAsia"/>
          <w:color w:val="auto"/>
          <w:highlight w:val="none"/>
          <w:lang w:val="en-US" w:eastAsia="zh-CN" w:bidi="ar"/>
        </w:rPr>
        <w:t>4.92</w:t>
      </w:r>
      <w:r>
        <w:rPr>
          <w:color w:val="auto"/>
          <w:highlight w:val="none"/>
        </w:rPr>
        <w:t>%</w:t>
      </w:r>
      <w:r>
        <w:rPr>
          <w:rFonts w:hint="eastAsia"/>
          <w:color w:val="auto"/>
          <w:highlight w:val="none"/>
        </w:rPr>
        <w:t>。</w:t>
      </w:r>
    </w:p>
    <w:p>
      <w:pPr>
        <w:pStyle w:val="2"/>
        <w:snapToGrid w:val="0"/>
        <w:spacing w:line="480" w:lineRule="exact"/>
        <w:ind w:firstLine="520" w:firstLineChars="200"/>
        <w:rPr>
          <w:color w:val="auto"/>
          <w:sz w:val="26"/>
          <w:szCs w:val="22"/>
          <w:highlight w:val="none"/>
          <w:lang w:val="en-US"/>
        </w:rPr>
      </w:pPr>
      <w:r>
        <w:rPr>
          <w:color w:val="auto"/>
          <w:sz w:val="26"/>
          <w:szCs w:val="22"/>
          <w:highlight w:val="none"/>
          <w:lang w:val="en-US"/>
        </w:rPr>
        <w:t>区域内灌丛生态系统主要分布于森林生态系统与农田生态系统之间或森林生态系统与湿地生态系统之间，属于过渡类型的生态系统。</w:t>
      </w:r>
      <w:r>
        <w:rPr>
          <w:rFonts w:hint="eastAsia"/>
          <w:color w:val="auto"/>
          <w:kern w:val="0"/>
          <w:sz w:val="26"/>
          <w:szCs w:val="22"/>
          <w:highlight w:val="none"/>
          <w:lang w:val="en-US"/>
        </w:rPr>
        <w:t>评价</w:t>
      </w:r>
      <w:r>
        <w:rPr>
          <w:color w:val="auto"/>
          <w:kern w:val="0"/>
          <w:sz w:val="26"/>
          <w:szCs w:val="22"/>
          <w:highlight w:val="none"/>
          <w:lang w:val="en-US"/>
        </w:rPr>
        <w:t>范围灌丛生态系统内植被</w:t>
      </w:r>
      <w:r>
        <w:rPr>
          <w:rFonts w:hint="eastAsia"/>
          <w:color w:val="auto"/>
          <w:kern w:val="0"/>
          <w:sz w:val="26"/>
          <w:szCs w:val="22"/>
          <w:highlight w:val="none"/>
          <w:shd w:val="clear" w:fill="FFFFFF"/>
          <w:lang w:val="en-US" w:eastAsia="zh-CN"/>
        </w:rPr>
        <w:t>通常</w:t>
      </w:r>
      <w:r>
        <w:rPr>
          <w:color w:val="auto"/>
          <w:kern w:val="0"/>
          <w:sz w:val="26"/>
          <w:szCs w:val="22"/>
          <w:highlight w:val="none"/>
          <w:lang w:val="en-US"/>
        </w:rPr>
        <w:t>呈条带状和斑块状分布于</w:t>
      </w:r>
      <w:r>
        <w:rPr>
          <w:rFonts w:hint="eastAsia"/>
          <w:color w:val="auto"/>
          <w:kern w:val="0"/>
          <w:sz w:val="26"/>
          <w:szCs w:val="22"/>
          <w:highlight w:val="none"/>
          <w:lang w:val="en-US"/>
        </w:rPr>
        <w:t>河流</w:t>
      </w:r>
      <w:r>
        <w:rPr>
          <w:color w:val="auto"/>
          <w:sz w:val="26"/>
          <w:szCs w:val="22"/>
          <w:highlight w:val="none"/>
          <w:lang w:val="en-US"/>
        </w:rPr>
        <w:t>沿岸</w:t>
      </w:r>
      <w:r>
        <w:rPr>
          <w:color w:val="auto"/>
          <w:kern w:val="0"/>
          <w:sz w:val="26"/>
          <w:szCs w:val="22"/>
          <w:highlight w:val="none"/>
          <w:lang w:val="en-US"/>
        </w:rPr>
        <w:t>林缘、村落附近及农耕区，常见的群系有构树灌丛</w:t>
      </w:r>
      <w:r>
        <w:rPr>
          <w:rFonts w:hint="eastAsia"/>
          <w:color w:val="auto"/>
          <w:kern w:val="0"/>
          <w:sz w:val="26"/>
          <w:szCs w:val="22"/>
          <w:highlight w:val="none"/>
          <w:lang w:val="en-US" w:eastAsia="zh-CN"/>
        </w:rPr>
        <w:t>、小叶女贞灌丛</w:t>
      </w:r>
      <w:r>
        <w:rPr>
          <w:color w:val="auto"/>
          <w:kern w:val="0"/>
          <w:sz w:val="26"/>
          <w:szCs w:val="22"/>
          <w:highlight w:val="none"/>
          <w:lang w:val="en-US"/>
        </w:rPr>
        <w:t>等。</w:t>
      </w:r>
      <w:r>
        <w:rPr>
          <w:color w:val="auto"/>
          <w:sz w:val="26"/>
          <w:szCs w:val="22"/>
          <w:highlight w:val="none"/>
          <w:lang w:val="en-US"/>
        </w:rPr>
        <w:t>灌丛生态系统中分布的动物种类与森林生态系统中分布相似，如中华蟾蜍、</w:t>
      </w:r>
      <w:r>
        <w:rPr>
          <w:rFonts w:hint="eastAsia"/>
          <w:color w:val="auto"/>
          <w:sz w:val="26"/>
          <w:szCs w:val="22"/>
          <w:highlight w:val="none"/>
          <w:lang w:val="en-US" w:eastAsia="zh-CN"/>
        </w:rPr>
        <w:t>乌梢蛇</w:t>
      </w:r>
      <w:r>
        <w:rPr>
          <w:color w:val="auto"/>
          <w:sz w:val="26"/>
          <w:szCs w:val="22"/>
          <w:highlight w:val="none"/>
          <w:lang w:val="en-US"/>
        </w:rPr>
        <w:t>、大山雀等。</w:t>
      </w:r>
    </w:p>
    <w:p>
      <w:pPr>
        <w:rPr>
          <w:color w:val="auto"/>
          <w:highlight w:val="none"/>
        </w:rPr>
      </w:pPr>
      <w:r>
        <w:rPr>
          <w:rFonts w:hint="eastAsia"/>
          <w:color w:val="auto"/>
          <w:highlight w:val="none"/>
        </w:rPr>
        <w:t>灌丛生态功能主要为气候调节、水源涵养、生物多样性保育、碳素固定、侵蚀控制、土壤形成、营养循环、废物处理、生物控制、栖息地、基因资源等。</w:t>
      </w:r>
    </w:p>
    <w:p>
      <w:pPr>
        <w:snapToGrid w:val="0"/>
        <w:ind w:firstLine="520"/>
        <w:rPr>
          <w:color w:val="auto"/>
          <w:szCs w:val="22"/>
          <w:highlight w:val="none"/>
        </w:rPr>
      </w:pPr>
      <w:r>
        <w:rPr>
          <w:rFonts w:hint="eastAsia" w:ascii="宋体" w:hAnsi="宋体" w:cs="宋体"/>
          <w:color w:val="auto"/>
          <w:szCs w:val="22"/>
          <w:highlight w:val="none"/>
        </w:rPr>
        <w:t>③</w:t>
      </w:r>
      <w:r>
        <w:rPr>
          <w:color w:val="auto"/>
          <w:szCs w:val="22"/>
          <w:highlight w:val="none"/>
        </w:rPr>
        <w:t>草地生态系统</w:t>
      </w:r>
    </w:p>
    <w:p>
      <w:pPr>
        <w:snapToGrid w:val="0"/>
        <w:ind w:firstLine="520"/>
        <w:rPr>
          <w:color w:val="auto"/>
          <w:szCs w:val="22"/>
          <w:highlight w:val="none"/>
        </w:rPr>
      </w:pPr>
      <w:r>
        <w:rPr>
          <w:rFonts w:hint="eastAsia"/>
          <w:color w:val="auto"/>
          <w:highlight w:val="none"/>
        </w:rPr>
        <w:t>评价范围草地生态系统面积为</w:t>
      </w:r>
      <w:r>
        <w:rPr>
          <w:rFonts w:hint="eastAsia"/>
          <w:color w:val="auto"/>
          <w:highlight w:val="none"/>
          <w:lang w:val="en-US" w:eastAsia="zh-CN" w:bidi="ar"/>
        </w:rPr>
        <w:t>2.57</w:t>
      </w:r>
      <w:r>
        <w:rPr>
          <w:color w:val="auto"/>
          <w:highlight w:val="none"/>
        </w:rPr>
        <w:t>hm</w:t>
      </w:r>
      <w:r>
        <w:rPr>
          <w:color w:val="auto"/>
          <w:highlight w:val="none"/>
          <w:vertAlign w:val="superscript"/>
        </w:rPr>
        <w:t>2</w:t>
      </w:r>
      <w:r>
        <w:rPr>
          <w:rFonts w:hint="eastAsia"/>
          <w:color w:val="auto"/>
          <w:highlight w:val="none"/>
        </w:rPr>
        <w:t>，占评价范围总面积的</w:t>
      </w:r>
      <w:r>
        <w:rPr>
          <w:rFonts w:hint="eastAsia"/>
          <w:color w:val="auto"/>
          <w:highlight w:val="none"/>
          <w:lang w:val="en-US" w:eastAsia="zh-CN" w:bidi="ar"/>
        </w:rPr>
        <w:t>0.30</w:t>
      </w:r>
      <w:r>
        <w:rPr>
          <w:color w:val="auto"/>
          <w:highlight w:val="none"/>
        </w:rPr>
        <w:t>%</w:t>
      </w:r>
      <w:r>
        <w:rPr>
          <w:rFonts w:hint="eastAsia"/>
          <w:color w:val="auto"/>
          <w:highlight w:val="none"/>
        </w:rPr>
        <w:t>。</w:t>
      </w:r>
    </w:p>
    <w:p>
      <w:pPr>
        <w:snapToGrid w:val="0"/>
        <w:ind w:firstLine="520"/>
        <w:rPr>
          <w:color w:val="auto"/>
          <w:szCs w:val="22"/>
          <w:highlight w:val="none"/>
        </w:rPr>
      </w:pPr>
      <w:r>
        <w:rPr>
          <w:color w:val="auto"/>
          <w:szCs w:val="22"/>
          <w:highlight w:val="none"/>
        </w:rPr>
        <w:t>草地生态系统主要分布于森林、灌丛生态系统与农田生态系统或湿地生态系统之间，其中分布的植被以灌草丛为主。</w:t>
      </w:r>
      <w:r>
        <w:rPr>
          <w:rFonts w:hint="eastAsia"/>
          <w:color w:val="auto"/>
          <w:kern w:val="0"/>
          <w:szCs w:val="22"/>
          <w:highlight w:val="none"/>
        </w:rPr>
        <w:t>评价区</w:t>
      </w:r>
      <w:r>
        <w:rPr>
          <w:color w:val="auto"/>
          <w:kern w:val="0"/>
          <w:szCs w:val="22"/>
          <w:highlight w:val="none"/>
        </w:rPr>
        <w:t>草丛生态系统内植被以常斑块状分布于</w:t>
      </w:r>
      <w:r>
        <w:rPr>
          <w:rFonts w:hint="eastAsia"/>
          <w:color w:val="auto"/>
          <w:kern w:val="0"/>
          <w:szCs w:val="22"/>
          <w:highlight w:val="none"/>
          <w:lang w:eastAsia="zh-CN"/>
        </w:rPr>
        <w:t>涪江沿岸、</w:t>
      </w:r>
      <w:r>
        <w:rPr>
          <w:color w:val="auto"/>
          <w:kern w:val="0"/>
          <w:szCs w:val="22"/>
          <w:highlight w:val="none"/>
        </w:rPr>
        <w:t>林缘、</w:t>
      </w:r>
      <w:r>
        <w:rPr>
          <w:rFonts w:hint="eastAsia"/>
          <w:color w:val="auto"/>
          <w:kern w:val="0"/>
          <w:szCs w:val="22"/>
          <w:highlight w:val="none"/>
        </w:rPr>
        <w:t>路旁</w:t>
      </w:r>
      <w:r>
        <w:rPr>
          <w:color w:val="auto"/>
          <w:kern w:val="0"/>
          <w:szCs w:val="22"/>
          <w:highlight w:val="none"/>
        </w:rPr>
        <w:t>、村落附近及农耕区，</w:t>
      </w:r>
      <w:r>
        <w:rPr>
          <w:rFonts w:hint="eastAsia"/>
          <w:color w:val="auto"/>
          <w:kern w:val="0"/>
          <w:szCs w:val="22"/>
          <w:highlight w:val="none"/>
          <w:lang w:eastAsia="zh-CN"/>
        </w:rPr>
        <w:t>分布相对较少，</w:t>
      </w:r>
      <w:r>
        <w:rPr>
          <w:color w:val="auto"/>
          <w:kern w:val="0"/>
          <w:szCs w:val="22"/>
          <w:highlight w:val="none"/>
        </w:rPr>
        <w:t>常见的群系有</w:t>
      </w:r>
      <w:r>
        <w:rPr>
          <w:rFonts w:hint="eastAsia"/>
          <w:color w:val="auto"/>
          <w:highlight w:val="none"/>
        </w:rPr>
        <w:t>斑茅、</w:t>
      </w:r>
      <w:r>
        <w:rPr>
          <w:rFonts w:hint="eastAsia"/>
          <w:color w:val="auto"/>
          <w:highlight w:val="none"/>
          <w:lang w:eastAsia="zh-CN"/>
        </w:rPr>
        <w:t>白茅、葎草草丛</w:t>
      </w:r>
      <w:r>
        <w:rPr>
          <w:color w:val="auto"/>
          <w:szCs w:val="26"/>
          <w:highlight w:val="none"/>
        </w:rPr>
        <w:t>等</w:t>
      </w:r>
      <w:r>
        <w:rPr>
          <w:i/>
          <w:iCs/>
          <w:color w:val="auto"/>
          <w:szCs w:val="26"/>
          <w:highlight w:val="none"/>
        </w:rPr>
        <w:t>。</w:t>
      </w:r>
      <w:r>
        <w:rPr>
          <w:color w:val="auto"/>
          <w:szCs w:val="26"/>
          <w:highlight w:val="none"/>
        </w:rPr>
        <w:t>草地生态系统中分布的动物种类多为地面取食的鸟类、部分草地中活动的陆栖型两栖类、灌丛石隙型爬行类以及部分常见哺乳类，如中华蟾蜍、珠颈斑鸠、乌鸫、大山雀等</w:t>
      </w:r>
      <w:r>
        <w:rPr>
          <w:color w:val="auto"/>
          <w:szCs w:val="22"/>
          <w:highlight w:val="none"/>
        </w:rPr>
        <w:t>。草地生态系统主要具有侵蚀控制、土壤形成、营养循环、生物控制、基因资源等功能。</w:t>
      </w:r>
    </w:p>
    <w:p>
      <w:pPr>
        <w:snapToGrid w:val="0"/>
        <w:ind w:firstLine="520"/>
        <w:rPr>
          <w:color w:val="auto"/>
          <w:szCs w:val="22"/>
          <w:highlight w:val="none"/>
        </w:rPr>
      </w:pPr>
      <w:r>
        <w:rPr>
          <w:rFonts w:hint="eastAsia" w:ascii="宋体" w:hAnsi="宋体" w:cs="宋体"/>
          <w:color w:val="auto"/>
          <w:szCs w:val="22"/>
          <w:highlight w:val="none"/>
        </w:rPr>
        <w:t>④</w:t>
      </w:r>
      <w:r>
        <w:rPr>
          <w:color w:val="auto"/>
          <w:szCs w:val="22"/>
          <w:highlight w:val="none"/>
        </w:rPr>
        <w:t xml:space="preserve"> 湿地生态系统</w:t>
      </w:r>
    </w:p>
    <w:p>
      <w:pPr>
        <w:adjustRightInd w:val="0"/>
        <w:snapToGrid w:val="0"/>
        <w:spacing w:line="480" w:lineRule="exact"/>
        <w:ind w:firstLine="520"/>
        <w:rPr>
          <w:color w:val="auto"/>
          <w:highlight w:val="none"/>
        </w:rPr>
      </w:pPr>
      <w:r>
        <w:rPr>
          <w:rFonts w:hint="eastAsia"/>
          <w:color w:val="auto"/>
          <w:highlight w:val="none"/>
        </w:rPr>
        <w:t>评价范围湿地生态系统面积为</w:t>
      </w:r>
      <w:r>
        <w:rPr>
          <w:rFonts w:hint="eastAsia"/>
          <w:color w:val="auto"/>
          <w:highlight w:val="none"/>
          <w:lang w:val="en-US" w:eastAsia="zh-CN" w:bidi="ar"/>
        </w:rPr>
        <w:t>179.37</w:t>
      </w:r>
      <w:r>
        <w:rPr>
          <w:color w:val="auto"/>
          <w:highlight w:val="none"/>
        </w:rPr>
        <w:t>hm</w:t>
      </w:r>
      <w:r>
        <w:rPr>
          <w:color w:val="auto"/>
          <w:highlight w:val="none"/>
          <w:vertAlign w:val="superscript"/>
        </w:rPr>
        <w:t>2</w:t>
      </w:r>
      <w:r>
        <w:rPr>
          <w:rFonts w:hint="eastAsia"/>
          <w:color w:val="auto"/>
          <w:highlight w:val="none"/>
        </w:rPr>
        <w:t>，占评价范围总面积的</w:t>
      </w:r>
      <w:r>
        <w:rPr>
          <w:rFonts w:hint="eastAsia"/>
          <w:color w:val="auto"/>
          <w:highlight w:val="none"/>
          <w:lang w:val="en-US" w:eastAsia="zh-CN" w:bidi="ar"/>
        </w:rPr>
        <w:t>21.19</w:t>
      </w:r>
      <w:r>
        <w:rPr>
          <w:color w:val="auto"/>
          <w:highlight w:val="none"/>
        </w:rPr>
        <w:t>%</w:t>
      </w:r>
      <w:r>
        <w:rPr>
          <w:rFonts w:hint="eastAsia"/>
          <w:color w:val="auto"/>
          <w:highlight w:val="none"/>
        </w:rPr>
        <w:t>。</w:t>
      </w:r>
    </w:p>
    <w:p>
      <w:pPr>
        <w:adjustRightInd w:val="0"/>
        <w:snapToGrid w:val="0"/>
        <w:ind w:firstLine="520"/>
        <w:rPr>
          <w:color w:val="auto"/>
          <w:szCs w:val="22"/>
          <w:highlight w:val="none"/>
        </w:rPr>
      </w:pPr>
      <w:r>
        <w:rPr>
          <w:rFonts w:hint="eastAsia"/>
          <w:color w:val="auto"/>
          <w:szCs w:val="22"/>
          <w:highlight w:val="none"/>
        </w:rPr>
        <w:t>评价区</w:t>
      </w:r>
      <w:r>
        <w:rPr>
          <w:color w:val="auto"/>
          <w:szCs w:val="22"/>
          <w:highlight w:val="none"/>
        </w:rPr>
        <w:t>湿地生态系统主要</w:t>
      </w:r>
      <w:r>
        <w:rPr>
          <w:rFonts w:hint="eastAsia"/>
          <w:color w:val="auto"/>
          <w:szCs w:val="22"/>
          <w:highlight w:val="none"/>
          <w:lang w:eastAsia="zh-CN"/>
        </w:rPr>
        <w:t>为涪江干流</w:t>
      </w:r>
      <w:r>
        <w:rPr>
          <w:color w:val="auto"/>
          <w:szCs w:val="22"/>
          <w:highlight w:val="none"/>
        </w:rPr>
        <w:t>。</w:t>
      </w:r>
      <w:r>
        <w:rPr>
          <w:rFonts w:hint="eastAsia"/>
          <w:color w:val="auto"/>
          <w:szCs w:val="22"/>
          <w:highlight w:val="none"/>
        </w:rPr>
        <w:t>植被以水生植物、湿地植物为主。干支流沿</w:t>
      </w:r>
      <w:r>
        <w:rPr>
          <w:rFonts w:hint="eastAsia"/>
          <w:color w:val="auto"/>
          <w:szCs w:val="22"/>
          <w:highlight w:val="none"/>
          <w:shd w:val="clear" w:fill="FFFFFF"/>
          <w:lang w:eastAsia="zh-CN"/>
        </w:rPr>
        <w:t>河</w:t>
      </w:r>
      <w:r>
        <w:rPr>
          <w:rFonts w:hint="eastAsia"/>
          <w:color w:val="auto"/>
          <w:szCs w:val="22"/>
          <w:highlight w:val="none"/>
        </w:rPr>
        <w:t>滩涂大面积分布有斑茅及</w:t>
      </w:r>
      <w:r>
        <w:rPr>
          <w:rFonts w:hint="eastAsia"/>
          <w:color w:val="auto"/>
          <w:szCs w:val="22"/>
          <w:highlight w:val="none"/>
          <w:lang w:eastAsia="zh-CN"/>
        </w:rPr>
        <w:t>白茅</w:t>
      </w:r>
      <w:r>
        <w:rPr>
          <w:rFonts w:hint="eastAsia"/>
          <w:color w:val="auto"/>
          <w:szCs w:val="22"/>
          <w:highlight w:val="none"/>
        </w:rPr>
        <w:t>等；河流两岸主要有竹林、枫杨林等</w:t>
      </w:r>
      <w:r>
        <w:rPr>
          <w:color w:val="auto"/>
          <w:szCs w:val="22"/>
          <w:highlight w:val="none"/>
        </w:rPr>
        <w:t>。湿地生态系统也是多种动物的重要栖息场所，如</w:t>
      </w:r>
      <w:r>
        <w:rPr>
          <w:rFonts w:hint="eastAsia"/>
          <w:color w:val="auto"/>
          <w:szCs w:val="22"/>
          <w:highlight w:val="none"/>
          <w:lang w:eastAsia="zh-CN"/>
        </w:rPr>
        <w:t>两栖类</w:t>
      </w:r>
      <w:r>
        <w:rPr>
          <w:color w:val="auto"/>
          <w:szCs w:val="22"/>
          <w:highlight w:val="none"/>
        </w:rPr>
        <w:t>中的</w:t>
      </w:r>
      <w:r>
        <w:rPr>
          <w:rFonts w:hint="eastAsia"/>
          <w:color w:val="auto"/>
          <w:szCs w:val="22"/>
          <w:highlight w:val="none"/>
        </w:rPr>
        <w:t>中华蟾蜍</w:t>
      </w:r>
      <w:r>
        <w:rPr>
          <w:rFonts w:hint="eastAsia"/>
          <w:color w:val="auto"/>
          <w:szCs w:val="22"/>
          <w:highlight w:val="none"/>
          <w:lang w:eastAsia="zh-CN"/>
        </w:rPr>
        <w:t>、黑斑侧褶蛙</w:t>
      </w:r>
      <w:r>
        <w:rPr>
          <w:color w:val="auto"/>
          <w:szCs w:val="22"/>
          <w:highlight w:val="none"/>
        </w:rPr>
        <w:t>等。此外，湿地生态系统更是湿地鸟类的重要栖息和觅食场所，分布有较多游禽赤麻鸭</w:t>
      </w:r>
      <w:r>
        <w:rPr>
          <w:rFonts w:hint="eastAsia"/>
          <w:color w:val="auto"/>
          <w:szCs w:val="22"/>
          <w:highlight w:val="none"/>
        </w:rPr>
        <w:t>等</w:t>
      </w:r>
      <w:r>
        <w:rPr>
          <w:color w:val="auto"/>
          <w:szCs w:val="22"/>
          <w:highlight w:val="none"/>
        </w:rPr>
        <w:t>和涉禽如苍鹭、</w:t>
      </w:r>
      <w:r>
        <w:rPr>
          <w:rFonts w:hint="eastAsia"/>
          <w:color w:val="auto"/>
          <w:szCs w:val="22"/>
          <w:highlight w:val="none"/>
        </w:rPr>
        <w:t>白鹭</w:t>
      </w:r>
      <w:r>
        <w:rPr>
          <w:color w:val="auto"/>
          <w:szCs w:val="22"/>
          <w:highlight w:val="none"/>
        </w:rPr>
        <w:t>。兽类主要以中小型兽类为主，如黑线姬鼠等。</w:t>
      </w:r>
    </w:p>
    <w:p>
      <w:pPr>
        <w:snapToGrid w:val="0"/>
        <w:ind w:firstLine="520"/>
        <w:rPr>
          <w:color w:val="auto"/>
          <w:szCs w:val="26"/>
          <w:highlight w:val="none"/>
        </w:rPr>
      </w:pPr>
      <w:r>
        <w:rPr>
          <w:rFonts w:hint="eastAsia"/>
          <w:color w:val="auto"/>
          <w:highlight w:val="none"/>
        </w:rPr>
        <w:t>湿地生态系统服务功能不仅包括提供大量资源产品，而且具有环境调节功能和环境效益，在调蓄洪水、调节气候、控制土壤等多方面发挥着重要作用。同时，湿地还是重要的遗传基因库，拥有丰富的动植物群落和珍稀的濒危物种</w:t>
      </w:r>
      <w:r>
        <w:rPr>
          <w:color w:val="auto"/>
          <w:szCs w:val="22"/>
          <w:highlight w:val="none"/>
        </w:rPr>
        <w:t>。</w:t>
      </w:r>
    </w:p>
    <w:p>
      <w:pPr>
        <w:snapToGrid w:val="0"/>
        <w:ind w:firstLine="520"/>
        <w:rPr>
          <w:color w:val="auto"/>
          <w:szCs w:val="22"/>
          <w:highlight w:val="none"/>
        </w:rPr>
      </w:pPr>
      <w:r>
        <w:rPr>
          <w:rFonts w:hint="eastAsia" w:ascii="宋体" w:hAnsi="宋体" w:cs="宋体"/>
          <w:color w:val="auto"/>
          <w:szCs w:val="22"/>
          <w:highlight w:val="none"/>
        </w:rPr>
        <w:t>⑤</w:t>
      </w:r>
      <w:r>
        <w:rPr>
          <w:color w:val="auto"/>
          <w:szCs w:val="22"/>
          <w:highlight w:val="none"/>
        </w:rPr>
        <w:t xml:space="preserve"> 农田生态系统</w:t>
      </w:r>
    </w:p>
    <w:p>
      <w:pPr>
        <w:adjustRightInd w:val="0"/>
        <w:snapToGrid w:val="0"/>
        <w:ind w:firstLine="520"/>
        <w:rPr>
          <w:rFonts w:hint="eastAsia"/>
          <w:color w:val="auto"/>
          <w:kern w:val="0"/>
          <w:szCs w:val="22"/>
          <w:highlight w:val="none"/>
        </w:rPr>
      </w:pPr>
      <w:r>
        <w:rPr>
          <w:rFonts w:hint="eastAsia"/>
          <w:color w:val="auto"/>
          <w:highlight w:val="none"/>
        </w:rPr>
        <w:t>评价范围农田生态系统面积为</w:t>
      </w:r>
      <w:r>
        <w:rPr>
          <w:rFonts w:hint="eastAsia"/>
          <w:color w:val="auto"/>
          <w:highlight w:val="none"/>
          <w:lang w:val="en-US" w:eastAsia="zh-CN" w:bidi="ar"/>
        </w:rPr>
        <w:t>323.08</w:t>
      </w:r>
      <w:r>
        <w:rPr>
          <w:color w:val="auto"/>
          <w:highlight w:val="none"/>
        </w:rPr>
        <w:t>hm</w:t>
      </w:r>
      <w:r>
        <w:rPr>
          <w:color w:val="auto"/>
          <w:highlight w:val="none"/>
          <w:vertAlign w:val="superscript"/>
        </w:rPr>
        <w:t xml:space="preserve">2 </w:t>
      </w:r>
      <w:r>
        <w:rPr>
          <w:rFonts w:hint="eastAsia"/>
          <w:color w:val="auto"/>
          <w:highlight w:val="none"/>
        </w:rPr>
        <w:t>，占评价范围总面积的</w:t>
      </w:r>
      <w:r>
        <w:rPr>
          <w:rFonts w:hint="eastAsia"/>
          <w:color w:val="auto"/>
          <w:highlight w:val="none"/>
          <w:lang w:val="en-US" w:eastAsia="zh-CN"/>
        </w:rPr>
        <w:t>38.17</w:t>
      </w:r>
      <w:r>
        <w:rPr>
          <w:color w:val="auto"/>
          <w:highlight w:val="none"/>
        </w:rPr>
        <w:t>%</w:t>
      </w:r>
      <w:r>
        <w:rPr>
          <w:rFonts w:hint="eastAsia"/>
          <w:color w:val="auto"/>
          <w:highlight w:val="none"/>
        </w:rPr>
        <w:t>。</w:t>
      </w:r>
    </w:p>
    <w:p>
      <w:pPr>
        <w:adjustRightInd w:val="0"/>
        <w:snapToGrid w:val="0"/>
        <w:spacing w:line="480" w:lineRule="exact"/>
        <w:ind w:firstLine="520"/>
        <w:rPr>
          <w:color w:val="auto"/>
          <w:szCs w:val="22"/>
          <w:highlight w:val="none"/>
        </w:rPr>
      </w:pPr>
      <w:r>
        <w:rPr>
          <w:rFonts w:hint="eastAsia"/>
          <w:color w:val="auto"/>
          <w:highlight w:val="none"/>
        </w:rPr>
        <w:t>农业生态系统主要分布在村镇和涪江两岸平坦河岸带等区域，主要种植水稻、玉米、豆类、薯类及各类蔬菜。</w:t>
      </w:r>
      <w:r>
        <w:rPr>
          <w:rFonts w:hint="eastAsia"/>
          <w:bCs/>
          <w:color w:val="auto"/>
          <w:highlight w:val="none"/>
        </w:rPr>
        <w:t>农业生态系统中陆生动物多样性相对贫乏</w:t>
      </w:r>
      <w:r>
        <w:rPr>
          <w:rFonts w:hint="eastAsia"/>
          <w:bCs/>
          <w:color w:val="auto"/>
          <w:highlight w:val="none"/>
          <w:lang w:eastAsia="zh-CN"/>
        </w:rPr>
        <w:t>主要分布的一些</w:t>
      </w:r>
      <w:r>
        <w:rPr>
          <w:color w:val="auto"/>
          <w:szCs w:val="22"/>
          <w:highlight w:val="none"/>
        </w:rPr>
        <w:t>常见的与人类伴居的陆生动物，如家燕、喜鹊、</w:t>
      </w:r>
      <w:r>
        <w:rPr>
          <w:rFonts w:hint="eastAsia"/>
          <w:color w:val="auto"/>
          <w:szCs w:val="22"/>
          <w:highlight w:val="none"/>
          <w:lang w:eastAsia="zh-CN"/>
        </w:rPr>
        <w:t>白鹡鸰</w:t>
      </w:r>
      <w:r>
        <w:rPr>
          <w:color w:val="auto"/>
          <w:szCs w:val="22"/>
          <w:highlight w:val="none"/>
        </w:rPr>
        <w:t>、珠颈斑鸠等，啮齿目的黑线姬鼠、褐家鼠等</w:t>
      </w:r>
      <w:r>
        <w:rPr>
          <w:color w:val="auto"/>
          <w:kern w:val="0"/>
          <w:szCs w:val="22"/>
          <w:highlight w:val="none"/>
        </w:rPr>
        <w:t>。</w:t>
      </w:r>
    </w:p>
    <w:p>
      <w:pPr>
        <w:pStyle w:val="2"/>
        <w:adjustRightInd w:val="0"/>
        <w:snapToGrid w:val="0"/>
        <w:spacing w:line="480" w:lineRule="exact"/>
        <w:ind w:firstLine="520" w:firstLineChars="200"/>
        <w:rPr>
          <w:color w:val="auto"/>
          <w:sz w:val="26"/>
          <w:szCs w:val="26"/>
          <w:highlight w:val="none"/>
        </w:rPr>
      </w:pPr>
      <w:r>
        <w:rPr>
          <w:color w:val="auto"/>
          <w:kern w:val="0"/>
          <w:sz w:val="26"/>
          <w:szCs w:val="22"/>
          <w:highlight w:val="none"/>
          <w:lang w:val="en-US"/>
        </w:rPr>
        <w:t>农田生态系统的主要生态功能体现在农产品及副产品生产，包括为人们提供农产品，为现代工业提供加工原料，以及提供生物资源等。此外，农田生态系统也具有大气调节、环境净化、土壤保持、养分循环、水分调节、传粉播种、病虫害控制、生物多样性及基因资源等功能。</w:t>
      </w:r>
    </w:p>
    <w:p>
      <w:pPr>
        <w:adjustRightInd w:val="0"/>
        <w:snapToGrid w:val="0"/>
        <w:ind w:firstLine="520"/>
        <w:rPr>
          <w:color w:val="auto"/>
          <w:szCs w:val="22"/>
          <w:highlight w:val="none"/>
        </w:rPr>
      </w:pPr>
      <w:r>
        <w:rPr>
          <w:rFonts w:hint="eastAsia" w:ascii="宋体" w:hAnsi="宋体" w:cs="宋体"/>
          <w:color w:val="auto"/>
          <w:szCs w:val="22"/>
          <w:highlight w:val="none"/>
        </w:rPr>
        <w:t>⑥</w:t>
      </w:r>
      <w:r>
        <w:rPr>
          <w:color w:val="auto"/>
          <w:szCs w:val="22"/>
          <w:highlight w:val="none"/>
        </w:rPr>
        <w:t xml:space="preserve"> 城</w:t>
      </w:r>
      <w:r>
        <w:rPr>
          <w:rFonts w:hint="eastAsia"/>
          <w:color w:val="auto"/>
          <w:szCs w:val="22"/>
          <w:highlight w:val="none"/>
        </w:rPr>
        <w:t>镇</w:t>
      </w:r>
      <w:r>
        <w:rPr>
          <w:color w:val="auto"/>
          <w:szCs w:val="22"/>
          <w:highlight w:val="none"/>
        </w:rPr>
        <w:t>生态系统</w:t>
      </w:r>
    </w:p>
    <w:p>
      <w:pPr>
        <w:adjustRightInd w:val="0"/>
        <w:snapToGrid w:val="0"/>
        <w:spacing w:line="480" w:lineRule="exact"/>
        <w:ind w:firstLine="520"/>
        <w:rPr>
          <w:color w:val="auto"/>
          <w:highlight w:val="none"/>
        </w:rPr>
      </w:pPr>
      <w:r>
        <w:rPr>
          <w:rFonts w:hint="eastAsia"/>
          <w:color w:val="auto"/>
          <w:highlight w:val="none"/>
        </w:rPr>
        <w:t>城镇生态系统在评价范围面积为</w:t>
      </w:r>
      <w:r>
        <w:rPr>
          <w:rFonts w:hint="eastAsia"/>
          <w:color w:val="auto"/>
          <w:highlight w:val="none"/>
          <w:lang w:val="en-US" w:eastAsia="zh-CN" w:bidi="ar"/>
        </w:rPr>
        <w:t>81.16</w:t>
      </w:r>
      <w:r>
        <w:rPr>
          <w:rFonts w:hint="eastAsia"/>
          <w:color w:val="auto"/>
          <w:highlight w:val="none"/>
          <w:lang w:bidi="ar"/>
        </w:rPr>
        <w:t>4</w:t>
      </w:r>
      <w:r>
        <w:rPr>
          <w:color w:val="auto"/>
          <w:highlight w:val="none"/>
        </w:rPr>
        <w:t>hm</w:t>
      </w:r>
      <w:r>
        <w:rPr>
          <w:color w:val="auto"/>
          <w:highlight w:val="none"/>
          <w:vertAlign w:val="superscript"/>
        </w:rPr>
        <w:t>2</w:t>
      </w:r>
      <w:r>
        <w:rPr>
          <w:rFonts w:hint="eastAsia"/>
          <w:color w:val="auto"/>
          <w:highlight w:val="none"/>
        </w:rPr>
        <w:t>，占评价范围总面积的</w:t>
      </w:r>
      <w:r>
        <w:rPr>
          <w:rFonts w:hint="eastAsia"/>
          <w:color w:val="auto"/>
          <w:highlight w:val="none"/>
          <w:lang w:val="en-US" w:eastAsia="zh-CN"/>
        </w:rPr>
        <w:t>9.59</w:t>
      </w:r>
      <w:r>
        <w:rPr>
          <w:color w:val="auto"/>
          <w:highlight w:val="none"/>
        </w:rPr>
        <w:t>%</w:t>
      </w:r>
      <w:r>
        <w:rPr>
          <w:rFonts w:hint="eastAsia"/>
          <w:color w:val="auto"/>
          <w:highlight w:val="none"/>
        </w:rPr>
        <w:t>。</w:t>
      </w:r>
    </w:p>
    <w:p>
      <w:pPr>
        <w:adjustRightInd w:val="0"/>
        <w:snapToGrid w:val="0"/>
        <w:spacing w:line="480" w:lineRule="exact"/>
        <w:ind w:firstLine="520"/>
        <w:rPr>
          <w:rFonts w:hint="eastAsia"/>
          <w:color w:val="auto"/>
          <w:kern w:val="0"/>
          <w:sz w:val="26"/>
          <w:szCs w:val="26"/>
          <w:highlight w:val="none"/>
        </w:rPr>
      </w:pPr>
      <w:r>
        <w:rPr>
          <w:rFonts w:hint="eastAsia"/>
          <w:color w:val="auto"/>
          <w:kern w:val="0"/>
          <w:szCs w:val="22"/>
          <w:highlight w:val="none"/>
        </w:rPr>
        <w:t>评价区城镇生态系统主要为农村散户居民点及公路等，</w:t>
      </w:r>
      <w:r>
        <w:rPr>
          <w:rFonts w:hint="eastAsia"/>
          <w:color w:val="auto"/>
          <w:highlight w:val="none"/>
        </w:rPr>
        <w:t>由于人为干扰严重，其植被类型简</w:t>
      </w:r>
      <w:r>
        <w:rPr>
          <w:rFonts w:hint="eastAsia"/>
          <w:color w:val="auto"/>
          <w:sz w:val="26"/>
          <w:szCs w:val="26"/>
          <w:highlight w:val="none"/>
        </w:rPr>
        <w:t>单，主要是一些绿化和园林树种</w:t>
      </w:r>
      <w:r>
        <w:rPr>
          <w:rFonts w:hint="eastAsia"/>
          <w:color w:val="auto"/>
          <w:sz w:val="26"/>
          <w:szCs w:val="26"/>
          <w:highlight w:val="none"/>
          <w:lang w:eastAsia="zh-CN"/>
        </w:rPr>
        <w:t>，</w:t>
      </w:r>
      <w:r>
        <w:rPr>
          <w:rFonts w:hint="eastAsia"/>
          <w:snapToGrid w:val="0"/>
          <w:color w:val="auto"/>
          <w:sz w:val="26"/>
          <w:szCs w:val="26"/>
          <w:highlight w:val="none"/>
        </w:rPr>
        <w:t>喜与人类伴居的动物多活动于此</w:t>
      </w:r>
      <w:r>
        <w:rPr>
          <w:rFonts w:hint="eastAsia"/>
          <w:snapToGrid w:val="0"/>
          <w:color w:val="auto"/>
          <w:sz w:val="26"/>
          <w:szCs w:val="26"/>
          <w:highlight w:val="none"/>
          <w:lang w:eastAsia="zh-CN"/>
        </w:rPr>
        <w:t>，</w:t>
      </w:r>
      <w:r>
        <w:rPr>
          <w:rFonts w:hint="eastAsia"/>
          <w:color w:val="auto"/>
          <w:kern w:val="0"/>
          <w:sz w:val="26"/>
          <w:szCs w:val="26"/>
          <w:highlight w:val="none"/>
        </w:rPr>
        <w:t>兽类以啮齿目如小家鼠、褐家鼠等为主，鸟类则多为常见种类如家燕、麻雀、白头鹎、喜鹊、鹊鸲、</w:t>
      </w:r>
      <w:r>
        <w:rPr>
          <w:rFonts w:hint="eastAsia"/>
          <w:color w:val="auto"/>
          <w:kern w:val="0"/>
          <w:sz w:val="26"/>
          <w:szCs w:val="26"/>
          <w:highlight w:val="none"/>
          <w:shd w:val="clear" w:fill="FFFFFF"/>
        </w:rPr>
        <w:t>乌鸫等</w:t>
      </w:r>
      <w:r>
        <w:rPr>
          <w:rFonts w:hint="eastAsia"/>
          <w:color w:val="auto"/>
          <w:kern w:val="0"/>
          <w:sz w:val="26"/>
          <w:szCs w:val="26"/>
          <w:highlight w:val="none"/>
        </w:rPr>
        <w:t>。</w:t>
      </w:r>
    </w:p>
    <w:p>
      <w:pPr>
        <w:bidi w:val="0"/>
        <w:rPr>
          <w:color w:val="auto"/>
          <w:highlight w:val="none"/>
        </w:rPr>
      </w:pPr>
      <w:r>
        <w:rPr>
          <w:rFonts w:hint="eastAsia"/>
          <w:color w:val="auto"/>
          <w:highlight w:val="none"/>
        </w:rPr>
        <w:t>城镇生态系统服务功能包括三大类：①提供生活和生产物质的功能，包括食物生产、原材料生产；②与人类日常生活和身心健康相关的生命支持的功能，包括：气候调节、水源涵养、固碳释氮、土壤形成与保护、净化空气、生物多样性保护、减轻噪声；③满足人类精神生活需求的功能，包括娱乐、文化等。</w:t>
      </w:r>
    </w:p>
    <w:p>
      <w:pPr>
        <w:pStyle w:val="5"/>
        <w:ind w:firstLine="522"/>
        <w:rPr>
          <w:color w:val="auto"/>
          <w:highlight w:val="none"/>
        </w:rPr>
      </w:pPr>
      <w:r>
        <w:rPr>
          <w:rFonts w:hint="eastAsia"/>
          <w:color w:val="auto"/>
          <w:highlight w:val="none"/>
        </w:rPr>
        <w:t>区域主要</w:t>
      </w:r>
      <w:r>
        <w:rPr>
          <w:color w:val="auto"/>
          <w:highlight w:val="none"/>
        </w:rPr>
        <w:t>生态环境问题</w:t>
      </w:r>
    </w:p>
    <w:p>
      <w:pPr>
        <w:ind w:firstLine="520"/>
        <w:rPr>
          <w:color w:val="auto"/>
          <w:highlight w:val="none"/>
        </w:rPr>
      </w:pPr>
      <w:r>
        <w:rPr>
          <w:rFonts w:hint="eastAsia"/>
          <w:color w:val="auto"/>
          <w:highlight w:val="none"/>
        </w:rPr>
        <w:t>根据现场调查，项目评价范围内以</w:t>
      </w:r>
      <w:r>
        <w:rPr>
          <w:rFonts w:hint="eastAsia"/>
          <w:color w:val="auto"/>
          <w:highlight w:val="none"/>
          <w:lang w:eastAsia="zh-CN"/>
        </w:rPr>
        <w:t>湿地生态系统、</w:t>
      </w:r>
      <w:r>
        <w:rPr>
          <w:rFonts w:hint="eastAsia"/>
          <w:color w:val="auto"/>
          <w:highlight w:val="none"/>
        </w:rPr>
        <w:t>耕地生态系统为主，生态系统类型较为简单，不存在较大的生态环境问题。</w:t>
      </w:r>
    </w:p>
    <w:p>
      <w:pPr>
        <w:pStyle w:val="4"/>
        <w:rPr>
          <w:color w:val="auto"/>
          <w:highlight w:val="none"/>
        </w:rPr>
      </w:pPr>
      <w:bookmarkStart w:id="105" w:name="_Toc12808"/>
      <w:r>
        <w:rPr>
          <w:rFonts w:hint="eastAsia"/>
          <w:color w:val="auto"/>
          <w:highlight w:val="none"/>
        </w:rPr>
        <w:t>环境</w:t>
      </w:r>
      <w:r>
        <w:rPr>
          <w:color w:val="auto"/>
          <w:highlight w:val="none"/>
        </w:rPr>
        <w:t>现状</w:t>
      </w:r>
      <w:r>
        <w:rPr>
          <w:rFonts w:hint="eastAsia"/>
          <w:color w:val="auto"/>
          <w:highlight w:val="none"/>
        </w:rPr>
        <w:t>调查</w:t>
      </w:r>
      <w:r>
        <w:rPr>
          <w:color w:val="auto"/>
          <w:highlight w:val="none"/>
        </w:rPr>
        <w:t>与</w:t>
      </w:r>
      <w:r>
        <w:rPr>
          <w:rFonts w:hint="eastAsia"/>
          <w:color w:val="auto"/>
          <w:highlight w:val="none"/>
        </w:rPr>
        <w:t>评价</w:t>
      </w:r>
      <w:bookmarkEnd w:id="105"/>
    </w:p>
    <w:p>
      <w:pPr>
        <w:pStyle w:val="5"/>
        <w:ind w:firstLine="522"/>
        <w:rPr>
          <w:color w:val="auto"/>
          <w:highlight w:val="none"/>
        </w:rPr>
      </w:pPr>
      <w:r>
        <w:rPr>
          <w:rFonts w:hint="eastAsia"/>
          <w:color w:val="auto"/>
          <w:highlight w:val="none"/>
        </w:rPr>
        <w:t>大气环境</w:t>
      </w:r>
      <w:r>
        <w:rPr>
          <w:color w:val="auto"/>
          <w:highlight w:val="none"/>
        </w:rPr>
        <w:t>现状调查与评价</w:t>
      </w:r>
    </w:p>
    <w:p>
      <w:pPr>
        <w:ind w:firstLine="520"/>
        <w:rPr>
          <w:rFonts w:eastAsiaTheme="minorEastAsia"/>
          <w:color w:val="auto"/>
          <w:szCs w:val="26"/>
          <w:highlight w:val="none"/>
        </w:rPr>
      </w:pPr>
      <w:r>
        <w:rPr>
          <w:rFonts w:hint="eastAsia" w:eastAsiaTheme="minorEastAsia"/>
          <w:color w:val="auto"/>
          <w:szCs w:val="26"/>
          <w:highlight w:val="none"/>
        </w:rPr>
        <w:t>根据前文评价等级判定，项目大气环境影响评价等级为三级，根据《环境影响评价技术导则 大气环境》（HJ 2.2—2018）：“6.1.3  三级评价项目 只调查项目所在区域环境质量达标情况。”。故</w:t>
      </w:r>
      <w:r>
        <w:rPr>
          <w:rFonts w:eastAsiaTheme="minorEastAsia"/>
          <w:color w:val="auto"/>
          <w:szCs w:val="26"/>
          <w:highlight w:val="none"/>
        </w:rPr>
        <w:t>本次评价引用</w:t>
      </w:r>
      <w:r>
        <w:rPr>
          <w:rFonts w:hint="eastAsia" w:eastAsiaTheme="minorEastAsia"/>
          <w:color w:val="auto"/>
          <w:szCs w:val="26"/>
          <w:highlight w:val="none"/>
        </w:rPr>
        <w:t>重庆市</w:t>
      </w:r>
      <w:r>
        <w:rPr>
          <w:rFonts w:eastAsiaTheme="minorEastAsia"/>
          <w:color w:val="auto"/>
          <w:szCs w:val="26"/>
          <w:highlight w:val="none"/>
        </w:rPr>
        <w:t>生态环境局</w:t>
      </w:r>
      <w:r>
        <w:rPr>
          <w:rFonts w:hint="eastAsia" w:eastAsiaTheme="minorEastAsia"/>
          <w:color w:val="auto"/>
          <w:szCs w:val="26"/>
          <w:highlight w:val="none"/>
        </w:rPr>
        <w:t>公布的</w:t>
      </w:r>
      <w:r>
        <w:rPr>
          <w:rFonts w:eastAsiaTheme="minorEastAsia"/>
          <w:color w:val="auto"/>
          <w:szCs w:val="26"/>
          <w:highlight w:val="none"/>
        </w:rPr>
        <w:t>《202</w:t>
      </w:r>
      <w:r>
        <w:rPr>
          <w:rFonts w:hint="eastAsia" w:eastAsiaTheme="minorEastAsia"/>
          <w:color w:val="auto"/>
          <w:szCs w:val="26"/>
          <w:highlight w:val="none"/>
        </w:rPr>
        <w:t>4年重庆市生态</w:t>
      </w:r>
      <w:r>
        <w:rPr>
          <w:rFonts w:eastAsiaTheme="minorEastAsia"/>
          <w:color w:val="auto"/>
          <w:szCs w:val="26"/>
          <w:highlight w:val="none"/>
        </w:rPr>
        <w:t>环境</w:t>
      </w:r>
      <w:r>
        <w:rPr>
          <w:rFonts w:hint="eastAsia" w:eastAsiaTheme="minorEastAsia"/>
          <w:color w:val="auto"/>
          <w:szCs w:val="26"/>
          <w:highlight w:val="none"/>
        </w:rPr>
        <w:t>状况</w:t>
      </w:r>
      <w:r>
        <w:rPr>
          <w:rFonts w:eastAsiaTheme="minorEastAsia"/>
          <w:color w:val="auto"/>
          <w:szCs w:val="26"/>
          <w:highlight w:val="none"/>
        </w:rPr>
        <w:t>公报》</w:t>
      </w:r>
      <w:r>
        <w:rPr>
          <w:rFonts w:hint="eastAsia" w:eastAsiaTheme="minorEastAsia"/>
          <w:color w:val="auto"/>
          <w:szCs w:val="26"/>
          <w:highlight w:val="none"/>
        </w:rPr>
        <w:t>中合川区大气</w:t>
      </w:r>
      <w:r>
        <w:rPr>
          <w:rFonts w:eastAsiaTheme="minorEastAsia"/>
          <w:color w:val="auto"/>
          <w:szCs w:val="26"/>
          <w:highlight w:val="none"/>
        </w:rPr>
        <w:t>环境例行监测数据对项目所在区域环境空气质量</w:t>
      </w:r>
      <w:r>
        <w:rPr>
          <w:rFonts w:hint="eastAsia" w:eastAsiaTheme="minorEastAsia"/>
          <w:color w:val="auto"/>
          <w:szCs w:val="26"/>
          <w:highlight w:val="none"/>
        </w:rPr>
        <w:t>达</w:t>
      </w:r>
      <w:r>
        <w:rPr>
          <w:rFonts w:hint="eastAsia"/>
          <w:color w:val="auto"/>
          <w:szCs w:val="26"/>
          <w:highlight w:val="none"/>
        </w:rPr>
        <w:t>标情况进行判定</w:t>
      </w:r>
      <w:r>
        <w:rPr>
          <w:rFonts w:eastAsiaTheme="minorEastAsia"/>
          <w:color w:val="auto"/>
          <w:szCs w:val="26"/>
          <w:highlight w:val="none"/>
        </w:rPr>
        <w:t>。</w:t>
      </w:r>
      <w:r>
        <w:rPr>
          <w:rFonts w:hint="eastAsia" w:eastAsiaTheme="minorEastAsia"/>
          <w:color w:val="auto"/>
          <w:szCs w:val="26"/>
          <w:highlight w:val="none"/>
        </w:rPr>
        <w:t>具体统计如下：</w:t>
      </w:r>
    </w:p>
    <w:p>
      <w:pPr>
        <w:snapToGrid w:val="0"/>
        <w:spacing w:line="240" w:lineRule="auto"/>
        <w:ind w:firstLine="0" w:firstLineChars="0"/>
        <w:jc w:val="right"/>
        <w:rPr>
          <w:rFonts w:eastAsiaTheme="minorEastAsia"/>
          <w:color w:val="auto"/>
          <w:highlight w:val="none"/>
        </w:rPr>
      </w:pPr>
    </w:p>
    <w:p>
      <w:pPr>
        <w:snapToGrid w:val="0"/>
        <w:spacing w:line="240" w:lineRule="auto"/>
        <w:ind w:firstLine="0" w:firstLineChars="0"/>
        <w:jc w:val="right"/>
        <w:rPr>
          <w:rFonts w:eastAsiaTheme="minorEastAsia"/>
          <w:color w:val="auto"/>
          <w:highlight w:val="none"/>
        </w:rPr>
      </w:pPr>
      <w:r>
        <w:rPr>
          <w:rFonts w:eastAsiaTheme="minorEastAsia"/>
          <w:color w:val="auto"/>
          <w:highlight w:val="none"/>
        </w:rPr>
        <w:t>表</w:t>
      </w:r>
      <w:r>
        <w:rPr>
          <w:rFonts w:hint="eastAsia" w:eastAsiaTheme="minorEastAsia"/>
          <w:color w:val="auto"/>
          <w:highlight w:val="none"/>
        </w:rPr>
        <w:t>3.3.1</w:t>
      </w:r>
      <w:r>
        <w:rPr>
          <w:rFonts w:eastAsiaTheme="minorEastAsia"/>
          <w:color w:val="auto"/>
          <w:highlight w:val="none"/>
        </w:rPr>
        <w:noBreakHyphen/>
      </w:r>
      <w:r>
        <w:rPr>
          <w:rFonts w:eastAsiaTheme="minorEastAsia"/>
          <w:color w:val="auto"/>
          <w:highlight w:val="none"/>
        </w:rPr>
        <w:fldChar w:fldCharType="begin"/>
      </w:r>
      <w:r>
        <w:rPr>
          <w:rFonts w:eastAsiaTheme="minorEastAsia"/>
          <w:color w:val="auto"/>
          <w:highlight w:val="none"/>
        </w:rPr>
        <w:instrText xml:space="preserve"> SEQ 表 \* ARABIC \s 2 </w:instrText>
      </w:r>
      <w:r>
        <w:rPr>
          <w:rFonts w:eastAsiaTheme="minorEastAsia"/>
          <w:color w:val="auto"/>
          <w:highlight w:val="none"/>
        </w:rPr>
        <w:fldChar w:fldCharType="separate"/>
      </w:r>
      <w:r>
        <w:rPr>
          <w:rFonts w:eastAsiaTheme="minorEastAsia"/>
          <w:color w:val="auto"/>
          <w:highlight w:val="none"/>
        </w:rPr>
        <w:t>1</w:t>
      </w:r>
      <w:r>
        <w:rPr>
          <w:rFonts w:eastAsiaTheme="minorEastAsia"/>
          <w:color w:val="auto"/>
          <w:highlight w:val="none"/>
        </w:rPr>
        <w:fldChar w:fldCharType="end"/>
      </w:r>
      <w:r>
        <w:rPr>
          <w:rFonts w:hint="eastAsia" w:eastAsiaTheme="minorEastAsia"/>
          <w:color w:val="auto"/>
          <w:highlight w:val="none"/>
        </w:rPr>
        <w:t xml:space="preserve"> </w:t>
      </w:r>
      <w:r>
        <w:rPr>
          <w:rFonts w:hint="eastAsia" w:eastAsiaTheme="minorEastAsia"/>
          <w:color w:val="auto"/>
          <w:highlight w:val="none"/>
          <w:lang w:val="en-US" w:eastAsia="zh-CN"/>
        </w:rPr>
        <w:t xml:space="preserve"> </w:t>
      </w:r>
      <w:r>
        <w:rPr>
          <w:rFonts w:hint="eastAsia" w:eastAsiaTheme="minorEastAsia"/>
          <w:color w:val="auto"/>
          <w:szCs w:val="26"/>
          <w:highlight w:val="none"/>
        </w:rPr>
        <w:t>合川区2024</w:t>
      </w:r>
      <w:r>
        <w:rPr>
          <w:rFonts w:eastAsiaTheme="minorEastAsia"/>
          <w:color w:val="auto"/>
          <w:szCs w:val="26"/>
          <w:highlight w:val="none"/>
        </w:rPr>
        <w:t xml:space="preserve">年环境空气质量状况        </w:t>
      </w:r>
      <w:r>
        <w:rPr>
          <w:rFonts w:eastAsiaTheme="minorEastAsia"/>
          <w:color w:val="auto"/>
          <w:sz w:val="22"/>
          <w:szCs w:val="22"/>
          <w:highlight w:val="none"/>
        </w:rPr>
        <w:t>单位：μg/m³</w:t>
      </w:r>
    </w:p>
    <w:tbl>
      <w:tblPr>
        <w:tblStyle w:val="28"/>
        <w:tblW w:w="486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1"/>
        <w:gridCol w:w="2323"/>
        <w:gridCol w:w="1309"/>
        <w:gridCol w:w="1086"/>
        <w:gridCol w:w="1387"/>
        <w:gridCol w:w="12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0"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污染物</w:t>
            </w:r>
          </w:p>
        </w:tc>
        <w:tc>
          <w:tcPr>
            <w:tcW w:w="2327"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shd w:val="clear" w:fill="FFFFFF"/>
              </w:rPr>
              <w:t>年</w:t>
            </w:r>
            <w:r>
              <w:rPr>
                <w:color w:val="auto"/>
                <w:sz w:val="22"/>
                <w:szCs w:val="22"/>
                <w:highlight w:val="none"/>
              </w:rPr>
              <w:t>评价指标</w:t>
            </w:r>
          </w:p>
        </w:tc>
        <w:tc>
          <w:tcPr>
            <w:tcW w:w="1308"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现状浓度</w:t>
            </w:r>
          </w:p>
        </w:tc>
        <w:tc>
          <w:tcPr>
            <w:tcW w:w="1085"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标准值</w:t>
            </w:r>
          </w:p>
        </w:tc>
        <w:tc>
          <w:tcPr>
            <w:tcW w:w="1387"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占标率</w:t>
            </w:r>
            <w:r>
              <w:rPr>
                <w:rFonts w:hint="eastAsia"/>
                <w:color w:val="auto"/>
                <w:sz w:val="22"/>
                <w:szCs w:val="22"/>
                <w:highlight w:val="none"/>
              </w:rPr>
              <w:t>(%)</w:t>
            </w:r>
          </w:p>
        </w:tc>
        <w:tc>
          <w:tcPr>
            <w:tcW w:w="1273"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0"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PM</w:t>
            </w:r>
            <w:r>
              <w:rPr>
                <w:color w:val="auto"/>
                <w:sz w:val="22"/>
                <w:szCs w:val="22"/>
                <w:highlight w:val="none"/>
                <w:vertAlign w:val="subscript"/>
              </w:rPr>
              <w:t>10</w:t>
            </w:r>
          </w:p>
        </w:tc>
        <w:tc>
          <w:tcPr>
            <w:tcW w:w="2327"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年平均质量浓度</w:t>
            </w:r>
          </w:p>
        </w:tc>
        <w:tc>
          <w:tcPr>
            <w:tcW w:w="1308" w:type="dxa"/>
            <w:shd w:val="clear" w:color="auto" w:fill="auto"/>
            <w:noWrap/>
            <w:vAlign w:val="center"/>
          </w:tcPr>
          <w:p>
            <w:pPr>
              <w:pStyle w:val="15"/>
              <w:adjustRightInd w:val="0"/>
              <w:snapToGrid w:val="0"/>
              <w:spacing w:line="240" w:lineRule="auto"/>
              <w:ind w:firstLine="0" w:firstLineChars="0"/>
              <w:jc w:val="center"/>
              <w:rPr>
                <w:rFonts w:hint="eastAsia" w:ascii="Times New Roman" w:hAnsi="Times New Roman" w:cs="Times New Roman"/>
                <w:color w:val="auto"/>
                <w:sz w:val="22"/>
                <w:highlight w:val="none"/>
              </w:rPr>
            </w:pPr>
            <w:r>
              <w:rPr>
                <w:rFonts w:hint="eastAsia" w:ascii="Times New Roman" w:hAnsi="Times New Roman" w:cs="Times New Roman"/>
                <w:color w:val="auto"/>
                <w:sz w:val="22"/>
                <w:highlight w:val="none"/>
              </w:rPr>
              <w:t>51</w:t>
            </w:r>
          </w:p>
        </w:tc>
        <w:tc>
          <w:tcPr>
            <w:tcW w:w="1085" w:type="dxa"/>
            <w:shd w:val="clear" w:color="auto" w:fill="auto"/>
            <w:noWrap/>
            <w:vAlign w:val="center"/>
          </w:tcPr>
          <w:p>
            <w:pPr>
              <w:pStyle w:val="15"/>
              <w:adjustRightInd w:val="0"/>
              <w:snapToGrid w:val="0"/>
              <w:spacing w:line="240" w:lineRule="auto"/>
              <w:ind w:firstLine="0" w:firstLineChars="0"/>
              <w:jc w:val="center"/>
              <w:rPr>
                <w:rFonts w:ascii="Times New Roman" w:hAnsi="Times New Roman" w:cs="Times New Roman"/>
                <w:color w:val="auto"/>
                <w:sz w:val="22"/>
                <w:highlight w:val="none"/>
              </w:rPr>
            </w:pPr>
            <w:r>
              <w:rPr>
                <w:rFonts w:ascii="Times New Roman" w:hAnsi="Times New Roman" w:cs="Times New Roman"/>
                <w:color w:val="auto"/>
                <w:sz w:val="22"/>
                <w:highlight w:val="none"/>
              </w:rPr>
              <w:t>70</w:t>
            </w:r>
          </w:p>
        </w:tc>
        <w:tc>
          <w:tcPr>
            <w:tcW w:w="1387" w:type="dxa"/>
            <w:noWrap/>
            <w:vAlign w:val="center"/>
          </w:tcPr>
          <w:p>
            <w:pPr>
              <w:pStyle w:val="15"/>
              <w:adjustRightInd w:val="0"/>
              <w:snapToGrid w:val="0"/>
              <w:spacing w:line="240" w:lineRule="auto"/>
              <w:ind w:firstLine="0" w:firstLineChars="0"/>
              <w:jc w:val="center"/>
              <w:rPr>
                <w:rFonts w:hint="eastAsia" w:ascii="Times New Roman" w:hAnsi="Times New Roman" w:cs="Times New Roman"/>
                <w:color w:val="auto"/>
                <w:sz w:val="22"/>
                <w:highlight w:val="none"/>
              </w:rPr>
            </w:pPr>
            <w:r>
              <w:rPr>
                <w:rFonts w:hint="eastAsia" w:ascii="Times New Roman" w:hAnsi="Times New Roman" w:cs="Times New Roman"/>
                <w:color w:val="auto"/>
                <w:sz w:val="22"/>
                <w:highlight w:val="none"/>
              </w:rPr>
              <w:t>72.9</w:t>
            </w:r>
          </w:p>
        </w:tc>
        <w:tc>
          <w:tcPr>
            <w:tcW w:w="1273"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0"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PM</w:t>
            </w:r>
            <w:r>
              <w:rPr>
                <w:color w:val="auto"/>
                <w:sz w:val="22"/>
                <w:szCs w:val="22"/>
                <w:highlight w:val="none"/>
                <w:vertAlign w:val="subscript"/>
              </w:rPr>
              <w:t>2.5</w:t>
            </w:r>
          </w:p>
        </w:tc>
        <w:tc>
          <w:tcPr>
            <w:tcW w:w="2327"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年平均质量浓度</w:t>
            </w:r>
          </w:p>
        </w:tc>
        <w:tc>
          <w:tcPr>
            <w:tcW w:w="1308" w:type="dxa"/>
            <w:shd w:val="clear" w:color="auto" w:fill="auto"/>
            <w:noWrap/>
            <w:vAlign w:val="center"/>
          </w:tcPr>
          <w:p>
            <w:pPr>
              <w:pStyle w:val="15"/>
              <w:adjustRightInd w:val="0"/>
              <w:snapToGrid w:val="0"/>
              <w:spacing w:line="240" w:lineRule="auto"/>
              <w:ind w:firstLine="0" w:firstLineChars="0"/>
              <w:jc w:val="center"/>
              <w:rPr>
                <w:rFonts w:hint="eastAsia" w:ascii="Times New Roman" w:hAnsi="Times New Roman" w:cs="Times New Roman"/>
                <w:color w:val="auto"/>
                <w:sz w:val="22"/>
                <w:highlight w:val="none"/>
              </w:rPr>
            </w:pPr>
            <w:r>
              <w:rPr>
                <w:rFonts w:hint="eastAsia" w:ascii="Times New Roman" w:hAnsi="Times New Roman" w:cs="Times New Roman"/>
                <w:color w:val="auto"/>
                <w:sz w:val="22"/>
                <w:highlight w:val="none"/>
              </w:rPr>
              <w:t>43.0</w:t>
            </w:r>
          </w:p>
        </w:tc>
        <w:tc>
          <w:tcPr>
            <w:tcW w:w="1085" w:type="dxa"/>
            <w:shd w:val="clear" w:color="auto" w:fill="auto"/>
            <w:noWrap/>
            <w:vAlign w:val="center"/>
          </w:tcPr>
          <w:p>
            <w:pPr>
              <w:pStyle w:val="15"/>
              <w:adjustRightInd w:val="0"/>
              <w:snapToGrid w:val="0"/>
              <w:spacing w:line="240" w:lineRule="auto"/>
              <w:ind w:firstLine="0" w:firstLineChars="0"/>
              <w:jc w:val="center"/>
              <w:rPr>
                <w:rFonts w:ascii="Times New Roman" w:hAnsi="Times New Roman" w:cs="Times New Roman"/>
                <w:color w:val="auto"/>
                <w:sz w:val="22"/>
                <w:highlight w:val="none"/>
              </w:rPr>
            </w:pPr>
            <w:r>
              <w:rPr>
                <w:rFonts w:ascii="Times New Roman" w:hAnsi="Times New Roman" w:cs="Times New Roman"/>
                <w:color w:val="auto"/>
                <w:sz w:val="22"/>
                <w:highlight w:val="none"/>
              </w:rPr>
              <w:t>35</w:t>
            </w:r>
          </w:p>
        </w:tc>
        <w:tc>
          <w:tcPr>
            <w:tcW w:w="1387" w:type="dxa"/>
            <w:noWrap/>
            <w:vAlign w:val="center"/>
          </w:tcPr>
          <w:p>
            <w:pPr>
              <w:pStyle w:val="15"/>
              <w:adjustRightInd w:val="0"/>
              <w:snapToGrid w:val="0"/>
              <w:spacing w:line="240" w:lineRule="auto"/>
              <w:ind w:firstLine="0" w:firstLineChars="0"/>
              <w:jc w:val="center"/>
              <w:rPr>
                <w:rFonts w:hint="eastAsia" w:ascii="Times New Roman" w:hAnsi="Times New Roman" w:cs="Times New Roman"/>
                <w:color w:val="auto"/>
                <w:sz w:val="22"/>
                <w:highlight w:val="none"/>
              </w:rPr>
            </w:pPr>
            <w:r>
              <w:rPr>
                <w:rFonts w:hint="eastAsia" w:ascii="Times New Roman" w:hAnsi="Times New Roman" w:cs="Times New Roman"/>
                <w:color w:val="auto"/>
                <w:sz w:val="22"/>
                <w:highlight w:val="none"/>
              </w:rPr>
              <w:t>122.9</w:t>
            </w:r>
          </w:p>
        </w:tc>
        <w:tc>
          <w:tcPr>
            <w:tcW w:w="1273"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不</w:t>
            </w:r>
            <w:r>
              <w:rPr>
                <w:color w:val="auto"/>
                <w:sz w:val="22"/>
                <w:szCs w:val="22"/>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0"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SO</w:t>
            </w:r>
            <w:r>
              <w:rPr>
                <w:color w:val="auto"/>
                <w:sz w:val="22"/>
                <w:szCs w:val="22"/>
                <w:highlight w:val="none"/>
                <w:vertAlign w:val="subscript"/>
              </w:rPr>
              <w:t>2</w:t>
            </w:r>
          </w:p>
        </w:tc>
        <w:tc>
          <w:tcPr>
            <w:tcW w:w="2327"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年平均质量浓度</w:t>
            </w:r>
          </w:p>
        </w:tc>
        <w:tc>
          <w:tcPr>
            <w:tcW w:w="1308" w:type="dxa"/>
            <w:shd w:val="clear" w:color="auto" w:fill="auto"/>
            <w:noWrap/>
            <w:vAlign w:val="center"/>
          </w:tcPr>
          <w:p>
            <w:pPr>
              <w:pStyle w:val="15"/>
              <w:adjustRightInd w:val="0"/>
              <w:snapToGrid w:val="0"/>
              <w:spacing w:line="240" w:lineRule="auto"/>
              <w:ind w:firstLine="0" w:firstLineChars="0"/>
              <w:jc w:val="center"/>
              <w:rPr>
                <w:rFonts w:ascii="Times New Roman" w:hAnsi="Times New Roman" w:cs="Times New Roman"/>
                <w:color w:val="auto"/>
                <w:sz w:val="22"/>
                <w:highlight w:val="none"/>
              </w:rPr>
            </w:pPr>
            <w:r>
              <w:rPr>
                <w:rFonts w:hint="eastAsia" w:ascii="Times New Roman" w:hAnsi="Times New Roman" w:cs="Times New Roman"/>
                <w:color w:val="auto"/>
                <w:sz w:val="22"/>
                <w:highlight w:val="none"/>
              </w:rPr>
              <w:t>9</w:t>
            </w:r>
          </w:p>
        </w:tc>
        <w:tc>
          <w:tcPr>
            <w:tcW w:w="1085" w:type="dxa"/>
            <w:shd w:val="clear" w:color="auto" w:fill="auto"/>
            <w:noWrap/>
            <w:vAlign w:val="center"/>
          </w:tcPr>
          <w:p>
            <w:pPr>
              <w:pStyle w:val="15"/>
              <w:adjustRightInd w:val="0"/>
              <w:snapToGrid w:val="0"/>
              <w:spacing w:line="240" w:lineRule="auto"/>
              <w:ind w:firstLine="0" w:firstLineChars="0"/>
              <w:jc w:val="center"/>
              <w:rPr>
                <w:rFonts w:ascii="Times New Roman" w:hAnsi="Times New Roman" w:cs="Times New Roman"/>
                <w:color w:val="auto"/>
                <w:sz w:val="22"/>
                <w:highlight w:val="none"/>
              </w:rPr>
            </w:pPr>
            <w:r>
              <w:rPr>
                <w:rFonts w:ascii="Times New Roman" w:hAnsi="Times New Roman" w:cs="Times New Roman"/>
                <w:color w:val="auto"/>
                <w:sz w:val="22"/>
                <w:highlight w:val="none"/>
              </w:rPr>
              <w:t>60</w:t>
            </w:r>
          </w:p>
        </w:tc>
        <w:tc>
          <w:tcPr>
            <w:tcW w:w="1387" w:type="dxa"/>
            <w:noWrap/>
            <w:vAlign w:val="center"/>
          </w:tcPr>
          <w:p>
            <w:pPr>
              <w:pStyle w:val="15"/>
              <w:adjustRightInd w:val="0"/>
              <w:snapToGrid w:val="0"/>
              <w:spacing w:line="240" w:lineRule="auto"/>
              <w:ind w:firstLine="0" w:firstLineChars="0"/>
              <w:jc w:val="center"/>
              <w:rPr>
                <w:rFonts w:hint="eastAsia" w:ascii="Times New Roman" w:hAnsi="Times New Roman" w:cs="Times New Roman"/>
                <w:color w:val="auto"/>
                <w:sz w:val="22"/>
                <w:highlight w:val="none"/>
              </w:rPr>
            </w:pPr>
            <w:r>
              <w:rPr>
                <w:rFonts w:hint="eastAsia" w:ascii="Times New Roman" w:hAnsi="Times New Roman" w:cs="Times New Roman"/>
                <w:color w:val="auto"/>
                <w:sz w:val="22"/>
                <w:highlight w:val="none"/>
              </w:rPr>
              <w:t>15.0</w:t>
            </w:r>
          </w:p>
        </w:tc>
        <w:tc>
          <w:tcPr>
            <w:tcW w:w="1273"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0"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NO</w:t>
            </w:r>
            <w:r>
              <w:rPr>
                <w:color w:val="auto"/>
                <w:sz w:val="22"/>
                <w:szCs w:val="22"/>
                <w:highlight w:val="none"/>
                <w:vertAlign w:val="subscript"/>
              </w:rPr>
              <w:t>2</w:t>
            </w:r>
          </w:p>
        </w:tc>
        <w:tc>
          <w:tcPr>
            <w:tcW w:w="2327"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年平均质量浓度</w:t>
            </w:r>
          </w:p>
        </w:tc>
        <w:tc>
          <w:tcPr>
            <w:tcW w:w="1308" w:type="dxa"/>
            <w:shd w:val="clear" w:color="auto" w:fill="auto"/>
            <w:noWrap/>
            <w:vAlign w:val="center"/>
          </w:tcPr>
          <w:p>
            <w:pPr>
              <w:pStyle w:val="15"/>
              <w:adjustRightInd w:val="0"/>
              <w:snapToGrid w:val="0"/>
              <w:spacing w:line="240" w:lineRule="auto"/>
              <w:ind w:firstLine="0" w:firstLineChars="0"/>
              <w:jc w:val="center"/>
              <w:rPr>
                <w:rFonts w:hint="eastAsia" w:ascii="Times New Roman" w:hAnsi="Times New Roman" w:cs="Times New Roman"/>
                <w:color w:val="auto"/>
                <w:sz w:val="22"/>
                <w:highlight w:val="none"/>
              </w:rPr>
            </w:pPr>
            <w:r>
              <w:rPr>
                <w:rFonts w:hint="eastAsia" w:ascii="Times New Roman" w:hAnsi="Times New Roman" w:cs="Times New Roman"/>
                <w:color w:val="auto"/>
                <w:sz w:val="22"/>
                <w:highlight w:val="none"/>
              </w:rPr>
              <w:t>21</w:t>
            </w:r>
          </w:p>
        </w:tc>
        <w:tc>
          <w:tcPr>
            <w:tcW w:w="1085" w:type="dxa"/>
            <w:shd w:val="clear" w:color="auto" w:fill="auto"/>
            <w:noWrap/>
            <w:vAlign w:val="center"/>
          </w:tcPr>
          <w:p>
            <w:pPr>
              <w:pStyle w:val="15"/>
              <w:adjustRightInd w:val="0"/>
              <w:snapToGrid w:val="0"/>
              <w:spacing w:line="240" w:lineRule="auto"/>
              <w:ind w:firstLine="0" w:firstLineChars="0"/>
              <w:jc w:val="center"/>
              <w:rPr>
                <w:rFonts w:ascii="Times New Roman" w:hAnsi="Times New Roman" w:cs="Times New Roman"/>
                <w:color w:val="auto"/>
                <w:sz w:val="22"/>
                <w:highlight w:val="none"/>
              </w:rPr>
            </w:pPr>
            <w:r>
              <w:rPr>
                <w:rFonts w:ascii="Times New Roman" w:hAnsi="Times New Roman" w:cs="Times New Roman"/>
                <w:color w:val="auto"/>
                <w:sz w:val="22"/>
                <w:highlight w:val="none"/>
              </w:rPr>
              <w:t>40</w:t>
            </w:r>
          </w:p>
        </w:tc>
        <w:tc>
          <w:tcPr>
            <w:tcW w:w="1387" w:type="dxa"/>
            <w:noWrap/>
            <w:vAlign w:val="center"/>
          </w:tcPr>
          <w:p>
            <w:pPr>
              <w:pStyle w:val="15"/>
              <w:adjustRightInd w:val="0"/>
              <w:snapToGrid w:val="0"/>
              <w:spacing w:line="240" w:lineRule="auto"/>
              <w:ind w:firstLine="0" w:firstLineChars="0"/>
              <w:jc w:val="center"/>
              <w:rPr>
                <w:rFonts w:hint="eastAsia" w:ascii="Times New Roman" w:hAnsi="Times New Roman" w:cs="Times New Roman"/>
                <w:color w:val="auto"/>
                <w:sz w:val="22"/>
                <w:highlight w:val="none"/>
              </w:rPr>
            </w:pPr>
            <w:r>
              <w:rPr>
                <w:rFonts w:hint="eastAsia" w:ascii="Times New Roman" w:hAnsi="Times New Roman" w:cs="Times New Roman"/>
                <w:color w:val="auto"/>
                <w:sz w:val="22"/>
                <w:highlight w:val="none"/>
              </w:rPr>
              <w:t>52.5</w:t>
            </w:r>
          </w:p>
        </w:tc>
        <w:tc>
          <w:tcPr>
            <w:tcW w:w="1273"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0"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O</w:t>
            </w:r>
            <w:r>
              <w:rPr>
                <w:color w:val="auto"/>
                <w:sz w:val="22"/>
                <w:szCs w:val="22"/>
                <w:highlight w:val="none"/>
                <w:vertAlign w:val="subscript"/>
              </w:rPr>
              <w:t>3</w:t>
            </w:r>
          </w:p>
        </w:tc>
        <w:tc>
          <w:tcPr>
            <w:tcW w:w="2327"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kern w:val="0"/>
                <w:sz w:val="22"/>
                <w:szCs w:val="22"/>
                <w:highlight w:val="none"/>
              </w:rPr>
              <w:t>最大8小时平均浓度的第90百分位数</w:t>
            </w:r>
          </w:p>
        </w:tc>
        <w:tc>
          <w:tcPr>
            <w:tcW w:w="1308" w:type="dxa"/>
            <w:shd w:val="clear" w:color="auto" w:fill="auto"/>
            <w:noWrap/>
            <w:vAlign w:val="center"/>
          </w:tcPr>
          <w:p>
            <w:pPr>
              <w:pStyle w:val="15"/>
              <w:adjustRightInd w:val="0"/>
              <w:snapToGrid w:val="0"/>
              <w:spacing w:line="240" w:lineRule="auto"/>
              <w:ind w:firstLine="0" w:firstLineChars="0"/>
              <w:jc w:val="center"/>
              <w:rPr>
                <w:rFonts w:hint="eastAsia" w:ascii="Times New Roman" w:hAnsi="Times New Roman" w:cs="Times New Roman"/>
                <w:color w:val="auto"/>
                <w:sz w:val="22"/>
                <w:highlight w:val="none"/>
              </w:rPr>
            </w:pPr>
            <w:r>
              <w:rPr>
                <w:rFonts w:hint="eastAsia" w:ascii="Times New Roman" w:hAnsi="Times New Roman" w:cs="Times New Roman"/>
                <w:color w:val="auto"/>
                <w:sz w:val="22"/>
                <w:highlight w:val="none"/>
              </w:rPr>
              <w:t>162</w:t>
            </w:r>
          </w:p>
        </w:tc>
        <w:tc>
          <w:tcPr>
            <w:tcW w:w="1085" w:type="dxa"/>
            <w:shd w:val="clear" w:color="auto" w:fill="auto"/>
            <w:noWrap/>
            <w:vAlign w:val="center"/>
          </w:tcPr>
          <w:p>
            <w:pPr>
              <w:pStyle w:val="15"/>
              <w:adjustRightInd w:val="0"/>
              <w:snapToGrid w:val="0"/>
              <w:spacing w:line="240" w:lineRule="auto"/>
              <w:ind w:firstLine="0" w:firstLineChars="0"/>
              <w:jc w:val="center"/>
              <w:rPr>
                <w:rFonts w:ascii="Times New Roman" w:hAnsi="Times New Roman" w:cs="Times New Roman"/>
                <w:color w:val="auto"/>
                <w:sz w:val="22"/>
                <w:highlight w:val="none"/>
              </w:rPr>
            </w:pPr>
            <w:r>
              <w:rPr>
                <w:rFonts w:ascii="Times New Roman" w:hAnsi="Times New Roman" w:cs="Times New Roman"/>
                <w:color w:val="auto"/>
                <w:sz w:val="22"/>
                <w:highlight w:val="none"/>
              </w:rPr>
              <w:t>160</w:t>
            </w:r>
          </w:p>
        </w:tc>
        <w:tc>
          <w:tcPr>
            <w:tcW w:w="1387" w:type="dxa"/>
            <w:noWrap/>
            <w:vAlign w:val="center"/>
          </w:tcPr>
          <w:p>
            <w:pPr>
              <w:pStyle w:val="15"/>
              <w:adjustRightInd w:val="0"/>
              <w:snapToGrid w:val="0"/>
              <w:spacing w:line="240" w:lineRule="auto"/>
              <w:ind w:firstLine="0" w:firstLineChars="0"/>
              <w:jc w:val="center"/>
              <w:rPr>
                <w:rFonts w:hint="eastAsia" w:ascii="Times New Roman" w:hAnsi="Times New Roman" w:cs="Times New Roman"/>
                <w:color w:val="auto"/>
                <w:sz w:val="22"/>
                <w:highlight w:val="none"/>
              </w:rPr>
            </w:pPr>
            <w:r>
              <w:rPr>
                <w:rFonts w:hint="eastAsia" w:ascii="Times New Roman" w:hAnsi="Times New Roman" w:cs="Times New Roman"/>
                <w:color w:val="auto"/>
                <w:sz w:val="22"/>
                <w:highlight w:val="none"/>
              </w:rPr>
              <w:t>101.3</w:t>
            </w:r>
          </w:p>
        </w:tc>
        <w:tc>
          <w:tcPr>
            <w:tcW w:w="1273"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不</w:t>
            </w:r>
            <w:r>
              <w:rPr>
                <w:color w:val="auto"/>
                <w:sz w:val="22"/>
                <w:szCs w:val="22"/>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0"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CO</w:t>
            </w:r>
            <w:r>
              <w:rPr>
                <w:rFonts w:hint="eastAsia"/>
                <w:color w:val="auto"/>
                <w:sz w:val="22"/>
                <w:szCs w:val="22"/>
                <w:highlight w:val="none"/>
              </w:rPr>
              <w:t>(</w:t>
            </w:r>
            <w:r>
              <w:rPr>
                <w:color w:val="auto"/>
                <w:sz w:val="22"/>
                <w:szCs w:val="22"/>
                <w:highlight w:val="none"/>
              </w:rPr>
              <w:t>mg/m³</w:t>
            </w:r>
            <w:r>
              <w:rPr>
                <w:rFonts w:hint="eastAsia"/>
                <w:color w:val="auto"/>
                <w:sz w:val="22"/>
                <w:szCs w:val="22"/>
                <w:highlight w:val="none"/>
              </w:rPr>
              <w:t>)</w:t>
            </w:r>
          </w:p>
        </w:tc>
        <w:tc>
          <w:tcPr>
            <w:tcW w:w="2327"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kern w:val="0"/>
                <w:sz w:val="22"/>
                <w:szCs w:val="22"/>
                <w:highlight w:val="none"/>
              </w:rPr>
              <w:t>24小时平均浓度的第95百分位数</w:t>
            </w:r>
          </w:p>
        </w:tc>
        <w:tc>
          <w:tcPr>
            <w:tcW w:w="1308" w:type="dxa"/>
            <w:shd w:val="clear" w:color="auto" w:fill="auto"/>
            <w:noWrap/>
            <w:vAlign w:val="center"/>
          </w:tcPr>
          <w:p>
            <w:pPr>
              <w:pStyle w:val="15"/>
              <w:adjustRightInd w:val="0"/>
              <w:snapToGrid w:val="0"/>
              <w:spacing w:line="240" w:lineRule="auto"/>
              <w:ind w:firstLine="0" w:firstLineChars="0"/>
              <w:jc w:val="center"/>
              <w:rPr>
                <w:rFonts w:hint="eastAsia" w:ascii="Times New Roman" w:hAnsi="Times New Roman" w:cs="Times New Roman"/>
                <w:color w:val="auto"/>
                <w:sz w:val="22"/>
                <w:highlight w:val="none"/>
              </w:rPr>
            </w:pPr>
            <w:r>
              <w:rPr>
                <w:rFonts w:hint="eastAsia" w:ascii="Times New Roman" w:hAnsi="Times New Roman" w:cs="Times New Roman"/>
                <w:color w:val="auto"/>
                <w:sz w:val="22"/>
                <w:highlight w:val="none"/>
              </w:rPr>
              <w:t>1.0</w:t>
            </w:r>
          </w:p>
        </w:tc>
        <w:tc>
          <w:tcPr>
            <w:tcW w:w="1085" w:type="dxa"/>
            <w:shd w:val="clear" w:color="auto" w:fill="auto"/>
            <w:noWrap/>
            <w:vAlign w:val="center"/>
          </w:tcPr>
          <w:p>
            <w:pPr>
              <w:pStyle w:val="15"/>
              <w:adjustRightInd w:val="0"/>
              <w:snapToGrid w:val="0"/>
              <w:spacing w:line="240" w:lineRule="auto"/>
              <w:ind w:firstLine="0" w:firstLineChars="0"/>
              <w:jc w:val="center"/>
              <w:rPr>
                <w:rFonts w:ascii="Times New Roman" w:hAnsi="Times New Roman" w:cs="Times New Roman"/>
                <w:color w:val="auto"/>
                <w:sz w:val="22"/>
                <w:highlight w:val="none"/>
              </w:rPr>
            </w:pPr>
            <w:r>
              <w:rPr>
                <w:rFonts w:ascii="Times New Roman" w:hAnsi="Times New Roman" w:cs="Times New Roman"/>
                <w:color w:val="auto"/>
                <w:sz w:val="22"/>
                <w:highlight w:val="none"/>
              </w:rPr>
              <w:t>4</w:t>
            </w:r>
          </w:p>
        </w:tc>
        <w:tc>
          <w:tcPr>
            <w:tcW w:w="1387" w:type="dxa"/>
            <w:noWrap/>
            <w:vAlign w:val="center"/>
          </w:tcPr>
          <w:p>
            <w:pPr>
              <w:pStyle w:val="15"/>
              <w:adjustRightInd w:val="0"/>
              <w:snapToGrid w:val="0"/>
              <w:spacing w:line="240" w:lineRule="auto"/>
              <w:ind w:firstLine="0" w:firstLineChars="0"/>
              <w:jc w:val="center"/>
              <w:rPr>
                <w:rFonts w:hint="eastAsia" w:ascii="Times New Roman" w:hAnsi="Times New Roman" w:cs="Times New Roman"/>
                <w:color w:val="auto"/>
                <w:sz w:val="22"/>
                <w:highlight w:val="none"/>
              </w:rPr>
            </w:pPr>
            <w:r>
              <w:rPr>
                <w:rFonts w:hint="eastAsia" w:ascii="Times New Roman" w:hAnsi="Times New Roman" w:cs="Times New Roman"/>
                <w:color w:val="auto"/>
                <w:sz w:val="22"/>
                <w:highlight w:val="none"/>
              </w:rPr>
              <w:t>25.0</w:t>
            </w:r>
          </w:p>
        </w:tc>
        <w:tc>
          <w:tcPr>
            <w:tcW w:w="1273" w:type="dxa"/>
            <w:shd w:val="clear" w:color="auto" w:fill="auto"/>
            <w:noWrap/>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达标</w:t>
            </w:r>
          </w:p>
        </w:tc>
      </w:tr>
    </w:tbl>
    <w:p>
      <w:pPr>
        <w:adjustRightInd w:val="0"/>
        <w:snapToGrid w:val="0"/>
        <w:spacing w:line="240" w:lineRule="auto"/>
        <w:ind w:firstLine="520"/>
        <w:rPr>
          <w:rFonts w:eastAsiaTheme="minorEastAsia"/>
          <w:color w:val="auto"/>
          <w:szCs w:val="26"/>
          <w:highlight w:val="none"/>
        </w:rPr>
      </w:pPr>
    </w:p>
    <w:p>
      <w:pPr>
        <w:adjustRightInd w:val="0"/>
        <w:snapToGrid w:val="0"/>
        <w:ind w:firstLine="520"/>
        <w:rPr>
          <w:color w:val="auto"/>
          <w:sz w:val="26"/>
          <w:szCs w:val="26"/>
          <w:highlight w:val="none"/>
        </w:rPr>
      </w:pPr>
      <w:r>
        <w:rPr>
          <w:rFonts w:eastAsiaTheme="minorEastAsia"/>
          <w:color w:val="auto"/>
          <w:sz w:val="26"/>
          <w:szCs w:val="26"/>
          <w:highlight w:val="none"/>
        </w:rPr>
        <w:t>根据《202</w:t>
      </w:r>
      <w:r>
        <w:rPr>
          <w:rFonts w:hint="eastAsia" w:eastAsiaTheme="minorEastAsia"/>
          <w:color w:val="auto"/>
          <w:sz w:val="26"/>
          <w:szCs w:val="26"/>
          <w:highlight w:val="none"/>
        </w:rPr>
        <w:t>4年重庆市生态</w:t>
      </w:r>
      <w:r>
        <w:rPr>
          <w:rFonts w:eastAsiaTheme="minorEastAsia"/>
          <w:color w:val="auto"/>
          <w:sz w:val="26"/>
          <w:szCs w:val="26"/>
          <w:highlight w:val="none"/>
        </w:rPr>
        <w:t>环境</w:t>
      </w:r>
      <w:r>
        <w:rPr>
          <w:rFonts w:hint="eastAsia" w:eastAsiaTheme="minorEastAsia"/>
          <w:color w:val="auto"/>
          <w:sz w:val="26"/>
          <w:szCs w:val="26"/>
          <w:highlight w:val="none"/>
        </w:rPr>
        <w:t>状况</w:t>
      </w:r>
      <w:r>
        <w:rPr>
          <w:rFonts w:eastAsiaTheme="minorEastAsia"/>
          <w:color w:val="auto"/>
          <w:sz w:val="26"/>
          <w:szCs w:val="26"/>
          <w:highlight w:val="none"/>
        </w:rPr>
        <w:t>公报》，</w:t>
      </w:r>
      <w:r>
        <w:rPr>
          <w:rFonts w:hint="eastAsia"/>
          <w:color w:val="auto"/>
          <w:sz w:val="26"/>
          <w:szCs w:val="26"/>
          <w:highlight w:val="none"/>
        </w:rPr>
        <w:t>合川区</w:t>
      </w:r>
      <w:r>
        <w:rPr>
          <w:color w:val="auto"/>
          <w:sz w:val="26"/>
          <w:szCs w:val="26"/>
          <w:highlight w:val="none"/>
        </w:rPr>
        <w:t>202</w:t>
      </w:r>
      <w:r>
        <w:rPr>
          <w:rFonts w:hint="eastAsia"/>
          <w:color w:val="auto"/>
          <w:sz w:val="26"/>
          <w:szCs w:val="26"/>
          <w:highlight w:val="none"/>
        </w:rPr>
        <w:t>4年</w:t>
      </w:r>
      <w:r>
        <w:rPr>
          <w:color w:val="auto"/>
          <w:sz w:val="26"/>
          <w:szCs w:val="26"/>
          <w:highlight w:val="none"/>
        </w:rPr>
        <w:t>环境空气质量监测结果中SO</w:t>
      </w:r>
      <w:r>
        <w:rPr>
          <w:color w:val="auto"/>
          <w:sz w:val="26"/>
          <w:szCs w:val="26"/>
          <w:highlight w:val="none"/>
          <w:vertAlign w:val="subscript"/>
        </w:rPr>
        <w:t>2</w:t>
      </w:r>
      <w:r>
        <w:rPr>
          <w:color w:val="auto"/>
          <w:sz w:val="26"/>
          <w:szCs w:val="26"/>
          <w:highlight w:val="none"/>
        </w:rPr>
        <w:t>、NO</w:t>
      </w:r>
      <w:r>
        <w:rPr>
          <w:color w:val="auto"/>
          <w:sz w:val="26"/>
          <w:szCs w:val="26"/>
          <w:highlight w:val="none"/>
          <w:vertAlign w:val="subscript"/>
        </w:rPr>
        <w:t>2</w:t>
      </w:r>
      <w:r>
        <w:rPr>
          <w:color w:val="auto"/>
          <w:sz w:val="26"/>
          <w:szCs w:val="26"/>
          <w:highlight w:val="none"/>
        </w:rPr>
        <w:t>、CO、PM</w:t>
      </w:r>
      <w:r>
        <w:rPr>
          <w:color w:val="auto"/>
          <w:sz w:val="26"/>
          <w:szCs w:val="26"/>
          <w:highlight w:val="none"/>
          <w:vertAlign w:val="subscript"/>
        </w:rPr>
        <w:t>10</w:t>
      </w:r>
      <w:r>
        <w:rPr>
          <w:rFonts w:hint="eastAsia"/>
          <w:color w:val="auto"/>
          <w:sz w:val="26"/>
          <w:szCs w:val="26"/>
          <w:highlight w:val="none"/>
          <w:lang w:eastAsia="zh-CN"/>
        </w:rPr>
        <w:t>四</w:t>
      </w:r>
      <w:r>
        <w:rPr>
          <w:rFonts w:hint="eastAsia"/>
          <w:color w:val="auto"/>
          <w:sz w:val="26"/>
          <w:szCs w:val="26"/>
          <w:highlight w:val="none"/>
        </w:rPr>
        <w:t>项</w:t>
      </w:r>
      <w:r>
        <w:rPr>
          <w:color w:val="auto"/>
          <w:sz w:val="26"/>
          <w:szCs w:val="26"/>
          <w:highlight w:val="none"/>
        </w:rPr>
        <w:t>基本因子满足《环境空气质量标准》（GB3095-2012）中二级标准要求</w:t>
      </w:r>
      <w:r>
        <w:rPr>
          <w:rFonts w:hint="eastAsia" w:eastAsiaTheme="minorEastAsia"/>
          <w:color w:val="auto"/>
          <w:sz w:val="26"/>
          <w:szCs w:val="26"/>
          <w:highlight w:val="none"/>
        </w:rPr>
        <w:t>，</w:t>
      </w:r>
      <w:r>
        <w:rPr>
          <w:color w:val="auto"/>
          <w:sz w:val="26"/>
          <w:szCs w:val="26"/>
          <w:highlight w:val="none"/>
        </w:rPr>
        <w:t>PM</w:t>
      </w:r>
      <w:r>
        <w:rPr>
          <w:color w:val="auto"/>
          <w:sz w:val="26"/>
          <w:szCs w:val="26"/>
          <w:highlight w:val="none"/>
          <w:vertAlign w:val="subscript"/>
        </w:rPr>
        <w:t>2.5</w:t>
      </w:r>
      <w:bookmarkStart w:id="106" w:name="OLE_LINK32"/>
      <w:r>
        <w:rPr>
          <w:color w:val="auto"/>
          <w:sz w:val="26"/>
          <w:szCs w:val="26"/>
          <w:highlight w:val="none"/>
        </w:rPr>
        <w:t>、O</w:t>
      </w:r>
      <w:r>
        <w:rPr>
          <w:color w:val="auto"/>
          <w:sz w:val="26"/>
          <w:szCs w:val="26"/>
          <w:highlight w:val="none"/>
          <w:vertAlign w:val="subscript"/>
        </w:rPr>
        <w:t>3</w:t>
      </w:r>
      <w:bookmarkEnd w:id="106"/>
      <w:r>
        <w:rPr>
          <w:rFonts w:hint="eastAsia"/>
          <w:color w:val="auto"/>
          <w:sz w:val="26"/>
          <w:szCs w:val="26"/>
          <w:highlight w:val="none"/>
        </w:rPr>
        <w:t>不满足</w:t>
      </w:r>
      <w:r>
        <w:rPr>
          <w:color w:val="auto"/>
          <w:sz w:val="26"/>
          <w:szCs w:val="26"/>
          <w:highlight w:val="none"/>
        </w:rPr>
        <w:t>标准限值</w:t>
      </w:r>
      <w:r>
        <w:rPr>
          <w:rFonts w:hint="eastAsia"/>
          <w:color w:val="auto"/>
          <w:sz w:val="26"/>
          <w:szCs w:val="26"/>
          <w:highlight w:val="none"/>
        </w:rPr>
        <w:t>要求，</w:t>
      </w:r>
      <w:r>
        <w:rPr>
          <w:rFonts w:eastAsiaTheme="minorEastAsia"/>
          <w:color w:val="auto"/>
          <w:sz w:val="26"/>
          <w:szCs w:val="26"/>
          <w:highlight w:val="none"/>
        </w:rPr>
        <w:t>属于</w:t>
      </w:r>
      <w:r>
        <w:rPr>
          <w:rFonts w:hint="eastAsia" w:eastAsiaTheme="minorEastAsia"/>
          <w:color w:val="auto"/>
          <w:sz w:val="26"/>
          <w:szCs w:val="26"/>
          <w:highlight w:val="none"/>
        </w:rPr>
        <w:t>不</w:t>
      </w:r>
      <w:r>
        <w:rPr>
          <w:rFonts w:eastAsiaTheme="minorEastAsia"/>
          <w:color w:val="auto"/>
          <w:sz w:val="26"/>
          <w:szCs w:val="26"/>
          <w:highlight w:val="none"/>
        </w:rPr>
        <w:t>达标区域</w:t>
      </w:r>
      <w:r>
        <w:rPr>
          <w:rFonts w:hint="eastAsia" w:eastAsiaTheme="minorEastAsia"/>
          <w:color w:val="auto"/>
          <w:sz w:val="26"/>
          <w:szCs w:val="26"/>
          <w:highlight w:val="none"/>
        </w:rPr>
        <w:t>，</w:t>
      </w:r>
      <w:r>
        <w:rPr>
          <w:rFonts w:eastAsiaTheme="minorEastAsia"/>
          <w:color w:val="auto"/>
          <w:sz w:val="26"/>
          <w:szCs w:val="26"/>
          <w:highlight w:val="none"/>
        </w:rPr>
        <w:t>不达标因子为</w:t>
      </w:r>
      <w:r>
        <w:rPr>
          <w:rFonts w:hint="eastAsia" w:eastAsiaTheme="minorEastAsia"/>
          <w:color w:val="auto"/>
          <w:sz w:val="26"/>
          <w:szCs w:val="26"/>
          <w:highlight w:val="none"/>
        </w:rPr>
        <w:t>PM</w:t>
      </w:r>
      <w:r>
        <w:rPr>
          <w:rFonts w:hint="eastAsia" w:eastAsiaTheme="minorEastAsia"/>
          <w:color w:val="auto"/>
          <w:sz w:val="26"/>
          <w:szCs w:val="26"/>
          <w:highlight w:val="none"/>
          <w:vertAlign w:val="subscript"/>
        </w:rPr>
        <w:t>2.5</w:t>
      </w:r>
      <w:r>
        <w:rPr>
          <w:color w:val="auto"/>
          <w:sz w:val="26"/>
          <w:szCs w:val="26"/>
          <w:highlight w:val="none"/>
        </w:rPr>
        <w:t>、O</w:t>
      </w:r>
      <w:r>
        <w:rPr>
          <w:color w:val="auto"/>
          <w:sz w:val="26"/>
          <w:szCs w:val="26"/>
          <w:highlight w:val="none"/>
          <w:vertAlign w:val="subscript"/>
        </w:rPr>
        <w:t>3</w:t>
      </w:r>
      <w:r>
        <w:rPr>
          <w:rFonts w:hint="eastAsia" w:eastAsiaTheme="minorEastAsia"/>
          <w:color w:val="auto"/>
          <w:sz w:val="26"/>
          <w:szCs w:val="26"/>
          <w:highlight w:val="none"/>
        </w:rPr>
        <w:t>。2024年8月，合川区人民政府印发了《</w:t>
      </w:r>
      <w:bookmarkStart w:id="107" w:name="OLE_LINK33"/>
      <w:r>
        <w:rPr>
          <w:rFonts w:hint="eastAsia" w:eastAsiaTheme="minorEastAsia"/>
          <w:color w:val="auto"/>
          <w:sz w:val="26"/>
          <w:szCs w:val="26"/>
          <w:highlight w:val="none"/>
        </w:rPr>
        <w:t>合川区空气质量持续改善行动实施方案</w:t>
      </w:r>
      <w:bookmarkEnd w:id="107"/>
      <w:r>
        <w:rPr>
          <w:rFonts w:hint="eastAsia" w:eastAsiaTheme="minorEastAsia"/>
          <w:color w:val="auto"/>
          <w:sz w:val="26"/>
          <w:szCs w:val="26"/>
          <w:highlight w:val="none"/>
        </w:rPr>
        <w:t>》（合川府办发〔2024〕52号），</w:t>
      </w:r>
      <w:r>
        <w:rPr>
          <w:color w:val="auto"/>
          <w:sz w:val="26"/>
          <w:szCs w:val="26"/>
          <w:highlight w:val="none"/>
        </w:rPr>
        <w:t>根据</w:t>
      </w:r>
      <w:r>
        <w:rPr>
          <w:rFonts w:hint="eastAsia"/>
          <w:color w:val="auto"/>
          <w:sz w:val="26"/>
          <w:szCs w:val="26"/>
          <w:highlight w:val="none"/>
        </w:rPr>
        <w:t>实施方案，到2025年，全区PM</w:t>
      </w:r>
      <w:r>
        <w:rPr>
          <w:rFonts w:hint="eastAsia"/>
          <w:color w:val="auto"/>
          <w:sz w:val="26"/>
          <w:szCs w:val="26"/>
          <w:highlight w:val="none"/>
          <w:vertAlign w:val="subscript"/>
        </w:rPr>
        <w:t>2.5</w:t>
      </w:r>
      <w:r>
        <w:rPr>
          <w:rFonts w:hint="eastAsia"/>
          <w:color w:val="auto"/>
          <w:sz w:val="26"/>
          <w:szCs w:val="26"/>
          <w:highlight w:val="none"/>
        </w:rPr>
        <w:t>浓度下降到32微克/立方米，到2027年，全区PM</w:t>
      </w:r>
      <w:r>
        <w:rPr>
          <w:rFonts w:hint="eastAsia"/>
          <w:color w:val="auto"/>
          <w:sz w:val="26"/>
          <w:szCs w:val="26"/>
          <w:highlight w:val="none"/>
          <w:vertAlign w:val="subscript"/>
        </w:rPr>
        <w:t>2.5</w:t>
      </w:r>
      <w:r>
        <w:rPr>
          <w:rFonts w:hint="eastAsia"/>
          <w:color w:val="auto"/>
          <w:sz w:val="26"/>
          <w:szCs w:val="26"/>
          <w:highlight w:val="none"/>
        </w:rPr>
        <w:t>浓度下降到32微克/立方米及以下。具有改善举措包括：实施产业产品绿色转型升级行动，推动产业结构优化；实施能源清洁低碳高效利用行动，推动能源结构优化；实施移动源大气综合治理提升行动，推动交通结构优化；实施深度治理和精细化管控行动，推动多污染物减排；实施扬尘焚烧油烟等面源治污行动，切实解决扰民问题；实施预警预报和联防联控提升行动，加强污染应对；实施空气质量共保共治全民行动，强化各方责任。</w:t>
      </w:r>
    </w:p>
    <w:p>
      <w:pPr>
        <w:pStyle w:val="15"/>
        <w:snapToGrid w:val="0"/>
        <w:ind w:firstLine="520"/>
        <w:rPr>
          <w:rFonts w:hint="eastAsia" w:ascii="Times New Roman" w:hAnsi="Times New Roman" w:cs="Times New Roman"/>
          <w:color w:val="auto"/>
          <w:sz w:val="26"/>
          <w:szCs w:val="26"/>
          <w:highlight w:val="none"/>
        </w:rPr>
      </w:pPr>
      <w:r>
        <w:rPr>
          <w:rFonts w:hint="eastAsia" w:ascii="Times New Roman" w:hAnsi="Times New Roman" w:cs="Times New Roman"/>
          <w:color w:val="auto"/>
          <w:sz w:val="26"/>
          <w:szCs w:val="26"/>
          <w:highlight w:val="none"/>
        </w:rPr>
        <w:t>通过严格落实《</w:t>
      </w:r>
      <w:r>
        <w:rPr>
          <w:rFonts w:hint="eastAsia" w:eastAsiaTheme="minorEastAsia"/>
          <w:color w:val="auto"/>
          <w:sz w:val="26"/>
          <w:szCs w:val="26"/>
          <w:highlight w:val="none"/>
        </w:rPr>
        <w:t>合川区空气质量持续改善行动实施方案</w:t>
      </w:r>
      <w:r>
        <w:rPr>
          <w:rFonts w:hint="eastAsia" w:ascii="Times New Roman" w:hAnsi="Times New Roman" w:cs="Times New Roman"/>
          <w:color w:val="auto"/>
          <w:sz w:val="26"/>
          <w:szCs w:val="26"/>
          <w:highlight w:val="none"/>
        </w:rPr>
        <w:t>》提出的各项措施后</w:t>
      </w:r>
      <w:r>
        <w:rPr>
          <w:rFonts w:ascii="Times New Roman" w:hAnsi="Times New Roman" w:cs="Times New Roman"/>
          <w:color w:val="auto"/>
          <w:sz w:val="26"/>
          <w:szCs w:val="26"/>
          <w:highlight w:val="none"/>
        </w:rPr>
        <w:t>，可</w:t>
      </w:r>
      <w:r>
        <w:rPr>
          <w:rFonts w:hint="eastAsia" w:ascii="Times New Roman" w:hAnsi="Times New Roman" w:cs="Times New Roman"/>
          <w:color w:val="auto"/>
          <w:sz w:val="26"/>
          <w:szCs w:val="26"/>
          <w:highlight w:val="none"/>
        </w:rPr>
        <w:t>有效</w:t>
      </w:r>
      <w:r>
        <w:rPr>
          <w:rFonts w:ascii="Times New Roman" w:hAnsi="Times New Roman" w:cs="Times New Roman"/>
          <w:color w:val="auto"/>
          <w:sz w:val="26"/>
          <w:szCs w:val="26"/>
          <w:highlight w:val="none"/>
        </w:rPr>
        <w:t>改善</w:t>
      </w:r>
      <w:r>
        <w:rPr>
          <w:rFonts w:hint="eastAsia" w:ascii="Times New Roman" w:hAnsi="Times New Roman" w:cs="Times New Roman"/>
          <w:color w:val="auto"/>
          <w:sz w:val="26"/>
          <w:szCs w:val="26"/>
          <w:highlight w:val="none"/>
        </w:rPr>
        <w:t>合川</w:t>
      </w:r>
      <w:r>
        <w:rPr>
          <w:rFonts w:ascii="Times New Roman" w:hAnsi="Times New Roman" w:cs="Times New Roman"/>
          <w:color w:val="auto"/>
          <w:sz w:val="26"/>
          <w:szCs w:val="26"/>
          <w:highlight w:val="none"/>
        </w:rPr>
        <w:t>区</w:t>
      </w:r>
      <w:r>
        <w:rPr>
          <w:rFonts w:hint="eastAsia" w:ascii="Times New Roman" w:hAnsi="Times New Roman" w:cs="Times New Roman"/>
          <w:color w:val="auto"/>
          <w:sz w:val="26"/>
          <w:szCs w:val="26"/>
          <w:highlight w:val="none"/>
        </w:rPr>
        <w:t>大气</w:t>
      </w:r>
      <w:r>
        <w:rPr>
          <w:rFonts w:ascii="Times New Roman" w:hAnsi="Times New Roman" w:cs="Times New Roman"/>
          <w:color w:val="auto"/>
          <w:sz w:val="26"/>
          <w:szCs w:val="26"/>
          <w:highlight w:val="none"/>
        </w:rPr>
        <w:t>环境质量</w:t>
      </w:r>
      <w:r>
        <w:rPr>
          <w:rFonts w:hint="eastAsia" w:ascii="Times New Roman" w:hAnsi="Times New Roman" w:cs="Times New Roman"/>
          <w:color w:val="auto"/>
          <w:sz w:val="26"/>
          <w:szCs w:val="26"/>
          <w:highlight w:val="none"/>
        </w:rPr>
        <w:t>不</w:t>
      </w:r>
      <w:r>
        <w:rPr>
          <w:rFonts w:ascii="Times New Roman" w:hAnsi="Times New Roman" w:cs="Times New Roman"/>
          <w:color w:val="auto"/>
          <w:sz w:val="26"/>
          <w:szCs w:val="26"/>
          <w:highlight w:val="none"/>
        </w:rPr>
        <w:t>达标情况</w:t>
      </w:r>
      <w:r>
        <w:rPr>
          <w:rFonts w:hint="eastAsia" w:ascii="Times New Roman" w:hAnsi="Times New Roman" w:cs="Times New Roman"/>
          <w:color w:val="auto"/>
          <w:sz w:val="26"/>
          <w:szCs w:val="26"/>
          <w:highlight w:val="none"/>
        </w:rPr>
        <w:t>，项目施工期、运营期废气排放量较少，主要为施工扬尘等，通过严格落实各项大气污染防治措施后，不会造成区域大气环境质量恶化</w:t>
      </w:r>
      <w:r>
        <w:rPr>
          <w:rFonts w:ascii="Times New Roman" w:hAnsi="Times New Roman" w:cs="Times New Roman"/>
          <w:color w:val="auto"/>
          <w:kern w:val="0"/>
          <w:sz w:val="26"/>
          <w:szCs w:val="26"/>
          <w:highlight w:val="none"/>
          <w:lang w:val="zh-CN"/>
        </w:rPr>
        <w:t>。</w:t>
      </w:r>
      <w:r>
        <w:rPr>
          <w:rFonts w:hint="eastAsia" w:ascii="Times New Roman" w:hAnsi="Times New Roman" w:cs="Times New Roman"/>
          <w:color w:val="auto"/>
          <w:kern w:val="0"/>
          <w:sz w:val="26"/>
          <w:szCs w:val="26"/>
          <w:highlight w:val="none"/>
          <w:lang w:val="zh-CN"/>
        </w:rPr>
        <w:t>且项目实施后，可有效提升涪江航道通航效率，提供区域水运能力，对区域大气环境质量改善起到积极作用。</w:t>
      </w:r>
    </w:p>
    <w:p>
      <w:pPr>
        <w:pStyle w:val="5"/>
        <w:ind w:firstLine="522"/>
        <w:rPr>
          <w:color w:val="auto"/>
          <w:highlight w:val="none"/>
        </w:rPr>
      </w:pPr>
      <w:r>
        <w:rPr>
          <w:rFonts w:hint="eastAsia"/>
          <w:color w:val="auto"/>
          <w:highlight w:val="none"/>
        </w:rPr>
        <w:t>地表水</w:t>
      </w:r>
      <w:r>
        <w:rPr>
          <w:color w:val="auto"/>
          <w:highlight w:val="none"/>
        </w:rPr>
        <w:t>环境现状调查与评价</w:t>
      </w:r>
    </w:p>
    <w:p>
      <w:pPr>
        <w:ind w:firstLine="520"/>
        <w:rPr>
          <w:color w:val="auto"/>
          <w:szCs w:val="26"/>
          <w:highlight w:val="none"/>
        </w:rPr>
      </w:pPr>
      <w:r>
        <w:rPr>
          <w:rFonts w:hint="eastAsia"/>
          <w:color w:val="auto"/>
          <w:szCs w:val="26"/>
          <w:highlight w:val="none"/>
        </w:rPr>
        <w:t>（1）水环境质量现状调查</w:t>
      </w:r>
    </w:p>
    <w:p>
      <w:pPr>
        <w:ind w:firstLine="520" w:firstLineChars="0"/>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 xml:space="preserve">根据《环境影响评价技术导则 地表水环境》(HJ 2.3-2018)要求，水环境质量现状调查应优先采用国务院生态环境主管部门统一发布的水环境状况信息。当现有资料不能满足要求时，应按照不同等级对应的评价时期要求开展现状监测。为此，本次在收集涪江干流例行监测数据的基础上，进行了补充监测。 </w:t>
      </w:r>
    </w:p>
    <w:p>
      <w:pPr>
        <w:ind w:firstLine="520" w:firstLineChars="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GB3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①</w:t>
      </w:r>
      <w:r>
        <w:rPr>
          <w:rFonts w:hint="default" w:ascii="Times New Roman" w:hAnsi="Times New Roman" w:cs="Times New Roman"/>
          <w:color w:val="auto"/>
          <w:highlight w:val="none"/>
        </w:rPr>
        <w:fldChar w:fldCharType="end"/>
      </w:r>
      <w:r>
        <w:rPr>
          <w:rFonts w:hint="eastAsia" w:cs="Times New Roman"/>
          <w:color w:val="auto"/>
          <w:highlight w:val="none"/>
          <w:lang w:eastAsia="zh-CN"/>
        </w:rPr>
        <w:t>例行监测数据</w:t>
      </w:r>
    </w:p>
    <w:p>
      <w:pPr>
        <w:pStyle w:val="197"/>
        <w:ind w:firstLine="520"/>
        <w:jc w:val="both"/>
        <w:rPr>
          <w:color w:val="auto"/>
          <w:highlight w:val="none"/>
          <w:lang w:val="zh-CN"/>
        </w:rPr>
      </w:pPr>
      <w:r>
        <w:rPr>
          <w:rFonts w:hint="eastAsia"/>
          <w:color w:val="auto"/>
          <w:highlight w:val="none"/>
          <w:lang w:val="zh-CN"/>
        </w:rPr>
        <w:t>本次评价收集了涪江合川</w:t>
      </w:r>
      <w:r>
        <w:rPr>
          <w:rFonts w:hint="eastAsia"/>
          <w:color w:val="auto"/>
          <w:highlight w:val="none"/>
        </w:rPr>
        <w:t>区</w:t>
      </w:r>
      <w:r>
        <w:rPr>
          <w:rFonts w:hint="eastAsia"/>
          <w:color w:val="auto"/>
          <w:highlight w:val="none"/>
          <w:lang w:val="zh-CN"/>
        </w:rPr>
        <w:t>太和</w:t>
      </w:r>
      <w:r>
        <w:rPr>
          <w:rFonts w:hint="eastAsia"/>
          <w:color w:val="auto"/>
          <w:highlight w:val="none"/>
        </w:rPr>
        <w:t>断面和</w:t>
      </w:r>
      <w:r>
        <w:rPr>
          <w:rFonts w:hint="eastAsia"/>
          <w:color w:val="auto"/>
          <w:highlight w:val="none"/>
          <w:lang w:val="zh-CN"/>
        </w:rPr>
        <w:t>大桥</w:t>
      </w:r>
      <w:r>
        <w:rPr>
          <w:rFonts w:hint="eastAsia"/>
          <w:color w:val="auto"/>
          <w:highlight w:val="none"/>
        </w:rPr>
        <w:t>断面</w:t>
      </w:r>
      <w:r>
        <w:rPr>
          <w:rFonts w:hint="eastAsia"/>
          <w:color w:val="auto"/>
          <w:highlight w:val="none"/>
          <w:lang w:val="zh-CN"/>
        </w:rPr>
        <w:t>20</w:t>
      </w:r>
      <w:r>
        <w:rPr>
          <w:rFonts w:hint="eastAsia"/>
          <w:color w:val="auto"/>
          <w:highlight w:val="none"/>
        </w:rPr>
        <w:t>2</w:t>
      </w:r>
      <w:r>
        <w:rPr>
          <w:rFonts w:hint="eastAsia"/>
          <w:color w:val="auto"/>
          <w:highlight w:val="none"/>
          <w:lang w:val="en-US" w:eastAsia="zh-CN"/>
        </w:rPr>
        <w:t>4</w:t>
      </w:r>
      <w:r>
        <w:rPr>
          <w:rFonts w:hint="eastAsia"/>
          <w:color w:val="auto"/>
          <w:highlight w:val="none"/>
          <w:lang w:val="zh-CN"/>
        </w:rPr>
        <w:t>年的</w:t>
      </w:r>
      <w:r>
        <w:rPr>
          <w:rFonts w:hint="eastAsia"/>
          <w:color w:val="auto"/>
          <w:highlight w:val="none"/>
        </w:rPr>
        <w:t>例行</w:t>
      </w:r>
      <w:r>
        <w:rPr>
          <w:rFonts w:hint="eastAsia"/>
          <w:color w:val="auto"/>
          <w:highlight w:val="none"/>
          <w:lang w:val="zh-CN"/>
        </w:rPr>
        <w:t>监测数据进行现状质量分析，详见下表：</w:t>
      </w:r>
    </w:p>
    <w:p>
      <w:pPr>
        <w:pStyle w:val="197"/>
        <w:spacing w:line="240" w:lineRule="auto"/>
        <w:ind w:firstLine="0" w:firstLineChars="0"/>
        <w:jc w:val="center"/>
        <w:rPr>
          <w:color w:val="auto"/>
          <w:kern w:val="0"/>
          <w:szCs w:val="26"/>
          <w:highlight w:val="none"/>
          <w:lang w:val="zh-CN"/>
        </w:rPr>
      </w:pPr>
    </w:p>
    <w:p>
      <w:pPr>
        <w:pStyle w:val="197"/>
        <w:spacing w:line="240" w:lineRule="auto"/>
        <w:ind w:firstLine="0" w:firstLineChars="0"/>
        <w:jc w:val="center"/>
        <w:rPr>
          <w:rFonts w:hint="default" w:eastAsia="宋体"/>
          <w:color w:val="auto"/>
          <w:highlight w:val="none"/>
          <w:lang w:val="en-US" w:eastAsia="zh-CN"/>
        </w:rPr>
      </w:pPr>
      <w:r>
        <w:rPr>
          <w:color w:val="auto"/>
          <w:kern w:val="0"/>
          <w:szCs w:val="26"/>
          <w:highlight w:val="none"/>
          <w:lang w:val="zh-CN"/>
        </w:rPr>
        <w:t>表3.</w:t>
      </w:r>
      <w:r>
        <w:rPr>
          <w:rFonts w:hint="eastAsia"/>
          <w:color w:val="auto"/>
          <w:kern w:val="0"/>
          <w:szCs w:val="26"/>
          <w:highlight w:val="none"/>
        </w:rPr>
        <w:t>3</w:t>
      </w:r>
      <w:r>
        <w:rPr>
          <w:rFonts w:hint="eastAsia"/>
          <w:color w:val="auto"/>
          <w:kern w:val="0"/>
          <w:szCs w:val="26"/>
          <w:highlight w:val="none"/>
          <w:lang w:val="en-US" w:eastAsia="zh-CN"/>
        </w:rPr>
        <w:t xml:space="preserve">.2-1 </w:t>
      </w:r>
      <w:r>
        <w:rPr>
          <w:color w:val="auto"/>
          <w:kern w:val="0"/>
          <w:szCs w:val="26"/>
          <w:highlight w:val="none"/>
          <w:lang w:val="zh-CN"/>
        </w:rPr>
        <w:t xml:space="preserve"> </w:t>
      </w:r>
      <w:r>
        <w:rPr>
          <w:rFonts w:hint="eastAsia"/>
          <w:color w:val="auto"/>
          <w:kern w:val="0"/>
          <w:szCs w:val="26"/>
          <w:highlight w:val="none"/>
          <w:lang w:val="zh-CN"/>
        </w:rPr>
        <w:t>涪江</w:t>
      </w:r>
      <w:r>
        <w:rPr>
          <w:rFonts w:hint="eastAsia"/>
          <w:color w:val="auto"/>
          <w:kern w:val="0"/>
          <w:szCs w:val="26"/>
          <w:highlight w:val="none"/>
        </w:rPr>
        <w:t>例行监测</w:t>
      </w:r>
      <w:r>
        <w:rPr>
          <w:color w:val="auto"/>
          <w:kern w:val="0"/>
          <w:szCs w:val="26"/>
          <w:highlight w:val="none"/>
          <w:lang w:val="zh-CN"/>
        </w:rPr>
        <w:t>断面</w:t>
      </w:r>
      <w:r>
        <w:rPr>
          <w:rFonts w:hint="eastAsia"/>
          <w:color w:val="auto"/>
          <w:kern w:val="0"/>
          <w:szCs w:val="26"/>
          <w:highlight w:val="none"/>
        </w:rPr>
        <w:t>20</w:t>
      </w:r>
      <w:r>
        <w:rPr>
          <w:rFonts w:hint="eastAsia"/>
          <w:color w:val="auto"/>
          <w:kern w:val="0"/>
          <w:szCs w:val="26"/>
          <w:highlight w:val="none"/>
          <w:lang w:val="en-US" w:eastAsia="zh-CN"/>
        </w:rPr>
        <w:t>24</w:t>
      </w:r>
      <w:r>
        <w:rPr>
          <w:rFonts w:hint="eastAsia"/>
          <w:color w:val="auto"/>
          <w:kern w:val="0"/>
          <w:szCs w:val="26"/>
          <w:highlight w:val="none"/>
        </w:rPr>
        <w:t>年</w:t>
      </w:r>
      <w:r>
        <w:rPr>
          <w:color w:val="auto"/>
          <w:kern w:val="0"/>
          <w:szCs w:val="26"/>
          <w:highlight w:val="none"/>
          <w:lang w:val="zh-CN"/>
        </w:rPr>
        <w:t>水质监测结果</w:t>
      </w:r>
      <w:r>
        <w:rPr>
          <w:rFonts w:hint="eastAsia"/>
          <w:color w:val="auto"/>
          <w:kern w:val="0"/>
          <w:szCs w:val="26"/>
          <w:highlight w:val="none"/>
          <w:lang w:val="en-US" w:eastAsia="zh-CN"/>
        </w:rPr>
        <w:t xml:space="preserve"> </w:t>
      </w:r>
      <w:r>
        <w:rPr>
          <w:rFonts w:hint="eastAsia"/>
          <w:color w:val="auto"/>
          <w:kern w:val="0"/>
          <w:sz w:val="22"/>
          <w:szCs w:val="22"/>
          <w:highlight w:val="none"/>
          <w:lang w:val="en-US" w:eastAsia="zh-CN"/>
        </w:rPr>
        <w:t xml:space="preserve"> </w:t>
      </w:r>
      <w:r>
        <w:rPr>
          <w:rFonts w:hint="eastAsia"/>
          <w:color w:val="auto"/>
          <w:kern w:val="0"/>
          <w:sz w:val="22"/>
          <w:szCs w:val="22"/>
          <w:highlight w:val="none"/>
          <w:lang w:val="zh-CN"/>
        </w:rPr>
        <w:t>单位：</w:t>
      </w:r>
      <w:r>
        <w:rPr>
          <w:rFonts w:hint="eastAsia"/>
          <w:color w:val="auto"/>
          <w:kern w:val="0"/>
          <w:sz w:val="22"/>
          <w:szCs w:val="22"/>
          <w:highlight w:val="none"/>
          <w:lang w:val="en-US" w:eastAsia="zh-CN"/>
        </w:rPr>
        <w:t>mg/L</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3"/>
        <w:gridCol w:w="832"/>
        <w:gridCol w:w="1009"/>
        <w:gridCol w:w="955"/>
        <w:gridCol w:w="1609"/>
        <w:gridCol w:w="954"/>
        <w:gridCol w:w="873"/>
        <w:gridCol w:w="930"/>
        <w:gridCol w:w="8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noWrap/>
            <w:vAlign w:val="center"/>
          </w:tcPr>
          <w:p>
            <w:pPr>
              <w:widowControl/>
              <w:spacing w:line="240" w:lineRule="auto"/>
              <w:ind w:firstLine="0" w:firstLineChars="0"/>
              <w:jc w:val="center"/>
              <w:rPr>
                <w:rFonts w:cs="Times New Roman"/>
                <w:color w:val="auto"/>
                <w:kern w:val="0"/>
                <w:sz w:val="22"/>
                <w:highlight w:val="none"/>
              </w:rPr>
            </w:pPr>
            <w:r>
              <w:rPr>
                <w:rFonts w:cs="Times New Roman"/>
                <w:color w:val="auto"/>
                <w:kern w:val="0"/>
                <w:sz w:val="22"/>
                <w:highlight w:val="none"/>
              </w:rPr>
              <w:t>断面</w:t>
            </w: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cs="Times New Roman"/>
                <w:color w:val="auto"/>
                <w:kern w:val="0"/>
                <w:sz w:val="22"/>
                <w:highlight w:val="none"/>
              </w:rPr>
              <w:t>时间</w:t>
            </w:r>
          </w:p>
        </w:tc>
        <w:tc>
          <w:tcPr>
            <w:tcW w:w="1009" w:type="dxa"/>
            <w:noWrap/>
            <w:vAlign w:val="center"/>
          </w:tcPr>
          <w:p>
            <w:pPr>
              <w:widowControl/>
              <w:spacing w:line="240" w:lineRule="auto"/>
              <w:ind w:firstLine="0" w:firstLineChars="0"/>
              <w:jc w:val="center"/>
              <w:rPr>
                <w:rFonts w:hint="eastAsia" w:eastAsia="宋体" w:cs="Times New Roman"/>
                <w:color w:val="auto"/>
                <w:kern w:val="0"/>
                <w:sz w:val="22"/>
                <w:highlight w:val="none"/>
                <w:lang w:val="en-US" w:eastAsia="zh-CN"/>
              </w:rPr>
            </w:pPr>
            <w:r>
              <w:rPr>
                <w:rFonts w:cs="Times New Roman"/>
                <w:color w:val="auto"/>
                <w:kern w:val="0"/>
                <w:sz w:val="22"/>
                <w:highlight w:val="none"/>
              </w:rPr>
              <w:t>pH</w:t>
            </w:r>
            <w:r>
              <w:rPr>
                <w:rFonts w:hint="eastAsia" w:cs="Times New Roman"/>
                <w:color w:val="auto"/>
                <w:kern w:val="0"/>
                <w:sz w:val="22"/>
                <w:highlight w:val="none"/>
                <w:lang w:val="en-US" w:eastAsia="zh-CN"/>
              </w:rPr>
              <w:t>(</w:t>
            </w:r>
            <w:r>
              <w:rPr>
                <w:rFonts w:cs="Times New Roman"/>
                <w:color w:val="auto"/>
                <w:kern w:val="0"/>
                <w:sz w:val="22"/>
                <w:highlight w:val="none"/>
              </w:rPr>
              <w:t>无量纲</w:t>
            </w:r>
            <w:r>
              <w:rPr>
                <w:rFonts w:hint="eastAsia" w:cs="Times New Roman"/>
                <w:color w:val="auto"/>
                <w:kern w:val="0"/>
                <w:sz w:val="22"/>
                <w:highlight w:val="none"/>
                <w:lang w:val="en-US" w:eastAsia="zh-CN"/>
              </w:rPr>
              <w:t>)</w:t>
            </w:r>
          </w:p>
        </w:tc>
        <w:tc>
          <w:tcPr>
            <w:tcW w:w="955" w:type="dxa"/>
            <w:noWrap/>
            <w:vAlign w:val="center"/>
          </w:tcPr>
          <w:p>
            <w:pPr>
              <w:widowControl/>
              <w:spacing w:line="240" w:lineRule="auto"/>
              <w:ind w:firstLine="0" w:firstLineChars="0"/>
              <w:jc w:val="center"/>
              <w:rPr>
                <w:rFonts w:cs="Times New Roman"/>
                <w:color w:val="auto"/>
                <w:kern w:val="0"/>
                <w:sz w:val="22"/>
                <w:highlight w:val="none"/>
              </w:rPr>
            </w:pPr>
            <w:r>
              <w:rPr>
                <w:rFonts w:cs="Times New Roman"/>
                <w:color w:val="auto"/>
                <w:kern w:val="0"/>
                <w:sz w:val="22"/>
                <w:highlight w:val="none"/>
              </w:rPr>
              <w:t>溶解氧</w:t>
            </w:r>
          </w:p>
        </w:tc>
        <w:tc>
          <w:tcPr>
            <w:tcW w:w="1609" w:type="dxa"/>
            <w:noWrap/>
            <w:vAlign w:val="center"/>
          </w:tcPr>
          <w:p>
            <w:pPr>
              <w:widowControl/>
              <w:spacing w:line="240" w:lineRule="auto"/>
              <w:ind w:firstLine="0" w:firstLineChars="0"/>
              <w:jc w:val="center"/>
              <w:rPr>
                <w:rFonts w:cs="Times New Roman"/>
                <w:color w:val="auto"/>
                <w:kern w:val="0"/>
                <w:sz w:val="22"/>
                <w:highlight w:val="none"/>
              </w:rPr>
            </w:pPr>
            <w:r>
              <w:rPr>
                <w:rFonts w:cs="Times New Roman"/>
                <w:color w:val="auto"/>
                <w:kern w:val="0"/>
                <w:sz w:val="22"/>
                <w:highlight w:val="none"/>
              </w:rPr>
              <w:t>高锰酸盐指数</w:t>
            </w:r>
          </w:p>
        </w:tc>
        <w:tc>
          <w:tcPr>
            <w:tcW w:w="954"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化学</w:t>
            </w:r>
            <w:r>
              <w:rPr>
                <w:rFonts w:cs="Times New Roman"/>
                <w:color w:val="auto"/>
                <w:kern w:val="0"/>
                <w:sz w:val="22"/>
                <w:highlight w:val="none"/>
              </w:rPr>
              <w:t>需氧量</w:t>
            </w:r>
          </w:p>
        </w:tc>
        <w:tc>
          <w:tcPr>
            <w:tcW w:w="873" w:type="dxa"/>
            <w:noWrap/>
            <w:vAlign w:val="center"/>
          </w:tcPr>
          <w:p>
            <w:pPr>
              <w:widowControl/>
              <w:spacing w:line="240" w:lineRule="auto"/>
              <w:ind w:firstLine="0" w:firstLineChars="0"/>
              <w:jc w:val="center"/>
              <w:rPr>
                <w:rFonts w:cs="Times New Roman"/>
                <w:color w:val="auto"/>
                <w:kern w:val="0"/>
                <w:sz w:val="22"/>
                <w:highlight w:val="none"/>
              </w:rPr>
            </w:pPr>
            <w:r>
              <w:rPr>
                <w:rFonts w:cs="Times New Roman"/>
                <w:color w:val="auto"/>
                <w:kern w:val="0"/>
                <w:sz w:val="22"/>
                <w:highlight w:val="none"/>
              </w:rPr>
              <w:t>氨氮</w:t>
            </w:r>
          </w:p>
        </w:tc>
        <w:tc>
          <w:tcPr>
            <w:tcW w:w="930" w:type="dxa"/>
            <w:noWrap/>
            <w:vAlign w:val="center"/>
          </w:tcPr>
          <w:p>
            <w:pPr>
              <w:widowControl/>
              <w:spacing w:line="240" w:lineRule="auto"/>
              <w:ind w:firstLine="0" w:firstLineChars="0"/>
              <w:jc w:val="center"/>
              <w:rPr>
                <w:rFonts w:cs="Times New Roman"/>
                <w:color w:val="auto"/>
                <w:kern w:val="0"/>
                <w:sz w:val="22"/>
                <w:highlight w:val="none"/>
              </w:rPr>
            </w:pPr>
            <w:r>
              <w:rPr>
                <w:rFonts w:cs="Times New Roman"/>
                <w:color w:val="auto"/>
                <w:kern w:val="0"/>
                <w:sz w:val="22"/>
                <w:highlight w:val="none"/>
              </w:rPr>
              <w:t>总磷</w:t>
            </w:r>
          </w:p>
        </w:tc>
        <w:tc>
          <w:tcPr>
            <w:tcW w:w="823" w:type="dxa"/>
            <w:noWrap/>
            <w:vAlign w:val="center"/>
          </w:tcPr>
          <w:p>
            <w:pPr>
              <w:widowControl/>
              <w:spacing w:line="240" w:lineRule="auto"/>
              <w:ind w:firstLine="0" w:firstLineChars="0"/>
              <w:jc w:val="center"/>
              <w:rPr>
                <w:rFonts w:cs="Times New Roman"/>
                <w:color w:val="auto"/>
                <w:kern w:val="0"/>
                <w:sz w:val="22"/>
                <w:highlight w:val="none"/>
              </w:rPr>
            </w:pPr>
            <w:r>
              <w:rPr>
                <w:rFonts w:cs="Times New Roman"/>
                <w:color w:val="auto"/>
                <w:kern w:val="0"/>
                <w:sz w:val="22"/>
                <w:highlight w:val="none"/>
              </w:rPr>
              <w:t>水质类别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restart"/>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太和断面</w:t>
            </w: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1月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9.3</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1.7</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6.5</w:t>
            </w: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0.24</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0.04</w:t>
            </w:r>
          </w:p>
        </w:tc>
        <w:tc>
          <w:tcPr>
            <w:tcW w:w="82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2月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10.3</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1.8</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0.16</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0.05</w:t>
            </w:r>
          </w:p>
        </w:tc>
        <w:tc>
          <w:tcPr>
            <w:tcW w:w="82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3月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9</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15.7</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2</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0.13</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0.07</w:t>
            </w:r>
          </w:p>
        </w:tc>
        <w:tc>
          <w:tcPr>
            <w:tcW w:w="82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4月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11</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2.2</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8.5</w:t>
            </w: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0.24</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0.03</w:t>
            </w:r>
          </w:p>
        </w:tc>
        <w:tc>
          <w:tcPr>
            <w:tcW w:w="82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5月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11</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2.6</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0.34</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0.05</w:t>
            </w:r>
          </w:p>
        </w:tc>
        <w:tc>
          <w:tcPr>
            <w:tcW w:w="82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6月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5.4</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2</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0.12</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0.055</w:t>
            </w:r>
          </w:p>
        </w:tc>
        <w:tc>
          <w:tcPr>
            <w:tcW w:w="82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7月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6.7</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3.4</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12</w:t>
            </w: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0.3</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0.09</w:t>
            </w:r>
          </w:p>
        </w:tc>
        <w:tc>
          <w:tcPr>
            <w:tcW w:w="82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8月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8.6</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3</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0.09</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0.045</w:t>
            </w:r>
          </w:p>
        </w:tc>
        <w:tc>
          <w:tcPr>
            <w:tcW w:w="82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9月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7.6</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2</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0.12</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0.02</w:t>
            </w:r>
          </w:p>
        </w:tc>
        <w:tc>
          <w:tcPr>
            <w:tcW w:w="82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Ⅰ类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10月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13.3</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3</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10.5</w:t>
            </w: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0.4</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0.04</w:t>
            </w:r>
          </w:p>
        </w:tc>
        <w:tc>
          <w:tcPr>
            <w:tcW w:w="82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11月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8.8</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1.2</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0.05</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0.039</w:t>
            </w:r>
          </w:p>
        </w:tc>
        <w:tc>
          <w:tcPr>
            <w:tcW w:w="82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12月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9.6</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0.9</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0.05</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0.038</w:t>
            </w:r>
          </w:p>
        </w:tc>
        <w:tc>
          <w:tcPr>
            <w:tcW w:w="82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restart"/>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大桥断面</w:t>
            </w: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1月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7</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10.5</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2.6</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11.5</w:t>
            </w: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0.18</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0.08</w:t>
            </w:r>
          </w:p>
        </w:tc>
        <w:tc>
          <w:tcPr>
            <w:tcW w:w="823" w:type="dxa"/>
            <w:noWrap/>
            <w:vAlign w:val="center"/>
          </w:tcPr>
          <w:p>
            <w:pPr>
              <w:widowControl/>
              <w:spacing w:line="240" w:lineRule="auto"/>
              <w:ind w:firstLine="0" w:firstLineChars="0"/>
              <w:jc w:val="center"/>
              <w:rPr>
                <w:rFonts w:hint="eastAsia"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2月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9</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11.2</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2.4</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0.15</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0.06</w:t>
            </w:r>
          </w:p>
        </w:tc>
        <w:tc>
          <w:tcPr>
            <w:tcW w:w="823" w:type="dxa"/>
            <w:noWrap/>
            <w:vAlign w:val="center"/>
          </w:tcPr>
          <w:p>
            <w:pPr>
              <w:widowControl/>
              <w:spacing w:line="240" w:lineRule="auto"/>
              <w:ind w:firstLine="0" w:firstLineChars="0"/>
              <w:jc w:val="center"/>
              <w:rPr>
                <w:rFonts w:hint="eastAsia"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3月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9</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10.8</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3</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0.14</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0.06</w:t>
            </w:r>
          </w:p>
        </w:tc>
        <w:tc>
          <w:tcPr>
            <w:tcW w:w="823" w:type="dxa"/>
            <w:noWrap/>
            <w:vAlign w:val="center"/>
          </w:tcPr>
          <w:p>
            <w:pPr>
              <w:widowControl/>
              <w:spacing w:line="240" w:lineRule="auto"/>
              <w:ind w:firstLine="0" w:firstLineChars="0"/>
              <w:jc w:val="center"/>
              <w:rPr>
                <w:rFonts w:hint="eastAsia"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4月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8.8</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2.1</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7</w:t>
            </w: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0.31</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0.06</w:t>
            </w:r>
          </w:p>
        </w:tc>
        <w:tc>
          <w:tcPr>
            <w:tcW w:w="823" w:type="dxa"/>
            <w:noWrap/>
            <w:vAlign w:val="center"/>
          </w:tcPr>
          <w:p>
            <w:pPr>
              <w:widowControl/>
              <w:spacing w:line="240" w:lineRule="auto"/>
              <w:ind w:firstLine="0" w:firstLineChars="0"/>
              <w:jc w:val="center"/>
              <w:rPr>
                <w:rFonts w:hint="eastAsia"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5月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7.4</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2.8</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0.19</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0.085</w:t>
            </w:r>
          </w:p>
        </w:tc>
        <w:tc>
          <w:tcPr>
            <w:tcW w:w="823" w:type="dxa"/>
            <w:noWrap/>
            <w:vAlign w:val="center"/>
          </w:tcPr>
          <w:p>
            <w:pPr>
              <w:widowControl/>
              <w:spacing w:line="240" w:lineRule="auto"/>
              <w:ind w:firstLine="0" w:firstLineChars="0"/>
              <w:jc w:val="center"/>
              <w:rPr>
                <w:rFonts w:hint="eastAsia"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6月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7.7</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5</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0.28</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0.095</w:t>
            </w:r>
          </w:p>
        </w:tc>
        <w:tc>
          <w:tcPr>
            <w:tcW w:w="823" w:type="dxa"/>
            <w:noWrap/>
            <w:vAlign w:val="center"/>
          </w:tcPr>
          <w:p>
            <w:pPr>
              <w:widowControl/>
              <w:spacing w:line="240" w:lineRule="auto"/>
              <w:ind w:firstLine="0" w:firstLineChars="0"/>
              <w:jc w:val="center"/>
              <w:rPr>
                <w:rFonts w:hint="eastAsia"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7月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7</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6.3</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2.8</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9.5</w:t>
            </w: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0.46</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0.05</w:t>
            </w:r>
          </w:p>
        </w:tc>
        <w:tc>
          <w:tcPr>
            <w:tcW w:w="823" w:type="dxa"/>
            <w:noWrap/>
            <w:vAlign w:val="center"/>
          </w:tcPr>
          <w:p>
            <w:pPr>
              <w:widowControl/>
              <w:spacing w:line="240" w:lineRule="auto"/>
              <w:ind w:firstLine="0" w:firstLineChars="0"/>
              <w:jc w:val="center"/>
              <w:rPr>
                <w:rFonts w:hint="eastAsia"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8月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7.5</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3.9</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0.12</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0.05</w:t>
            </w:r>
          </w:p>
        </w:tc>
        <w:tc>
          <w:tcPr>
            <w:tcW w:w="823" w:type="dxa"/>
            <w:noWrap/>
            <w:vAlign w:val="center"/>
          </w:tcPr>
          <w:p>
            <w:pPr>
              <w:widowControl/>
              <w:spacing w:line="240" w:lineRule="auto"/>
              <w:ind w:firstLine="0" w:firstLineChars="0"/>
              <w:jc w:val="center"/>
              <w:rPr>
                <w:rFonts w:hint="eastAsia"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9月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7.7</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3.1</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0.16</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0.1</w:t>
            </w:r>
          </w:p>
        </w:tc>
        <w:tc>
          <w:tcPr>
            <w:tcW w:w="823" w:type="dxa"/>
            <w:noWrap/>
            <w:vAlign w:val="center"/>
          </w:tcPr>
          <w:p>
            <w:pPr>
              <w:widowControl/>
              <w:spacing w:line="240" w:lineRule="auto"/>
              <w:ind w:firstLine="0" w:firstLineChars="0"/>
              <w:jc w:val="center"/>
              <w:rPr>
                <w:rFonts w:hint="eastAsia"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Ⅰ类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10月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7.7</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3</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10.5</w:t>
            </w: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0.03</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0.055</w:t>
            </w:r>
          </w:p>
        </w:tc>
        <w:tc>
          <w:tcPr>
            <w:tcW w:w="823" w:type="dxa"/>
            <w:noWrap/>
            <w:vAlign w:val="center"/>
          </w:tcPr>
          <w:p>
            <w:pPr>
              <w:widowControl/>
              <w:spacing w:line="240" w:lineRule="auto"/>
              <w:ind w:firstLine="0" w:firstLineChars="0"/>
              <w:jc w:val="center"/>
              <w:rPr>
                <w:rFonts w:hint="eastAsia"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lang w:val="en-US" w:eastAsia="zh-CN"/>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11月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7.8</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2.5</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0.05</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0.055</w:t>
            </w:r>
          </w:p>
        </w:tc>
        <w:tc>
          <w:tcPr>
            <w:tcW w:w="82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Ⅱ类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93" w:type="dxa"/>
            <w:vMerge w:val="continue"/>
            <w:noWrap/>
            <w:vAlign w:val="center"/>
          </w:tcPr>
          <w:p>
            <w:pPr>
              <w:widowControl/>
              <w:spacing w:line="240" w:lineRule="auto"/>
              <w:ind w:firstLine="0" w:firstLineChars="0"/>
              <w:jc w:val="center"/>
              <w:rPr>
                <w:rFonts w:cs="Times New Roman"/>
                <w:color w:val="auto"/>
                <w:kern w:val="0"/>
                <w:sz w:val="22"/>
                <w:highlight w:val="none"/>
              </w:rPr>
            </w:pPr>
          </w:p>
        </w:tc>
        <w:tc>
          <w:tcPr>
            <w:tcW w:w="832" w:type="dxa"/>
            <w:noWrap/>
            <w:vAlign w:val="center"/>
          </w:tcPr>
          <w:p>
            <w:pPr>
              <w:widowControl/>
              <w:spacing w:line="240" w:lineRule="auto"/>
              <w:ind w:firstLine="0" w:firstLineChars="0"/>
              <w:jc w:val="center"/>
              <w:rPr>
                <w:rFonts w:cs="Times New Roman"/>
                <w:color w:val="auto"/>
                <w:kern w:val="0"/>
                <w:sz w:val="22"/>
                <w:highlight w:val="none"/>
              </w:rPr>
            </w:pPr>
            <w:r>
              <w:rPr>
                <w:rFonts w:hint="eastAsia" w:cs="Times New Roman"/>
                <w:color w:val="auto"/>
                <w:kern w:val="0"/>
                <w:sz w:val="22"/>
                <w:highlight w:val="none"/>
              </w:rPr>
              <w:t>12月</w:t>
            </w:r>
          </w:p>
        </w:tc>
        <w:tc>
          <w:tcPr>
            <w:tcW w:w="10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8</w:t>
            </w:r>
          </w:p>
        </w:tc>
        <w:tc>
          <w:tcPr>
            <w:tcW w:w="955"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7.6</w:t>
            </w:r>
          </w:p>
        </w:tc>
        <w:tc>
          <w:tcPr>
            <w:tcW w:w="1609"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2.2</w:t>
            </w:r>
          </w:p>
        </w:tc>
        <w:tc>
          <w:tcPr>
            <w:tcW w:w="954"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p>
        </w:tc>
        <w:tc>
          <w:tcPr>
            <w:tcW w:w="87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0.12</w:t>
            </w:r>
          </w:p>
        </w:tc>
        <w:tc>
          <w:tcPr>
            <w:tcW w:w="930"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0.065</w:t>
            </w:r>
          </w:p>
        </w:tc>
        <w:tc>
          <w:tcPr>
            <w:tcW w:w="823" w:type="dxa"/>
            <w:noWrap/>
            <w:vAlign w:val="center"/>
          </w:tcPr>
          <w:p>
            <w:pPr>
              <w:widowControl/>
              <w:spacing w:line="240" w:lineRule="auto"/>
              <w:ind w:firstLine="0" w:firstLineChars="0"/>
              <w:jc w:val="center"/>
              <w:rPr>
                <w:rFonts w:ascii="Times New Roman" w:hAnsi="Times New Roman" w:eastAsia="宋体" w:cs="Times New Roman"/>
                <w:color w:val="auto"/>
                <w:kern w:val="0"/>
                <w:sz w:val="22"/>
                <w:highlight w:val="none"/>
              </w:rPr>
            </w:pPr>
            <w:r>
              <w:rPr>
                <w:rFonts w:hint="eastAsia" w:ascii="Times New Roman" w:hAnsi="Times New Roman" w:eastAsia="宋体" w:cs="Times New Roman"/>
                <w:color w:val="auto"/>
                <w:kern w:val="0"/>
                <w:sz w:val="22"/>
                <w:highlight w:val="none"/>
              </w:rPr>
              <w:t>Ⅱ类</w:t>
            </w:r>
          </w:p>
        </w:tc>
      </w:tr>
    </w:tbl>
    <w:p>
      <w:pPr>
        <w:pStyle w:val="197"/>
        <w:spacing w:line="240" w:lineRule="auto"/>
        <w:ind w:firstLine="520"/>
        <w:jc w:val="both"/>
        <w:rPr>
          <w:rFonts w:hint="eastAsia"/>
          <w:color w:val="auto"/>
          <w:highlight w:val="none"/>
        </w:rPr>
      </w:pPr>
    </w:p>
    <w:p>
      <w:pPr>
        <w:pStyle w:val="197"/>
        <w:ind w:firstLine="520"/>
        <w:jc w:val="both"/>
        <w:rPr>
          <w:color w:val="auto"/>
          <w:highlight w:val="none"/>
          <w:lang w:val="zh-CN"/>
        </w:rPr>
      </w:pPr>
      <w:r>
        <w:rPr>
          <w:rFonts w:hint="eastAsia"/>
          <w:color w:val="auto"/>
          <w:highlight w:val="none"/>
        </w:rPr>
        <w:t>由上表</w:t>
      </w:r>
      <w:r>
        <w:rPr>
          <w:rFonts w:hint="eastAsia"/>
          <w:color w:val="auto"/>
          <w:highlight w:val="none"/>
          <w:lang w:val="zh-CN"/>
        </w:rPr>
        <w:t>可知，</w:t>
      </w:r>
      <w:r>
        <w:rPr>
          <w:rFonts w:hint="eastAsia"/>
          <w:color w:val="auto"/>
          <w:highlight w:val="none"/>
        </w:rPr>
        <w:t>涪江太和、大桥</w:t>
      </w:r>
      <w:r>
        <w:rPr>
          <w:rFonts w:hint="eastAsia"/>
          <w:color w:val="auto"/>
          <w:highlight w:val="none"/>
          <w:lang w:val="zh-CN"/>
        </w:rPr>
        <w:t>例行断面各因子监测数据20</w:t>
      </w:r>
      <w:r>
        <w:rPr>
          <w:rFonts w:hint="eastAsia"/>
          <w:color w:val="auto"/>
          <w:highlight w:val="none"/>
        </w:rPr>
        <w:t>2</w:t>
      </w:r>
      <w:r>
        <w:rPr>
          <w:rFonts w:hint="eastAsia"/>
          <w:color w:val="auto"/>
          <w:highlight w:val="none"/>
          <w:lang w:val="en-US" w:eastAsia="zh-CN"/>
        </w:rPr>
        <w:t>4</w:t>
      </w:r>
      <w:r>
        <w:rPr>
          <w:rFonts w:hint="eastAsia"/>
          <w:color w:val="auto"/>
          <w:highlight w:val="none"/>
          <w:lang w:val="zh-CN"/>
        </w:rPr>
        <w:t>年</w:t>
      </w:r>
      <w:r>
        <w:rPr>
          <w:rFonts w:hint="eastAsia"/>
          <w:color w:val="auto"/>
          <w:highlight w:val="none"/>
        </w:rPr>
        <w:t>各月份</w:t>
      </w:r>
      <w:r>
        <w:rPr>
          <w:rFonts w:hint="eastAsia"/>
          <w:color w:val="auto"/>
          <w:highlight w:val="none"/>
          <w:lang w:eastAsia="zh-CN"/>
        </w:rPr>
        <w:t>、各水期</w:t>
      </w:r>
      <w:r>
        <w:rPr>
          <w:rFonts w:hint="eastAsia"/>
          <w:color w:val="auto"/>
          <w:highlight w:val="none"/>
          <w:lang w:val="zh-CN"/>
        </w:rPr>
        <w:t>浓度</w:t>
      </w:r>
      <w:r>
        <w:rPr>
          <w:rFonts w:hint="eastAsia"/>
          <w:color w:val="auto"/>
          <w:highlight w:val="none"/>
        </w:rPr>
        <w:t>均</w:t>
      </w:r>
      <w:r>
        <w:rPr>
          <w:rFonts w:hint="eastAsia"/>
          <w:color w:val="auto"/>
          <w:highlight w:val="none"/>
          <w:lang w:val="zh-CN"/>
        </w:rPr>
        <w:t>满足《地表水环境质量标准》（GB3838-2002）Ⅲ类标准要求。</w:t>
      </w:r>
    </w:p>
    <w:p>
      <w:pPr>
        <w:ind w:firstLine="520" w:firstLineChars="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2 \* GB3 \* MERGEFORMAT </w:instrText>
      </w:r>
      <w:r>
        <w:rPr>
          <w:rFonts w:hint="default" w:ascii="Times New Roman" w:hAnsi="Times New Roman" w:cs="Times New Roman"/>
          <w:color w:val="auto"/>
          <w:highlight w:val="none"/>
        </w:rPr>
        <w:fldChar w:fldCharType="separate"/>
      </w:r>
      <w:r>
        <w:rPr>
          <w:color w:val="auto"/>
          <w:highlight w:val="none"/>
        </w:rPr>
        <w:t>②</w:t>
      </w:r>
      <w:r>
        <w:rPr>
          <w:rFonts w:hint="default" w:ascii="Times New Roman" w:hAnsi="Times New Roman" w:cs="Times New Roman"/>
          <w:color w:val="auto"/>
          <w:highlight w:val="none"/>
        </w:rPr>
        <w:fldChar w:fldCharType="end"/>
      </w:r>
      <w:r>
        <w:rPr>
          <w:rFonts w:hint="eastAsia" w:cs="Times New Roman"/>
          <w:color w:val="auto"/>
          <w:highlight w:val="none"/>
          <w:lang w:eastAsia="zh-CN"/>
        </w:rPr>
        <w:t>补充监测</w:t>
      </w:r>
    </w:p>
    <w:p>
      <w:pPr>
        <w:ind w:firstLine="520" w:firstLineChars="0"/>
        <w:rPr>
          <w:rFonts w:hint="default" w:ascii="Times New Roman" w:hAnsi="Times New Roman" w:cs="Times New Roman"/>
          <w:color w:val="auto"/>
          <w:highlight w:val="none"/>
        </w:rPr>
      </w:pPr>
      <w:r>
        <w:rPr>
          <w:rFonts w:hint="eastAsia" w:cs="Times New Roman"/>
          <w:color w:val="auto"/>
          <w:highlight w:val="none"/>
          <w:lang w:val="en-US" w:eastAsia="zh-CN"/>
        </w:rPr>
        <w:t>A</w:t>
      </w:r>
      <w:r>
        <w:rPr>
          <w:rFonts w:hint="eastAsia" w:cs="Times New Roman"/>
          <w:color w:val="auto"/>
          <w:highlight w:val="none"/>
          <w:shd w:val="clear" w:fill="FFFFFF"/>
          <w:lang w:val="en-US" w:eastAsia="zh-CN"/>
        </w:rPr>
        <w:t>、</w:t>
      </w:r>
      <w:r>
        <w:rPr>
          <w:rFonts w:hint="default" w:ascii="Times New Roman" w:hAnsi="Times New Roman" w:cs="Times New Roman"/>
          <w:color w:val="auto"/>
          <w:highlight w:val="none"/>
        </w:rPr>
        <w:t>监测布点</w:t>
      </w:r>
    </w:p>
    <w:p>
      <w:pPr>
        <w:ind w:firstLine="52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本次评价</w:t>
      </w:r>
      <w:r>
        <w:rPr>
          <w:rFonts w:hint="eastAsia" w:cs="Times New Roman"/>
          <w:color w:val="auto"/>
          <w:highlight w:val="none"/>
          <w:lang w:eastAsia="zh-CN"/>
        </w:rPr>
        <w:t>在</w:t>
      </w:r>
      <w:r>
        <w:rPr>
          <w:rFonts w:hint="default" w:ascii="Times New Roman" w:hAnsi="Times New Roman" w:cs="Times New Roman"/>
          <w:color w:val="auto"/>
          <w:highlight w:val="none"/>
        </w:rPr>
        <w:t>引用已有监测数据</w:t>
      </w:r>
      <w:r>
        <w:rPr>
          <w:rFonts w:hint="eastAsia" w:cs="Times New Roman"/>
          <w:color w:val="auto"/>
          <w:highlight w:val="none"/>
          <w:lang w:eastAsia="zh-CN"/>
        </w:rPr>
        <w:t>基础上，对坝址下游进行了补充监测</w:t>
      </w:r>
      <w:r>
        <w:rPr>
          <w:rFonts w:hint="default" w:ascii="Times New Roman" w:hAnsi="Times New Roman" w:cs="Times New Roman"/>
          <w:color w:val="auto"/>
          <w:highlight w:val="none"/>
        </w:rPr>
        <w:t>。监测布点情况如下：</w:t>
      </w:r>
    </w:p>
    <w:p>
      <w:pPr>
        <w:pStyle w:val="36"/>
        <w:spacing w:line="240" w:lineRule="auto"/>
        <w:ind w:firstLine="480"/>
        <w:rPr>
          <w:rFonts w:hint="default" w:ascii="Times New Roman" w:hAnsi="Times New Roman" w:cs="Times New Roman"/>
          <w:color w:val="auto"/>
          <w:highlight w:val="none"/>
        </w:rPr>
      </w:pPr>
    </w:p>
    <w:p>
      <w:pPr>
        <w:tabs>
          <w:tab w:val="left" w:pos="6840"/>
        </w:tabs>
        <w:topLinePunct/>
        <w:spacing w:line="240" w:lineRule="auto"/>
        <w:ind w:firstLine="520"/>
        <w:jc w:val="center"/>
        <w:rPr>
          <w:rFonts w:hint="default" w:ascii="Times New Roman" w:hAnsi="Times New Roman" w:cs="Times New Roman" w:eastAsiaTheme="minorEastAsia"/>
          <w:bCs/>
          <w:color w:val="auto"/>
          <w:szCs w:val="26"/>
          <w:highlight w:val="none"/>
        </w:rPr>
      </w:pPr>
      <w:r>
        <w:rPr>
          <w:rFonts w:hint="default" w:ascii="Times New Roman" w:hAnsi="Times New Roman" w:cs="Times New Roman" w:eastAsiaTheme="minorEastAsia"/>
          <w:bCs/>
          <w:color w:val="auto"/>
          <w:szCs w:val="26"/>
          <w:highlight w:val="none"/>
        </w:rPr>
        <w:t>表</w:t>
      </w:r>
      <w:r>
        <w:rPr>
          <w:rFonts w:hint="eastAsia" w:cs="Times New Roman" w:eastAsiaTheme="minorEastAsia"/>
          <w:bCs/>
          <w:color w:val="auto"/>
          <w:szCs w:val="26"/>
          <w:highlight w:val="none"/>
          <w:lang w:val="en-US" w:eastAsia="zh-CN"/>
        </w:rPr>
        <w:t>3.3.2</w:t>
      </w:r>
      <w:r>
        <w:rPr>
          <w:rFonts w:hint="default" w:ascii="Times New Roman" w:hAnsi="Times New Roman" w:cs="Times New Roman" w:eastAsiaTheme="minorEastAsia"/>
          <w:bCs/>
          <w:color w:val="auto"/>
          <w:szCs w:val="26"/>
          <w:highlight w:val="none"/>
        </w:rPr>
        <w:t>-</w:t>
      </w:r>
      <w:r>
        <w:rPr>
          <w:rFonts w:hint="eastAsia" w:cs="Times New Roman" w:eastAsiaTheme="minorEastAsia"/>
          <w:bCs/>
          <w:color w:val="auto"/>
          <w:szCs w:val="26"/>
          <w:highlight w:val="none"/>
          <w:lang w:val="en-US" w:eastAsia="zh-CN"/>
        </w:rPr>
        <w:t>2</w:t>
      </w:r>
      <w:r>
        <w:rPr>
          <w:rFonts w:hint="default" w:ascii="Times New Roman" w:hAnsi="Times New Roman" w:cs="Times New Roman" w:eastAsiaTheme="minorEastAsia"/>
          <w:bCs/>
          <w:color w:val="auto"/>
          <w:szCs w:val="26"/>
          <w:highlight w:val="none"/>
        </w:rPr>
        <w:t xml:space="preserve">  地表水环境监测断面布置一览表</w:t>
      </w:r>
    </w:p>
    <w:tbl>
      <w:tblPr>
        <w:tblStyle w:val="28"/>
        <w:tblW w:w="4849"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28" w:type="dxa"/>
          <w:bottom w:w="0" w:type="dxa"/>
          <w:right w:w="28" w:type="dxa"/>
        </w:tblCellMar>
      </w:tblPr>
      <w:tblGrid>
        <w:gridCol w:w="332"/>
        <w:gridCol w:w="589"/>
        <w:gridCol w:w="1154"/>
        <w:gridCol w:w="1280"/>
        <w:gridCol w:w="773"/>
        <w:gridCol w:w="600"/>
        <w:gridCol w:w="2170"/>
        <w:gridCol w:w="162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94" w:type="pc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河流</w:t>
            </w:r>
          </w:p>
        </w:tc>
        <w:tc>
          <w:tcPr>
            <w:tcW w:w="345" w:type="pc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断面</w:t>
            </w:r>
          </w:p>
        </w:tc>
        <w:tc>
          <w:tcPr>
            <w:tcW w:w="677" w:type="pc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断面名称</w:t>
            </w:r>
          </w:p>
        </w:tc>
        <w:tc>
          <w:tcPr>
            <w:tcW w:w="750" w:type="pc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断面位置</w:t>
            </w:r>
          </w:p>
        </w:tc>
        <w:tc>
          <w:tcPr>
            <w:tcW w:w="453" w:type="pc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监测</w:t>
            </w:r>
          </w:p>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时间</w:t>
            </w:r>
          </w:p>
        </w:tc>
        <w:tc>
          <w:tcPr>
            <w:tcW w:w="352" w:type="pct"/>
            <w:vAlign w:val="center"/>
          </w:tcPr>
          <w:p>
            <w:pPr>
              <w:pStyle w:val="203"/>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水期</w:t>
            </w:r>
          </w:p>
        </w:tc>
        <w:tc>
          <w:tcPr>
            <w:tcW w:w="1273" w:type="pc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w:t>
            </w:r>
          </w:p>
        </w:tc>
        <w:tc>
          <w:tcPr>
            <w:tcW w:w="952" w:type="pc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数据来源</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94" w:type="pct"/>
            <w:vMerge w:val="restar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涪江</w:t>
            </w:r>
          </w:p>
        </w:tc>
        <w:tc>
          <w:tcPr>
            <w:tcW w:w="345" w:type="pct"/>
            <w:vAlign w:val="center"/>
          </w:tcPr>
          <w:p>
            <w:pPr>
              <w:pStyle w:val="20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W1</w:t>
            </w:r>
          </w:p>
        </w:tc>
        <w:tc>
          <w:tcPr>
            <w:tcW w:w="677" w:type="pct"/>
            <w:vAlign w:val="center"/>
          </w:tcPr>
          <w:p>
            <w:pPr>
              <w:pStyle w:val="20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下游控制断面</w:t>
            </w:r>
          </w:p>
        </w:tc>
        <w:tc>
          <w:tcPr>
            <w:tcW w:w="750" w:type="pct"/>
            <w:vAlign w:val="center"/>
          </w:tcPr>
          <w:p>
            <w:pPr>
              <w:pStyle w:val="20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拟建船闸下游</w:t>
            </w:r>
            <w:r>
              <w:rPr>
                <w:rFonts w:hint="default" w:ascii="Times New Roman" w:hAnsi="Times New Roman" w:cs="Times New Roman"/>
                <w:color w:val="auto"/>
                <w:highlight w:val="none"/>
                <w:lang w:val="en-US" w:eastAsia="zh-CN"/>
              </w:rPr>
              <w:t>500m</w:t>
            </w:r>
          </w:p>
        </w:tc>
        <w:tc>
          <w:tcPr>
            <w:tcW w:w="453" w:type="pct"/>
            <w:vAlign w:val="center"/>
          </w:tcPr>
          <w:p>
            <w:pPr>
              <w:pStyle w:val="203"/>
              <w:rPr>
                <w:rFonts w:hint="default" w:ascii="Times New Roman" w:hAnsi="Times New Roman" w:eastAsia="宋体" w:cs="Times New Roman"/>
                <w:color w:val="auto"/>
                <w:kern w:val="0"/>
                <w:highlight w:val="none"/>
                <w:lang w:val="en-US" w:eastAsia="zh-CN"/>
              </w:rPr>
            </w:pPr>
            <w:r>
              <w:rPr>
                <w:rFonts w:hint="default" w:ascii="Times New Roman" w:hAnsi="Times New Roman" w:cs="Times New Roman"/>
                <w:color w:val="auto"/>
                <w:highlight w:val="none"/>
              </w:rPr>
              <w:t>202</w:t>
            </w:r>
            <w:r>
              <w:rPr>
                <w:rFonts w:hint="eastAsia" w:ascii="Times New Roman" w:hAnsi="Times New Roman" w:cs="Times New Roman"/>
                <w:color w:val="auto"/>
                <w:highlight w:val="none"/>
                <w:lang w:val="en-US" w:eastAsia="zh-CN"/>
              </w:rPr>
              <w:t>5.7.22</w:t>
            </w:r>
            <w:r>
              <w:rPr>
                <w:rFonts w:hint="eastAsia" w:cs="Times New Roman"/>
                <w:color w:val="auto"/>
                <w:highlight w:val="none"/>
                <w:lang w:eastAsia="zh-CN"/>
              </w:rPr>
              <w:t>～</w:t>
            </w:r>
            <w:r>
              <w:rPr>
                <w:rFonts w:hint="eastAsia" w:ascii="Times New Roman" w:hAnsi="Times New Roman" w:cs="Times New Roman"/>
                <w:color w:val="auto"/>
                <w:highlight w:val="none"/>
                <w:lang w:val="en-US" w:eastAsia="zh-CN"/>
              </w:rPr>
              <w:t>24</w:t>
            </w:r>
          </w:p>
        </w:tc>
        <w:tc>
          <w:tcPr>
            <w:tcW w:w="352" w:type="pct"/>
            <w:vAlign w:val="center"/>
          </w:tcPr>
          <w:p>
            <w:pPr>
              <w:pStyle w:val="203"/>
              <w:rPr>
                <w:rFonts w:hint="default" w:ascii="Times New Roman" w:hAnsi="Times New Roman" w:cs="Times New Roman"/>
                <w:color w:val="auto"/>
                <w:highlight w:val="none"/>
              </w:rPr>
            </w:pPr>
            <w:r>
              <w:rPr>
                <w:rFonts w:hint="eastAsia" w:cs="Times New Roman"/>
                <w:color w:val="auto"/>
                <w:kern w:val="0"/>
                <w:highlight w:val="none"/>
                <w:lang w:eastAsia="zh-CN"/>
              </w:rPr>
              <w:t>丰水期</w:t>
            </w:r>
          </w:p>
        </w:tc>
        <w:tc>
          <w:tcPr>
            <w:tcW w:w="1273" w:type="pct"/>
            <w:vAlign w:val="center"/>
          </w:tcPr>
          <w:p>
            <w:pPr>
              <w:pStyle w:val="203"/>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pH、水温、溶解氧、化学需氧量、五日生化需氧量、氨氮、总磷、石油类、悬浮物</w:t>
            </w:r>
          </w:p>
        </w:tc>
        <w:tc>
          <w:tcPr>
            <w:tcW w:w="952" w:type="pct"/>
            <w:vAlign w:val="center"/>
          </w:tcPr>
          <w:p>
            <w:pPr>
              <w:pStyle w:val="203"/>
              <w:rPr>
                <w:rFonts w:hint="default" w:ascii="Times New Roman" w:hAnsi="Times New Roman" w:eastAsia="宋体" w:cs="Times New Roman"/>
                <w:color w:val="auto"/>
                <w:kern w:val="0"/>
                <w:highlight w:val="none"/>
                <w:lang w:eastAsia="zh-CN"/>
              </w:rPr>
            </w:pPr>
            <w:r>
              <w:rPr>
                <w:rFonts w:hint="default" w:ascii="Times New Roman" w:hAnsi="Times New Roman" w:cs="Times New Roman"/>
                <w:color w:val="auto"/>
                <w:kern w:val="0"/>
                <w:highlight w:val="none"/>
                <w:lang w:eastAsia="zh-CN"/>
              </w:rPr>
              <w:t>本次补充监测</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94" w:type="pct"/>
            <w:vMerge w:val="continue"/>
            <w:vAlign w:val="center"/>
          </w:tcPr>
          <w:p>
            <w:pPr>
              <w:pStyle w:val="203"/>
              <w:rPr>
                <w:rFonts w:hint="default" w:ascii="Times New Roman" w:hAnsi="Times New Roman" w:cs="Times New Roman"/>
                <w:color w:val="auto"/>
                <w:highlight w:val="none"/>
              </w:rPr>
            </w:pPr>
          </w:p>
        </w:tc>
        <w:tc>
          <w:tcPr>
            <w:tcW w:w="345" w:type="pct"/>
            <w:vAlign w:val="center"/>
          </w:tcPr>
          <w:p>
            <w:pPr>
              <w:pStyle w:val="203"/>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YW1</w:t>
            </w:r>
          </w:p>
        </w:tc>
        <w:tc>
          <w:tcPr>
            <w:tcW w:w="677" w:type="pct"/>
            <w:vAlign w:val="center"/>
          </w:tcPr>
          <w:p>
            <w:pPr>
              <w:pStyle w:val="203"/>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上游对照断面</w:t>
            </w:r>
          </w:p>
        </w:tc>
        <w:tc>
          <w:tcPr>
            <w:tcW w:w="750" w:type="pct"/>
            <w:vAlign w:val="center"/>
          </w:tcPr>
          <w:p>
            <w:pPr>
              <w:pStyle w:val="203"/>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拟建船闸上游</w:t>
            </w:r>
            <w:r>
              <w:rPr>
                <w:rFonts w:hint="default" w:ascii="Times New Roman" w:hAnsi="Times New Roman" w:cs="Times New Roman"/>
                <w:color w:val="auto"/>
                <w:highlight w:val="none"/>
                <w:lang w:val="en-US" w:eastAsia="zh-CN"/>
              </w:rPr>
              <w:t>3km</w:t>
            </w:r>
          </w:p>
        </w:tc>
        <w:tc>
          <w:tcPr>
            <w:tcW w:w="453" w:type="pct"/>
            <w:vAlign w:val="center"/>
          </w:tcPr>
          <w:p>
            <w:pPr>
              <w:pStyle w:val="203"/>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2024</w:t>
            </w:r>
            <w:r>
              <w:rPr>
                <w:rFonts w:hint="eastAsia" w:cs="Times New Roman"/>
                <w:color w:val="auto"/>
                <w:highlight w:val="none"/>
                <w:lang w:val="en-US" w:eastAsia="zh-CN"/>
              </w:rPr>
              <w:t>.</w:t>
            </w:r>
            <w:r>
              <w:rPr>
                <w:rFonts w:hint="default" w:ascii="Times New Roman" w:hAnsi="Times New Roman" w:cs="Times New Roman"/>
                <w:color w:val="auto"/>
                <w:highlight w:val="none"/>
              </w:rPr>
              <w:t>12</w:t>
            </w:r>
            <w:r>
              <w:rPr>
                <w:rFonts w:hint="eastAsia" w:cs="Times New Roman"/>
                <w:color w:val="auto"/>
                <w:highlight w:val="none"/>
                <w:lang w:val="en-US" w:eastAsia="zh-CN"/>
              </w:rPr>
              <w:t>.</w:t>
            </w:r>
            <w:r>
              <w:rPr>
                <w:rFonts w:hint="default" w:ascii="Times New Roman" w:hAnsi="Times New Roman" w:cs="Times New Roman"/>
                <w:color w:val="auto"/>
                <w:highlight w:val="none"/>
              </w:rPr>
              <w:t>5</w:t>
            </w:r>
            <w:r>
              <w:rPr>
                <w:rFonts w:hint="eastAsia" w:cs="Times New Roman"/>
                <w:color w:val="auto"/>
                <w:highlight w:val="none"/>
                <w:lang w:eastAsia="zh-CN"/>
              </w:rPr>
              <w:t>～</w:t>
            </w:r>
            <w:r>
              <w:rPr>
                <w:rFonts w:hint="default" w:ascii="Times New Roman" w:hAnsi="Times New Roman" w:cs="Times New Roman"/>
                <w:color w:val="auto"/>
                <w:highlight w:val="none"/>
              </w:rPr>
              <w:t>7</w:t>
            </w:r>
          </w:p>
        </w:tc>
        <w:tc>
          <w:tcPr>
            <w:tcW w:w="352" w:type="pct"/>
            <w:vAlign w:val="center"/>
          </w:tcPr>
          <w:p>
            <w:pPr>
              <w:pStyle w:val="203"/>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枯水期</w:t>
            </w:r>
          </w:p>
        </w:tc>
        <w:tc>
          <w:tcPr>
            <w:tcW w:w="1273" w:type="pct"/>
            <w:vAlign w:val="center"/>
          </w:tcPr>
          <w:p>
            <w:pPr>
              <w:pStyle w:val="203"/>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pH、水温、溶解氧、化学需氧量、五日生化需氧量、氨氮、总磷、石油类、悬浮物</w:t>
            </w:r>
          </w:p>
        </w:tc>
        <w:tc>
          <w:tcPr>
            <w:tcW w:w="952" w:type="pct"/>
            <w:vAlign w:val="center"/>
          </w:tcPr>
          <w:p>
            <w:pPr>
              <w:pStyle w:val="203"/>
              <w:rPr>
                <w:rFonts w:hint="default" w:ascii="Times New Roman" w:hAnsi="Times New Roman" w:cs="Times New Roman"/>
                <w:color w:val="auto"/>
                <w:kern w:val="0"/>
                <w:highlight w:val="none"/>
                <w:lang w:eastAsia="zh-CN"/>
              </w:rPr>
            </w:pPr>
            <w:r>
              <w:rPr>
                <w:rFonts w:hint="default" w:ascii="Times New Roman" w:hAnsi="Times New Roman" w:cs="Times New Roman"/>
                <w:color w:val="auto"/>
                <w:kern w:val="0"/>
                <w:highlight w:val="none"/>
                <w:lang w:eastAsia="zh-CN"/>
              </w:rPr>
              <w:t>《合川区涪江富金坝电站至渭沱电站段河道清淤项目环境影响报告书》（</w:t>
            </w:r>
            <w:r>
              <w:rPr>
                <w:rFonts w:hint="default" w:ascii="Times New Roman" w:hAnsi="Times New Roman" w:cs="Times New Roman"/>
                <w:color w:val="auto"/>
                <w:kern w:val="0"/>
                <w:highlight w:val="none"/>
                <w:lang w:val="en-US" w:eastAsia="zh-CN"/>
              </w:rPr>
              <w:t>W2</w:t>
            </w:r>
            <w:r>
              <w:rPr>
                <w:rFonts w:hint="default" w:ascii="Times New Roman" w:hAnsi="Times New Roman" w:cs="Times New Roman"/>
                <w:color w:val="auto"/>
                <w:kern w:val="0"/>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94" w:type="pct"/>
            <w:vMerge w:val="continue"/>
            <w:vAlign w:val="center"/>
          </w:tcPr>
          <w:p>
            <w:pPr>
              <w:pStyle w:val="203"/>
              <w:rPr>
                <w:rFonts w:hint="default" w:ascii="Times New Roman" w:hAnsi="Times New Roman" w:cs="Times New Roman"/>
                <w:color w:val="auto"/>
                <w:highlight w:val="none"/>
              </w:rPr>
            </w:pPr>
          </w:p>
        </w:tc>
        <w:tc>
          <w:tcPr>
            <w:tcW w:w="345" w:type="pct"/>
            <w:vAlign w:val="center"/>
          </w:tcPr>
          <w:p>
            <w:pPr>
              <w:pStyle w:val="203"/>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YW</w:t>
            </w:r>
            <w:r>
              <w:rPr>
                <w:rFonts w:hint="default" w:ascii="Times New Roman" w:hAnsi="Times New Roman" w:cs="Times New Roman"/>
                <w:color w:val="auto"/>
                <w:highlight w:val="none"/>
                <w:lang w:val="en-US" w:eastAsia="zh-CN"/>
              </w:rPr>
              <w:t>2</w:t>
            </w:r>
          </w:p>
        </w:tc>
        <w:tc>
          <w:tcPr>
            <w:tcW w:w="677" w:type="pc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渭沱电站水库库心</w:t>
            </w:r>
          </w:p>
        </w:tc>
        <w:tc>
          <w:tcPr>
            <w:tcW w:w="750" w:type="pc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拟建船闸上游</w:t>
            </w:r>
          </w:p>
        </w:tc>
        <w:tc>
          <w:tcPr>
            <w:tcW w:w="453" w:type="pct"/>
            <w:vAlign w:val="center"/>
          </w:tcPr>
          <w:p>
            <w:pPr>
              <w:pStyle w:val="203"/>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2024.09</w:t>
            </w:r>
          </w:p>
        </w:tc>
        <w:tc>
          <w:tcPr>
            <w:tcW w:w="352" w:type="pct"/>
            <w:vAlign w:val="center"/>
          </w:tcPr>
          <w:p>
            <w:pPr>
              <w:pStyle w:val="203"/>
              <w:rPr>
                <w:rFonts w:hint="eastAsia" w:ascii="Times New Roman" w:hAnsi="Times New Roman" w:eastAsia="宋体" w:cs="Times New Roman"/>
                <w:color w:val="auto"/>
                <w:kern w:val="0"/>
                <w:highlight w:val="none"/>
                <w:lang w:eastAsia="zh-CN"/>
              </w:rPr>
            </w:pPr>
            <w:r>
              <w:rPr>
                <w:rFonts w:hint="eastAsia" w:cs="Times New Roman"/>
                <w:color w:val="auto"/>
                <w:kern w:val="0"/>
                <w:highlight w:val="none"/>
                <w:lang w:eastAsia="zh-CN"/>
              </w:rPr>
              <w:t>丰水期</w:t>
            </w:r>
          </w:p>
        </w:tc>
        <w:tc>
          <w:tcPr>
            <w:tcW w:w="1273" w:type="pct"/>
            <w:vMerge w:val="restar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pH、溶解氧、高锰酸盐指数</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氨氮、总磷</w:t>
            </w:r>
          </w:p>
        </w:tc>
        <w:tc>
          <w:tcPr>
            <w:tcW w:w="952" w:type="pct"/>
            <w:vMerge w:val="restart"/>
            <w:vAlign w:val="center"/>
          </w:tcPr>
          <w:p>
            <w:pPr>
              <w:pStyle w:val="203"/>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大中型水库例行监测数据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94" w:type="pct"/>
            <w:vMerge w:val="continue"/>
            <w:vAlign w:val="center"/>
          </w:tcPr>
          <w:p>
            <w:pPr>
              <w:pStyle w:val="203"/>
              <w:rPr>
                <w:rFonts w:hint="default" w:ascii="Times New Roman" w:hAnsi="Times New Roman" w:cs="Times New Roman"/>
                <w:color w:val="auto"/>
                <w:highlight w:val="none"/>
              </w:rPr>
            </w:pPr>
          </w:p>
        </w:tc>
        <w:tc>
          <w:tcPr>
            <w:tcW w:w="345" w:type="pct"/>
            <w:vAlign w:val="center"/>
          </w:tcPr>
          <w:p>
            <w:pPr>
              <w:pStyle w:val="203"/>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YW</w:t>
            </w:r>
            <w:r>
              <w:rPr>
                <w:rFonts w:hint="default" w:ascii="Times New Roman" w:hAnsi="Times New Roman" w:cs="Times New Roman"/>
                <w:color w:val="auto"/>
                <w:highlight w:val="none"/>
                <w:lang w:val="en-US" w:eastAsia="zh-CN"/>
              </w:rPr>
              <w:t>3</w:t>
            </w:r>
          </w:p>
        </w:tc>
        <w:tc>
          <w:tcPr>
            <w:tcW w:w="677" w:type="pct"/>
            <w:vAlign w:val="center"/>
          </w:tcPr>
          <w:p>
            <w:pPr>
              <w:pStyle w:val="203"/>
              <w:rPr>
                <w:rFonts w:hint="default" w:ascii="Times New Roman" w:hAnsi="Times New Roman" w:cs="Times New Roman"/>
                <w:color w:val="auto"/>
                <w:highlight w:val="none"/>
              </w:rPr>
            </w:pPr>
            <w:bookmarkStart w:id="108" w:name="OLE_LINK34"/>
            <w:r>
              <w:rPr>
                <w:rFonts w:hint="default" w:ascii="Times New Roman" w:hAnsi="Times New Roman" w:cs="Times New Roman"/>
                <w:color w:val="auto"/>
                <w:highlight w:val="none"/>
              </w:rPr>
              <w:t>渭沱电站水库出口坝前</w:t>
            </w:r>
          </w:p>
          <w:bookmarkEnd w:id="108"/>
        </w:tc>
        <w:tc>
          <w:tcPr>
            <w:tcW w:w="750" w:type="pc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拟建所在位置</w:t>
            </w:r>
          </w:p>
        </w:tc>
        <w:tc>
          <w:tcPr>
            <w:tcW w:w="453" w:type="pct"/>
            <w:vAlign w:val="center"/>
          </w:tcPr>
          <w:p>
            <w:pPr>
              <w:pStyle w:val="203"/>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2024.09</w:t>
            </w:r>
          </w:p>
        </w:tc>
        <w:tc>
          <w:tcPr>
            <w:tcW w:w="352" w:type="pct"/>
            <w:vAlign w:val="center"/>
          </w:tcPr>
          <w:p>
            <w:pPr>
              <w:pStyle w:val="203"/>
              <w:rPr>
                <w:rFonts w:hint="default" w:ascii="Times New Roman" w:hAnsi="Times New Roman" w:cs="Times New Roman"/>
                <w:color w:val="auto"/>
                <w:kern w:val="0"/>
                <w:highlight w:val="none"/>
              </w:rPr>
            </w:pPr>
            <w:r>
              <w:rPr>
                <w:rFonts w:hint="eastAsia" w:cs="Times New Roman"/>
                <w:color w:val="auto"/>
                <w:kern w:val="0"/>
                <w:highlight w:val="none"/>
                <w:lang w:eastAsia="zh-CN"/>
              </w:rPr>
              <w:t>丰水期</w:t>
            </w:r>
          </w:p>
        </w:tc>
        <w:tc>
          <w:tcPr>
            <w:tcW w:w="1273" w:type="pct"/>
            <w:vMerge w:val="continue"/>
            <w:vAlign w:val="center"/>
          </w:tcPr>
          <w:p>
            <w:pPr>
              <w:pStyle w:val="203"/>
              <w:rPr>
                <w:rFonts w:hint="default" w:ascii="Times New Roman" w:hAnsi="Times New Roman" w:cs="Times New Roman"/>
                <w:color w:val="auto"/>
                <w:kern w:val="0"/>
                <w:highlight w:val="none"/>
              </w:rPr>
            </w:pPr>
          </w:p>
        </w:tc>
        <w:tc>
          <w:tcPr>
            <w:tcW w:w="952" w:type="pct"/>
            <w:vMerge w:val="continue"/>
            <w:vAlign w:val="center"/>
          </w:tcPr>
          <w:p>
            <w:pPr>
              <w:pStyle w:val="203"/>
              <w:rPr>
                <w:rFonts w:hint="default" w:ascii="Times New Roman" w:hAnsi="Times New Roman" w:cs="Times New Roman"/>
                <w:color w:val="auto"/>
                <w:kern w:val="0"/>
                <w:highlight w:val="non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94" w:type="pct"/>
            <w:vMerge w:val="continue"/>
            <w:vAlign w:val="center"/>
          </w:tcPr>
          <w:p>
            <w:pPr>
              <w:pStyle w:val="203"/>
              <w:rPr>
                <w:rFonts w:hint="default" w:ascii="Times New Roman" w:hAnsi="Times New Roman" w:cs="Times New Roman"/>
                <w:color w:val="auto"/>
                <w:highlight w:val="none"/>
              </w:rPr>
            </w:pPr>
          </w:p>
        </w:tc>
        <w:tc>
          <w:tcPr>
            <w:tcW w:w="345" w:type="pct"/>
            <w:vAlign w:val="center"/>
          </w:tcPr>
          <w:p>
            <w:pPr>
              <w:pStyle w:val="203"/>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YW</w:t>
            </w:r>
            <w:r>
              <w:rPr>
                <w:rFonts w:hint="default" w:ascii="Times New Roman" w:hAnsi="Times New Roman" w:cs="Times New Roman"/>
                <w:color w:val="auto"/>
                <w:highlight w:val="none"/>
                <w:lang w:val="en-US" w:eastAsia="zh-CN"/>
              </w:rPr>
              <w:t>4</w:t>
            </w:r>
          </w:p>
        </w:tc>
        <w:tc>
          <w:tcPr>
            <w:tcW w:w="677" w:type="pct"/>
            <w:vAlign w:val="center"/>
          </w:tcPr>
          <w:p>
            <w:pPr>
              <w:pStyle w:val="203"/>
              <w:rPr>
                <w:rFonts w:hint="default" w:ascii="Times New Roman" w:hAnsi="Times New Roman" w:cs="Times New Roman"/>
                <w:color w:val="auto"/>
                <w:highlight w:val="none"/>
              </w:rPr>
            </w:pPr>
            <w:r>
              <w:rPr>
                <w:rFonts w:hint="eastAsia"/>
                <w:color w:val="auto"/>
                <w:sz w:val="22"/>
                <w:szCs w:val="22"/>
                <w:highlight w:val="none"/>
              </w:rPr>
              <w:t>涪江渭沱穿井坝断面</w:t>
            </w:r>
          </w:p>
        </w:tc>
        <w:tc>
          <w:tcPr>
            <w:tcW w:w="750" w:type="pct"/>
            <w:vAlign w:val="center"/>
          </w:tcPr>
          <w:p>
            <w:pPr>
              <w:pStyle w:val="20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拟建船闸下游</w:t>
            </w:r>
            <w:r>
              <w:rPr>
                <w:rFonts w:hint="eastAsia" w:cs="Times New Roman"/>
                <w:color w:val="auto"/>
                <w:highlight w:val="none"/>
                <w:lang w:val="en-US" w:eastAsia="zh-CN"/>
              </w:rPr>
              <w:t>6km（金沙水厂</w:t>
            </w:r>
            <w:r>
              <w:rPr>
                <w:rFonts w:hint="default" w:ascii="Times New Roman" w:hAnsi="Times New Roman" w:cs="Times New Roman"/>
                <w:color w:val="auto"/>
                <w:highlight w:val="none"/>
              </w:rPr>
              <w:t>水源地</w:t>
            </w:r>
            <w:r>
              <w:rPr>
                <w:rFonts w:hint="eastAsia" w:cs="Times New Roman"/>
                <w:color w:val="auto"/>
                <w:highlight w:val="none"/>
                <w:lang w:val="en-US" w:eastAsia="zh-CN"/>
              </w:rPr>
              <w:t>）</w:t>
            </w:r>
          </w:p>
        </w:tc>
        <w:tc>
          <w:tcPr>
            <w:tcW w:w="453" w:type="pct"/>
            <w:vAlign w:val="center"/>
          </w:tcPr>
          <w:p>
            <w:pPr>
              <w:pStyle w:val="203"/>
              <w:rPr>
                <w:rFonts w:hint="default"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2024.4.24～26</w:t>
            </w:r>
          </w:p>
        </w:tc>
        <w:tc>
          <w:tcPr>
            <w:tcW w:w="352" w:type="pct"/>
            <w:vAlign w:val="center"/>
          </w:tcPr>
          <w:p>
            <w:pPr>
              <w:pStyle w:val="203"/>
              <w:rPr>
                <w:rFonts w:hint="eastAsia" w:ascii="Times New Roman" w:hAnsi="Times New Roman" w:eastAsia="宋体" w:cs="Times New Roman"/>
                <w:color w:val="auto"/>
                <w:kern w:val="0"/>
                <w:highlight w:val="none"/>
                <w:lang w:eastAsia="zh-CN"/>
              </w:rPr>
            </w:pPr>
            <w:r>
              <w:rPr>
                <w:rFonts w:hint="eastAsia" w:cs="Times New Roman"/>
                <w:color w:val="auto"/>
                <w:kern w:val="0"/>
                <w:highlight w:val="none"/>
                <w:lang w:eastAsia="zh-CN"/>
              </w:rPr>
              <w:t>平水期</w:t>
            </w:r>
          </w:p>
        </w:tc>
        <w:tc>
          <w:tcPr>
            <w:tcW w:w="1273" w:type="pct"/>
            <w:vAlign w:val="center"/>
          </w:tcPr>
          <w:p>
            <w:pPr>
              <w:pStyle w:val="203"/>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pH值、水温、溶解氧、化学需氧量、五日生化需氧量、氨氮、总磷、石油类、悬浮物</w:t>
            </w:r>
          </w:p>
        </w:tc>
        <w:tc>
          <w:tcPr>
            <w:tcW w:w="952" w:type="pct"/>
            <w:vAlign w:val="center"/>
          </w:tcPr>
          <w:p>
            <w:pPr>
              <w:pStyle w:val="203"/>
              <w:rPr>
                <w:rFonts w:hint="default" w:ascii="Times New Roman" w:hAnsi="Times New Roman" w:eastAsia="宋体" w:cs="Times New Roman"/>
                <w:color w:val="auto"/>
                <w:kern w:val="0"/>
                <w:highlight w:val="none"/>
                <w:lang w:val="en-US" w:eastAsia="zh-CN"/>
              </w:rPr>
            </w:pPr>
            <w:r>
              <w:rPr>
                <w:rFonts w:hint="eastAsia" w:cs="Times New Roman"/>
                <w:color w:val="auto"/>
                <w:kern w:val="0"/>
                <w:highlight w:val="none"/>
                <w:lang w:eastAsia="zh-CN"/>
              </w:rPr>
              <w:t>《涪江重庆段航道整治工程环境影响报告书》（</w:t>
            </w:r>
            <w:r>
              <w:rPr>
                <w:rFonts w:hint="eastAsia" w:cs="Times New Roman"/>
                <w:color w:val="auto"/>
                <w:kern w:val="0"/>
                <w:highlight w:val="none"/>
                <w:lang w:val="en-US" w:eastAsia="zh-CN"/>
              </w:rPr>
              <w:t>W3</w:t>
            </w:r>
            <w:r>
              <w:rPr>
                <w:rFonts w:hint="eastAsia" w:cs="Times New Roman"/>
                <w:color w:val="auto"/>
                <w:kern w:val="0"/>
                <w:highlight w:val="none"/>
                <w:lang w:eastAsia="zh-CN"/>
              </w:rPr>
              <w:t>）</w:t>
            </w:r>
          </w:p>
        </w:tc>
      </w:tr>
    </w:tbl>
    <w:p>
      <w:pPr>
        <w:ind w:firstLine="520"/>
        <w:rPr>
          <w:rFonts w:hint="default" w:ascii="Times New Roman" w:hAnsi="Times New Roman" w:cs="Times New Roman" w:eastAsiaTheme="minorEastAsia"/>
          <w:color w:val="auto"/>
          <w:highlight w:val="none"/>
        </w:rPr>
      </w:pPr>
      <w:r>
        <w:rPr>
          <w:rFonts w:hint="default" w:ascii="Times New Roman" w:hAnsi="Times New Roman" w:cs="Times New Roman"/>
          <w:color w:val="auto"/>
          <w:highlight w:val="none"/>
        </w:rPr>
        <w:t>本次评价</w:t>
      </w:r>
      <w:r>
        <w:rPr>
          <w:rFonts w:hint="eastAsia" w:cs="Times New Roman"/>
          <w:color w:val="auto"/>
          <w:highlight w:val="none"/>
          <w:lang w:eastAsia="zh-CN"/>
        </w:rPr>
        <w:t>在</w:t>
      </w:r>
      <w:r>
        <w:rPr>
          <w:rFonts w:hint="default" w:ascii="Times New Roman" w:hAnsi="Times New Roman" w:cs="Times New Roman"/>
          <w:color w:val="auto"/>
          <w:highlight w:val="none"/>
        </w:rPr>
        <w:t>充分利用了项目周边已有的</w:t>
      </w:r>
      <w:r>
        <w:rPr>
          <w:rFonts w:hint="default" w:ascii="Times New Roman" w:hAnsi="Times New Roman" w:cs="Times New Roman"/>
          <w:color w:val="auto"/>
          <w:highlight w:val="none"/>
          <w:lang w:eastAsia="zh-CN"/>
        </w:rPr>
        <w:t>监测数据基础上，本次进行了补充监测</w:t>
      </w:r>
      <w:r>
        <w:rPr>
          <w:rFonts w:hint="default" w:ascii="Times New Roman" w:hAnsi="Times New Roman" w:cs="Times New Roman"/>
          <w:color w:val="auto"/>
          <w:highlight w:val="none"/>
        </w:rPr>
        <w:t>，监测断面覆盖了项目上游断面、项目所在断面、项目下游断面及下游饮用水源，</w:t>
      </w:r>
      <w:r>
        <w:rPr>
          <w:rFonts w:hint="eastAsia" w:cs="Times New Roman"/>
          <w:color w:val="auto"/>
          <w:highlight w:val="none"/>
          <w:lang w:eastAsia="zh-CN"/>
        </w:rPr>
        <w:t>调查时期涵盖了枯水期，</w:t>
      </w:r>
      <w:r>
        <w:rPr>
          <w:rFonts w:hint="default" w:ascii="Times New Roman" w:hAnsi="Times New Roman" w:cs="Times New Roman"/>
          <w:color w:val="auto"/>
          <w:highlight w:val="none"/>
        </w:rPr>
        <w:t>监测</w:t>
      </w:r>
      <w:r>
        <w:rPr>
          <w:rFonts w:hint="default" w:ascii="Times New Roman" w:hAnsi="Times New Roman" w:cs="Times New Roman"/>
          <w:color w:val="auto"/>
          <w:highlight w:val="none"/>
          <w:lang w:eastAsia="zh-CN"/>
        </w:rPr>
        <w:t>断面的布设</w:t>
      </w:r>
      <w:r>
        <w:rPr>
          <w:rFonts w:hint="default" w:ascii="Times New Roman" w:hAnsi="Times New Roman" w:cs="Times New Roman"/>
          <w:color w:val="auto"/>
          <w:highlight w:val="none"/>
        </w:rPr>
        <w:t>具有一定代表性，可反映区域水环境质量现状。</w:t>
      </w:r>
    </w:p>
    <w:p>
      <w:pPr>
        <w:ind w:firstLine="520"/>
        <w:rPr>
          <w:rFonts w:hint="default" w:ascii="Times New Roman" w:hAnsi="Times New Roman" w:cs="Times New Roman" w:eastAsiaTheme="minorEastAsia"/>
          <w:color w:val="auto"/>
          <w:highlight w:val="none"/>
        </w:rPr>
      </w:pPr>
      <w:r>
        <w:rPr>
          <w:rFonts w:hint="eastAsia" w:cs="Times New Roman" w:eastAsiaTheme="minorEastAsia"/>
          <w:color w:val="auto"/>
          <w:highlight w:val="none"/>
          <w:lang w:val="en-US" w:eastAsia="zh-CN"/>
        </w:rPr>
        <w:t>B</w:t>
      </w:r>
      <w:r>
        <w:rPr>
          <w:rFonts w:hint="eastAsia" w:cs="Times New Roman" w:eastAsiaTheme="minorEastAsia"/>
          <w:color w:val="auto"/>
          <w:highlight w:val="none"/>
          <w:shd w:val="clear" w:fill="FFFFFF"/>
          <w:lang w:val="en-US" w:eastAsia="zh-CN"/>
        </w:rPr>
        <w:t>、</w:t>
      </w:r>
      <w:r>
        <w:rPr>
          <w:rFonts w:hint="default" w:ascii="Times New Roman" w:hAnsi="Times New Roman" w:cs="Times New Roman" w:eastAsiaTheme="minorEastAsia"/>
          <w:color w:val="auto"/>
          <w:highlight w:val="none"/>
        </w:rPr>
        <w:t>评价方法及模式</w:t>
      </w:r>
    </w:p>
    <w:p>
      <w:pPr>
        <w:adjustRightInd w:val="0"/>
        <w:snapToGrid w:val="0"/>
        <w:ind w:firstLine="520"/>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rPr>
        <w:t>地表水现状评价采用水质指数法，评价模式如下：</w:t>
      </w:r>
    </w:p>
    <w:p>
      <w:pPr>
        <w:adjustRightInd w:val="0"/>
        <w:snapToGrid w:val="0"/>
        <w:spacing w:line="240" w:lineRule="auto"/>
        <w:ind w:firstLine="0" w:firstLineChars="0"/>
        <w:jc w:val="center"/>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position w:val="-30"/>
          <w:highlight w:val="none"/>
        </w:rPr>
        <w:object>
          <v:shape id="_x0000_i1026" o:spt="75" type="#_x0000_t75" style="height:34.4pt;width:46.05pt;" o:ole="t" filled="f" o:preferrelative="t" stroked="f" coordsize="21600,21600">
            <v:path/>
            <v:fill on="f" focussize="0,0"/>
            <v:stroke on="f"/>
            <v:imagedata r:id="rId78" o:title=""/>
            <o:lock v:ext="edit" aspectratio="t"/>
            <w10:wrap type="none"/>
            <w10:anchorlock/>
          </v:shape>
          <o:OLEObject Type="Embed" ProgID="Equation.DSMT4" ShapeID="_x0000_i1026" DrawAspect="Content" ObjectID="_1468075726" r:id="rId77">
            <o:LockedField>false</o:LockedField>
          </o:OLEObject>
        </w:object>
      </w:r>
    </w:p>
    <w:p>
      <w:pPr>
        <w:adjustRightInd w:val="0"/>
        <w:snapToGrid w:val="0"/>
        <w:spacing w:line="240" w:lineRule="auto"/>
        <w:ind w:firstLine="520"/>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rPr>
        <w:t>pH评价模式：</w:t>
      </w:r>
    </w:p>
    <w:p>
      <w:pPr>
        <w:adjustRightInd w:val="0"/>
        <w:snapToGrid w:val="0"/>
        <w:spacing w:line="240" w:lineRule="auto"/>
        <w:ind w:firstLine="1866" w:firstLineChars="718"/>
        <w:jc w:val="center"/>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position w:val="-30"/>
          <w:highlight w:val="none"/>
        </w:rPr>
        <w:object>
          <v:shape id="_x0000_i1027" o:spt="75" type="#_x0000_t75" style="height:34.35pt;width:75.35pt;" o:ole="t" filled="f" o:preferrelative="t" stroked="f" coordsize="21600,21600">
            <v:path/>
            <v:fill on="f" focussize="0,0"/>
            <v:stroke on="f"/>
            <v:imagedata r:id="rId80" o:title=""/>
            <o:lock v:ext="edit" aspectratio="t"/>
            <w10:wrap type="none"/>
            <w10:anchorlock/>
          </v:shape>
          <o:OLEObject Type="Embed" ProgID="Equation.DSMT4" ShapeID="_x0000_i1027" DrawAspect="Content" ObjectID="_1468075727" r:id="rId79">
            <o:LockedField>false</o:LockedField>
          </o:OLEObject>
        </w:object>
      </w:r>
      <w:r>
        <w:rPr>
          <w:rFonts w:hint="default" w:ascii="Times New Roman" w:hAnsi="Times New Roman" w:cs="Times New Roman" w:eastAsiaTheme="minorEastAsia"/>
          <w:color w:val="auto"/>
          <w:highlight w:val="none"/>
        </w:rPr>
        <w:t xml:space="preserve">         </w:t>
      </w:r>
      <w:r>
        <w:rPr>
          <w:rFonts w:hint="default" w:ascii="Times New Roman" w:hAnsi="Times New Roman" w:cs="Times New Roman" w:eastAsiaTheme="minorEastAsia"/>
          <w:color w:val="auto"/>
          <w:highlight w:val="none"/>
          <w:shd w:val="clear" w:fill="FFFFFF"/>
        </w:rPr>
        <w:t>pH</w:t>
      </w:r>
      <w:r>
        <w:rPr>
          <w:rFonts w:hint="default" w:ascii="Times New Roman" w:hAnsi="Times New Roman" w:cs="Times New Roman" w:eastAsiaTheme="minorEastAsia"/>
          <w:color w:val="auto"/>
          <w:highlight w:val="none"/>
          <w:shd w:val="clear" w:fill="FFFFFF"/>
          <w:vertAlign w:val="subscript"/>
        </w:rPr>
        <w:t>j</w:t>
      </w:r>
      <w:r>
        <w:rPr>
          <w:rFonts w:hint="default" w:ascii="Times New Roman" w:hAnsi="Times New Roman" w:cs="Times New Roman" w:eastAsiaTheme="minorEastAsia"/>
          <w:color w:val="auto"/>
          <w:highlight w:val="none"/>
        </w:rPr>
        <w:t xml:space="preserve">≥7.0     </w:t>
      </w:r>
    </w:p>
    <w:p>
      <w:pPr>
        <w:adjustRightInd w:val="0"/>
        <w:snapToGrid w:val="0"/>
        <w:spacing w:line="240" w:lineRule="auto"/>
        <w:ind w:firstLine="1866" w:firstLineChars="718"/>
        <w:jc w:val="center"/>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rPr>
        <w:t xml:space="preserve">  </w:t>
      </w:r>
      <w:r>
        <w:rPr>
          <w:rFonts w:hint="default" w:ascii="Times New Roman" w:hAnsi="Times New Roman" w:cs="Times New Roman" w:eastAsiaTheme="minorEastAsia"/>
          <w:color w:val="auto"/>
          <w:position w:val="-30"/>
          <w:highlight w:val="none"/>
        </w:rPr>
        <w:object>
          <v:shape id="_x0000_i1028" o:spt="75" type="#_x0000_t75" style="height:35.8pt;width:78.5pt;" o:ole="t" filled="f" o:preferrelative="t" stroked="f" coordsize="21600,21600">
            <v:path/>
            <v:fill on="f" focussize="0,0"/>
            <v:stroke on="f"/>
            <v:imagedata r:id="rId82" o:title=""/>
            <o:lock v:ext="edit" aspectratio="t"/>
            <w10:wrap type="none"/>
            <w10:anchorlock/>
          </v:shape>
          <o:OLEObject Type="Embed" ProgID="Equation.DSMT4" ShapeID="_x0000_i1028" DrawAspect="Content" ObjectID="_1468075728" r:id="rId81">
            <o:LockedField>false</o:LockedField>
          </o:OLEObject>
        </w:object>
      </w:r>
      <w:r>
        <w:rPr>
          <w:rFonts w:hint="default" w:ascii="Times New Roman" w:hAnsi="Times New Roman" w:cs="Times New Roman" w:eastAsiaTheme="minorEastAsia"/>
          <w:color w:val="auto"/>
          <w:highlight w:val="none"/>
        </w:rPr>
        <w:t xml:space="preserve">        </w:t>
      </w:r>
      <w:r>
        <w:rPr>
          <w:rFonts w:hint="default" w:ascii="Times New Roman" w:hAnsi="Times New Roman" w:cs="Times New Roman" w:eastAsiaTheme="minorEastAsia"/>
          <w:color w:val="auto"/>
          <w:highlight w:val="none"/>
          <w:shd w:val="clear" w:fill="FFFFFF"/>
        </w:rPr>
        <w:t>pH</w:t>
      </w:r>
      <w:r>
        <w:rPr>
          <w:rFonts w:hint="default" w:ascii="Times New Roman" w:hAnsi="Times New Roman" w:cs="Times New Roman" w:eastAsiaTheme="minorEastAsia"/>
          <w:color w:val="auto"/>
          <w:highlight w:val="none"/>
          <w:shd w:val="clear" w:fill="FFFFFF"/>
          <w:vertAlign w:val="subscript"/>
        </w:rPr>
        <w:t>j</w:t>
      </w:r>
      <w:r>
        <w:rPr>
          <w:rFonts w:hint="default" w:ascii="Times New Roman" w:hAnsi="Times New Roman" w:cs="Times New Roman" w:eastAsiaTheme="minorEastAsia"/>
          <w:color w:val="auto"/>
          <w:highlight w:val="none"/>
        </w:rPr>
        <w:t>＜7.0</w:t>
      </w:r>
    </w:p>
    <w:p>
      <w:pPr>
        <w:adjustRightInd w:val="0"/>
        <w:snapToGrid w:val="0"/>
        <w:ind w:firstLine="520"/>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rPr>
        <w:t>式中：</w:t>
      </w:r>
      <w:r>
        <w:rPr>
          <w:rFonts w:hint="default" w:ascii="Times New Roman" w:hAnsi="Times New Roman" w:cs="Times New Roman" w:eastAsiaTheme="minorEastAsia"/>
          <w:i/>
          <w:color w:val="auto"/>
          <w:highlight w:val="none"/>
        </w:rPr>
        <w:t>S</w:t>
      </w:r>
      <w:r>
        <w:rPr>
          <w:rFonts w:hint="default" w:ascii="Times New Roman" w:hAnsi="Times New Roman" w:cs="Times New Roman" w:eastAsiaTheme="minorEastAsia"/>
          <w:i/>
          <w:color w:val="auto"/>
          <w:highlight w:val="none"/>
          <w:vertAlign w:val="subscript"/>
        </w:rPr>
        <w:t>i,j</w:t>
      </w:r>
      <w:r>
        <w:rPr>
          <w:rFonts w:hint="default" w:ascii="Times New Roman" w:hAnsi="Times New Roman" w:cs="Times New Roman" w:eastAsiaTheme="minorEastAsia"/>
          <w:i/>
          <w:color w:val="auto"/>
          <w:highlight w:val="none"/>
        </w:rPr>
        <w:t xml:space="preserve"> </w:t>
      </w:r>
      <w:r>
        <w:rPr>
          <w:rFonts w:hint="default" w:ascii="Times New Roman" w:hAnsi="Times New Roman" w:cs="Times New Roman" w:eastAsiaTheme="minorEastAsia"/>
          <w:color w:val="auto"/>
          <w:highlight w:val="none"/>
        </w:rPr>
        <w:t>—为</w:t>
      </w:r>
      <w:r>
        <w:rPr>
          <w:rFonts w:hint="default" w:ascii="Times New Roman" w:hAnsi="Times New Roman" w:cs="Times New Roman" w:eastAsiaTheme="minorEastAsia"/>
          <w:i/>
          <w:iCs/>
          <w:color w:val="auto"/>
          <w:highlight w:val="none"/>
        </w:rPr>
        <w:t>i</w:t>
      </w:r>
      <w:r>
        <w:rPr>
          <w:rFonts w:hint="default" w:ascii="Times New Roman" w:hAnsi="Times New Roman" w:cs="Times New Roman" w:eastAsiaTheme="minorEastAsia"/>
          <w:color w:val="auto"/>
          <w:highlight w:val="none"/>
        </w:rPr>
        <w:t>污染物在j监测点处的单项污染指数；</w:t>
      </w:r>
    </w:p>
    <w:p>
      <w:pPr>
        <w:adjustRightInd w:val="0"/>
        <w:snapToGrid w:val="0"/>
        <w:ind w:firstLine="1300" w:firstLineChars="500"/>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i/>
          <w:color w:val="auto"/>
          <w:highlight w:val="none"/>
          <w:shd w:val="clear" w:fill="FFFFFF"/>
        </w:rPr>
        <w:t>C</w:t>
      </w:r>
      <w:r>
        <w:rPr>
          <w:rFonts w:hint="default" w:ascii="Times New Roman" w:hAnsi="Times New Roman" w:cs="Times New Roman" w:eastAsiaTheme="minorEastAsia"/>
          <w:i/>
          <w:color w:val="auto"/>
          <w:highlight w:val="none"/>
          <w:shd w:val="clear" w:fill="FFFFFF"/>
          <w:vertAlign w:val="subscript"/>
        </w:rPr>
        <w:t>i</w:t>
      </w:r>
      <w:r>
        <w:rPr>
          <w:rFonts w:hint="default" w:ascii="Times New Roman" w:hAnsi="Times New Roman" w:cs="Times New Roman" w:eastAsiaTheme="minorEastAsia"/>
          <w:i/>
          <w:color w:val="auto"/>
          <w:highlight w:val="none"/>
          <w:vertAlign w:val="subscript"/>
        </w:rPr>
        <w:t>,j</w:t>
      </w:r>
      <w:r>
        <w:rPr>
          <w:rFonts w:hint="default" w:ascii="Times New Roman" w:hAnsi="Times New Roman" w:cs="Times New Roman" w:eastAsiaTheme="minorEastAsia"/>
          <w:i/>
          <w:color w:val="auto"/>
          <w:highlight w:val="none"/>
        </w:rPr>
        <w:t xml:space="preserve"> </w:t>
      </w:r>
      <w:r>
        <w:rPr>
          <w:rFonts w:hint="default" w:ascii="Times New Roman" w:hAnsi="Times New Roman" w:cs="Times New Roman" w:eastAsiaTheme="minorEastAsia"/>
          <w:color w:val="auto"/>
          <w:highlight w:val="none"/>
        </w:rPr>
        <w:t>—为</w:t>
      </w:r>
      <w:r>
        <w:rPr>
          <w:rFonts w:hint="default" w:ascii="Times New Roman" w:hAnsi="Times New Roman" w:cs="Times New Roman" w:eastAsiaTheme="minorEastAsia"/>
          <w:i/>
          <w:iCs/>
          <w:color w:val="auto"/>
          <w:highlight w:val="none"/>
        </w:rPr>
        <w:t>i</w:t>
      </w:r>
      <w:r>
        <w:rPr>
          <w:rFonts w:hint="default" w:ascii="Times New Roman" w:hAnsi="Times New Roman" w:cs="Times New Roman" w:eastAsiaTheme="minorEastAsia"/>
          <w:color w:val="auto"/>
          <w:highlight w:val="none"/>
        </w:rPr>
        <w:t>污染物在j监测点处的实测浓度(mg/L)；</w:t>
      </w:r>
    </w:p>
    <w:p>
      <w:pPr>
        <w:adjustRightInd w:val="0"/>
        <w:snapToGrid w:val="0"/>
        <w:ind w:firstLine="1300" w:firstLineChars="500"/>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i/>
          <w:color w:val="auto"/>
          <w:highlight w:val="none"/>
        </w:rPr>
        <w:t>C</w:t>
      </w:r>
      <w:r>
        <w:rPr>
          <w:rFonts w:hint="default" w:ascii="Times New Roman" w:hAnsi="Times New Roman" w:cs="Times New Roman" w:eastAsiaTheme="minorEastAsia"/>
          <w:i/>
          <w:color w:val="auto"/>
          <w:highlight w:val="none"/>
          <w:vertAlign w:val="subscript"/>
        </w:rPr>
        <w:t>si</w:t>
      </w:r>
      <w:r>
        <w:rPr>
          <w:rFonts w:hint="default" w:ascii="Times New Roman" w:hAnsi="Times New Roman" w:cs="Times New Roman" w:eastAsiaTheme="minorEastAsia"/>
          <w:color w:val="auto"/>
          <w:highlight w:val="none"/>
        </w:rPr>
        <w:t xml:space="preserve"> —为</w:t>
      </w:r>
      <w:r>
        <w:rPr>
          <w:rFonts w:hint="default" w:ascii="Times New Roman" w:hAnsi="Times New Roman" w:cs="Times New Roman" w:eastAsiaTheme="minorEastAsia"/>
          <w:i/>
          <w:iCs/>
          <w:color w:val="auto"/>
          <w:highlight w:val="none"/>
        </w:rPr>
        <w:t>i</w:t>
      </w:r>
      <w:r>
        <w:rPr>
          <w:rFonts w:hint="default" w:ascii="Times New Roman" w:hAnsi="Times New Roman" w:cs="Times New Roman" w:eastAsiaTheme="minorEastAsia"/>
          <w:color w:val="auto"/>
          <w:highlight w:val="none"/>
        </w:rPr>
        <w:t>污染物的评价标准(mg/L)；</w:t>
      </w:r>
    </w:p>
    <w:p>
      <w:pPr>
        <w:adjustRightInd w:val="0"/>
        <w:snapToGrid w:val="0"/>
        <w:ind w:firstLine="1300" w:firstLineChars="500"/>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i/>
          <w:color w:val="auto"/>
          <w:highlight w:val="none"/>
        </w:rPr>
        <w:t>S</w:t>
      </w:r>
      <w:r>
        <w:rPr>
          <w:rFonts w:hint="default" w:ascii="Times New Roman" w:hAnsi="Times New Roman" w:cs="Times New Roman" w:eastAsiaTheme="minorEastAsia"/>
          <w:i/>
          <w:color w:val="auto"/>
          <w:highlight w:val="none"/>
          <w:vertAlign w:val="subscript"/>
        </w:rPr>
        <w:t>pH</w:t>
      </w:r>
      <w:r>
        <w:rPr>
          <w:rFonts w:hint="default" w:ascii="Times New Roman" w:hAnsi="Times New Roman" w:cs="Times New Roman" w:eastAsiaTheme="minorEastAsia"/>
          <w:color w:val="auto"/>
          <w:highlight w:val="none"/>
        </w:rPr>
        <w:t xml:space="preserve"> — pH的单项污染指数；</w:t>
      </w:r>
    </w:p>
    <w:p>
      <w:pPr>
        <w:adjustRightInd w:val="0"/>
        <w:snapToGrid w:val="0"/>
        <w:ind w:firstLine="1300" w:firstLineChars="500"/>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i/>
          <w:color w:val="auto"/>
          <w:highlight w:val="none"/>
          <w:shd w:val="clear" w:fill="FFFFFF"/>
        </w:rPr>
        <w:t>pH</w:t>
      </w:r>
      <w:r>
        <w:rPr>
          <w:rFonts w:hint="default" w:ascii="Times New Roman" w:hAnsi="Times New Roman" w:cs="Times New Roman" w:eastAsiaTheme="minorEastAsia"/>
          <w:i/>
          <w:color w:val="auto"/>
          <w:highlight w:val="none"/>
          <w:shd w:val="clear" w:fill="FFFFFF"/>
          <w:vertAlign w:val="subscript"/>
        </w:rPr>
        <w:t>sd</w:t>
      </w:r>
      <w:r>
        <w:rPr>
          <w:rFonts w:hint="default" w:ascii="Times New Roman" w:hAnsi="Times New Roman" w:cs="Times New Roman" w:eastAsiaTheme="minorEastAsia"/>
          <w:i/>
          <w:color w:val="auto"/>
          <w:highlight w:val="none"/>
        </w:rPr>
        <w:t xml:space="preserve"> </w:t>
      </w:r>
      <w:r>
        <w:rPr>
          <w:rFonts w:hint="default" w:ascii="Times New Roman" w:hAnsi="Times New Roman" w:cs="Times New Roman" w:eastAsiaTheme="minorEastAsia"/>
          <w:color w:val="auto"/>
          <w:highlight w:val="none"/>
        </w:rPr>
        <w:t>—地表水水质标准中规定的pH值下限；</w:t>
      </w:r>
    </w:p>
    <w:p>
      <w:pPr>
        <w:adjustRightInd w:val="0"/>
        <w:snapToGrid w:val="0"/>
        <w:ind w:firstLine="1300" w:firstLineChars="500"/>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i/>
          <w:color w:val="auto"/>
          <w:highlight w:val="none"/>
          <w:shd w:val="clear" w:fill="FFFFFF"/>
        </w:rPr>
        <w:t>pHS</w:t>
      </w:r>
      <w:r>
        <w:rPr>
          <w:rFonts w:hint="default" w:ascii="Times New Roman" w:hAnsi="Times New Roman" w:cs="Times New Roman" w:eastAsiaTheme="minorEastAsia"/>
          <w:i/>
          <w:color w:val="auto"/>
          <w:highlight w:val="none"/>
          <w:shd w:val="clear" w:fill="FFFFFF"/>
          <w:vertAlign w:val="subscript"/>
        </w:rPr>
        <w:t>su</w:t>
      </w:r>
      <w:r>
        <w:rPr>
          <w:rFonts w:hint="default" w:ascii="Times New Roman" w:hAnsi="Times New Roman" w:cs="Times New Roman" w:eastAsiaTheme="minorEastAsia"/>
          <w:color w:val="auto"/>
          <w:highlight w:val="none"/>
        </w:rPr>
        <w:t xml:space="preserve"> —地表水水质标准中规定的pH值上限；</w:t>
      </w:r>
    </w:p>
    <w:p>
      <w:pPr>
        <w:adjustRightInd w:val="0"/>
        <w:snapToGrid w:val="0"/>
        <w:ind w:firstLine="1300" w:firstLineChars="500"/>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i/>
          <w:color w:val="auto"/>
          <w:highlight w:val="none"/>
          <w:shd w:val="clear" w:fill="FFFFFF"/>
        </w:rPr>
        <w:t>pH</w:t>
      </w:r>
      <w:r>
        <w:rPr>
          <w:rFonts w:hint="default" w:ascii="Times New Roman" w:hAnsi="Times New Roman" w:cs="Times New Roman" w:eastAsiaTheme="minorEastAsia"/>
          <w:i/>
          <w:color w:val="auto"/>
          <w:highlight w:val="none"/>
          <w:shd w:val="clear" w:fill="FFFFFF"/>
          <w:vertAlign w:val="subscript"/>
        </w:rPr>
        <w:t>j</w:t>
      </w:r>
      <w:r>
        <w:rPr>
          <w:rFonts w:hint="default" w:ascii="Times New Roman" w:hAnsi="Times New Roman" w:cs="Times New Roman" w:eastAsiaTheme="minorEastAsia"/>
          <w:i/>
          <w:color w:val="auto"/>
          <w:highlight w:val="none"/>
        </w:rPr>
        <w:t xml:space="preserve"> </w:t>
      </w:r>
      <w:r>
        <w:rPr>
          <w:rFonts w:hint="default" w:ascii="Times New Roman" w:hAnsi="Times New Roman" w:cs="Times New Roman" w:eastAsiaTheme="minorEastAsia"/>
          <w:color w:val="auto"/>
          <w:highlight w:val="none"/>
        </w:rPr>
        <w:t>—在</w:t>
      </w:r>
      <w:r>
        <w:rPr>
          <w:rFonts w:hint="default" w:ascii="Times New Roman" w:hAnsi="Times New Roman" w:cs="Times New Roman" w:eastAsiaTheme="minorEastAsia"/>
          <w:i/>
          <w:iCs/>
          <w:color w:val="auto"/>
          <w:highlight w:val="none"/>
        </w:rPr>
        <w:t>j</w:t>
      </w:r>
      <w:r>
        <w:rPr>
          <w:rFonts w:hint="default" w:ascii="Times New Roman" w:hAnsi="Times New Roman" w:cs="Times New Roman" w:eastAsiaTheme="minorEastAsia"/>
          <w:color w:val="auto"/>
          <w:highlight w:val="none"/>
        </w:rPr>
        <w:t>监测点处实测pH值。</w:t>
      </w:r>
    </w:p>
    <w:p>
      <w:pPr>
        <w:ind w:firstLine="520" w:firstLineChars="0"/>
        <w:rPr>
          <w:rFonts w:hint="default" w:ascii="Times New Roman" w:hAnsi="Times New Roman" w:cs="Times New Roman" w:eastAsiaTheme="minorEastAsia"/>
          <w:color w:val="auto"/>
          <w:highlight w:val="none"/>
        </w:rPr>
      </w:pPr>
      <w:r>
        <w:rPr>
          <w:rFonts w:hint="default" w:ascii="Times New Roman" w:hAnsi="Times New Roman" w:cs="Times New Roman"/>
          <w:color w:val="auto"/>
          <w:highlight w:val="none"/>
        </w:rPr>
        <w:t>③</w:t>
      </w:r>
      <w:r>
        <w:rPr>
          <w:rFonts w:hint="default" w:ascii="Times New Roman" w:hAnsi="Times New Roman" w:cs="Times New Roman" w:eastAsiaTheme="minorEastAsia"/>
          <w:color w:val="auto"/>
          <w:highlight w:val="none"/>
        </w:rPr>
        <w:t>评价标准</w:t>
      </w:r>
    </w:p>
    <w:p>
      <w:pPr>
        <w:ind w:firstLine="520"/>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rPr>
        <w:t>执行《地表水环境质量标准》（GB3838-2002）</w:t>
      </w:r>
      <w:r>
        <w:rPr>
          <w:rFonts w:hint="default" w:ascii="Times New Roman" w:hAnsi="Times New Roman" w:cs="Times New Roman" w:eastAsiaTheme="minorEastAsia"/>
          <w:color w:val="auto"/>
          <w:highlight w:val="none"/>
          <w:shd w:val="clear" w:fill="FFFFFF"/>
        </w:rPr>
        <w:t>III类</w:t>
      </w:r>
      <w:r>
        <w:rPr>
          <w:rFonts w:hint="default" w:ascii="Times New Roman" w:hAnsi="Times New Roman" w:cs="Times New Roman" w:eastAsiaTheme="minorEastAsia"/>
          <w:color w:val="auto"/>
          <w:highlight w:val="none"/>
        </w:rPr>
        <w:t>标准。</w:t>
      </w:r>
    </w:p>
    <w:p>
      <w:pPr>
        <w:ind w:firstLine="520"/>
        <w:rPr>
          <w:rFonts w:hint="default" w:ascii="Times New Roman" w:hAnsi="Times New Roman" w:cs="Times New Roman" w:eastAsiaTheme="minorEastAsia"/>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4 \* GB3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④</w:t>
      </w:r>
      <w:r>
        <w:rPr>
          <w:rFonts w:hint="default" w:ascii="Times New Roman" w:hAnsi="Times New Roman" w:cs="Times New Roman"/>
          <w:color w:val="auto"/>
          <w:highlight w:val="none"/>
        </w:rPr>
        <w:fldChar w:fldCharType="end"/>
      </w:r>
      <w:r>
        <w:rPr>
          <w:rFonts w:hint="default" w:ascii="Times New Roman" w:hAnsi="Times New Roman" w:cs="Times New Roman" w:eastAsiaTheme="minorEastAsia"/>
          <w:color w:val="auto"/>
          <w:highlight w:val="none"/>
        </w:rPr>
        <w:t>现状评价结果</w:t>
      </w:r>
    </w:p>
    <w:p>
      <w:pPr>
        <w:ind w:firstLine="520"/>
        <w:rPr>
          <w:rFonts w:hint="eastAsia" w:cs="Times New Roman" w:eastAsiaTheme="minorEastAsia"/>
          <w:snapToGrid w:val="0"/>
          <w:color w:val="auto"/>
          <w:kern w:val="0"/>
          <w:szCs w:val="26"/>
          <w:highlight w:val="none"/>
          <w:lang w:eastAsia="zh-CN"/>
        </w:rPr>
      </w:pPr>
      <w:r>
        <w:rPr>
          <w:rFonts w:hint="default" w:ascii="Times New Roman" w:hAnsi="Times New Roman" w:cs="Times New Roman" w:eastAsiaTheme="minorEastAsia"/>
          <w:snapToGrid w:val="0"/>
          <w:color w:val="auto"/>
          <w:kern w:val="0"/>
          <w:szCs w:val="26"/>
          <w:highlight w:val="none"/>
        </w:rPr>
        <w:t>根据例行监测数据可知：</w:t>
      </w:r>
      <w:r>
        <w:rPr>
          <w:rFonts w:hint="eastAsia" w:cs="Times New Roman" w:eastAsiaTheme="minorEastAsia"/>
          <w:snapToGrid w:val="0"/>
          <w:color w:val="auto"/>
          <w:kern w:val="0"/>
          <w:szCs w:val="26"/>
          <w:highlight w:val="none"/>
          <w:lang w:eastAsia="zh-CN"/>
        </w:rPr>
        <w:t>涪江干流水质状况良好，</w:t>
      </w:r>
      <w:r>
        <w:rPr>
          <w:rFonts w:hint="eastAsia" w:cs="Times New Roman" w:eastAsiaTheme="minorEastAsia"/>
          <w:snapToGrid w:val="0"/>
          <w:color w:val="auto"/>
          <w:kern w:val="0"/>
          <w:szCs w:val="26"/>
          <w:highlight w:val="none"/>
          <w:lang w:val="en-US" w:eastAsia="zh-CN"/>
        </w:rPr>
        <w:t>2024年</w:t>
      </w:r>
      <w:r>
        <w:rPr>
          <w:rFonts w:hint="eastAsia"/>
          <w:color w:val="auto"/>
          <w:highlight w:val="none"/>
          <w:lang w:eastAsia="zh-CN"/>
        </w:rPr>
        <w:t>各水期</w:t>
      </w:r>
      <w:r>
        <w:rPr>
          <w:rFonts w:hint="eastAsia"/>
          <w:color w:val="auto"/>
          <w:highlight w:val="none"/>
          <w:lang w:val="zh-CN"/>
        </w:rPr>
        <w:t>浓度</w:t>
      </w:r>
      <w:r>
        <w:rPr>
          <w:rFonts w:hint="eastAsia"/>
          <w:color w:val="auto"/>
          <w:highlight w:val="none"/>
        </w:rPr>
        <w:t>均</w:t>
      </w:r>
      <w:r>
        <w:rPr>
          <w:rFonts w:hint="eastAsia"/>
          <w:color w:val="auto"/>
          <w:highlight w:val="none"/>
          <w:lang w:val="zh-CN"/>
        </w:rPr>
        <w:t>满足《地表水环境质量标准》（GB3838-2002）Ⅲ类标准要求；</w:t>
      </w:r>
      <w:r>
        <w:rPr>
          <w:rFonts w:hint="default" w:ascii="Times New Roman" w:hAnsi="Times New Roman" w:cs="Times New Roman" w:eastAsiaTheme="minorEastAsia"/>
          <w:snapToGrid w:val="0"/>
          <w:color w:val="auto"/>
          <w:kern w:val="0"/>
          <w:szCs w:val="26"/>
          <w:highlight w:val="none"/>
        </w:rPr>
        <w:t>渭沱水库主要监测因子均满足《地表水环境质量标准》（GB3838-2002）</w:t>
      </w:r>
      <w:r>
        <w:rPr>
          <w:rFonts w:hint="default" w:ascii="Times New Roman" w:hAnsi="Times New Roman" w:cs="Times New Roman" w:eastAsiaTheme="minorEastAsia"/>
          <w:snapToGrid w:val="0"/>
          <w:color w:val="auto"/>
          <w:kern w:val="0"/>
          <w:szCs w:val="26"/>
          <w:highlight w:val="none"/>
        </w:rPr>
        <w:fldChar w:fldCharType="begin"/>
      </w:r>
      <w:r>
        <w:rPr>
          <w:rFonts w:hint="default" w:ascii="Times New Roman" w:hAnsi="Times New Roman" w:cs="Times New Roman" w:eastAsiaTheme="minorEastAsia"/>
          <w:snapToGrid w:val="0"/>
          <w:color w:val="auto"/>
          <w:kern w:val="0"/>
          <w:szCs w:val="26"/>
          <w:highlight w:val="none"/>
        </w:rPr>
        <w:instrText xml:space="preserve"> = 3 \* ROMAN </w:instrText>
      </w:r>
      <w:r>
        <w:rPr>
          <w:rFonts w:hint="default" w:ascii="Times New Roman" w:hAnsi="Times New Roman" w:cs="Times New Roman" w:eastAsiaTheme="minorEastAsia"/>
          <w:snapToGrid w:val="0"/>
          <w:color w:val="auto"/>
          <w:kern w:val="0"/>
          <w:szCs w:val="26"/>
          <w:highlight w:val="none"/>
        </w:rPr>
        <w:fldChar w:fldCharType="separate"/>
      </w:r>
      <w:r>
        <w:rPr>
          <w:rFonts w:hint="default" w:ascii="Times New Roman" w:hAnsi="Times New Roman" w:cs="Times New Roman" w:eastAsiaTheme="minorEastAsia"/>
          <w:snapToGrid w:val="0"/>
          <w:color w:val="auto"/>
          <w:kern w:val="0"/>
          <w:szCs w:val="26"/>
          <w:highlight w:val="none"/>
        </w:rPr>
        <w:t>III</w:t>
      </w:r>
      <w:r>
        <w:rPr>
          <w:rFonts w:hint="default" w:ascii="Times New Roman" w:hAnsi="Times New Roman" w:cs="Times New Roman" w:eastAsiaTheme="minorEastAsia"/>
          <w:snapToGrid w:val="0"/>
          <w:color w:val="auto"/>
          <w:kern w:val="0"/>
          <w:szCs w:val="26"/>
          <w:highlight w:val="none"/>
        </w:rPr>
        <w:fldChar w:fldCharType="end"/>
      </w:r>
      <w:r>
        <w:rPr>
          <w:rFonts w:hint="default" w:ascii="Times New Roman" w:hAnsi="Times New Roman" w:cs="Times New Roman" w:eastAsiaTheme="minorEastAsia"/>
          <w:snapToGrid w:val="0"/>
          <w:color w:val="auto"/>
          <w:kern w:val="0"/>
          <w:szCs w:val="26"/>
          <w:highlight w:val="none"/>
        </w:rPr>
        <w:t>类水质标准要求。</w:t>
      </w:r>
    </w:p>
    <w:p>
      <w:pPr>
        <w:tabs>
          <w:tab w:val="left" w:pos="1080"/>
        </w:tabs>
        <w:adjustRightInd w:val="0"/>
        <w:snapToGrid w:val="0"/>
        <w:ind w:firstLine="520"/>
        <w:rPr>
          <w:rFonts w:hint="default" w:ascii="Times New Roman" w:hAnsi="Times New Roman" w:cs="Times New Roman" w:eastAsiaTheme="minorEastAsia"/>
          <w:color w:val="auto"/>
          <w:highlight w:val="none"/>
        </w:rPr>
      </w:pPr>
      <w:r>
        <w:rPr>
          <w:rFonts w:hint="eastAsia"/>
          <w:color w:val="auto"/>
          <w:highlight w:val="none"/>
          <w:lang w:val="en-US" w:eastAsia="zh-CN"/>
        </w:rPr>
        <w:t>根据本次补充监测及引用监测数据显示：上游对照断面、下游控制断面、</w:t>
      </w:r>
      <w:r>
        <w:rPr>
          <w:rFonts w:hint="default" w:ascii="Times New Roman" w:hAnsi="Times New Roman" w:cs="Times New Roman" w:eastAsiaTheme="minorEastAsia"/>
          <w:snapToGrid w:val="0"/>
          <w:color w:val="auto"/>
          <w:kern w:val="0"/>
          <w:szCs w:val="26"/>
          <w:highlight w:val="none"/>
        </w:rPr>
        <w:t>下游</w:t>
      </w:r>
      <w:r>
        <w:rPr>
          <w:rFonts w:hint="default" w:ascii="Times New Roman" w:hAnsi="Times New Roman" w:cs="Times New Roman"/>
          <w:color w:val="auto"/>
          <w:highlight w:val="none"/>
        </w:rPr>
        <w:t>金沙水厂水源地</w:t>
      </w:r>
      <w:r>
        <w:rPr>
          <w:rFonts w:hint="eastAsia"/>
          <w:color w:val="auto"/>
          <w:highlight w:val="none"/>
          <w:lang w:val="en-US" w:eastAsia="zh-CN"/>
        </w:rPr>
        <w:t>各监测因子均满足《地表水环境质量标准》（GB3838-2002）Ⅲ类水质标准，涪江水环境质量较好。</w:t>
      </w:r>
    </w:p>
    <w:p>
      <w:pPr>
        <w:tabs>
          <w:tab w:val="left" w:pos="1080"/>
        </w:tabs>
        <w:adjustRightInd w:val="0"/>
        <w:snapToGrid w:val="0"/>
        <w:ind w:firstLine="520"/>
        <w:rPr>
          <w:rFonts w:hint="eastAsia"/>
          <w:color w:val="auto"/>
          <w:highlight w:val="none"/>
          <w:lang w:val="en-US"/>
        </w:rPr>
      </w:pPr>
      <w:r>
        <w:rPr>
          <w:rFonts w:hint="default" w:ascii="Times New Roman" w:hAnsi="Times New Roman" w:cs="Times New Roman" w:eastAsiaTheme="minorEastAsia"/>
          <w:color w:val="auto"/>
          <w:highlight w:val="none"/>
        </w:rPr>
        <w:t>各监测断面污染因子单项指数计算见下表：</w:t>
      </w:r>
    </w:p>
    <w:p>
      <w:pPr>
        <w:spacing w:line="240" w:lineRule="auto"/>
        <w:ind w:left="0" w:leftChars="0" w:firstLine="0" w:firstLineChars="0"/>
        <w:jc w:val="both"/>
        <w:rPr>
          <w:color w:val="auto"/>
          <w:kern w:val="0"/>
          <w:highlight w:val="none"/>
        </w:rPr>
        <w:sectPr>
          <w:pgSz w:w="11906" w:h="16838"/>
          <w:pgMar w:top="1701" w:right="1588" w:bottom="1588" w:left="1588" w:header="1304" w:footer="1247" w:gutter="0"/>
          <w:cols w:space="425" w:num="1"/>
          <w:docGrid w:linePitch="354" w:charSpace="0"/>
        </w:sectPr>
      </w:pPr>
    </w:p>
    <w:p>
      <w:pPr>
        <w:keepNext w:val="0"/>
        <w:keepLines w:val="0"/>
        <w:pageBreakBefore w:val="0"/>
        <w:widowControl w:val="0"/>
        <w:kinsoku/>
        <w:wordWrap/>
        <w:overflowPunct/>
        <w:topLinePunct w:val="0"/>
        <w:autoSpaceDE/>
        <w:autoSpaceDN/>
        <w:bidi w:val="0"/>
        <w:adjustRightInd/>
        <w:snapToGrid w:val="0"/>
        <w:spacing w:line="240" w:lineRule="auto"/>
        <w:ind w:firstLine="520"/>
        <w:jc w:val="center"/>
        <w:textAlignment w:val="auto"/>
        <w:rPr>
          <w:color w:val="auto"/>
          <w:kern w:val="0"/>
          <w:highlight w:val="none"/>
        </w:rPr>
      </w:pPr>
      <w:r>
        <w:rPr>
          <w:color w:val="auto"/>
          <w:kern w:val="0"/>
          <w:highlight w:val="none"/>
        </w:rPr>
        <w:t>表</w:t>
      </w:r>
      <w:r>
        <w:rPr>
          <w:rFonts w:hint="eastAsia"/>
          <w:color w:val="auto"/>
          <w:kern w:val="0"/>
          <w:highlight w:val="none"/>
        </w:rPr>
        <w:t>3.3.2-</w:t>
      </w:r>
      <w:r>
        <w:rPr>
          <w:rFonts w:hint="eastAsia"/>
          <w:color w:val="auto"/>
          <w:kern w:val="0"/>
          <w:highlight w:val="none"/>
          <w:lang w:val="en-US" w:eastAsia="zh-CN"/>
        </w:rPr>
        <w:t>3</w:t>
      </w:r>
      <w:r>
        <w:rPr>
          <w:color w:val="auto"/>
          <w:kern w:val="0"/>
          <w:highlight w:val="none"/>
        </w:rPr>
        <w:t xml:space="preserve">  地表水环境质量现状评价结果表        </w:t>
      </w:r>
      <w:r>
        <w:rPr>
          <w:color w:val="auto"/>
          <w:kern w:val="0"/>
          <w:sz w:val="22"/>
          <w:szCs w:val="22"/>
          <w:highlight w:val="none"/>
        </w:rPr>
        <w:t>单位：mg/L</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4"/>
        <w:gridCol w:w="1353"/>
        <w:gridCol w:w="700"/>
        <w:gridCol w:w="475"/>
        <w:gridCol w:w="1400"/>
        <w:gridCol w:w="787"/>
        <w:gridCol w:w="475"/>
        <w:gridCol w:w="825"/>
        <w:gridCol w:w="888"/>
        <w:gridCol w:w="471"/>
        <w:gridCol w:w="2"/>
        <w:gridCol w:w="746"/>
        <w:gridCol w:w="727"/>
        <w:gridCol w:w="565"/>
        <w:gridCol w:w="1176"/>
        <w:gridCol w:w="675"/>
        <w:gridCol w:w="484"/>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pct"/>
            <w:vMerge w:val="restart"/>
            <w:tcBorders>
              <w:tl2br w:val="single" w:color="auto" w:sz="4" w:space="0"/>
            </w:tcBorders>
            <w:vAlign w:val="center"/>
          </w:tcPr>
          <w:p>
            <w:pPr>
              <w:spacing w:line="240" w:lineRule="auto"/>
              <w:ind w:firstLine="440"/>
              <w:jc w:val="center"/>
              <w:rPr>
                <w:color w:val="auto"/>
                <w:sz w:val="20"/>
                <w:szCs w:val="20"/>
                <w:highlight w:val="none"/>
              </w:rPr>
            </w:pPr>
            <w:r>
              <w:rPr>
                <w:color w:val="auto"/>
                <w:sz w:val="20"/>
                <w:szCs w:val="20"/>
                <w:highlight w:val="none"/>
              </w:rPr>
              <w:t>断面</w:t>
            </w:r>
          </w:p>
          <w:p>
            <w:pPr>
              <w:spacing w:line="240" w:lineRule="auto"/>
              <w:ind w:left="0" w:leftChars="0" w:firstLine="0" w:firstLineChars="0"/>
              <w:jc w:val="both"/>
              <w:rPr>
                <w:color w:val="auto"/>
                <w:sz w:val="20"/>
                <w:szCs w:val="20"/>
                <w:highlight w:val="none"/>
              </w:rPr>
            </w:pPr>
            <w:r>
              <w:rPr>
                <w:color w:val="auto"/>
                <w:sz w:val="20"/>
                <w:szCs w:val="20"/>
                <w:highlight w:val="none"/>
              </w:rPr>
              <w:t>指标</w:t>
            </w:r>
          </w:p>
        </w:tc>
        <w:tc>
          <w:tcPr>
            <w:tcW w:w="910" w:type="pct"/>
            <w:gridSpan w:val="3"/>
            <w:vAlign w:val="center"/>
          </w:tcPr>
          <w:p>
            <w:pPr>
              <w:spacing w:line="240" w:lineRule="auto"/>
              <w:ind w:firstLine="0" w:firstLineChars="0"/>
              <w:jc w:val="center"/>
              <w:rPr>
                <w:rFonts w:hint="eastAsia" w:eastAsia="宋体"/>
                <w:color w:val="auto"/>
                <w:sz w:val="20"/>
                <w:szCs w:val="20"/>
                <w:highlight w:val="none"/>
                <w:lang w:eastAsia="zh-CN"/>
              </w:rPr>
            </w:pPr>
            <w:r>
              <w:rPr>
                <w:rFonts w:hint="eastAsia"/>
                <w:color w:val="auto"/>
                <w:sz w:val="20"/>
                <w:szCs w:val="20"/>
                <w:highlight w:val="none"/>
                <w:lang w:eastAsia="zh-CN"/>
              </w:rPr>
              <w:t>涪江</w:t>
            </w:r>
          </w:p>
        </w:tc>
        <w:tc>
          <w:tcPr>
            <w:tcW w:w="959" w:type="pct"/>
            <w:gridSpan w:val="3"/>
            <w:vAlign w:val="center"/>
          </w:tcPr>
          <w:p>
            <w:pPr>
              <w:spacing w:line="240" w:lineRule="auto"/>
              <w:ind w:firstLine="0" w:firstLineChars="0"/>
              <w:jc w:val="center"/>
              <w:rPr>
                <w:rFonts w:hint="eastAsia" w:eastAsia="宋体"/>
                <w:color w:val="auto"/>
                <w:sz w:val="20"/>
                <w:szCs w:val="20"/>
                <w:highlight w:val="none"/>
                <w:lang w:eastAsia="zh-CN"/>
              </w:rPr>
            </w:pPr>
            <w:r>
              <w:rPr>
                <w:rFonts w:hint="eastAsia"/>
                <w:color w:val="auto"/>
                <w:sz w:val="20"/>
                <w:szCs w:val="20"/>
                <w:highlight w:val="none"/>
                <w:lang w:eastAsia="zh-CN"/>
              </w:rPr>
              <w:t>涪江</w:t>
            </w:r>
          </w:p>
        </w:tc>
        <w:tc>
          <w:tcPr>
            <w:tcW w:w="787" w:type="pct"/>
            <w:gridSpan w:val="4"/>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涪江</w:t>
            </w:r>
          </w:p>
        </w:tc>
        <w:tc>
          <w:tcPr>
            <w:tcW w:w="734" w:type="pct"/>
            <w:gridSpan w:val="3"/>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涪江</w:t>
            </w:r>
          </w:p>
        </w:tc>
        <w:tc>
          <w:tcPr>
            <w:tcW w:w="841" w:type="pct"/>
            <w:gridSpan w:val="3"/>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rPr>
              <w:t>涪江</w:t>
            </w:r>
          </w:p>
        </w:tc>
        <w:tc>
          <w:tcPr>
            <w:tcW w:w="340" w:type="pct"/>
            <w:vMerge w:val="restart"/>
            <w:vAlign w:val="center"/>
          </w:tcPr>
          <w:p>
            <w:pPr>
              <w:spacing w:line="240" w:lineRule="auto"/>
              <w:ind w:firstLine="0" w:firstLineChars="0"/>
              <w:jc w:val="center"/>
              <w:rPr>
                <w:color w:val="auto"/>
                <w:sz w:val="20"/>
                <w:szCs w:val="20"/>
                <w:highlight w:val="none"/>
              </w:rPr>
            </w:pPr>
            <w:r>
              <w:rPr>
                <w:color w:val="auto"/>
                <w:sz w:val="20"/>
                <w:szCs w:val="20"/>
                <w:highlight w:val="none"/>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pct"/>
            <w:vMerge w:val="continue"/>
            <w:tcBorders>
              <w:tl2br w:val="single" w:color="auto" w:sz="4" w:space="0"/>
            </w:tcBorders>
            <w:vAlign w:val="center"/>
          </w:tcPr>
          <w:p>
            <w:pPr>
              <w:spacing w:line="240" w:lineRule="auto"/>
              <w:ind w:firstLine="180" w:firstLineChars="90"/>
              <w:jc w:val="center"/>
              <w:rPr>
                <w:color w:val="auto"/>
                <w:sz w:val="20"/>
                <w:szCs w:val="20"/>
                <w:highlight w:val="none"/>
              </w:rPr>
            </w:pPr>
          </w:p>
        </w:tc>
        <w:tc>
          <w:tcPr>
            <w:tcW w:w="910" w:type="pct"/>
            <w:gridSpan w:val="3"/>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W1</w:t>
            </w:r>
          </w:p>
        </w:tc>
        <w:tc>
          <w:tcPr>
            <w:tcW w:w="959" w:type="pct"/>
            <w:gridSpan w:val="3"/>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YW1</w:t>
            </w:r>
          </w:p>
        </w:tc>
        <w:tc>
          <w:tcPr>
            <w:tcW w:w="787" w:type="pct"/>
            <w:gridSpan w:val="4"/>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YW2</w:t>
            </w:r>
          </w:p>
        </w:tc>
        <w:tc>
          <w:tcPr>
            <w:tcW w:w="734" w:type="pct"/>
            <w:gridSpan w:val="3"/>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rPr>
              <w:t>Y</w:t>
            </w:r>
            <w:r>
              <w:rPr>
                <w:color w:val="auto"/>
                <w:sz w:val="20"/>
                <w:szCs w:val="20"/>
                <w:highlight w:val="none"/>
              </w:rPr>
              <w:t>W</w:t>
            </w:r>
            <w:r>
              <w:rPr>
                <w:rFonts w:hint="eastAsia"/>
                <w:color w:val="auto"/>
                <w:sz w:val="20"/>
                <w:szCs w:val="20"/>
                <w:highlight w:val="none"/>
                <w:lang w:val="en-US" w:eastAsia="zh-CN"/>
              </w:rPr>
              <w:t>3</w:t>
            </w:r>
          </w:p>
        </w:tc>
        <w:tc>
          <w:tcPr>
            <w:tcW w:w="841" w:type="pct"/>
            <w:gridSpan w:val="3"/>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rPr>
              <w:t>YW</w:t>
            </w:r>
            <w:r>
              <w:rPr>
                <w:rFonts w:hint="eastAsia"/>
                <w:color w:val="auto"/>
                <w:sz w:val="20"/>
                <w:szCs w:val="20"/>
                <w:highlight w:val="none"/>
                <w:lang w:val="en-US" w:eastAsia="zh-CN"/>
              </w:rPr>
              <w:t>4</w:t>
            </w:r>
          </w:p>
        </w:tc>
        <w:tc>
          <w:tcPr>
            <w:tcW w:w="340" w:type="pct"/>
            <w:vMerge w:val="continue"/>
            <w:vAlign w:val="center"/>
          </w:tcPr>
          <w:p>
            <w:pPr>
              <w:spacing w:line="240" w:lineRule="auto"/>
              <w:ind w:firstLine="0" w:firstLineChars="0"/>
              <w:jc w:val="center"/>
              <w:rPr>
                <w:color w:val="auto"/>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pct"/>
            <w:vMerge w:val="continue"/>
            <w:tcBorders>
              <w:tl2br w:val="single" w:color="auto" w:sz="4" w:space="0"/>
            </w:tcBorders>
            <w:vAlign w:val="center"/>
          </w:tcPr>
          <w:p>
            <w:pPr>
              <w:spacing w:line="240" w:lineRule="auto"/>
              <w:ind w:firstLine="0" w:firstLineChars="0"/>
              <w:jc w:val="center"/>
              <w:rPr>
                <w:color w:val="auto"/>
                <w:sz w:val="20"/>
                <w:szCs w:val="20"/>
                <w:highlight w:val="none"/>
              </w:rPr>
            </w:pPr>
          </w:p>
        </w:tc>
        <w:tc>
          <w:tcPr>
            <w:tcW w:w="487" w:type="pct"/>
            <w:vAlign w:val="center"/>
          </w:tcPr>
          <w:p>
            <w:pPr>
              <w:spacing w:line="240" w:lineRule="auto"/>
              <w:ind w:firstLine="0" w:firstLineChars="0"/>
              <w:jc w:val="center"/>
              <w:rPr>
                <w:rFonts w:ascii="Times New Roman" w:hAnsi="Times New Roman" w:eastAsia="宋体" w:cs="Times New Roman"/>
                <w:color w:val="auto"/>
                <w:kern w:val="2"/>
                <w:sz w:val="20"/>
                <w:szCs w:val="20"/>
                <w:highlight w:val="none"/>
                <w:lang w:val="en-US" w:eastAsia="zh-CN" w:bidi="ar-SA"/>
              </w:rPr>
            </w:pPr>
            <w:r>
              <w:rPr>
                <w:color w:val="auto"/>
                <w:sz w:val="20"/>
                <w:szCs w:val="20"/>
                <w:highlight w:val="none"/>
              </w:rPr>
              <w:t>浓度</w:t>
            </w:r>
          </w:p>
        </w:tc>
        <w:tc>
          <w:tcPr>
            <w:tcW w:w="252" w:type="pct"/>
            <w:vAlign w:val="center"/>
          </w:tcPr>
          <w:p>
            <w:pPr>
              <w:spacing w:line="240" w:lineRule="auto"/>
              <w:ind w:firstLine="0" w:firstLineChars="0"/>
              <w:jc w:val="center"/>
              <w:rPr>
                <w:rFonts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eastAsia="zh-CN"/>
              </w:rPr>
              <w:t>最大</w:t>
            </w:r>
            <w:r>
              <w:rPr>
                <w:rFonts w:hint="eastAsia"/>
                <w:color w:val="auto"/>
                <w:sz w:val="20"/>
                <w:szCs w:val="20"/>
                <w:highlight w:val="none"/>
              </w:rPr>
              <w:t>标准</w:t>
            </w:r>
            <w:r>
              <w:rPr>
                <w:color w:val="auto"/>
                <w:sz w:val="20"/>
                <w:szCs w:val="20"/>
                <w:highlight w:val="none"/>
              </w:rPr>
              <w:t>指数</w:t>
            </w:r>
          </w:p>
        </w:tc>
        <w:tc>
          <w:tcPr>
            <w:tcW w:w="171" w:type="pct"/>
            <w:vAlign w:val="center"/>
          </w:tcPr>
          <w:p>
            <w:pPr>
              <w:spacing w:line="240" w:lineRule="auto"/>
              <w:ind w:firstLine="0" w:firstLineChars="0"/>
              <w:jc w:val="center"/>
              <w:rPr>
                <w:rFonts w:ascii="Times New Roman" w:hAnsi="Times New Roman" w:eastAsia="宋体" w:cs="Times New Roman"/>
                <w:color w:val="auto"/>
                <w:kern w:val="2"/>
                <w:sz w:val="20"/>
                <w:szCs w:val="20"/>
                <w:highlight w:val="none"/>
                <w:lang w:val="en-US" w:eastAsia="zh-CN" w:bidi="ar-SA"/>
              </w:rPr>
            </w:pPr>
            <w:r>
              <w:rPr>
                <w:color w:val="auto"/>
                <w:sz w:val="20"/>
                <w:szCs w:val="20"/>
                <w:highlight w:val="none"/>
              </w:rPr>
              <w:t>超标率</w:t>
            </w:r>
          </w:p>
        </w:tc>
        <w:tc>
          <w:tcPr>
            <w:tcW w:w="504" w:type="pct"/>
            <w:vAlign w:val="center"/>
          </w:tcPr>
          <w:p>
            <w:pPr>
              <w:spacing w:line="240" w:lineRule="auto"/>
              <w:ind w:firstLine="0" w:firstLineChars="0"/>
              <w:jc w:val="center"/>
              <w:rPr>
                <w:rFonts w:ascii="Times New Roman" w:hAnsi="Times New Roman" w:eastAsia="宋体" w:cs="Times New Roman"/>
                <w:color w:val="auto"/>
                <w:kern w:val="2"/>
                <w:sz w:val="20"/>
                <w:szCs w:val="20"/>
                <w:highlight w:val="none"/>
                <w:lang w:val="en-US" w:eastAsia="zh-CN" w:bidi="ar-SA"/>
              </w:rPr>
            </w:pPr>
            <w:r>
              <w:rPr>
                <w:color w:val="auto"/>
                <w:sz w:val="20"/>
                <w:szCs w:val="20"/>
                <w:highlight w:val="none"/>
              </w:rPr>
              <w:t>浓度</w:t>
            </w:r>
          </w:p>
        </w:tc>
        <w:tc>
          <w:tcPr>
            <w:tcW w:w="283" w:type="pct"/>
            <w:vAlign w:val="center"/>
          </w:tcPr>
          <w:p>
            <w:pPr>
              <w:spacing w:line="240" w:lineRule="auto"/>
              <w:ind w:firstLine="0" w:firstLineChars="0"/>
              <w:jc w:val="center"/>
              <w:rPr>
                <w:rFonts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eastAsia="zh-CN"/>
              </w:rPr>
              <w:t>最大</w:t>
            </w:r>
            <w:r>
              <w:rPr>
                <w:rFonts w:hint="eastAsia"/>
                <w:color w:val="auto"/>
                <w:sz w:val="20"/>
                <w:szCs w:val="20"/>
                <w:highlight w:val="none"/>
              </w:rPr>
              <w:t>标准</w:t>
            </w:r>
            <w:r>
              <w:rPr>
                <w:color w:val="auto"/>
                <w:sz w:val="20"/>
                <w:szCs w:val="20"/>
                <w:highlight w:val="none"/>
              </w:rPr>
              <w:t>指数</w:t>
            </w:r>
          </w:p>
        </w:tc>
        <w:tc>
          <w:tcPr>
            <w:tcW w:w="171" w:type="pct"/>
            <w:vAlign w:val="center"/>
          </w:tcPr>
          <w:p>
            <w:pPr>
              <w:spacing w:line="240" w:lineRule="auto"/>
              <w:ind w:firstLine="0" w:firstLineChars="0"/>
              <w:jc w:val="center"/>
              <w:rPr>
                <w:rFonts w:ascii="Times New Roman" w:hAnsi="Times New Roman" w:eastAsia="宋体" w:cs="Times New Roman"/>
                <w:color w:val="auto"/>
                <w:kern w:val="2"/>
                <w:sz w:val="20"/>
                <w:szCs w:val="20"/>
                <w:highlight w:val="none"/>
                <w:lang w:val="en-US" w:eastAsia="zh-CN" w:bidi="ar-SA"/>
              </w:rPr>
            </w:pPr>
            <w:r>
              <w:rPr>
                <w:color w:val="auto"/>
                <w:sz w:val="20"/>
                <w:szCs w:val="20"/>
                <w:highlight w:val="none"/>
              </w:rPr>
              <w:t>超标率</w:t>
            </w:r>
          </w:p>
        </w:tc>
        <w:tc>
          <w:tcPr>
            <w:tcW w:w="297" w:type="pct"/>
            <w:vAlign w:val="center"/>
          </w:tcPr>
          <w:p>
            <w:pPr>
              <w:spacing w:line="240" w:lineRule="auto"/>
              <w:ind w:firstLine="0" w:firstLineChars="0"/>
              <w:jc w:val="center"/>
              <w:rPr>
                <w:color w:val="auto"/>
                <w:sz w:val="20"/>
                <w:szCs w:val="20"/>
                <w:highlight w:val="none"/>
              </w:rPr>
            </w:pPr>
            <w:r>
              <w:rPr>
                <w:color w:val="auto"/>
                <w:sz w:val="20"/>
                <w:szCs w:val="20"/>
                <w:highlight w:val="none"/>
              </w:rPr>
              <w:t>浓度</w:t>
            </w:r>
          </w:p>
        </w:tc>
        <w:tc>
          <w:tcPr>
            <w:tcW w:w="319" w:type="pct"/>
            <w:vAlign w:val="center"/>
          </w:tcPr>
          <w:p>
            <w:pPr>
              <w:spacing w:line="240" w:lineRule="auto"/>
              <w:ind w:firstLine="0" w:firstLineChars="0"/>
              <w:jc w:val="center"/>
              <w:rPr>
                <w:rFonts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eastAsia="zh-CN"/>
              </w:rPr>
              <w:t>最大</w:t>
            </w:r>
            <w:r>
              <w:rPr>
                <w:rFonts w:hint="eastAsia"/>
                <w:color w:val="auto"/>
                <w:sz w:val="20"/>
                <w:szCs w:val="20"/>
                <w:highlight w:val="none"/>
              </w:rPr>
              <w:t>标准</w:t>
            </w:r>
            <w:r>
              <w:rPr>
                <w:color w:val="auto"/>
                <w:sz w:val="20"/>
                <w:szCs w:val="20"/>
                <w:highlight w:val="none"/>
              </w:rPr>
              <w:t>指数</w:t>
            </w:r>
          </w:p>
        </w:tc>
        <w:tc>
          <w:tcPr>
            <w:tcW w:w="169" w:type="pct"/>
            <w:vAlign w:val="center"/>
          </w:tcPr>
          <w:p>
            <w:pPr>
              <w:spacing w:line="240" w:lineRule="auto"/>
              <w:ind w:firstLine="0" w:firstLineChars="0"/>
              <w:jc w:val="center"/>
              <w:rPr>
                <w:rFonts w:ascii="Times New Roman" w:hAnsi="Times New Roman" w:eastAsia="宋体" w:cs="Times New Roman"/>
                <w:color w:val="auto"/>
                <w:kern w:val="2"/>
                <w:sz w:val="20"/>
                <w:szCs w:val="20"/>
                <w:highlight w:val="none"/>
                <w:lang w:val="en-US" w:eastAsia="zh-CN" w:bidi="ar-SA"/>
              </w:rPr>
            </w:pPr>
            <w:r>
              <w:rPr>
                <w:color w:val="auto"/>
                <w:sz w:val="20"/>
                <w:szCs w:val="20"/>
                <w:highlight w:val="none"/>
              </w:rPr>
              <w:t>超标率</w:t>
            </w:r>
          </w:p>
        </w:tc>
        <w:tc>
          <w:tcPr>
            <w:tcW w:w="269" w:type="pct"/>
            <w:gridSpan w:val="2"/>
            <w:vAlign w:val="center"/>
          </w:tcPr>
          <w:p>
            <w:pPr>
              <w:spacing w:line="240" w:lineRule="auto"/>
              <w:ind w:firstLine="0" w:firstLineChars="0"/>
              <w:jc w:val="center"/>
              <w:rPr>
                <w:color w:val="auto"/>
                <w:sz w:val="20"/>
                <w:szCs w:val="20"/>
                <w:highlight w:val="none"/>
              </w:rPr>
            </w:pPr>
            <w:r>
              <w:rPr>
                <w:color w:val="auto"/>
                <w:sz w:val="20"/>
                <w:szCs w:val="20"/>
                <w:highlight w:val="none"/>
              </w:rPr>
              <w:t>浓度</w:t>
            </w:r>
          </w:p>
        </w:tc>
        <w:tc>
          <w:tcPr>
            <w:tcW w:w="261" w:type="pct"/>
            <w:vAlign w:val="center"/>
          </w:tcPr>
          <w:p>
            <w:pPr>
              <w:spacing w:line="240" w:lineRule="auto"/>
              <w:ind w:firstLine="0" w:firstLineChars="0"/>
              <w:jc w:val="center"/>
              <w:rPr>
                <w:rFonts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eastAsia="zh-CN"/>
              </w:rPr>
              <w:t>最大</w:t>
            </w:r>
            <w:r>
              <w:rPr>
                <w:rFonts w:hint="eastAsia"/>
                <w:color w:val="auto"/>
                <w:sz w:val="20"/>
                <w:szCs w:val="20"/>
                <w:highlight w:val="none"/>
              </w:rPr>
              <w:t>标准</w:t>
            </w:r>
            <w:r>
              <w:rPr>
                <w:color w:val="auto"/>
                <w:sz w:val="20"/>
                <w:szCs w:val="20"/>
                <w:highlight w:val="none"/>
              </w:rPr>
              <w:t>指数</w:t>
            </w:r>
          </w:p>
        </w:tc>
        <w:tc>
          <w:tcPr>
            <w:tcW w:w="203" w:type="pct"/>
            <w:vAlign w:val="center"/>
          </w:tcPr>
          <w:p>
            <w:pPr>
              <w:spacing w:line="240" w:lineRule="auto"/>
              <w:ind w:firstLine="0" w:firstLineChars="0"/>
              <w:jc w:val="center"/>
              <w:rPr>
                <w:rFonts w:ascii="Times New Roman" w:hAnsi="Times New Roman" w:eastAsia="宋体" w:cs="Times New Roman"/>
                <w:color w:val="auto"/>
                <w:kern w:val="2"/>
                <w:sz w:val="20"/>
                <w:szCs w:val="20"/>
                <w:highlight w:val="none"/>
                <w:lang w:val="en-US" w:eastAsia="zh-CN" w:bidi="ar-SA"/>
              </w:rPr>
            </w:pPr>
            <w:r>
              <w:rPr>
                <w:color w:val="auto"/>
                <w:sz w:val="20"/>
                <w:szCs w:val="20"/>
                <w:highlight w:val="none"/>
              </w:rPr>
              <w:t>超标率</w:t>
            </w:r>
          </w:p>
        </w:tc>
        <w:tc>
          <w:tcPr>
            <w:tcW w:w="423" w:type="pct"/>
            <w:vAlign w:val="center"/>
          </w:tcPr>
          <w:p>
            <w:pPr>
              <w:spacing w:line="240" w:lineRule="auto"/>
              <w:ind w:firstLine="0" w:firstLineChars="0"/>
              <w:jc w:val="center"/>
              <w:rPr>
                <w:color w:val="auto"/>
                <w:sz w:val="20"/>
                <w:szCs w:val="20"/>
                <w:highlight w:val="none"/>
              </w:rPr>
            </w:pPr>
            <w:r>
              <w:rPr>
                <w:color w:val="auto"/>
                <w:sz w:val="20"/>
                <w:szCs w:val="20"/>
                <w:highlight w:val="none"/>
              </w:rPr>
              <w:t>浓度</w:t>
            </w:r>
          </w:p>
        </w:tc>
        <w:tc>
          <w:tcPr>
            <w:tcW w:w="243" w:type="pct"/>
            <w:vAlign w:val="center"/>
          </w:tcPr>
          <w:p>
            <w:pPr>
              <w:spacing w:line="240" w:lineRule="auto"/>
              <w:ind w:firstLine="0" w:firstLineChars="0"/>
              <w:jc w:val="center"/>
              <w:rPr>
                <w:rFonts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eastAsia="zh-CN"/>
              </w:rPr>
              <w:t>最大</w:t>
            </w:r>
            <w:r>
              <w:rPr>
                <w:rFonts w:hint="eastAsia"/>
                <w:color w:val="auto"/>
                <w:sz w:val="20"/>
                <w:szCs w:val="20"/>
                <w:highlight w:val="none"/>
              </w:rPr>
              <w:t>标准</w:t>
            </w:r>
            <w:r>
              <w:rPr>
                <w:color w:val="auto"/>
                <w:sz w:val="20"/>
                <w:szCs w:val="20"/>
                <w:highlight w:val="none"/>
              </w:rPr>
              <w:t>指数</w:t>
            </w:r>
          </w:p>
        </w:tc>
        <w:tc>
          <w:tcPr>
            <w:tcW w:w="174" w:type="pct"/>
            <w:vAlign w:val="center"/>
          </w:tcPr>
          <w:p>
            <w:pPr>
              <w:spacing w:line="240" w:lineRule="auto"/>
              <w:ind w:firstLine="0" w:firstLineChars="0"/>
              <w:jc w:val="center"/>
              <w:rPr>
                <w:rFonts w:ascii="Times New Roman" w:hAnsi="Times New Roman" w:eastAsia="宋体" w:cs="Times New Roman"/>
                <w:color w:val="auto"/>
                <w:kern w:val="2"/>
                <w:sz w:val="20"/>
                <w:szCs w:val="20"/>
                <w:highlight w:val="none"/>
                <w:lang w:val="en-US" w:eastAsia="zh-CN" w:bidi="ar-SA"/>
              </w:rPr>
            </w:pPr>
            <w:r>
              <w:rPr>
                <w:color w:val="auto"/>
                <w:sz w:val="20"/>
                <w:szCs w:val="20"/>
                <w:highlight w:val="none"/>
              </w:rPr>
              <w:t>超标率</w:t>
            </w:r>
          </w:p>
        </w:tc>
        <w:tc>
          <w:tcPr>
            <w:tcW w:w="340" w:type="pct"/>
            <w:vAlign w:val="center"/>
          </w:tcPr>
          <w:p>
            <w:pPr>
              <w:spacing w:line="240" w:lineRule="auto"/>
              <w:ind w:firstLine="0" w:firstLineChars="0"/>
              <w:jc w:val="center"/>
              <w:rPr>
                <w:color w:val="auto"/>
                <w:sz w:val="20"/>
                <w:szCs w:val="20"/>
                <w:highlight w:val="none"/>
              </w:rPr>
            </w:pPr>
            <w:r>
              <w:rPr>
                <w:color w:val="auto"/>
                <w:sz w:val="20"/>
                <w:szCs w:val="20"/>
                <w:highlight w:val="none"/>
                <w:shd w:val="clear" w:fill="FFFFFF"/>
              </w:rPr>
              <w:t>III</w:t>
            </w:r>
            <w:r>
              <w:rPr>
                <w:color w:val="auto"/>
                <w:sz w:val="20"/>
                <w:szCs w:val="20"/>
                <w:highlight w:val="none"/>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pct"/>
            <w:vAlign w:val="center"/>
          </w:tcPr>
          <w:p>
            <w:pPr>
              <w:spacing w:line="240" w:lineRule="auto"/>
              <w:ind w:firstLine="0" w:firstLineChars="0"/>
              <w:jc w:val="center"/>
              <w:rPr>
                <w:color w:val="auto"/>
                <w:sz w:val="20"/>
                <w:szCs w:val="20"/>
                <w:highlight w:val="none"/>
              </w:rPr>
            </w:pPr>
            <w:r>
              <w:rPr>
                <w:color w:val="auto"/>
                <w:sz w:val="20"/>
                <w:szCs w:val="20"/>
                <w:highlight w:val="none"/>
              </w:rPr>
              <w:t>水温（℃）</w:t>
            </w:r>
          </w:p>
        </w:tc>
        <w:tc>
          <w:tcPr>
            <w:tcW w:w="487"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23.9～24.2</w:t>
            </w:r>
          </w:p>
        </w:tc>
        <w:tc>
          <w:tcPr>
            <w:tcW w:w="252"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504"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83"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97"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319"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169"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69" w:type="pct"/>
            <w:gridSpan w:val="2"/>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6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03"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423" w:type="pct"/>
            <w:vAlign w:val="center"/>
          </w:tcPr>
          <w:p>
            <w:pPr>
              <w:spacing w:line="240" w:lineRule="auto"/>
              <w:ind w:firstLine="0" w:firstLineChars="0"/>
              <w:jc w:val="center"/>
              <w:rPr>
                <w:rFonts w:hint="default"/>
                <w:color w:val="auto"/>
                <w:sz w:val="20"/>
                <w:szCs w:val="20"/>
                <w:highlight w:val="none"/>
                <w:lang w:val="en-US" w:eastAsia="zh-CN"/>
              </w:rPr>
            </w:pPr>
            <w:r>
              <w:rPr>
                <w:rFonts w:hint="eastAsia"/>
                <w:color w:val="auto"/>
                <w:sz w:val="20"/>
                <w:szCs w:val="20"/>
                <w:highlight w:val="none"/>
                <w:lang w:val="en-US" w:eastAsia="zh-CN"/>
              </w:rPr>
              <w:t>17.1～17.6</w:t>
            </w:r>
          </w:p>
        </w:tc>
        <w:tc>
          <w:tcPr>
            <w:tcW w:w="243" w:type="pct"/>
            <w:vAlign w:val="center"/>
          </w:tcPr>
          <w:p>
            <w:pPr>
              <w:spacing w:line="240" w:lineRule="auto"/>
              <w:ind w:firstLine="0" w:firstLineChars="0"/>
              <w:jc w:val="center"/>
              <w:rPr>
                <w:rFonts w:hint="eastAsia" w:eastAsia="宋体"/>
                <w:color w:val="auto"/>
                <w:sz w:val="20"/>
                <w:szCs w:val="20"/>
                <w:highlight w:val="none"/>
                <w:lang w:val="en-US" w:eastAsia="zh-CN"/>
              </w:rPr>
            </w:pPr>
          </w:p>
        </w:tc>
        <w:tc>
          <w:tcPr>
            <w:tcW w:w="174"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w:t>
            </w:r>
          </w:p>
        </w:tc>
        <w:tc>
          <w:tcPr>
            <w:tcW w:w="340" w:type="pct"/>
            <w:vAlign w:val="center"/>
          </w:tcPr>
          <w:p>
            <w:pPr>
              <w:spacing w:line="240" w:lineRule="auto"/>
              <w:ind w:firstLine="0" w:firstLineChars="0"/>
              <w:jc w:val="center"/>
              <w:rPr>
                <w:color w:val="auto"/>
                <w:sz w:val="20"/>
                <w:szCs w:val="20"/>
                <w:highlight w:val="none"/>
              </w:rPr>
            </w:pPr>
            <w:r>
              <w:rPr>
                <w:color w:val="auto"/>
                <w:sz w:val="20"/>
                <w:szCs w:val="2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pct"/>
            <w:vAlign w:val="center"/>
          </w:tcPr>
          <w:p>
            <w:pPr>
              <w:spacing w:line="240" w:lineRule="auto"/>
              <w:ind w:firstLine="0" w:firstLineChars="0"/>
              <w:jc w:val="center"/>
              <w:rPr>
                <w:color w:val="auto"/>
                <w:sz w:val="20"/>
                <w:szCs w:val="20"/>
                <w:highlight w:val="none"/>
              </w:rPr>
            </w:pPr>
            <w:r>
              <w:rPr>
                <w:color w:val="auto"/>
                <w:sz w:val="20"/>
                <w:szCs w:val="20"/>
                <w:highlight w:val="none"/>
              </w:rPr>
              <w:t>pH</w:t>
            </w:r>
          </w:p>
        </w:tc>
        <w:tc>
          <w:tcPr>
            <w:tcW w:w="487" w:type="pct"/>
            <w:vAlign w:val="center"/>
          </w:tcPr>
          <w:p>
            <w:pPr>
              <w:spacing w:line="240" w:lineRule="auto"/>
              <w:ind w:firstLine="0" w:firstLineChars="0"/>
              <w:jc w:val="center"/>
              <w:rPr>
                <w:rFonts w:hint="eastAsia"/>
                <w:color w:val="auto"/>
                <w:sz w:val="20"/>
                <w:szCs w:val="20"/>
                <w:highlight w:val="none"/>
              </w:rPr>
            </w:pPr>
            <w:r>
              <w:rPr>
                <w:rFonts w:hint="eastAsia"/>
                <w:color w:val="auto"/>
                <w:sz w:val="20"/>
                <w:szCs w:val="20"/>
                <w:highlight w:val="none"/>
                <w:lang w:val="en-US" w:eastAsia="zh-CN"/>
              </w:rPr>
              <w:t>7.3～7.4</w:t>
            </w:r>
          </w:p>
        </w:tc>
        <w:tc>
          <w:tcPr>
            <w:tcW w:w="252"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0.20</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504" w:type="pct"/>
            <w:vAlign w:val="center"/>
          </w:tcPr>
          <w:p>
            <w:pPr>
              <w:spacing w:line="240" w:lineRule="auto"/>
              <w:ind w:firstLine="0" w:firstLineChars="0"/>
              <w:jc w:val="center"/>
              <w:rPr>
                <w:rFonts w:hint="eastAsia"/>
                <w:color w:val="auto"/>
                <w:sz w:val="20"/>
                <w:szCs w:val="20"/>
                <w:highlight w:val="none"/>
              </w:rPr>
            </w:pPr>
            <w:r>
              <w:rPr>
                <w:rFonts w:hint="eastAsia"/>
                <w:color w:val="auto"/>
                <w:sz w:val="21"/>
                <w:szCs w:val="21"/>
                <w:highlight w:val="none"/>
              </w:rPr>
              <w:t>7.8~7.9</w:t>
            </w:r>
          </w:p>
        </w:tc>
        <w:tc>
          <w:tcPr>
            <w:tcW w:w="283" w:type="pct"/>
            <w:vAlign w:val="center"/>
          </w:tcPr>
          <w:p>
            <w:pPr>
              <w:spacing w:line="240" w:lineRule="auto"/>
              <w:ind w:firstLine="0" w:firstLineChars="0"/>
              <w:jc w:val="center"/>
              <w:rPr>
                <w:rFonts w:hint="eastAsia"/>
                <w:color w:val="auto"/>
                <w:sz w:val="20"/>
                <w:szCs w:val="20"/>
                <w:highlight w:val="none"/>
              </w:rPr>
            </w:pPr>
            <w:r>
              <w:rPr>
                <w:rFonts w:hint="eastAsia"/>
                <w:color w:val="auto"/>
                <w:sz w:val="20"/>
                <w:szCs w:val="20"/>
                <w:highlight w:val="none"/>
                <w:lang w:val="en-US" w:eastAsia="zh-CN"/>
              </w:rPr>
              <w:t>0.45</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297"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8</w:t>
            </w:r>
          </w:p>
        </w:tc>
        <w:tc>
          <w:tcPr>
            <w:tcW w:w="319"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0.5</w:t>
            </w:r>
          </w:p>
        </w:tc>
        <w:tc>
          <w:tcPr>
            <w:tcW w:w="169"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269" w:type="pct"/>
            <w:gridSpan w:val="2"/>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8</w:t>
            </w:r>
          </w:p>
        </w:tc>
        <w:tc>
          <w:tcPr>
            <w:tcW w:w="261"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0.5</w:t>
            </w:r>
          </w:p>
        </w:tc>
        <w:tc>
          <w:tcPr>
            <w:tcW w:w="203"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423" w:type="pct"/>
            <w:vAlign w:val="center"/>
          </w:tcPr>
          <w:p>
            <w:pPr>
              <w:spacing w:line="240" w:lineRule="auto"/>
              <w:ind w:firstLine="0" w:firstLineChars="0"/>
              <w:jc w:val="center"/>
              <w:rPr>
                <w:rFonts w:hint="default"/>
                <w:color w:val="auto"/>
                <w:sz w:val="20"/>
                <w:szCs w:val="20"/>
                <w:highlight w:val="none"/>
                <w:lang w:val="en-US" w:eastAsia="zh-CN"/>
              </w:rPr>
            </w:pPr>
            <w:r>
              <w:rPr>
                <w:rFonts w:hint="eastAsia"/>
                <w:color w:val="auto"/>
                <w:sz w:val="20"/>
                <w:szCs w:val="20"/>
                <w:highlight w:val="none"/>
                <w:lang w:val="en-US" w:eastAsia="zh-CN"/>
              </w:rPr>
              <w:t>7.2~7.4</w:t>
            </w:r>
          </w:p>
        </w:tc>
        <w:tc>
          <w:tcPr>
            <w:tcW w:w="243"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0.2</w:t>
            </w:r>
          </w:p>
        </w:tc>
        <w:tc>
          <w:tcPr>
            <w:tcW w:w="174"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w:t>
            </w:r>
          </w:p>
        </w:tc>
        <w:tc>
          <w:tcPr>
            <w:tcW w:w="340" w:type="pct"/>
            <w:vAlign w:val="center"/>
          </w:tcPr>
          <w:p>
            <w:pPr>
              <w:spacing w:line="240" w:lineRule="auto"/>
              <w:ind w:firstLine="0" w:firstLineChars="0"/>
              <w:jc w:val="center"/>
              <w:rPr>
                <w:color w:val="auto"/>
                <w:sz w:val="20"/>
                <w:szCs w:val="20"/>
                <w:highlight w:val="none"/>
              </w:rPr>
            </w:pPr>
            <w:r>
              <w:rPr>
                <w:color w:val="auto"/>
                <w:sz w:val="20"/>
                <w:szCs w:val="20"/>
                <w:highlight w:val="none"/>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pct"/>
            <w:vAlign w:val="center"/>
          </w:tcPr>
          <w:p>
            <w:pPr>
              <w:spacing w:line="240" w:lineRule="auto"/>
              <w:ind w:firstLine="0" w:firstLineChars="0"/>
              <w:jc w:val="center"/>
              <w:rPr>
                <w:color w:val="auto"/>
                <w:sz w:val="20"/>
                <w:szCs w:val="20"/>
                <w:highlight w:val="none"/>
              </w:rPr>
            </w:pPr>
            <w:r>
              <w:rPr>
                <w:color w:val="auto"/>
                <w:sz w:val="20"/>
                <w:szCs w:val="20"/>
                <w:highlight w:val="none"/>
              </w:rPr>
              <w:t>溶解氧</w:t>
            </w:r>
          </w:p>
        </w:tc>
        <w:tc>
          <w:tcPr>
            <w:tcW w:w="487"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8.14～8.30</w:t>
            </w:r>
          </w:p>
        </w:tc>
        <w:tc>
          <w:tcPr>
            <w:tcW w:w="252"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0.61</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504" w:type="pct"/>
            <w:vAlign w:val="center"/>
          </w:tcPr>
          <w:p>
            <w:pPr>
              <w:spacing w:line="240" w:lineRule="auto"/>
              <w:ind w:firstLine="0" w:firstLineChars="0"/>
              <w:jc w:val="center"/>
              <w:rPr>
                <w:color w:val="auto"/>
                <w:sz w:val="20"/>
                <w:szCs w:val="20"/>
                <w:highlight w:val="none"/>
              </w:rPr>
            </w:pPr>
            <w:r>
              <w:rPr>
                <w:rFonts w:hint="eastAsia"/>
                <w:color w:val="auto"/>
                <w:sz w:val="21"/>
                <w:szCs w:val="21"/>
                <w:highlight w:val="none"/>
              </w:rPr>
              <w:t>9.86~10.15</w:t>
            </w:r>
          </w:p>
        </w:tc>
        <w:tc>
          <w:tcPr>
            <w:tcW w:w="283"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0.51</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97"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7.2</w:t>
            </w:r>
          </w:p>
        </w:tc>
        <w:tc>
          <w:tcPr>
            <w:tcW w:w="319"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0.69</w:t>
            </w:r>
          </w:p>
        </w:tc>
        <w:tc>
          <w:tcPr>
            <w:tcW w:w="169"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269" w:type="pct"/>
            <w:gridSpan w:val="2"/>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7.6</w:t>
            </w:r>
          </w:p>
        </w:tc>
        <w:tc>
          <w:tcPr>
            <w:tcW w:w="261"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0.66</w:t>
            </w:r>
          </w:p>
        </w:tc>
        <w:tc>
          <w:tcPr>
            <w:tcW w:w="203" w:type="pct"/>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lang w:val="en-US" w:eastAsia="zh-CN"/>
              </w:rPr>
              <w:t>0</w:t>
            </w:r>
          </w:p>
        </w:tc>
        <w:tc>
          <w:tcPr>
            <w:tcW w:w="423" w:type="pct"/>
            <w:vAlign w:val="center"/>
          </w:tcPr>
          <w:p>
            <w:pPr>
              <w:spacing w:line="240" w:lineRule="auto"/>
              <w:ind w:firstLine="0" w:firstLineChars="0"/>
              <w:jc w:val="center"/>
              <w:rPr>
                <w:rFonts w:hint="default"/>
                <w:color w:val="auto"/>
                <w:sz w:val="20"/>
                <w:szCs w:val="20"/>
                <w:highlight w:val="none"/>
                <w:lang w:val="en-US" w:eastAsia="zh-CN"/>
              </w:rPr>
            </w:pPr>
            <w:r>
              <w:rPr>
                <w:rFonts w:hint="eastAsia"/>
                <w:color w:val="auto"/>
                <w:sz w:val="20"/>
                <w:szCs w:val="20"/>
                <w:highlight w:val="none"/>
                <w:lang w:val="en-US" w:eastAsia="zh-CN"/>
              </w:rPr>
              <w:t>8.33~8.65</w:t>
            </w:r>
          </w:p>
        </w:tc>
        <w:tc>
          <w:tcPr>
            <w:tcW w:w="243"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0.6</w:t>
            </w:r>
          </w:p>
        </w:tc>
        <w:tc>
          <w:tcPr>
            <w:tcW w:w="174"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340" w:type="pct"/>
            <w:vAlign w:val="center"/>
          </w:tcPr>
          <w:p>
            <w:pPr>
              <w:spacing w:line="240" w:lineRule="auto"/>
              <w:ind w:firstLine="0" w:firstLineChars="0"/>
              <w:jc w:val="center"/>
              <w:rPr>
                <w:color w:val="auto"/>
                <w:sz w:val="20"/>
                <w:szCs w:val="20"/>
                <w:highlight w:val="none"/>
              </w:rPr>
            </w:pPr>
            <w:r>
              <w:rPr>
                <w:color w:val="auto"/>
                <w:sz w:val="20"/>
                <w:szCs w:val="20"/>
                <w:highlight w:val="non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pct"/>
            <w:vAlign w:val="center"/>
          </w:tcPr>
          <w:p>
            <w:pPr>
              <w:spacing w:line="240" w:lineRule="auto"/>
              <w:ind w:firstLine="0" w:firstLineChars="0"/>
              <w:jc w:val="center"/>
              <w:rPr>
                <w:color w:val="auto"/>
                <w:sz w:val="20"/>
                <w:szCs w:val="20"/>
                <w:highlight w:val="none"/>
              </w:rPr>
            </w:pPr>
            <w:r>
              <w:rPr>
                <w:color w:val="auto"/>
                <w:sz w:val="20"/>
                <w:szCs w:val="20"/>
                <w:highlight w:val="none"/>
              </w:rPr>
              <w:t>高锰酸盐指数</w:t>
            </w:r>
          </w:p>
        </w:tc>
        <w:tc>
          <w:tcPr>
            <w:tcW w:w="487"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w:t>
            </w:r>
          </w:p>
        </w:tc>
        <w:tc>
          <w:tcPr>
            <w:tcW w:w="252"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504"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83"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97"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2.0</w:t>
            </w:r>
          </w:p>
        </w:tc>
        <w:tc>
          <w:tcPr>
            <w:tcW w:w="319"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0.33</w:t>
            </w:r>
          </w:p>
        </w:tc>
        <w:tc>
          <w:tcPr>
            <w:tcW w:w="169"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269" w:type="pct"/>
            <w:gridSpan w:val="2"/>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2.1</w:t>
            </w:r>
          </w:p>
        </w:tc>
        <w:tc>
          <w:tcPr>
            <w:tcW w:w="261"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0.35</w:t>
            </w:r>
          </w:p>
        </w:tc>
        <w:tc>
          <w:tcPr>
            <w:tcW w:w="203"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423" w:type="pct"/>
            <w:vAlign w:val="center"/>
          </w:tcPr>
          <w:p>
            <w:pPr>
              <w:spacing w:line="240" w:lineRule="auto"/>
              <w:ind w:firstLine="0" w:firstLineChars="0"/>
              <w:jc w:val="center"/>
              <w:rPr>
                <w:rFonts w:hint="default"/>
                <w:color w:val="auto"/>
                <w:sz w:val="20"/>
                <w:szCs w:val="20"/>
                <w:highlight w:val="none"/>
                <w:lang w:val="en-US" w:eastAsia="zh-CN"/>
              </w:rPr>
            </w:pPr>
            <w:r>
              <w:rPr>
                <w:rFonts w:hint="eastAsia"/>
                <w:color w:val="auto"/>
                <w:sz w:val="20"/>
                <w:szCs w:val="20"/>
                <w:highlight w:val="none"/>
                <w:lang w:val="en-US" w:eastAsia="zh-CN"/>
              </w:rPr>
              <w:t>/</w:t>
            </w:r>
          </w:p>
        </w:tc>
        <w:tc>
          <w:tcPr>
            <w:tcW w:w="243"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w:t>
            </w:r>
          </w:p>
        </w:tc>
        <w:tc>
          <w:tcPr>
            <w:tcW w:w="174" w:type="pct"/>
            <w:vAlign w:val="center"/>
          </w:tcPr>
          <w:p>
            <w:pPr>
              <w:spacing w:line="240" w:lineRule="auto"/>
              <w:ind w:firstLine="0" w:firstLineChars="0"/>
              <w:jc w:val="center"/>
              <w:rPr>
                <w:rFonts w:hint="default" w:eastAsia="宋体"/>
                <w:color w:val="auto"/>
                <w:sz w:val="20"/>
                <w:szCs w:val="20"/>
                <w:highlight w:val="none"/>
                <w:lang w:val="en-US" w:eastAsia="zh-CN"/>
              </w:rPr>
            </w:pPr>
          </w:p>
        </w:tc>
        <w:tc>
          <w:tcPr>
            <w:tcW w:w="340" w:type="pct"/>
            <w:vAlign w:val="center"/>
          </w:tcPr>
          <w:p>
            <w:pPr>
              <w:spacing w:line="240" w:lineRule="auto"/>
              <w:ind w:firstLine="0" w:firstLineChars="0"/>
              <w:jc w:val="center"/>
              <w:rPr>
                <w:color w:val="auto"/>
                <w:sz w:val="20"/>
                <w:szCs w:val="20"/>
                <w:highlight w:val="none"/>
              </w:rPr>
            </w:pPr>
            <w:r>
              <w:rPr>
                <w:color w:val="auto"/>
                <w:sz w:val="20"/>
                <w:szCs w:val="20"/>
                <w:highlight w:val="none"/>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pct"/>
            <w:vAlign w:val="center"/>
          </w:tcPr>
          <w:p>
            <w:pPr>
              <w:spacing w:line="240" w:lineRule="auto"/>
              <w:ind w:firstLine="0" w:firstLineChars="0"/>
              <w:jc w:val="center"/>
              <w:rPr>
                <w:color w:val="auto"/>
                <w:sz w:val="20"/>
                <w:szCs w:val="20"/>
                <w:highlight w:val="none"/>
              </w:rPr>
            </w:pPr>
            <w:r>
              <w:rPr>
                <w:color w:val="auto"/>
                <w:sz w:val="20"/>
                <w:szCs w:val="20"/>
                <w:highlight w:val="none"/>
              </w:rPr>
              <w:t>COD</w:t>
            </w:r>
          </w:p>
        </w:tc>
        <w:tc>
          <w:tcPr>
            <w:tcW w:w="487" w:type="pct"/>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lang w:val="en-US" w:eastAsia="zh-CN"/>
              </w:rPr>
              <w:t>6～10</w:t>
            </w:r>
          </w:p>
        </w:tc>
        <w:tc>
          <w:tcPr>
            <w:tcW w:w="252"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0.5</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504" w:type="pct"/>
            <w:vAlign w:val="center"/>
          </w:tcPr>
          <w:p>
            <w:pPr>
              <w:spacing w:line="240" w:lineRule="auto"/>
              <w:ind w:firstLine="0" w:firstLineChars="0"/>
              <w:jc w:val="center"/>
              <w:rPr>
                <w:color w:val="auto"/>
                <w:sz w:val="20"/>
                <w:szCs w:val="20"/>
                <w:highlight w:val="none"/>
              </w:rPr>
            </w:pPr>
            <w:r>
              <w:rPr>
                <w:rFonts w:hint="eastAsia"/>
                <w:color w:val="auto"/>
                <w:sz w:val="21"/>
                <w:szCs w:val="21"/>
                <w:highlight w:val="none"/>
              </w:rPr>
              <w:t>10~12</w:t>
            </w:r>
          </w:p>
        </w:tc>
        <w:tc>
          <w:tcPr>
            <w:tcW w:w="283"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0.6</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297"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319"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169"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69" w:type="pct"/>
            <w:gridSpan w:val="2"/>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6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03"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423" w:type="pct"/>
            <w:vAlign w:val="center"/>
          </w:tcPr>
          <w:p>
            <w:pPr>
              <w:spacing w:line="240" w:lineRule="auto"/>
              <w:ind w:firstLine="0" w:firstLineChars="0"/>
              <w:jc w:val="center"/>
              <w:rPr>
                <w:rFonts w:hint="default"/>
                <w:color w:val="auto"/>
                <w:sz w:val="20"/>
                <w:szCs w:val="20"/>
                <w:highlight w:val="none"/>
                <w:lang w:val="en-US" w:eastAsia="zh-CN"/>
              </w:rPr>
            </w:pPr>
            <w:r>
              <w:rPr>
                <w:rFonts w:hint="eastAsia"/>
                <w:color w:val="auto"/>
                <w:sz w:val="20"/>
                <w:szCs w:val="20"/>
                <w:highlight w:val="none"/>
                <w:lang w:val="en-US" w:eastAsia="zh-CN"/>
              </w:rPr>
              <w:t>8~14</w:t>
            </w:r>
          </w:p>
        </w:tc>
        <w:tc>
          <w:tcPr>
            <w:tcW w:w="243"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0.7</w:t>
            </w:r>
          </w:p>
        </w:tc>
        <w:tc>
          <w:tcPr>
            <w:tcW w:w="174"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w:t>
            </w:r>
          </w:p>
        </w:tc>
        <w:tc>
          <w:tcPr>
            <w:tcW w:w="340" w:type="pct"/>
            <w:vAlign w:val="center"/>
          </w:tcPr>
          <w:p>
            <w:pPr>
              <w:spacing w:line="240" w:lineRule="auto"/>
              <w:ind w:firstLine="0" w:firstLineChars="0"/>
              <w:jc w:val="center"/>
              <w:rPr>
                <w:color w:val="auto"/>
                <w:sz w:val="20"/>
                <w:szCs w:val="20"/>
                <w:highlight w:val="none"/>
              </w:rPr>
            </w:pPr>
            <w:r>
              <w:rPr>
                <w:color w:val="auto"/>
                <w:sz w:val="20"/>
                <w:szCs w:val="20"/>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pct"/>
            <w:vAlign w:val="center"/>
          </w:tcPr>
          <w:p>
            <w:pPr>
              <w:spacing w:line="240" w:lineRule="auto"/>
              <w:ind w:firstLine="0" w:firstLineChars="0"/>
              <w:jc w:val="center"/>
              <w:rPr>
                <w:color w:val="auto"/>
                <w:sz w:val="20"/>
                <w:szCs w:val="20"/>
                <w:highlight w:val="none"/>
              </w:rPr>
            </w:pPr>
            <w:r>
              <w:rPr>
                <w:color w:val="auto"/>
                <w:sz w:val="20"/>
                <w:szCs w:val="20"/>
                <w:highlight w:val="none"/>
              </w:rPr>
              <w:t>BOD</w:t>
            </w:r>
            <w:r>
              <w:rPr>
                <w:color w:val="auto"/>
                <w:sz w:val="20"/>
                <w:szCs w:val="20"/>
                <w:highlight w:val="none"/>
                <w:vertAlign w:val="subscript"/>
              </w:rPr>
              <w:t>5</w:t>
            </w:r>
          </w:p>
        </w:tc>
        <w:tc>
          <w:tcPr>
            <w:tcW w:w="487"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0.6～0.8</w:t>
            </w:r>
          </w:p>
        </w:tc>
        <w:tc>
          <w:tcPr>
            <w:tcW w:w="252"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0.2</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504" w:type="pct"/>
            <w:vAlign w:val="center"/>
          </w:tcPr>
          <w:p>
            <w:pPr>
              <w:spacing w:line="240" w:lineRule="auto"/>
              <w:ind w:firstLine="0" w:firstLineChars="0"/>
              <w:jc w:val="center"/>
              <w:rPr>
                <w:color w:val="auto"/>
                <w:sz w:val="20"/>
                <w:szCs w:val="20"/>
                <w:highlight w:val="none"/>
              </w:rPr>
            </w:pPr>
            <w:r>
              <w:rPr>
                <w:rFonts w:hint="eastAsia"/>
                <w:color w:val="auto"/>
                <w:sz w:val="21"/>
                <w:szCs w:val="21"/>
                <w:highlight w:val="none"/>
              </w:rPr>
              <w:t>2~2.4</w:t>
            </w:r>
          </w:p>
        </w:tc>
        <w:tc>
          <w:tcPr>
            <w:tcW w:w="283"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0.6</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297"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319"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169"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69" w:type="pct"/>
            <w:gridSpan w:val="2"/>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6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03"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423" w:type="pct"/>
            <w:vAlign w:val="center"/>
          </w:tcPr>
          <w:p>
            <w:pPr>
              <w:spacing w:line="240" w:lineRule="auto"/>
              <w:ind w:firstLine="0" w:firstLineChars="0"/>
              <w:jc w:val="center"/>
              <w:rPr>
                <w:rFonts w:hint="default"/>
                <w:color w:val="auto"/>
                <w:sz w:val="20"/>
                <w:szCs w:val="20"/>
                <w:highlight w:val="none"/>
                <w:lang w:val="en-US" w:eastAsia="zh-CN"/>
              </w:rPr>
            </w:pPr>
            <w:r>
              <w:rPr>
                <w:rFonts w:hint="eastAsia"/>
                <w:color w:val="auto"/>
                <w:sz w:val="20"/>
                <w:szCs w:val="20"/>
                <w:highlight w:val="none"/>
                <w:lang w:val="en-US" w:eastAsia="zh-CN"/>
              </w:rPr>
              <w:t>0.7~1</w:t>
            </w:r>
          </w:p>
        </w:tc>
        <w:tc>
          <w:tcPr>
            <w:tcW w:w="243"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0.25</w:t>
            </w:r>
          </w:p>
        </w:tc>
        <w:tc>
          <w:tcPr>
            <w:tcW w:w="174"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w:t>
            </w:r>
          </w:p>
        </w:tc>
        <w:tc>
          <w:tcPr>
            <w:tcW w:w="340" w:type="pct"/>
            <w:vAlign w:val="center"/>
          </w:tcPr>
          <w:p>
            <w:pPr>
              <w:spacing w:line="240" w:lineRule="auto"/>
              <w:ind w:firstLine="0" w:firstLineChars="0"/>
              <w:jc w:val="center"/>
              <w:rPr>
                <w:color w:val="auto"/>
                <w:sz w:val="20"/>
                <w:szCs w:val="20"/>
                <w:highlight w:val="none"/>
              </w:rPr>
            </w:pPr>
            <w:r>
              <w:rPr>
                <w:color w:val="auto"/>
                <w:sz w:val="20"/>
                <w:szCs w:val="20"/>
                <w:highlight w:val="none"/>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pct"/>
            <w:vAlign w:val="center"/>
          </w:tcPr>
          <w:p>
            <w:pPr>
              <w:spacing w:line="240" w:lineRule="auto"/>
              <w:ind w:firstLine="0" w:firstLineChars="0"/>
              <w:jc w:val="center"/>
              <w:rPr>
                <w:color w:val="auto"/>
                <w:sz w:val="20"/>
                <w:szCs w:val="20"/>
                <w:highlight w:val="none"/>
              </w:rPr>
            </w:pPr>
            <w:r>
              <w:rPr>
                <w:color w:val="auto"/>
                <w:sz w:val="20"/>
                <w:szCs w:val="20"/>
                <w:highlight w:val="none"/>
              </w:rPr>
              <w:t>氨氮</w:t>
            </w:r>
          </w:p>
        </w:tc>
        <w:tc>
          <w:tcPr>
            <w:tcW w:w="487"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0.035～0.048</w:t>
            </w:r>
          </w:p>
        </w:tc>
        <w:tc>
          <w:tcPr>
            <w:tcW w:w="252"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0.05</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504" w:type="pct"/>
            <w:vAlign w:val="center"/>
          </w:tcPr>
          <w:p>
            <w:pPr>
              <w:spacing w:line="240" w:lineRule="auto"/>
              <w:ind w:firstLine="0" w:firstLineChars="0"/>
              <w:jc w:val="center"/>
              <w:rPr>
                <w:color w:val="auto"/>
                <w:sz w:val="20"/>
                <w:szCs w:val="20"/>
                <w:highlight w:val="none"/>
              </w:rPr>
            </w:pPr>
            <w:r>
              <w:rPr>
                <w:rFonts w:hint="eastAsia"/>
                <w:color w:val="auto"/>
                <w:sz w:val="21"/>
                <w:szCs w:val="21"/>
                <w:highlight w:val="none"/>
              </w:rPr>
              <w:t>0.184~0.244</w:t>
            </w:r>
          </w:p>
        </w:tc>
        <w:tc>
          <w:tcPr>
            <w:tcW w:w="283"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0.24</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297"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0.06</w:t>
            </w:r>
          </w:p>
        </w:tc>
        <w:tc>
          <w:tcPr>
            <w:tcW w:w="319"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0.04</w:t>
            </w:r>
          </w:p>
        </w:tc>
        <w:tc>
          <w:tcPr>
            <w:tcW w:w="169"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269" w:type="pct"/>
            <w:gridSpan w:val="2"/>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0.07</w:t>
            </w:r>
          </w:p>
        </w:tc>
        <w:tc>
          <w:tcPr>
            <w:tcW w:w="261"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0.07</w:t>
            </w:r>
          </w:p>
        </w:tc>
        <w:tc>
          <w:tcPr>
            <w:tcW w:w="203"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423" w:type="pct"/>
            <w:vAlign w:val="center"/>
          </w:tcPr>
          <w:p>
            <w:pPr>
              <w:spacing w:line="240" w:lineRule="auto"/>
              <w:ind w:firstLine="0" w:firstLineChars="0"/>
              <w:jc w:val="center"/>
              <w:rPr>
                <w:rFonts w:hint="default"/>
                <w:color w:val="auto"/>
                <w:sz w:val="20"/>
                <w:szCs w:val="20"/>
                <w:highlight w:val="none"/>
                <w:lang w:val="en-US" w:eastAsia="zh-CN"/>
              </w:rPr>
            </w:pPr>
            <w:r>
              <w:rPr>
                <w:rFonts w:hint="eastAsia"/>
                <w:color w:val="auto"/>
                <w:sz w:val="20"/>
                <w:szCs w:val="20"/>
                <w:highlight w:val="none"/>
                <w:lang w:val="en-US" w:eastAsia="zh-CN"/>
              </w:rPr>
              <w:t>ND</w:t>
            </w:r>
          </w:p>
        </w:tc>
        <w:tc>
          <w:tcPr>
            <w:tcW w:w="243"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w:t>
            </w:r>
          </w:p>
        </w:tc>
        <w:tc>
          <w:tcPr>
            <w:tcW w:w="174"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w:t>
            </w:r>
          </w:p>
        </w:tc>
        <w:tc>
          <w:tcPr>
            <w:tcW w:w="340" w:type="pct"/>
            <w:vAlign w:val="center"/>
          </w:tcPr>
          <w:p>
            <w:pPr>
              <w:spacing w:line="240" w:lineRule="auto"/>
              <w:ind w:firstLine="0" w:firstLineChars="0"/>
              <w:jc w:val="center"/>
              <w:rPr>
                <w:color w:val="auto"/>
                <w:sz w:val="20"/>
                <w:szCs w:val="20"/>
                <w:highlight w:val="none"/>
              </w:rPr>
            </w:pPr>
            <w:r>
              <w:rPr>
                <w:color w:val="auto"/>
                <w:sz w:val="20"/>
                <w:szCs w:val="20"/>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pct"/>
            <w:vAlign w:val="center"/>
          </w:tcPr>
          <w:p>
            <w:pPr>
              <w:spacing w:line="240" w:lineRule="auto"/>
              <w:ind w:firstLine="0" w:firstLineChars="0"/>
              <w:jc w:val="center"/>
              <w:rPr>
                <w:color w:val="auto"/>
                <w:sz w:val="20"/>
                <w:szCs w:val="20"/>
                <w:highlight w:val="none"/>
              </w:rPr>
            </w:pPr>
            <w:r>
              <w:rPr>
                <w:color w:val="auto"/>
                <w:sz w:val="20"/>
                <w:szCs w:val="20"/>
                <w:highlight w:val="none"/>
              </w:rPr>
              <w:t>总磷</w:t>
            </w:r>
          </w:p>
        </w:tc>
        <w:tc>
          <w:tcPr>
            <w:tcW w:w="487"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0.06～0.07</w:t>
            </w:r>
          </w:p>
        </w:tc>
        <w:tc>
          <w:tcPr>
            <w:tcW w:w="252"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0.35</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504" w:type="pct"/>
            <w:vAlign w:val="center"/>
          </w:tcPr>
          <w:p>
            <w:pPr>
              <w:spacing w:line="240" w:lineRule="auto"/>
              <w:ind w:firstLine="0" w:firstLineChars="0"/>
              <w:jc w:val="center"/>
              <w:rPr>
                <w:color w:val="auto"/>
                <w:sz w:val="20"/>
                <w:szCs w:val="20"/>
                <w:highlight w:val="none"/>
              </w:rPr>
            </w:pPr>
            <w:r>
              <w:rPr>
                <w:rFonts w:hint="eastAsia"/>
                <w:color w:val="auto"/>
                <w:sz w:val="21"/>
                <w:szCs w:val="21"/>
                <w:highlight w:val="none"/>
              </w:rPr>
              <w:t>0.08</w:t>
            </w:r>
          </w:p>
        </w:tc>
        <w:tc>
          <w:tcPr>
            <w:tcW w:w="283"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0.4</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297"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0.02</w:t>
            </w:r>
          </w:p>
        </w:tc>
        <w:tc>
          <w:tcPr>
            <w:tcW w:w="319"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0.10</w:t>
            </w:r>
          </w:p>
        </w:tc>
        <w:tc>
          <w:tcPr>
            <w:tcW w:w="169"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269" w:type="pct"/>
            <w:gridSpan w:val="2"/>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0.02</w:t>
            </w:r>
          </w:p>
        </w:tc>
        <w:tc>
          <w:tcPr>
            <w:tcW w:w="261"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0.14</w:t>
            </w:r>
          </w:p>
        </w:tc>
        <w:tc>
          <w:tcPr>
            <w:tcW w:w="203"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423" w:type="pct"/>
            <w:vAlign w:val="center"/>
          </w:tcPr>
          <w:p>
            <w:pPr>
              <w:spacing w:line="240" w:lineRule="auto"/>
              <w:ind w:firstLine="0" w:firstLineChars="0"/>
              <w:jc w:val="center"/>
              <w:rPr>
                <w:rFonts w:hint="default"/>
                <w:color w:val="auto"/>
                <w:sz w:val="20"/>
                <w:szCs w:val="20"/>
                <w:highlight w:val="none"/>
                <w:lang w:val="en-US" w:eastAsia="zh-CN"/>
              </w:rPr>
            </w:pPr>
            <w:r>
              <w:rPr>
                <w:rFonts w:hint="eastAsia"/>
                <w:color w:val="auto"/>
                <w:sz w:val="20"/>
                <w:szCs w:val="20"/>
                <w:highlight w:val="none"/>
                <w:lang w:val="en-US" w:eastAsia="zh-CN"/>
              </w:rPr>
              <w:t>0.07~0.08</w:t>
            </w:r>
          </w:p>
        </w:tc>
        <w:tc>
          <w:tcPr>
            <w:tcW w:w="243"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0.4</w:t>
            </w:r>
          </w:p>
        </w:tc>
        <w:tc>
          <w:tcPr>
            <w:tcW w:w="174"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w:t>
            </w:r>
          </w:p>
        </w:tc>
        <w:tc>
          <w:tcPr>
            <w:tcW w:w="340" w:type="pct"/>
            <w:vAlign w:val="center"/>
          </w:tcPr>
          <w:p>
            <w:pPr>
              <w:spacing w:line="240" w:lineRule="auto"/>
              <w:ind w:firstLine="0" w:firstLineChars="0"/>
              <w:jc w:val="center"/>
              <w:rPr>
                <w:color w:val="auto"/>
                <w:sz w:val="20"/>
                <w:szCs w:val="20"/>
                <w:highlight w:val="none"/>
              </w:rPr>
            </w:pPr>
            <w:r>
              <w:rPr>
                <w:color w:val="auto"/>
                <w:sz w:val="20"/>
                <w:szCs w:val="20"/>
                <w:highlight w:val="none"/>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pct"/>
            <w:vAlign w:val="center"/>
          </w:tcPr>
          <w:p>
            <w:pPr>
              <w:spacing w:line="240" w:lineRule="auto"/>
              <w:ind w:firstLine="0" w:firstLineChars="0"/>
              <w:jc w:val="center"/>
              <w:rPr>
                <w:color w:val="auto"/>
                <w:sz w:val="20"/>
                <w:szCs w:val="20"/>
                <w:highlight w:val="none"/>
              </w:rPr>
            </w:pPr>
            <w:r>
              <w:rPr>
                <w:color w:val="auto"/>
                <w:sz w:val="20"/>
                <w:szCs w:val="20"/>
                <w:highlight w:val="none"/>
              </w:rPr>
              <w:t>石油类</w:t>
            </w:r>
          </w:p>
        </w:tc>
        <w:tc>
          <w:tcPr>
            <w:tcW w:w="487"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w:t>
            </w:r>
          </w:p>
        </w:tc>
        <w:tc>
          <w:tcPr>
            <w:tcW w:w="252" w:type="pct"/>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lang w:val="en-US" w:eastAsia="zh-CN"/>
              </w:rPr>
              <w:t>/</w:t>
            </w:r>
          </w:p>
        </w:tc>
        <w:tc>
          <w:tcPr>
            <w:tcW w:w="171" w:type="pct"/>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lang w:val="en-US" w:eastAsia="zh-CN"/>
              </w:rPr>
              <w:t>/</w:t>
            </w:r>
          </w:p>
        </w:tc>
        <w:tc>
          <w:tcPr>
            <w:tcW w:w="504" w:type="pct"/>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lang w:val="en-US" w:eastAsia="zh-CN"/>
              </w:rPr>
              <w:t>/</w:t>
            </w:r>
          </w:p>
        </w:tc>
        <w:tc>
          <w:tcPr>
            <w:tcW w:w="283" w:type="pct"/>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lang w:val="en-US" w:eastAsia="zh-CN"/>
              </w:rPr>
              <w:t>/</w:t>
            </w:r>
          </w:p>
        </w:tc>
        <w:tc>
          <w:tcPr>
            <w:tcW w:w="171" w:type="pct"/>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lang w:val="en-US" w:eastAsia="zh-CN"/>
              </w:rPr>
              <w:t>/</w:t>
            </w:r>
          </w:p>
        </w:tc>
        <w:tc>
          <w:tcPr>
            <w:tcW w:w="297" w:type="pct"/>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lang w:val="en-US" w:eastAsia="zh-CN"/>
              </w:rPr>
              <w:t>/</w:t>
            </w:r>
          </w:p>
        </w:tc>
        <w:tc>
          <w:tcPr>
            <w:tcW w:w="319" w:type="pct"/>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lang w:val="en-US" w:eastAsia="zh-CN"/>
              </w:rPr>
              <w:t>/</w:t>
            </w:r>
          </w:p>
        </w:tc>
        <w:tc>
          <w:tcPr>
            <w:tcW w:w="169" w:type="pct"/>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lang w:val="en-US" w:eastAsia="zh-CN"/>
              </w:rPr>
              <w:t>/</w:t>
            </w:r>
          </w:p>
        </w:tc>
        <w:tc>
          <w:tcPr>
            <w:tcW w:w="269" w:type="pct"/>
            <w:gridSpan w:val="2"/>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lang w:val="en-US" w:eastAsia="zh-CN"/>
              </w:rPr>
              <w:t>/</w:t>
            </w:r>
          </w:p>
        </w:tc>
        <w:tc>
          <w:tcPr>
            <w:tcW w:w="261" w:type="pct"/>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lang w:val="en-US" w:eastAsia="zh-CN"/>
              </w:rPr>
              <w:t>/</w:t>
            </w:r>
          </w:p>
        </w:tc>
        <w:tc>
          <w:tcPr>
            <w:tcW w:w="203" w:type="pct"/>
            <w:vAlign w:val="center"/>
          </w:tcPr>
          <w:p>
            <w:pPr>
              <w:spacing w:line="240" w:lineRule="auto"/>
              <w:ind w:firstLine="0" w:firstLineChars="0"/>
              <w:jc w:val="center"/>
              <w:rPr>
                <w:color w:val="auto"/>
                <w:sz w:val="20"/>
                <w:szCs w:val="20"/>
                <w:highlight w:val="none"/>
              </w:rPr>
            </w:pPr>
            <w:r>
              <w:rPr>
                <w:rFonts w:hint="eastAsia"/>
                <w:color w:val="auto"/>
                <w:sz w:val="20"/>
                <w:szCs w:val="20"/>
                <w:highlight w:val="none"/>
                <w:lang w:val="en-US" w:eastAsia="zh-CN"/>
              </w:rPr>
              <w:t>/</w:t>
            </w:r>
          </w:p>
        </w:tc>
        <w:tc>
          <w:tcPr>
            <w:tcW w:w="423" w:type="pct"/>
            <w:vAlign w:val="center"/>
          </w:tcPr>
          <w:p>
            <w:pPr>
              <w:spacing w:line="240" w:lineRule="auto"/>
              <w:ind w:firstLine="0" w:firstLineChars="0"/>
              <w:jc w:val="center"/>
              <w:rPr>
                <w:rFonts w:hint="default"/>
                <w:color w:val="auto"/>
                <w:sz w:val="20"/>
                <w:szCs w:val="20"/>
                <w:highlight w:val="none"/>
                <w:lang w:val="en-US" w:eastAsia="zh-CN"/>
              </w:rPr>
            </w:pPr>
            <w:r>
              <w:rPr>
                <w:rFonts w:hint="eastAsia"/>
                <w:color w:val="auto"/>
                <w:sz w:val="20"/>
                <w:szCs w:val="20"/>
                <w:highlight w:val="none"/>
                <w:lang w:val="en-US" w:eastAsia="zh-CN"/>
              </w:rPr>
              <w:t>ND</w:t>
            </w:r>
          </w:p>
        </w:tc>
        <w:tc>
          <w:tcPr>
            <w:tcW w:w="243" w:type="pct"/>
            <w:vAlign w:val="center"/>
          </w:tcPr>
          <w:p>
            <w:pPr>
              <w:spacing w:line="240" w:lineRule="auto"/>
              <w:ind w:firstLine="0" w:firstLineChars="0"/>
              <w:jc w:val="center"/>
              <w:rPr>
                <w:rFonts w:hint="default" w:ascii="Times New Roman" w:hAnsi="Times New Roman" w:eastAsia="宋体" w:cs="Times New Roman"/>
                <w:color w:val="auto"/>
                <w:kern w:val="2"/>
                <w:sz w:val="20"/>
                <w:szCs w:val="20"/>
                <w:highlight w:val="none"/>
                <w:lang w:val="en-US" w:eastAsia="zh-CN" w:bidi="ar-SA"/>
              </w:rPr>
            </w:pPr>
            <w:r>
              <w:rPr>
                <w:rFonts w:hint="eastAsia" w:cs="Times New Roman"/>
                <w:color w:val="auto"/>
                <w:kern w:val="2"/>
                <w:sz w:val="20"/>
                <w:szCs w:val="20"/>
                <w:highlight w:val="none"/>
                <w:lang w:val="en-US" w:eastAsia="zh-CN" w:bidi="ar-SA"/>
              </w:rPr>
              <w:t>/</w:t>
            </w:r>
          </w:p>
        </w:tc>
        <w:tc>
          <w:tcPr>
            <w:tcW w:w="174" w:type="pct"/>
            <w:vAlign w:val="center"/>
          </w:tcPr>
          <w:p>
            <w:pPr>
              <w:spacing w:line="240" w:lineRule="auto"/>
              <w:ind w:firstLine="0" w:firstLineChars="0"/>
              <w:jc w:val="center"/>
              <w:rPr>
                <w:rFonts w:hint="default" w:ascii="Times New Roman" w:hAnsi="Times New Roman" w:eastAsia="宋体" w:cs="Times New Roman"/>
                <w:color w:val="auto"/>
                <w:kern w:val="2"/>
                <w:sz w:val="20"/>
                <w:szCs w:val="20"/>
                <w:highlight w:val="none"/>
                <w:lang w:val="en-US" w:eastAsia="zh-CN" w:bidi="ar-SA"/>
              </w:rPr>
            </w:pPr>
            <w:r>
              <w:rPr>
                <w:rFonts w:hint="eastAsia" w:cs="Times New Roman"/>
                <w:color w:val="auto"/>
                <w:kern w:val="2"/>
                <w:sz w:val="20"/>
                <w:szCs w:val="20"/>
                <w:highlight w:val="none"/>
                <w:lang w:val="en-US" w:eastAsia="zh-CN" w:bidi="ar-SA"/>
              </w:rPr>
              <w:t>0</w:t>
            </w:r>
          </w:p>
        </w:tc>
        <w:tc>
          <w:tcPr>
            <w:tcW w:w="340" w:type="pct"/>
            <w:vAlign w:val="center"/>
          </w:tcPr>
          <w:p>
            <w:pPr>
              <w:spacing w:line="240" w:lineRule="auto"/>
              <w:ind w:firstLine="0" w:firstLineChars="0"/>
              <w:jc w:val="center"/>
              <w:rPr>
                <w:color w:val="auto"/>
                <w:sz w:val="20"/>
                <w:szCs w:val="20"/>
                <w:highlight w:val="none"/>
              </w:rPr>
            </w:pPr>
            <w:r>
              <w:rPr>
                <w:color w:val="auto"/>
                <w:sz w:val="20"/>
                <w:szCs w:val="20"/>
                <w:highlight w:val="none"/>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SS</w:t>
            </w:r>
          </w:p>
        </w:tc>
        <w:tc>
          <w:tcPr>
            <w:tcW w:w="487"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4L</w:t>
            </w:r>
          </w:p>
        </w:tc>
        <w:tc>
          <w:tcPr>
            <w:tcW w:w="252"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504" w:type="pct"/>
            <w:vAlign w:val="center"/>
          </w:tcPr>
          <w:p>
            <w:pPr>
              <w:spacing w:line="240" w:lineRule="auto"/>
              <w:ind w:firstLine="0" w:firstLineChars="0"/>
              <w:jc w:val="center"/>
              <w:rPr>
                <w:color w:val="auto"/>
                <w:sz w:val="20"/>
                <w:szCs w:val="20"/>
                <w:highlight w:val="none"/>
              </w:rPr>
            </w:pPr>
            <w:r>
              <w:rPr>
                <w:rFonts w:hint="eastAsia"/>
                <w:color w:val="auto"/>
                <w:sz w:val="21"/>
                <w:szCs w:val="21"/>
                <w:highlight w:val="none"/>
              </w:rPr>
              <w:t>4L</w:t>
            </w:r>
          </w:p>
        </w:tc>
        <w:tc>
          <w:tcPr>
            <w:tcW w:w="283"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17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0</w:t>
            </w:r>
          </w:p>
        </w:tc>
        <w:tc>
          <w:tcPr>
            <w:tcW w:w="297"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319"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169"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69" w:type="pct"/>
            <w:gridSpan w:val="2"/>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61"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203"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423" w:type="pct"/>
            <w:vAlign w:val="center"/>
          </w:tcPr>
          <w:p>
            <w:pPr>
              <w:spacing w:line="240" w:lineRule="auto"/>
              <w:ind w:firstLine="0" w:firstLineChars="0"/>
              <w:jc w:val="center"/>
              <w:rPr>
                <w:rFonts w:hint="eastAsia"/>
                <w:color w:val="auto"/>
                <w:sz w:val="20"/>
                <w:szCs w:val="20"/>
                <w:highlight w:val="none"/>
                <w:lang w:val="en-US" w:eastAsia="zh-CN"/>
              </w:rPr>
            </w:pPr>
            <w:r>
              <w:rPr>
                <w:rFonts w:hint="eastAsia"/>
                <w:color w:val="auto"/>
                <w:sz w:val="20"/>
                <w:szCs w:val="20"/>
                <w:highlight w:val="none"/>
                <w:lang w:val="en-US" w:eastAsia="zh-CN"/>
              </w:rPr>
              <w:t>6~8</w:t>
            </w:r>
          </w:p>
        </w:tc>
        <w:tc>
          <w:tcPr>
            <w:tcW w:w="243"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c>
          <w:tcPr>
            <w:tcW w:w="174" w:type="pct"/>
            <w:vAlign w:val="center"/>
          </w:tcPr>
          <w:p>
            <w:pPr>
              <w:spacing w:line="240" w:lineRule="auto"/>
              <w:ind w:firstLine="0" w:firstLineChars="0"/>
              <w:jc w:val="center"/>
              <w:rPr>
                <w:rFonts w:hint="default" w:eastAsia="宋体"/>
                <w:color w:val="auto"/>
                <w:sz w:val="20"/>
                <w:szCs w:val="20"/>
                <w:highlight w:val="none"/>
                <w:lang w:val="en-US" w:eastAsia="zh-CN"/>
              </w:rPr>
            </w:pPr>
            <w:r>
              <w:rPr>
                <w:rFonts w:hint="eastAsia"/>
                <w:color w:val="auto"/>
                <w:sz w:val="20"/>
                <w:szCs w:val="20"/>
                <w:highlight w:val="none"/>
                <w:lang w:val="en-US" w:eastAsia="zh-CN"/>
              </w:rPr>
              <w:t>0</w:t>
            </w:r>
          </w:p>
        </w:tc>
        <w:tc>
          <w:tcPr>
            <w:tcW w:w="340" w:type="pct"/>
            <w:vAlign w:val="center"/>
          </w:tcPr>
          <w:p>
            <w:pPr>
              <w:spacing w:line="240" w:lineRule="auto"/>
              <w:ind w:firstLine="0" w:firstLineChars="0"/>
              <w:jc w:val="center"/>
              <w:rPr>
                <w:rFonts w:hint="eastAsia" w:eastAsia="宋体"/>
                <w:color w:val="auto"/>
                <w:sz w:val="20"/>
                <w:szCs w:val="20"/>
                <w:highlight w:val="none"/>
                <w:lang w:val="en-US" w:eastAsia="zh-CN"/>
              </w:rPr>
            </w:pPr>
            <w:r>
              <w:rPr>
                <w:rFonts w:hint="eastAsia"/>
                <w:color w:val="auto"/>
                <w:sz w:val="20"/>
                <w:szCs w:val="20"/>
                <w:highlight w:val="none"/>
                <w:lang w:val="en-US" w:eastAsia="zh-CN"/>
              </w:rPr>
              <w:t>/</w:t>
            </w:r>
          </w:p>
        </w:tc>
      </w:tr>
    </w:tbl>
    <w:p>
      <w:pPr>
        <w:tabs>
          <w:tab w:val="left" w:pos="1080"/>
        </w:tabs>
        <w:adjustRightInd w:val="0"/>
        <w:snapToGrid w:val="0"/>
        <w:spacing w:line="240" w:lineRule="auto"/>
        <w:ind w:firstLine="520"/>
        <w:rPr>
          <w:rFonts w:eastAsiaTheme="minorEastAsia"/>
          <w:snapToGrid w:val="0"/>
          <w:color w:val="auto"/>
          <w:kern w:val="0"/>
          <w:szCs w:val="26"/>
          <w:highlight w:val="none"/>
        </w:rPr>
        <w:sectPr>
          <w:pgSz w:w="16838" w:h="11906" w:orient="landscape"/>
          <w:pgMar w:top="1701" w:right="1588" w:bottom="1588" w:left="1588" w:header="1304" w:footer="1247" w:gutter="0"/>
          <w:cols w:space="425" w:num="1"/>
          <w:docGrid w:linePitch="354" w:charSpace="0"/>
        </w:sectPr>
      </w:pPr>
    </w:p>
    <w:p>
      <w:pPr>
        <w:keepNext w:val="0"/>
        <w:keepLines w:val="0"/>
        <w:pageBreakBefore w:val="0"/>
        <w:widowControl w:val="0"/>
        <w:kinsoku/>
        <w:wordWrap/>
        <w:overflowPunct/>
        <w:topLinePunct w:val="0"/>
        <w:autoSpaceDE/>
        <w:autoSpaceDN/>
        <w:bidi w:val="0"/>
        <w:adjustRightInd/>
        <w:snapToGrid/>
        <w:spacing w:line="480" w:lineRule="exact"/>
        <w:ind w:firstLine="520"/>
        <w:textAlignment w:val="auto"/>
        <w:rPr>
          <w:b/>
          <w:bCs/>
          <w:color w:val="auto"/>
          <w:szCs w:val="26"/>
          <w:highlight w:val="none"/>
        </w:rPr>
      </w:pPr>
      <w:r>
        <w:rPr>
          <w:rFonts w:hint="eastAsia"/>
          <w:color w:val="auto"/>
          <w:szCs w:val="26"/>
          <w:highlight w:val="none"/>
        </w:rPr>
        <w:t>（2）水文情势调查</w:t>
      </w:r>
    </w:p>
    <w:p>
      <w:pPr>
        <w:keepNext w:val="0"/>
        <w:keepLines w:val="0"/>
        <w:pageBreakBefore w:val="0"/>
        <w:widowControl w:val="0"/>
        <w:kinsoku/>
        <w:wordWrap/>
        <w:overflowPunct/>
        <w:topLinePunct w:val="0"/>
        <w:autoSpaceDE/>
        <w:autoSpaceDN/>
        <w:bidi w:val="0"/>
        <w:adjustRightInd/>
        <w:snapToGrid/>
        <w:spacing w:line="480" w:lineRule="exact"/>
        <w:ind w:firstLine="520"/>
        <w:textAlignment w:val="auto"/>
        <w:rPr>
          <w:rFonts w:hint="eastAsia" w:eastAsia="宋体"/>
          <w:color w:val="auto"/>
          <w:szCs w:val="26"/>
          <w:highlight w:val="none"/>
          <w:lang w:eastAsia="zh-CN"/>
        </w:rPr>
      </w:pPr>
      <w:r>
        <w:rPr>
          <w:rFonts w:hint="eastAsia"/>
          <w:color w:val="auto"/>
          <w:kern w:val="0"/>
          <w:szCs w:val="26"/>
          <w:highlight w:val="none"/>
        </w:rPr>
        <w:t>《涪江干流渭沱电厂船闸升级改造工程可行性研究报告</w:t>
      </w:r>
      <w:r>
        <w:rPr>
          <w:rFonts w:hint="eastAsia"/>
          <w:color w:val="auto"/>
          <w:kern w:val="0"/>
          <w:szCs w:val="26"/>
          <w:highlight w:val="none"/>
          <w:shd w:val="clear" w:fill="FFFFFF"/>
        </w:rPr>
        <w:t>》、《</w:t>
      </w:r>
      <w:r>
        <w:rPr>
          <w:rFonts w:hint="eastAsia"/>
          <w:color w:val="auto"/>
          <w:kern w:val="0"/>
          <w:szCs w:val="26"/>
          <w:highlight w:val="none"/>
        </w:rPr>
        <w:t>涪江干流渭沱电厂船闸升级改造工程初步设计》</w:t>
      </w:r>
      <w:r>
        <w:rPr>
          <w:rFonts w:hint="eastAsia"/>
          <w:color w:val="auto"/>
          <w:kern w:val="0"/>
          <w:szCs w:val="26"/>
          <w:highlight w:val="none"/>
          <w:lang w:eastAsia="zh-CN"/>
        </w:rPr>
        <w:t>对涪江水文基本情况进行了详细调查，本次评价引用可研和初设中的水文调查结果。</w:t>
      </w:r>
    </w:p>
    <w:p>
      <w:pPr>
        <w:tabs>
          <w:tab w:val="left" w:pos="1080"/>
        </w:tabs>
        <w:adjustRightInd w:val="0"/>
        <w:snapToGrid w:val="0"/>
        <w:ind w:firstLine="520"/>
        <w:rPr>
          <w:rFonts w:hint="eastAsia" w:eastAsiaTheme="minorEastAsia"/>
          <w:snapToGrid w:val="0"/>
          <w:color w:val="auto"/>
          <w:kern w:val="0"/>
          <w:szCs w:val="26"/>
          <w:highlight w:val="none"/>
          <w:lang w:eastAsia="zh-CN"/>
        </w:rPr>
      </w:pPr>
      <w:r>
        <w:rPr>
          <w:rFonts w:eastAsiaTheme="minorEastAsia"/>
          <w:snapToGrid w:val="0"/>
          <w:color w:val="auto"/>
          <w:kern w:val="0"/>
          <w:szCs w:val="26"/>
          <w:highlight w:val="none"/>
        </w:rPr>
        <w:fldChar w:fldCharType="begin"/>
      </w:r>
      <w:r>
        <w:rPr>
          <w:rFonts w:eastAsiaTheme="minorEastAsia"/>
          <w:snapToGrid w:val="0"/>
          <w:color w:val="auto"/>
          <w:kern w:val="0"/>
          <w:szCs w:val="26"/>
          <w:highlight w:val="none"/>
        </w:rPr>
        <w:instrText xml:space="preserve"> = 1 \* GB3 \* MERGEFORMAT </w:instrText>
      </w:r>
      <w:r>
        <w:rPr>
          <w:rFonts w:eastAsiaTheme="minorEastAsia"/>
          <w:snapToGrid w:val="0"/>
          <w:color w:val="auto"/>
          <w:kern w:val="0"/>
          <w:szCs w:val="26"/>
          <w:highlight w:val="none"/>
        </w:rPr>
        <w:fldChar w:fldCharType="separate"/>
      </w:r>
      <w:r>
        <w:rPr>
          <w:color w:val="auto"/>
          <w:highlight w:val="none"/>
        </w:rPr>
        <w:t>①</w:t>
      </w:r>
      <w:r>
        <w:rPr>
          <w:rFonts w:eastAsiaTheme="minorEastAsia"/>
          <w:snapToGrid w:val="0"/>
          <w:color w:val="auto"/>
          <w:kern w:val="0"/>
          <w:szCs w:val="26"/>
          <w:highlight w:val="none"/>
        </w:rPr>
        <w:fldChar w:fldCharType="end"/>
      </w:r>
      <w:r>
        <w:rPr>
          <w:rFonts w:hint="eastAsia" w:eastAsiaTheme="minorEastAsia"/>
          <w:snapToGrid w:val="0"/>
          <w:color w:val="auto"/>
          <w:kern w:val="0"/>
          <w:szCs w:val="26"/>
          <w:highlight w:val="none"/>
          <w:lang w:eastAsia="zh-CN"/>
        </w:rPr>
        <w:t>水文站基本情况</w:t>
      </w:r>
    </w:p>
    <w:p>
      <w:pPr>
        <w:tabs>
          <w:tab w:val="left" w:pos="1080"/>
        </w:tabs>
        <w:adjustRightInd w:val="0"/>
        <w:snapToGrid w:val="0"/>
        <w:ind w:firstLine="520"/>
        <w:rPr>
          <w:rFonts w:hint="eastAsia" w:eastAsiaTheme="minorEastAsia"/>
          <w:snapToGrid w:val="0"/>
          <w:color w:val="auto"/>
          <w:kern w:val="0"/>
          <w:szCs w:val="26"/>
          <w:highlight w:val="none"/>
          <w:lang w:eastAsia="zh-CN"/>
        </w:rPr>
      </w:pPr>
      <w:r>
        <w:rPr>
          <w:rFonts w:hint="eastAsia" w:eastAsiaTheme="minorEastAsia"/>
          <w:snapToGrid w:val="0"/>
          <w:color w:val="auto"/>
          <w:kern w:val="0"/>
          <w:szCs w:val="26"/>
          <w:highlight w:val="none"/>
          <w:lang w:eastAsia="zh-CN"/>
        </w:rPr>
        <w:t>涪江流域水文站点较多，布设合理，基本上控制了干、支流的水文情势。涪江流域干流各测站观测情况见</w:t>
      </w:r>
      <w:r>
        <w:rPr>
          <w:rFonts w:hint="eastAsia" w:eastAsiaTheme="minorEastAsia"/>
          <w:snapToGrid w:val="0"/>
          <w:color w:val="auto"/>
          <w:kern w:val="0"/>
          <w:szCs w:val="26"/>
          <w:highlight w:val="none"/>
          <w:lang w:val="en-US" w:eastAsia="zh-CN"/>
        </w:rPr>
        <w:t>3.3.2-4</w:t>
      </w:r>
      <w:r>
        <w:rPr>
          <w:rFonts w:hint="eastAsia" w:eastAsiaTheme="minorEastAsia"/>
          <w:snapToGrid w:val="0"/>
          <w:color w:val="auto"/>
          <w:kern w:val="0"/>
          <w:szCs w:val="26"/>
          <w:highlight w:val="none"/>
          <w:lang w:eastAsia="zh-CN"/>
        </w:rPr>
        <w:t>。渭沱枢纽位于涪江下游，距河口 22km。渭沱枢纽上游有小河坝水文站，</w:t>
      </w:r>
      <w:r>
        <w:rPr>
          <w:rFonts w:hint="eastAsia"/>
          <w:color w:val="auto"/>
          <w:highlight w:val="none"/>
        </w:rPr>
        <w:t>位于合川城上游57km的涪江干流小河坝上游附近</w:t>
      </w:r>
      <w:r>
        <w:rPr>
          <w:rFonts w:hint="eastAsia"/>
          <w:color w:val="auto"/>
          <w:highlight w:val="none"/>
          <w:lang w:eastAsia="zh-CN"/>
        </w:rPr>
        <w:t>，</w:t>
      </w:r>
      <w:r>
        <w:rPr>
          <w:rFonts w:hint="eastAsia" w:eastAsiaTheme="minorEastAsia"/>
          <w:snapToGrid w:val="0"/>
          <w:color w:val="auto"/>
          <w:kern w:val="0"/>
          <w:szCs w:val="26"/>
          <w:highlight w:val="none"/>
          <w:lang w:eastAsia="zh-CN"/>
        </w:rPr>
        <w:t>支流安居河上泰安水文站为控制站。</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color w:val="auto"/>
          <w:kern w:val="2"/>
          <w:szCs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eastAsia="宋体"/>
          <w:color w:val="auto"/>
          <w:kern w:val="2"/>
          <w:sz w:val="22"/>
          <w:szCs w:val="22"/>
          <w:highlight w:val="none"/>
          <w:lang w:val="en-US" w:eastAsia="zh-CN"/>
        </w:rPr>
      </w:pPr>
      <w:r>
        <w:rPr>
          <w:rFonts w:hint="eastAsia"/>
          <w:color w:val="auto"/>
          <w:kern w:val="2"/>
          <w:szCs w:val="24"/>
          <w:highlight w:val="none"/>
          <w:lang w:eastAsia="zh-CN"/>
        </w:rPr>
        <w:t>表</w:t>
      </w:r>
      <w:r>
        <w:rPr>
          <w:rFonts w:hint="eastAsia"/>
          <w:color w:val="auto"/>
          <w:kern w:val="2"/>
          <w:szCs w:val="24"/>
          <w:highlight w:val="none"/>
          <w:lang w:val="en-US" w:eastAsia="zh-CN"/>
        </w:rPr>
        <w:t>3.3.2-4  涪江流域干流各测站观测情况表</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4"/>
        <w:gridCol w:w="1676"/>
        <w:gridCol w:w="1676"/>
        <w:gridCol w:w="1676"/>
        <w:gridCol w:w="1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站名</w:t>
            </w:r>
          </w:p>
        </w:tc>
        <w:tc>
          <w:tcPr>
            <w:tcW w:w="1676"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val="en-US" w:eastAsia="zh-CN"/>
              </w:rPr>
              <w:t>集雨面积</w:t>
            </w:r>
          </w:p>
        </w:tc>
        <w:tc>
          <w:tcPr>
            <w:tcW w:w="5028" w:type="dxa"/>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r>
              <w:rPr>
                <w:rFonts w:hint="eastAsia"/>
                <w:color w:val="auto"/>
                <w:sz w:val="22"/>
                <w:szCs w:val="22"/>
                <w:highlight w:val="none"/>
                <w:vertAlign w:val="baseline"/>
                <w:lang w:val="en-US" w:eastAsia="zh-CN"/>
              </w:rPr>
              <w:t>观测内容及其资料年限（年）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p>
        </w:tc>
        <w:tc>
          <w:tcPr>
            <w:tcW w:w="1676"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vertAlign w:val="baseline"/>
                <w:lang w:val="en-US" w:eastAsia="zh-CN" w:bidi="ar-SA"/>
              </w:rPr>
            </w:pP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val="en-US" w:eastAsia="zh-CN"/>
              </w:rPr>
              <w:t>水位</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val="en-US" w:eastAsia="zh-CN"/>
              </w:rPr>
              <w:t>流量</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vertAlign w:val="baseline"/>
                <w:lang w:val="en-US" w:eastAsia="zh-CN" w:bidi="ar-SA"/>
              </w:rPr>
            </w:pPr>
            <w:r>
              <w:rPr>
                <w:rFonts w:hint="eastAsia"/>
                <w:color w:val="auto"/>
                <w:sz w:val="22"/>
                <w:szCs w:val="22"/>
                <w:highlight w:val="none"/>
                <w:vertAlign w:val="baseline"/>
                <w:lang w:val="en-US" w:eastAsia="zh-CN"/>
              </w:rPr>
              <w:t>泥沙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平武</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4310</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1960-1989</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1960-1989</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1960-1989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麦地湾</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5807</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 xml:space="preserve">1951~1999  </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 xml:space="preserve">1951~1999  </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highlight w:val="none"/>
              </w:rPr>
              <w:t xml:space="preserve">1951~1999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涪江桥</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11903</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 xml:space="preserve">1942~1999  </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 xml:space="preserve">1942~1999  </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 xml:space="preserve">1942~1999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r>
              <w:rPr>
                <w:rFonts w:hint="eastAsia"/>
                <w:color w:val="auto"/>
                <w:sz w:val="22"/>
                <w:szCs w:val="22"/>
                <w:highlight w:val="none"/>
                <w:vertAlign w:val="baseline"/>
                <w:lang w:val="en-US" w:eastAsia="zh-CN"/>
              </w:rPr>
              <w:t>三台</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17431</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1952~1999</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1952~1999</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r>
              <w:rPr>
                <w:rFonts w:hint="eastAsia"/>
                <w:color w:val="auto"/>
                <w:sz w:val="22"/>
                <w:szCs w:val="22"/>
                <w:highlight w:val="none"/>
                <w:vertAlign w:val="baseline"/>
                <w:lang w:val="en-US" w:eastAsia="zh-CN"/>
              </w:rPr>
              <w:t>射洪</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23574</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1951~2000</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1951~2000</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1951~2000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val="en-US" w:eastAsia="zh-CN"/>
              </w:rPr>
            </w:pPr>
            <w:r>
              <w:rPr>
                <w:rFonts w:hint="eastAsia"/>
                <w:color w:val="auto"/>
                <w:sz w:val="22"/>
                <w:szCs w:val="22"/>
                <w:highlight w:val="none"/>
                <w:vertAlign w:val="baseline"/>
                <w:lang w:val="en-US" w:eastAsia="zh-CN"/>
              </w:rPr>
              <w:t>小河坝</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29420</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1951~2000</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1951~2000</w:t>
            </w:r>
          </w:p>
        </w:tc>
        <w:tc>
          <w:tcPr>
            <w:tcW w:w="16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default"/>
                <w:color w:val="auto"/>
                <w:sz w:val="22"/>
                <w:szCs w:val="22"/>
                <w:highlight w:val="none"/>
                <w:vertAlign w:val="baseline"/>
                <w:lang w:val="en-US" w:eastAsia="zh-CN"/>
              </w:rPr>
              <w:t>1951~2000</w:t>
            </w:r>
          </w:p>
        </w:tc>
      </w:tr>
    </w:tbl>
    <w:p>
      <w:pPr>
        <w:keepNext w:val="0"/>
        <w:keepLines w:val="0"/>
        <w:pageBreakBefore w:val="0"/>
        <w:widowControl w:val="0"/>
        <w:tabs>
          <w:tab w:val="left" w:pos="1080"/>
        </w:tabs>
        <w:kinsoku/>
        <w:wordWrap/>
        <w:overflowPunct/>
        <w:topLinePunct w:val="0"/>
        <w:autoSpaceDE/>
        <w:autoSpaceDN/>
        <w:bidi w:val="0"/>
        <w:adjustRightInd w:val="0"/>
        <w:snapToGrid w:val="0"/>
        <w:spacing w:line="240" w:lineRule="auto"/>
        <w:ind w:firstLine="0" w:firstLineChars="0"/>
        <w:textAlignment w:val="auto"/>
        <w:rPr>
          <w:rFonts w:hint="eastAsia"/>
          <w:color w:val="auto"/>
          <w:highlight w:val="none"/>
        </w:rPr>
      </w:pPr>
    </w:p>
    <w:p>
      <w:pPr>
        <w:keepNext w:val="0"/>
        <w:keepLines w:val="0"/>
        <w:pageBreakBefore w:val="0"/>
        <w:widowControl w:val="0"/>
        <w:tabs>
          <w:tab w:val="left" w:pos="1080"/>
        </w:tabs>
        <w:kinsoku/>
        <w:wordWrap/>
        <w:overflowPunct/>
        <w:topLinePunct w:val="0"/>
        <w:autoSpaceDE/>
        <w:autoSpaceDN/>
        <w:bidi w:val="0"/>
        <w:adjustRightInd w:val="0"/>
        <w:snapToGrid w:val="0"/>
        <w:spacing w:line="480" w:lineRule="exact"/>
        <w:textAlignment w:val="auto"/>
        <w:rPr>
          <w:rFonts w:hint="eastAsia" w:ascii="Times New Roman" w:hAnsi="Times New Roman" w:eastAsia="宋体" w:cs="Times New Roman"/>
          <w:color w:val="auto"/>
          <w:highlight w:val="none"/>
        </w:rPr>
      </w:pPr>
    </w:p>
    <w:p>
      <w:pPr>
        <w:keepNext w:val="0"/>
        <w:keepLines w:val="0"/>
        <w:pageBreakBefore w:val="0"/>
        <w:widowControl w:val="0"/>
        <w:tabs>
          <w:tab w:val="left" w:pos="1080"/>
        </w:tabs>
        <w:kinsoku/>
        <w:wordWrap/>
        <w:overflowPunct/>
        <w:topLinePunct w:val="0"/>
        <w:autoSpaceDE/>
        <w:autoSpaceDN/>
        <w:bidi w:val="0"/>
        <w:adjustRightInd w:val="0"/>
        <w:snapToGrid w:val="0"/>
        <w:spacing w:line="240" w:lineRule="auto"/>
        <w:ind w:firstLine="0" w:firstLineChars="0"/>
        <w:textAlignment w:val="auto"/>
        <w:rPr>
          <w:rFonts w:hint="eastAsia" w:eastAsiaTheme="minorEastAsia"/>
          <w:snapToGrid w:val="0"/>
          <w:color w:val="auto"/>
          <w:kern w:val="0"/>
          <w:szCs w:val="26"/>
          <w:highlight w:val="none"/>
          <w:lang w:eastAsia="zh-CN"/>
        </w:rPr>
      </w:pPr>
      <w:r>
        <w:rPr>
          <w:color w:val="auto"/>
          <w:highlight w:val="none"/>
        </w:rPr>
        <w:drawing>
          <wp:inline distT="0" distB="0" distL="114300" distR="114300">
            <wp:extent cx="5541645" cy="7970520"/>
            <wp:effectExtent l="0" t="0" r="1905" b="11430"/>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pic:cNvPicPr>
                  </pic:nvPicPr>
                  <pic:blipFill>
                    <a:blip r:embed="rId83"/>
                    <a:stretch>
                      <a:fillRect/>
                    </a:stretch>
                  </pic:blipFill>
                  <pic:spPr>
                    <a:xfrm>
                      <a:off x="0" y="0"/>
                      <a:ext cx="5541645" cy="7970520"/>
                    </a:xfrm>
                    <a:prstGeom prst="rect">
                      <a:avLst/>
                    </a:prstGeom>
                    <a:noFill/>
                    <a:ln>
                      <a:noFill/>
                    </a:ln>
                  </pic:spPr>
                </pic:pic>
              </a:graphicData>
            </a:graphic>
          </wp:inline>
        </w:drawing>
      </w:r>
    </w:p>
    <w:p>
      <w:pPr>
        <w:tabs>
          <w:tab w:val="left" w:pos="1080"/>
        </w:tabs>
        <w:adjustRightInd w:val="0"/>
        <w:snapToGrid w:val="0"/>
        <w:spacing w:line="240" w:lineRule="auto"/>
        <w:ind w:left="0" w:leftChars="0" w:firstLine="0" w:firstLineChars="0"/>
        <w:jc w:val="center"/>
        <w:rPr>
          <w:rFonts w:hint="eastAsia" w:eastAsiaTheme="minorEastAsia"/>
          <w:b/>
          <w:bCs/>
          <w:snapToGrid w:val="0"/>
          <w:color w:val="auto"/>
          <w:kern w:val="0"/>
          <w:szCs w:val="26"/>
          <w:highlight w:val="none"/>
          <w:lang w:eastAsia="zh-CN"/>
        </w:rPr>
      </w:pPr>
      <w:r>
        <w:rPr>
          <w:rFonts w:hint="eastAsia" w:eastAsiaTheme="minorEastAsia"/>
          <w:b/>
          <w:bCs/>
          <w:snapToGrid w:val="0"/>
          <w:color w:val="auto"/>
          <w:kern w:val="0"/>
          <w:szCs w:val="26"/>
          <w:highlight w:val="none"/>
          <w:lang w:eastAsia="zh-CN"/>
        </w:rPr>
        <w:t>图</w:t>
      </w:r>
      <w:r>
        <w:rPr>
          <w:rFonts w:hint="eastAsia" w:eastAsiaTheme="minorEastAsia"/>
          <w:b/>
          <w:bCs/>
          <w:snapToGrid w:val="0"/>
          <w:color w:val="auto"/>
          <w:kern w:val="0"/>
          <w:szCs w:val="26"/>
          <w:highlight w:val="none"/>
          <w:lang w:val="en-US" w:eastAsia="zh-CN"/>
        </w:rPr>
        <w:t xml:space="preserve">3.3.2-1 </w:t>
      </w:r>
      <w:r>
        <w:rPr>
          <w:rFonts w:hint="eastAsia" w:eastAsiaTheme="minorEastAsia"/>
          <w:b/>
          <w:bCs/>
          <w:snapToGrid w:val="0"/>
          <w:color w:val="auto"/>
          <w:kern w:val="0"/>
          <w:szCs w:val="26"/>
          <w:highlight w:val="none"/>
          <w:lang w:eastAsia="zh-CN"/>
        </w:rPr>
        <w:t xml:space="preserve"> 涪江流域水系、主要测站分布及工程位置示意图</w:t>
      </w:r>
    </w:p>
    <w:p>
      <w:pPr>
        <w:tabs>
          <w:tab w:val="left" w:pos="1080"/>
        </w:tabs>
        <w:adjustRightInd w:val="0"/>
        <w:snapToGrid w:val="0"/>
        <w:ind w:firstLine="520"/>
        <w:rPr>
          <w:rFonts w:hint="eastAsia" w:eastAsiaTheme="minorEastAsia"/>
          <w:snapToGrid w:val="0"/>
          <w:color w:val="auto"/>
          <w:kern w:val="0"/>
          <w:szCs w:val="26"/>
          <w:highlight w:val="none"/>
          <w:lang w:eastAsia="zh-CN"/>
        </w:rPr>
      </w:pPr>
    </w:p>
    <w:p>
      <w:pPr>
        <w:tabs>
          <w:tab w:val="left" w:pos="1080"/>
        </w:tabs>
        <w:adjustRightInd w:val="0"/>
        <w:snapToGrid w:val="0"/>
        <w:ind w:firstLine="520"/>
        <w:rPr>
          <w:rFonts w:hint="eastAsia" w:eastAsiaTheme="minorEastAsia"/>
          <w:snapToGrid w:val="0"/>
          <w:color w:val="auto"/>
          <w:kern w:val="0"/>
          <w:szCs w:val="26"/>
          <w:highlight w:val="none"/>
          <w:lang w:eastAsia="zh-CN"/>
        </w:rPr>
      </w:pPr>
      <w:r>
        <w:rPr>
          <w:rFonts w:hint="eastAsia" w:eastAsiaTheme="minorEastAsia"/>
          <w:snapToGrid w:val="0"/>
          <w:color w:val="auto"/>
          <w:kern w:val="0"/>
          <w:szCs w:val="26"/>
          <w:highlight w:val="none"/>
          <w:lang w:eastAsia="zh-CN"/>
        </w:rPr>
        <w:fldChar w:fldCharType="begin"/>
      </w:r>
      <w:r>
        <w:rPr>
          <w:rFonts w:hint="eastAsia" w:eastAsiaTheme="minorEastAsia"/>
          <w:snapToGrid w:val="0"/>
          <w:color w:val="auto"/>
          <w:kern w:val="0"/>
          <w:szCs w:val="26"/>
          <w:highlight w:val="none"/>
          <w:lang w:eastAsia="zh-CN"/>
        </w:rPr>
        <w:instrText xml:space="preserve"> = 2 \* GB3 \* MERGEFORMAT </w:instrText>
      </w:r>
      <w:r>
        <w:rPr>
          <w:rFonts w:hint="eastAsia" w:eastAsiaTheme="minorEastAsia"/>
          <w:snapToGrid w:val="0"/>
          <w:color w:val="auto"/>
          <w:kern w:val="0"/>
          <w:szCs w:val="26"/>
          <w:highlight w:val="none"/>
          <w:lang w:eastAsia="zh-CN"/>
        </w:rPr>
        <w:fldChar w:fldCharType="separate"/>
      </w:r>
      <w:r>
        <w:rPr>
          <w:color w:val="auto"/>
          <w:highlight w:val="none"/>
        </w:rPr>
        <w:t>②</w:t>
      </w:r>
      <w:r>
        <w:rPr>
          <w:rFonts w:hint="eastAsia" w:eastAsiaTheme="minorEastAsia"/>
          <w:snapToGrid w:val="0"/>
          <w:color w:val="auto"/>
          <w:kern w:val="0"/>
          <w:szCs w:val="26"/>
          <w:highlight w:val="none"/>
          <w:lang w:eastAsia="zh-CN"/>
        </w:rPr>
        <w:fldChar w:fldCharType="end"/>
      </w:r>
      <w:r>
        <w:rPr>
          <w:rFonts w:hint="eastAsia" w:eastAsiaTheme="minorEastAsia"/>
          <w:snapToGrid w:val="0"/>
          <w:color w:val="auto"/>
          <w:kern w:val="0"/>
          <w:szCs w:val="26"/>
          <w:highlight w:val="none"/>
          <w:lang w:eastAsia="zh-CN"/>
        </w:rPr>
        <w:t>径流</w:t>
      </w:r>
    </w:p>
    <w:p>
      <w:pPr>
        <w:tabs>
          <w:tab w:val="left" w:pos="1080"/>
        </w:tabs>
        <w:adjustRightInd w:val="0"/>
        <w:snapToGrid w:val="0"/>
        <w:ind w:firstLine="520"/>
        <w:rPr>
          <w:rFonts w:hint="eastAsia" w:eastAsiaTheme="minorEastAsia"/>
          <w:snapToGrid w:val="0"/>
          <w:color w:val="auto"/>
          <w:kern w:val="0"/>
          <w:szCs w:val="26"/>
          <w:highlight w:val="none"/>
          <w:lang w:eastAsia="zh-CN"/>
        </w:rPr>
      </w:pPr>
      <w:r>
        <w:rPr>
          <w:rFonts w:hint="eastAsia" w:eastAsiaTheme="minorEastAsia"/>
          <w:snapToGrid w:val="0"/>
          <w:color w:val="auto"/>
          <w:kern w:val="0"/>
          <w:szCs w:val="26"/>
          <w:highlight w:val="none"/>
          <w:lang w:eastAsia="zh-CN"/>
        </w:rPr>
        <w:t>根据径流频率计算成果，结合本工程径流调节计算的需要和径流在年内的分配规律，在径流系列中，选择资料精度高，年和年内计算时段流量接近设计值的年份，作为典型年。根据渭沱电站改造工程初设报告确定丰、平、枯三个典型年如下：</w:t>
      </w:r>
    </w:p>
    <w:p>
      <w:pPr>
        <w:tabs>
          <w:tab w:val="left" w:pos="1080"/>
        </w:tabs>
        <w:adjustRightInd w:val="0"/>
        <w:snapToGrid w:val="0"/>
        <w:ind w:firstLine="520"/>
        <w:rPr>
          <w:rFonts w:hint="eastAsia" w:eastAsiaTheme="minorEastAsia"/>
          <w:snapToGrid w:val="0"/>
          <w:color w:val="auto"/>
          <w:kern w:val="0"/>
          <w:szCs w:val="26"/>
          <w:highlight w:val="none"/>
          <w:lang w:eastAsia="zh-CN"/>
        </w:rPr>
      </w:pPr>
      <w:r>
        <w:rPr>
          <w:rFonts w:hint="eastAsia" w:eastAsiaTheme="minorEastAsia"/>
          <w:snapToGrid w:val="0"/>
          <w:color w:val="auto"/>
          <w:kern w:val="0"/>
          <w:szCs w:val="26"/>
          <w:highlight w:val="none"/>
          <w:lang w:eastAsia="zh-CN"/>
        </w:rPr>
        <w:t>丰水年（P=10%）：1952年5月—1953年4月；</w:t>
      </w:r>
    </w:p>
    <w:p>
      <w:pPr>
        <w:tabs>
          <w:tab w:val="left" w:pos="1080"/>
        </w:tabs>
        <w:adjustRightInd w:val="0"/>
        <w:snapToGrid w:val="0"/>
        <w:ind w:firstLine="520"/>
        <w:rPr>
          <w:rFonts w:hint="eastAsia" w:eastAsiaTheme="minorEastAsia"/>
          <w:snapToGrid w:val="0"/>
          <w:color w:val="auto"/>
          <w:kern w:val="0"/>
          <w:szCs w:val="26"/>
          <w:highlight w:val="none"/>
          <w:lang w:eastAsia="zh-CN"/>
        </w:rPr>
      </w:pPr>
      <w:r>
        <w:rPr>
          <w:rFonts w:hint="eastAsia" w:eastAsiaTheme="minorEastAsia"/>
          <w:snapToGrid w:val="0"/>
          <w:color w:val="auto"/>
          <w:kern w:val="0"/>
          <w:szCs w:val="26"/>
          <w:highlight w:val="none"/>
          <w:lang w:eastAsia="zh-CN"/>
        </w:rPr>
        <w:t>平水年（P=50%）：1976年5月—1977年4月；</w:t>
      </w:r>
    </w:p>
    <w:p>
      <w:pPr>
        <w:tabs>
          <w:tab w:val="left" w:pos="1080"/>
        </w:tabs>
        <w:adjustRightInd w:val="0"/>
        <w:snapToGrid w:val="0"/>
        <w:ind w:firstLine="520"/>
        <w:rPr>
          <w:rFonts w:hint="eastAsia" w:eastAsiaTheme="minorEastAsia"/>
          <w:snapToGrid w:val="0"/>
          <w:color w:val="auto"/>
          <w:kern w:val="0"/>
          <w:szCs w:val="26"/>
          <w:highlight w:val="none"/>
          <w:lang w:eastAsia="zh-CN"/>
        </w:rPr>
      </w:pPr>
      <w:r>
        <w:rPr>
          <w:rFonts w:hint="eastAsia" w:eastAsiaTheme="minorEastAsia"/>
          <w:snapToGrid w:val="0"/>
          <w:color w:val="auto"/>
          <w:kern w:val="0"/>
          <w:szCs w:val="26"/>
          <w:highlight w:val="none"/>
          <w:lang w:eastAsia="zh-CN"/>
        </w:rPr>
        <w:t>枯水年（P=90%）：1971年5月—1972年4月。</w:t>
      </w:r>
    </w:p>
    <w:p>
      <w:pPr>
        <w:tabs>
          <w:tab w:val="left" w:pos="1080"/>
        </w:tabs>
        <w:adjustRightInd w:val="0"/>
        <w:snapToGrid w:val="0"/>
        <w:ind w:firstLine="520"/>
        <w:rPr>
          <w:rFonts w:hint="eastAsia" w:eastAsiaTheme="minorEastAsia"/>
          <w:snapToGrid w:val="0"/>
          <w:color w:val="auto"/>
          <w:kern w:val="0"/>
          <w:szCs w:val="26"/>
          <w:highlight w:val="none"/>
          <w:lang w:eastAsia="zh-CN"/>
        </w:rPr>
      </w:pPr>
      <w:r>
        <w:rPr>
          <w:rFonts w:hint="eastAsia" w:eastAsiaTheme="minorEastAsia"/>
          <w:snapToGrid w:val="0"/>
          <w:color w:val="auto"/>
          <w:kern w:val="0"/>
          <w:szCs w:val="26"/>
          <w:highlight w:val="none"/>
          <w:lang w:eastAsia="zh-CN"/>
        </w:rPr>
        <w:t>各典型年年内分配过程见下表：</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color w:val="auto"/>
          <w:kern w:val="2"/>
          <w:szCs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eastAsia="宋体"/>
          <w:color w:val="auto"/>
          <w:kern w:val="2"/>
          <w:sz w:val="22"/>
          <w:szCs w:val="22"/>
          <w:highlight w:val="none"/>
          <w:lang w:val="en-US" w:eastAsia="zh-CN"/>
        </w:rPr>
      </w:pPr>
      <w:r>
        <w:rPr>
          <w:rFonts w:hint="eastAsia"/>
          <w:color w:val="auto"/>
          <w:kern w:val="2"/>
          <w:szCs w:val="24"/>
          <w:highlight w:val="none"/>
          <w:lang w:eastAsia="zh-CN"/>
        </w:rPr>
        <w:t>表</w:t>
      </w:r>
      <w:r>
        <w:rPr>
          <w:rFonts w:hint="eastAsia"/>
          <w:color w:val="auto"/>
          <w:kern w:val="2"/>
          <w:szCs w:val="24"/>
          <w:highlight w:val="none"/>
          <w:lang w:val="en-US" w:eastAsia="zh-CN"/>
        </w:rPr>
        <w:t>3.3.2-5  渭沱</w:t>
      </w:r>
      <w:r>
        <w:rPr>
          <w:rFonts w:hint="eastAsia" w:eastAsiaTheme="minorEastAsia"/>
          <w:snapToGrid w:val="0"/>
          <w:color w:val="auto"/>
          <w:kern w:val="0"/>
          <w:szCs w:val="26"/>
          <w:highlight w:val="none"/>
          <w:lang w:eastAsia="zh-CN"/>
        </w:rPr>
        <w:t>枢纽</w:t>
      </w:r>
      <w:r>
        <w:rPr>
          <w:rFonts w:hint="eastAsia"/>
          <w:color w:val="auto"/>
          <w:kern w:val="2"/>
          <w:szCs w:val="24"/>
          <w:highlight w:val="none"/>
          <w:lang w:val="en-US" w:eastAsia="zh-CN"/>
        </w:rPr>
        <w:t xml:space="preserve">径流典型年年内分配表  </w:t>
      </w:r>
      <w:r>
        <w:rPr>
          <w:rFonts w:hint="eastAsia"/>
          <w:color w:val="auto"/>
          <w:kern w:val="2"/>
          <w:sz w:val="22"/>
          <w:szCs w:val="22"/>
          <w:highlight w:val="none"/>
          <w:lang w:val="en-US" w:eastAsia="zh-CN"/>
        </w:rPr>
        <w:t>单位：m³/s</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9"/>
        <w:gridCol w:w="670"/>
        <w:gridCol w:w="670"/>
        <w:gridCol w:w="670"/>
        <w:gridCol w:w="670"/>
        <w:gridCol w:w="670"/>
        <w:gridCol w:w="569"/>
        <w:gridCol w:w="569"/>
        <w:gridCol w:w="569"/>
        <w:gridCol w:w="569"/>
        <w:gridCol w:w="569"/>
        <w:gridCol w:w="670"/>
        <w:gridCol w:w="671"/>
        <w:gridCol w:w="6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eastAsia="zh-CN"/>
              </w:rPr>
            </w:pPr>
            <w:r>
              <w:rPr>
                <w:rFonts w:hint="eastAsia"/>
                <w:color w:val="auto"/>
                <w:sz w:val="20"/>
                <w:szCs w:val="20"/>
                <w:highlight w:val="none"/>
                <w:vertAlign w:val="baseline"/>
                <w:lang w:eastAsia="zh-CN"/>
              </w:rPr>
              <w:t>年</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val="en-US" w:eastAsia="zh-CN"/>
              </w:rPr>
              <w:t>5</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val="en-US" w:eastAsia="zh-CN"/>
              </w:rPr>
              <w:t>6</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val="en-US" w:eastAsia="zh-CN"/>
              </w:rPr>
              <w:t>7</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val="en-US" w:eastAsia="zh-CN"/>
              </w:rPr>
              <w:t>8</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val="en-US" w:eastAsia="zh-CN"/>
              </w:rPr>
              <w:t>9</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val="en-US" w:eastAsia="zh-CN"/>
              </w:rPr>
              <w:t>10</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val="en-US" w:eastAsia="zh-CN"/>
              </w:rPr>
              <w:t>11</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val="en-US" w:eastAsia="zh-CN"/>
              </w:rPr>
              <w:t>12</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val="en-US" w:eastAsia="zh-CN"/>
              </w:rPr>
              <w:t>1</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val="en-US" w:eastAsia="zh-CN"/>
              </w:rPr>
              <w:t>2</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val="en-US" w:eastAsia="zh-CN"/>
              </w:rPr>
              <w:t>3</w:t>
            </w:r>
          </w:p>
        </w:tc>
        <w:tc>
          <w:tcPr>
            <w:tcW w:w="67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val="en-US" w:eastAsia="zh-CN"/>
              </w:rPr>
              <w:t>4</w:t>
            </w:r>
          </w:p>
        </w:tc>
        <w:tc>
          <w:tcPr>
            <w:tcW w:w="62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eastAsia="zh-CN"/>
              </w:rPr>
            </w:pPr>
            <w:r>
              <w:rPr>
                <w:rFonts w:hint="eastAsia"/>
                <w:color w:val="auto"/>
                <w:sz w:val="20"/>
                <w:szCs w:val="20"/>
                <w:highlight w:val="none"/>
                <w:vertAlign w:val="baseline"/>
                <w:lang w:eastAsia="zh-CN"/>
              </w:rPr>
              <w:t>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1952</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1130</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854</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1610</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2130</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1470</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474</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252</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146</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117</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95.1</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104</w:t>
            </w:r>
          </w:p>
        </w:tc>
        <w:tc>
          <w:tcPr>
            <w:tcW w:w="67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324</w:t>
            </w:r>
          </w:p>
        </w:tc>
        <w:tc>
          <w:tcPr>
            <w:tcW w:w="62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725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1976</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292</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564</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733</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2050</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991</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635</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329</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210</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149</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131</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122</w:t>
            </w:r>
          </w:p>
        </w:tc>
        <w:tc>
          <w:tcPr>
            <w:tcW w:w="67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283</w:t>
            </w:r>
          </w:p>
        </w:tc>
        <w:tc>
          <w:tcPr>
            <w:tcW w:w="62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539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1971</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151</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308</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890</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1220</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636</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501</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228</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131</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106</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88.1</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90</w:t>
            </w:r>
          </w:p>
        </w:tc>
        <w:tc>
          <w:tcPr>
            <w:tcW w:w="67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202</w:t>
            </w:r>
          </w:p>
        </w:tc>
        <w:tc>
          <w:tcPr>
            <w:tcW w:w="62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379</w:t>
            </w:r>
          </w:p>
        </w:tc>
      </w:tr>
    </w:tbl>
    <w:p>
      <w:pPr>
        <w:tabs>
          <w:tab w:val="left" w:pos="1080"/>
        </w:tabs>
        <w:adjustRightInd w:val="0"/>
        <w:snapToGrid w:val="0"/>
        <w:spacing w:line="240" w:lineRule="auto"/>
        <w:ind w:firstLine="520"/>
        <w:rPr>
          <w:rFonts w:hint="eastAsia" w:eastAsiaTheme="minorEastAsia"/>
          <w:snapToGrid w:val="0"/>
          <w:color w:val="auto"/>
          <w:kern w:val="0"/>
          <w:szCs w:val="26"/>
          <w:highlight w:val="none"/>
          <w:lang w:eastAsia="zh-CN"/>
        </w:rPr>
      </w:pPr>
    </w:p>
    <w:p>
      <w:pPr>
        <w:tabs>
          <w:tab w:val="left" w:pos="1080"/>
        </w:tabs>
        <w:adjustRightInd w:val="0"/>
        <w:snapToGrid w:val="0"/>
        <w:ind w:firstLine="520"/>
        <w:rPr>
          <w:rFonts w:hint="default" w:ascii="Times New Roman" w:hAnsi="Times New Roman" w:cs="Times New Roman" w:eastAsiaTheme="minorEastAsia"/>
          <w:snapToGrid w:val="0"/>
          <w:color w:val="auto"/>
          <w:kern w:val="0"/>
          <w:szCs w:val="26"/>
          <w:highlight w:val="none"/>
          <w:lang w:eastAsia="zh-CN"/>
        </w:rPr>
      </w:pPr>
      <w:r>
        <w:rPr>
          <w:rFonts w:hint="default" w:ascii="Times New Roman" w:hAnsi="Times New Roman" w:cs="Times New Roman" w:eastAsiaTheme="minorEastAsia"/>
          <w:snapToGrid w:val="0"/>
          <w:color w:val="auto"/>
          <w:kern w:val="0"/>
          <w:szCs w:val="26"/>
          <w:highlight w:val="none"/>
          <w:lang w:eastAsia="zh-CN"/>
        </w:rPr>
        <w:fldChar w:fldCharType="begin"/>
      </w:r>
      <w:r>
        <w:rPr>
          <w:rFonts w:hint="default" w:ascii="Times New Roman" w:hAnsi="Times New Roman" w:cs="Times New Roman" w:eastAsiaTheme="minorEastAsia"/>
          <w:snapToGrid w:val="0"/>
          <w:color w:val="auto"/>
          <w:kern w:val="0"/>
          <w:szCs w:val="26"/>
          <w:highlight w:val="none"/>
          <w:lang w:eastAsia="zh-CN"/>
        </w:rPr>
        <w:instrText xml:space="preserve"> = 3 \* GB3 \* MERGEFORMAT </w:instrText>
      </w:r>
      <w:r>
        <w:rPr>
          <w:rFonts w:hint="default" w:ascii="Times New Roman" w:hAnsi="Times New Roman" w:cs="Times New Roman" w:eastAsiaTheme="minorEastAsia"/>
          <w:snapToGrid w:val="0"/>
          <w:color w:val="auto"/>
          <w:kern w:val="0"/>
          <w:szCs w:val="26"/>
          <w:highlight w:val="none"/>
          <w:lang w:eastAsia="zh-CN"/>
        </w:rPr>
        <w:fldChar w:fldCharType="separate"/>
      </w:r>
      <w:r>
        <w:rPr>
          <w:rFonts w:hint="default" w:ascii="Times New Roman" w:hAnsi="Times New Roman" w:cs="Times New Roman"/>
          <w:color w:val="auto"/>
          <w:highlight w:val="none"/>
        </w:rPr>
        <w:t>③</w:t>
      </w:r>
      <w:r>
        <w:rPr>
          <w:rFonts w:hint="default" w:ascii="Times New Roman" w:hAnsi="Times New Roman" w:cs="Times New Roman" w:eastAsiaTheme="minorEastAsia"/>
          <w:snapToGrid w:val="0"/>
          <w:color w:val="auto"/>
          <w:kern w:val="0"/>
          <w:szCs w:val="26"/>
          <w:highlight w:val="none"/>
          <w:lang w:eastAsia="zh-CN"/>
        </w:rPr>
        <w:fldChar w:fldCharType="end"/>
      </w:r>
      <w:r>
        <w:rPr>
          <w:rFonts w:hint="default" w:ascii="Times New Roman" w:hAnsi="Times New Roman" w:cs="Times New Roman" w:eastAsiaTheme="minorEastAsia"/>
          <w:snapToGrid w:val="0"/>
          <w:color w:val="auto"/>
          <w:kern w:val="0"/>
          <w:szCs w:val="26"/>
          <w:highlight w:val="none"/>
          <w:lang w:eastAsia="zh-CN"/>
        </w:rPr>
        <w:t>洪水</w:t>
      </w:r>
    </w:p>
    <w:p>
      <w:pPr>
        <w:tabs>
          <w:tab w:val="left" w:pos="1080"/>
        </w:tabs>
        <w:adjustRightInd w:val="0"/>
        <w:snapToGrid w:val="0"/>
        <w:ind w:firstLine="520"/>
        <w:rPr>
          <w:rFonts w:hint="default" w:ascii="Times New Roman" w:hAnsi="Times New Roman" w:cs="Times New Roman" w:eastAsiaTheme="minorEastAsia"/>
          <w:snapToGrid w:val="0"/>
          <w:color w:val="auto"/>
          <w:kern w:val="0"/>
          <w:szCs w:val="26"/>
          <w:highlight w:val="none"/>
          <w:lang w:eastAsia="zh-CN"/>
        </w:rPr>
      </w:pPr>
      <w:r>
        <w:rPr>
          <w:rFonts w:hint="default" w:ascii="Times New Roman" w:hAnsi="Times New Roman" w:cs="Times New Roman" w:eastAsiaTheme="minorEastAsia"/>
          <w:snapToGrid w:val="0"/>
          <w:color w:val="auto"/>
          <w:kern w:val="0"/>
          <w:szCs w:val="26"/>
          <w:highlight w:val="none"/>
          <w:lang w:eastAsia="zh-CN"/>
        </w:rPr>
        <w:t>涪江流域暴雨发生的时间多在5-9月，大暴雨一般在 7-8月出现。流域上游山区为著名的鹿山暴雨区，暴雨中心多发生在雎水关、北川、平武一带的龙门山高山峡谷区，雨量集中，强度大；而中、下游地区因地势平缓、无明显的暴雨中心，暴雨强度也较上游山区明显的减小。</w:t>
      </w:r>
    </w:p>
    <w:p>
      <w:pPr>
        <w:keepNext w:val="0"/>
        <w:keepLines w:val="0"/>
        <w:pageBreakBefore w:val="0"/>
        <w:widowControl w:val="0"/>
        <w:tabs>
          <w:tab w:val="left" w:pos="1080"/>
        </w:tabs>
        <w:kinsoku/>
        <w:wordWrap/>
        <w:overflowPunct/>
        <w:topLinePunct w:val="0"/>
        <w:autoSpaceDE/>
        <w:autoSpaceDN/>
        <w:bidi w:val="0"/>
        <w:adjustRightInd w:val="0"/>
        <w:snapToGrid w:val="0"/>
        <w:spacing w:line="480" w:lineRule="exact"/>
        <w:ind w:firstLine="520" w:firstLineChars="200"/>
        <w:textAlignment w:val="auto"/>
        <w:rPr>
          <w:rFonts w:hint="default" w:ascii="Times New Roman" w:hAnsi="Times New Roman" w:cs="Times New Roman" w:eastAsiaTheme="minorEastAsia"/>
          <w:snapToGrid w:val="0"/>
          <w:color w:val="auto"/>
          <w:kern w:val="0"/>
          <w:szCs w:val="26"/>
          <w:highlight w:val="none"/>
          <w:lang w:eastAsia="zh-CN"/>
        </w:rPr>
      </w:pPr>
      <w:r>
        <w:rPr>
          <w:rFonts w:hint="default" w:ascii="Times New Roman" w:hAnsi="Times New Roman" w:cs="Times New Roman" w:eastAsiaTheme="minorEastAsia"/>
          <w:snapToGrid w:val="0"/>
          <w:color w:val="auto"/>
          <w:kern w:val="0"/>
          <w:szCs w:val="26"/>
          <w:highlight w:val="none"/>
          <w:lang w:eastAsia="zh-CN"/>
        </w:rPr>
        <w:t>涪江流域中、下游洪水过程平缓，洪水主要发生在6-10月，年最大洪峰出现在7-9月份的占91%左右。根据小河坝水文站资料统计，洪水过程一般为单峰，洪水历时4-7天左右，峰顶持续时间为1-2h。年最大洪水最早发生在6月(1956年6月25日)，最晚发生在10月</w:t>
      </w:r>
      <w:r>
        <w:rPr>
          <w:rFonts w:hint="default" w:ascii="Times New Roman" w:hAnsi="Times New Roman" w:cs="Times New Roman" w:eastAsiaTheme="minorEastAsia"/>
          <w:snapToGrid w:val="0"/>
          <w:color w:val="auto"/>
          <w:kern w:val="0"/>
          <w:szCs w:val="26"/>
          <w:highlight w:val="none"/>
          <w:shd w:val="clear" w:fill="FFFFFF"/>
          <w:lang w:eastAsia="zh-CN"/>
        </w:rPr>
        <w:t>（</w:t>
      </w:r>
      <w:r>
        <w:rPr>
          <w:rFonts w:hint="default" w:ascii="Times New Roman" w:hAnsi="Times New Roman" w:cs="Times New Roman" w:eastAsiaTheme="minorEastAsia"/>
          <w:snapToGrid w:val="0"/>
          <w:color w:val="auto"/>
          <w:kern w:val="0"/>
          <w:szCs w:val="26"/>
          <w:highlight w:val="none"/>
          <w:lang w:eastAsia="zh-CN"/>
        </w:rPr>
        <w:t>如2000年10月11日)。历年实测最大洪峰流量28700</w:t>
      </w:r>
      <w:r>
        <w:rPr>
          <w:rFonts w:hint="default" w:ascii="Times New Roman" w:hAnsi="Times New Roman" w:cs="Times New Roman" w:eastAsiaTheme="minorEastAsia"/>
          <w:snapToGrid w:val="0"/>
          <w:color w:val="auto"/>
          <w:kern w:val="0"/>
          <w:szCs w:val="26"/>
          <w:highlight w:val="none"/>
          <w:lang w:val="en-US" w:eastAsia="zh-CN"/>
        </w:rPr>
        <w:t>m³</w:t>
      </w:r>
      <w:r>
        <w:rPr>
          <w:rFonts w:hint="default" w:ascii="Times New Roman" w:hAnsi="Times New Roman" w:cs="Times New Roman" w:eastAsiaTheme="minorEastAsia"/>
          <w:snapToGrid w:val="0"/>
          <w:color w:val="auto"/>
          <w:kern w:val="0"/>
          <w:szCs w:val="26"/>
          <w:highlight w:val="none"/>
          <w:lang w:eastAsia="zh-CN"/>
        </w:rPr>
        <w:t>/s</w:t>
      </w:r>
      <w:r>
        <w:rPr>
          <w:rFonts w:hint="eastAsia" w:cs="Times New Roman" w:eastAsiaTheme="minorEastAsia"/>
          <w:snapToGrid w:val="0"/>
          <w:color w:val="auto"/>
          <w:kern w:val="0"/>
          <w:szCs w:val="26"/>
          <w:highlight w:val="none"/>
          <w:lang w:eastAsia="zh-CN"/>
        </w:rPr>
        <w:t>（</w:t>
      </w:r>
      <w:r>
        <w:rPr>
          <w:rFonts w:hint="default" w:ascii="Times New Roman" w:hAnsi="Times New Roman" w:cs="Times New Roman" w:eastAsiaTheme="minorEastAsia"/>
          <w:snapToGrid w:val="0"/>
          <w:color w:val="auto"/>
          <w:kern w:val="0"/>
          <w:szCs w:val="26"/>
          <w:highlight w:val="none"/>
          <w:lang w:eastAsia="zh-CN"/>
        </w:rPr>
        <w:t>1981年7月15日</w:t>
      </w:r>
      <w:r>
        <w:rPr>
          <w:rFonts w:hint="eastAsia" w:cs="Times New Roman" w:eastAsiaTheme="minorEastAsia"/>
          <w:snapToGrid w:val="0"/>
          <w:color w:val="auto"/>
          <w:kern w:val="0"/>
          <w:szCs w:val="26"/>
          <w:highlight w:val="none"/>
          <w:lang w:eastAsia="zh-CN"/>
        </w:rPr>
        <w:t>）</w:t>
      </w:r>
      <w:r>
        <w:rPr>
          <w:rFonts w:hint="default" w:ascii="Times New Roman" w:hAnsi="Times New Roman" w:cs="Times New Roman" w:eastAsiaTheme="minorEastAsia"/>
          <w:snapToGrid w:val="0"/>
          <w:color w:val="auto"/>
          <w:kern w:val="0"/>
          <w:szCs w:val="26"/>
          <w:highlight w:val="none"/>
          <w:lang w:eastAsia="zh-CN"/>
        </w:rPr>
        <w:t>，年最小2360m</w:t>
      </w:r>
      <w:r>
        <w:rPr>
          <w:rFonts w:hint="default" w:ascii="Times New Roman" w:hAnsi="Times New Roman" w:cs="Times New Roman" w:eastAsiaTheme="minorEastAsia"/>
          <w:snapToGrid w:val="0"/>
          <w:color w:val="auto"/>
          <w:kern w:val="0"/>
          <w:szCs w:val="26"/>
          <w:highlight w:val="none"/>
          <w:vertAlign w:val="superscript"/>
          <w:lang w:eastAsia="zh-CN"/>
        </w:rPr>
        <w:t>3</w:t>
      </w:r>
      <w:r>
        <w:rPr>
          <w:rFonts w:hint="default" w:ascii="Times New Roman" w:hAnsi="Times New Roman" w:cs="Times New Roman" w:eastAsiaTheme="minorEastAsia"/>
          <w:snapToGrid w:val="0"/>
          <w:color w:val="auto"/>
          <w:kern w:val="0"/>
          <w:szCs w:val="26"/>
          <w:highlight w:val="none"/>
          <w:lang w:eastAsia="zh-CN"/>
        </w:rPr>
        <w:t>/s</w:t>
      </w:r>
      <w:r>
        <w:rPr>
          <w:rFonts w:hint="eastAsia" w:cs="Times New Roman" w:eastAsiaTheme="minorEastAsia"/>
          <w:snapToGrid w:val="0"/>
          <w:color w:val="auto"/>
          <w:kern w:val="0"/>
          <w:szCs w:val="26"/>
          <w:highlight w:val="none"/>
          <w:lang w:eastAsia="zh-CN"/>
        </w:rPr>
        <w:t>（</w:t>
      </w:r>
      <w:r>
        <w:rPr>
          <w:rFonts w:hint="default" w:ascii="Times New Roman" w:hAnsi="Times New Roman" w:cs="Times New Roman" w:eastAsiaTheme="minorEastAsia"/>
          <w:snapToGrid w:val="0"/>
          <w:color w:val="auto"/>
          <w:kern w:val="0"/>
          <w:szCs w:val="26"/>
          <w:highlight w:val="none"/>
          <w:lang w:eastAsia="zh-CN"/>
        </w:rPr>
        <w:t>1994年9月4日</w:t>
      </w:r>
      <w:r>
        <w:rPr>
          <w:rFonts w:hint="eastAsia" w:cs="Times New Roman" w:eastAsiaTheme="minorEastAsia"/>
          <w:snapToGrid w:val="0"/>
          <w:color w:val="auto"/>
          <w:kern w:val="0"/>
          <w:szCs w:val="26"/>
          <w:highlight w:val="none"/>
          <w:lang w:eastAsia="zh-CN"/>
        </w:rPr>
        <w:t>）</w:t>
      </w:r>
      <w:r>
        <w:rPr>
          <w:rFonts w:hint="default" w:ascii="Times New Roman" w:hAnsi="Times New Roman" w:cs="Times New Roman" w:eastAsiaTheme="minorEastAsia"/>
          <w:snapToGrid w:val="0"/>
          <w:color w:val="auto"/>
          <w:kern w:val="0"/>
          <w:szCs w:val="26"/>
          <w:highlight w:val="none"/>
          <w:lang w:eastAsia="zh-CN"/>
        </w:rPr>
        <w:t>，实测最大水位变幅16.93m。</w:t>
      </w: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default" w:ascii="Times New Roman" w:hAnsi="Times New Roman" w:cs="Times New Roman" w:eastAsiaTheme="minorEastAsia"/>
          <w:snapToGrid w:val="0"/>
          <w:color w:val="auto"/>
          <w:kern w:val="0"/>
          <w:sz w:val="26"/>
          <w:szCs w:val="26"/>
          <w:highlight w:val="none"/>
          <w:lang w:val="en-US" w:eastAsia="zh-CN" w:bidi="ar-SA"/>
        </w:rPr>
      </w:pPr>
      <w:r>
        <w:rPr>
          <w:rFonts w:hint="default" w:ascii="Times New Roman" w:hAnsi="Times New Roman" w:cs="Times New Roman" w:eastAsiaTheme="minorEastAsia"/>
          <w:snapToGrid w:val="0"/>
          <w:color w:val="auto"/>
          <w:kern w:val="0"/>
          <w:sz w:val="26"/>
          <w:szCs w:val="26"/>
          <w:highlight w:val="none"/>
          <w:lang w:val="en-US" w:eastAsia="zh-CN" w:bidi="ar-SA"/>
        </w:rPr>
        <w:t>工程区河段与小河坝站区间有涪江支流琼江汇入，考虑琼江汇入后，采用水文比拟法计算工程河段涪江段设计洪水成果，工程河段涪江干流段设计洪水计算成果见下表</w:t>
      </w:r>
      <w:r>
        <w:rPr>
          <w:rFonts w:hint="eastAsia" w:ascii="Times New Roman" w:hAnsi="Times New Roman" w:cs="Times New Roman" w:eastAsiaTheme="minorEastAsia"/>
          <w:snapToGrid w:val="0"/>
          <w:color w:val="auto"/>
          <w:kern w:val="0"/>
          <w:sz w:val="26"/>
          <w:szCs w:val="26"/>
          <w:highlight w:val="none"/>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eastAsia="宋体"/>
          <w:color w:val="auto"/>
          <w:kern w:val="2"/>
          <w:sz w:val="22"/>
          <w:szCs w:val="24"/>
          <w:highlight w:val="none"/>
          <w:lang w:val="en-US" w:eastAsia="zh-CN"/>
        </w:rPr>
      </w:pPr>
      <w:r>
        <w:rPr>
          <w:rFonts w:hint="eastAsia"/>
          <w:color w:val="auto"/>
          <w:kern w:val="2"/>
          <w:szCs w:val="24"/>
          <w:highlight w:val="none"/>
          <w:lang w:eastAsia="zh-CN"/>
        </w:rPr>
        <w:t>表</w:t>
      </w:r>
      <w:r>
        <w:rPr>
          <w:rFonts w:hint="eastAsia"/>
          <w:color w:val="auto"/>
          <w:kern w:val="2"/>
          <w:szCs w:val="24"/>
          <w:highlight w:val="none"/>
          <w:lang w:val="en-US" w:eastAsia="zh-CN"/>
        </w:rPr>
        <w:t>3.3.2-6  渭沱电站洪水计算成果表</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2"/>
        <w:gridCol w:w="831"/>
        <w:gridCol w:w="831"/>
        <w:gridCol w:w="831"/>
        <w:gridCol w:w="831"/>
        <w:gridCol w:w="831"/>
        <w:gridCol w:w="831"/>
        <w:gridCol w:w="831"/>
        <w:gridCol w:w="831"/>
        <w:gridCol w:w="8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2"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vertAlign w:val="baseline"/>
                <w:lang w:eastAsia="zh-CN"/>
              </w:rPr>
            </w:pPr>
            <w:r>
              <w:rPr>
                <w:rFonts w:hint="eastAsia"/>
                <w:color w:val="auto"/>
                <w:sz w:val="22"/>
                <w:szCs w:val="22"/>
                <w:highlight w:val="none"/>
                <w:vertAlign w:val="baseline"/>
                <w:lang w:eastAsia="zh-CN"/>
              </w:rPr>
              <w:t>断面</w:t>
            </w:r>
          </w:p>
        </w:tc>
        <w:tc>
          <w:tcPr>
            <w:tcW w:w="7486" w:type="dxa"/>
            <w:gridSpan w:val="9"/>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2"/>
                <w:szCs w:val="22"/>
                <w:highlight w:val="none"/>
                <w:vertAlign w:val="baseline"/>
                <w:lang w:val="en-US" w:eastAsia="zh-CN" w:bidi="ar-SA"/>
              </w:rPr>
            </w:pPr>
            <w:r>
              <w:rPr>
                <w:rFonts w:ascii="Times New Roman"/>
                <w:color w:val="auto"/>
                <w:sz w:val="22"/>
                <w:szCs w:val="22"/>
                <w:highlight w:val="none"/>
              </w:rPr>
              <w:t>各频率设计值Q</w:t>
            </w:r>
            <w:r>
              <w:rPr>
                <w:rFonts w:ascii="Times New Roman"/>
                <w:color w:val="auto"/>
                <w:sz w:val="22"/>
                <w:szCs w:val="22"/>
                <w:highlight w:val="none"/>
                <w:vertAlign w:val="subscript"/>
              </w:rPr>
              <w:t>p</w:t>
            </w:r>
            <w:r>
              <w:rPr>
                <w:rFonts w:ascii="Times New Roman"/>
                <w:color w:val="auto"/>
                <w:sz w:val="22"/>
                <w:szCs w:val="22"/>
                <w:highlight w:val="none"/>
              </w:rPr>
              <w:t>(m</w:t>
            </w:r>
            <w:r>
              <w:rPr>
                <w:rFonts w:ascii="Times New Roman"/>
                <w:color w:val="auto"/>
                <w:sz w:val="22"/>
                <w:szCs w:val="22"/>
                <w:highlight w:val="none"/>
                <w:vertAlign w:val="superscript"/>
              </w:rPr>
              <w:t>3</w:t>
            </w:r>
            <w:r>
              <w:rPr>
                <w:rFonts w:ascii="Times New Roman"/>
                <w:color w:val="auto"/>
                <w:sz w:val="22"/>
                <w:szCs w:val="22"/>
                <w:highlight w:val="none"/>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2"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p>
        </w:tc>
        <w:tc>
          <w:tcPr>
            <w:tcW w:w="8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0.2%</w:t>
            </w:r>
          </w:p>
        </w:tc>
        <w:tc>
          <w:tcPr>
            <w:tcW w:w="8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0.5%</w:t>
            </w:r>
          </w:p>
        </w:tc>
        <w:tc>
          <w:tcPr>
            <w:tcW w:w="8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1%</w:t>
            </w:r>
          </w:p>
        </w:tc>
        <w:tc>
          <w:tcPr>
            <w:tcW w:w="8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2%</w:t>
            </w:r>
          </w:p>
        </w:tc>
        <w:tc>
          <w:tcPr>
            <w:tcW w:w="8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5%</w:t>
            </w:r>
          </w:p>
        </w:tc>
        <w:tc>
          <w:tcPr>
            <w:tcW w:w="8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10%</w:t>
            </w:r>
          </w:p>
        </w:tc>
        <w:tc>
          <w:tcPr>
            <w:tcW w:w="8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20%</w:t>
            </w:r>
          </w:p>
        </w:tc>
        <w:tc>
          <w:tcPr>
            <w:tcW w:w="8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33.3%</w:t>
            </w: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渭沱电站</w:t>
            </w:r>
          </w:p>
        </w:tc>
        <w:tc>
          <w:tcPr>
            <w:tcW w:w="8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38500</w:t>
            </w:r>
          </w:p>
        </w:tc>
        <w:tc>
          <w:tcPr>
            <w:tcW w:w="8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33500</w:t>
            </w:r>
          </w:p>
        </w:tc>
        <w:tc>
          <w:tcPr>
            <w:tcW w:w="8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29700</w:t>
            </w:r>
          </w:p>
        </w:tc>
        <w:tc>
          <w:tcPr>
            <w:tcW w:w="8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26300</w:t>
            </w:r>
          </w:p>
        </w:tc>
        <w:tc>
          <w:tcPr>
            <w:tcW w:w="8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21200</w:t>
            </w:r>
          </w:p>
        </w:tc>
        <w:tc>
          <w:tcPr>
            <w:tcW w:w="8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16800</w:t>
            </w:r>
          </w:p>
        </w:tc>
        <w:tc>
          <w:tcPr>
            <w:tcW w:w="8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12900</w:t>
            </w:r>
          </w:p>
        </w:tc>
        <w:tc>
          <w:tcPr>
            <w:tcW w:w="8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11200</w:t>
            </w:r>
          </w:p>
        </w:tc>
        <w:tc>
          <w:tcPr>
            <w:tcW w:w="83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2"/>
                <w:szCs w:val="22"/>
                <w:highlight w:val="none"/>
                <w:vertAlign w:val="baseline"/>
                <w:lang w:val="en-US" w:eastAsia="zh-CN"/>
              </w:rPr>
            </w:pPr>
            <w:r>
              <w:rPr>
                <w:rFonts w:hint="eastAsia"/>
                <w:color w:val="auto"/>
                <w:sz w:val="22"/>
                <w:szCs w:val="22"/>
                <w:highlight w:val="none"/>
                <w:vertAlign w:val="baseline"/>
                <w:lang w:val="en-US" w:eastAsia="zh-CN"/>
              </w:rPr>
              <w:t>8450</w:t>
            </w:r>
          </w:p>
        </w:tc>
      </w:tr>
    </w:tbl>
    <w:p>
      <w:pPr>
        <w:keepNext w:val="0"/>
        <w:keepLines w:val="0"/>
        <w:pageBreakBefore w:val="0"/>
        <w:widowControl w:val="0"/>
        <w:tabs>
          <w:tab w:val="left" w:pos="1080"/>
        </w:tabs>
        <w:kinsoku/>
        <w:wordWrap/>
        <w:overflowPunct/>
        <w:topLinePunct w:val="0"/>
        <w:autoSpaceDE/>
        <w:autoSpaceDN/>
        <w:bidi w:val="0"/>
        <w:adjustRightInd w:val="0"/>
        <w:snapToGrid w:val="0"/>
        <w:spacing w:line="240" w:lineRule="auto"/>
        <w:ind w:firstLine="520" w:firstLineChars="200"/>
        <w:textAlignment w:val="auto"/>
        <w:rPr>
          <w:rFonts w:hint="eastAsia" w:eastAsiaTheme="minorEastAsia"/>
          <w:snapToGrid w:val="0"/>
          <w:color w:val="auto"/>
          <w:kern w:val="0"/>
          <w:szCs w:val="26"/>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52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fldChar w:fldCharType="begin"/>
      </w:r>
      <w:r>
        <w:rPr>
          <w:rFonts w:hint="default" w:ascii="Times New Roman" w:hAnsi="Times New Roman" w:cs="Times New Roman"/>
          <w:color w:val="auto"/>
          <w:highlight w:val="none"/>
          <w:lang w:eastAsia="zh-CN"/>
        </w:rPr>
        <w:instrText xml:space="preserve"> = 4 \* GB3 \* MERGEFORMAT </w:instrText>
      </w:r>
      <w:r>
        <w:rPr>
          <w:rFonts w:hint="default" w:ascii="Times New Roman" w:hAnsi="Times New Roman" w:cs="Times New Roman"/>
          <w:color w:val="auto"/>
          <w:highlight w:val="none"/>
          <w:lang w:eastAsia="zh-CN"/>
        </w:rPr>
        <w:fldChar w:fldCharType="separate"/>
      </w:r>
      <w:r>
        <w:rPr>
          <w:color w:val="auto"/>
          <w:highlight w:val="none"/>
        </w:rPr>
        <w:t>④</w:t>
      </w:r>
      <w:r>
        <w:rPr>
          <w:rFonts w:hint="default" w:ascii="Times New Roman" w:hAnsi="Times New Roman" w:cs="Times New Roman"/>
          <w:color w:val="auto"/>
          <w:highlight w:val="none"/>
          <w:lang w:eastAsia="zh-CN"/>
        </w:rPr>
        <w:fldChar w:fldCharType="end"/>
      </w:r>
      <w:r>
        <w:rPr>
          <w:rFonts w:hint="default" w:ascii="Times New Roman" w:hAnsi="Times New Roman" w:cs="Times New Roman"/>
          <w:color w:val="auto"/>
          <w:highlight w:val="none"/>
          <w:lang w:eastAsia="zh-CN"/>
        </w:rPr>
        <w:t>泥沙</w:t>
      </w: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default" w:ascii="Times New Roman" w:hAnsi="Times New Roman" w:cs="Times New Roman"/>
          <w:color w:val="auto"/>
          <w:sz w:val="26"/>
          <w:szCs w:val="26"/>
          <w:highlight w:val="none"/>
          <w:lang w:eastAsia="zh-CN"/>
        </w:rPr>
      </w:pPr>
      <w:r>
        <w:rPr>
          <w:rFonts w:hint="default" w:ascii="Times New Roman" w:hAnsi="Times New Roman" w:cs="Times New Roman"/>
          <w:color w:val="auto"/>
          <w:sz w:val="26"/>
          <w:szCs w:val="26"/>
          <w:highlight w:val="none"/>
          <w:lang w:eastAsia="zh-CN"/>
        </w:rPr>
        <w:t>涪江流域悬移质泥沙主要来源于上游干流及各支流的表土冲刷和河道深切作用，上游地区多为山区，河床比降较大，岩石坚硬，两岸山势峻峭、植被良好，中下游地区多为丘陵平坝，耕作发达，植被较差。推移质泥沙主要来源为河流两岸及支沟崩塌、滑坡产生的堆积物。</w:t>
      </w:r>
    </w:p>
    <w:p>
      <w:pPr>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default" w:ascii="Times New Roman" w:hAnsi="Times New Roman" w:cs="Times New Roman"/>
          <w:color w:val="auto"/>
          <w:kern w:val="2"/>
          <w:sz w:val="26"/>
          <w:szCs w:val="26"/>
          <w:highlight w:val="none"/>
        </w:rPr>
      </w:pPr>
      <w:r>
        <w:rPr>
          <w:rFonts w:hint="default" w:ascii="Times New Roman" w:hAnsi="Times New Roman" w:cs="Times New Roman"/>
          <w:color w:val="auto"/>
          <w:kern w:val="2"/>
          <w:sz w:val="26"/>
          <w:szCs w:val="26"/>
          <w:highlight w:val="none"/>
        </w:rPr>
        <w:t>根据小河坝水文站1957年~2000年（缺1989~1991年）共41年的实测悬移质泥沙资料分析，小河坝站多年平均年输沙量为1710万t，年内分配不均匀，产沙主要集中在汛期（5月～10月），占全年输沙量的99.7％，尤以7月～9月最为集中，占全年输沙量的87.3％，枯水期（11月～翌年4月）输沙量较少，仅为0.3％。多年平均月输沙量最大为7月，占全年的36.9％，最小为2月，占全年的 0.001％。</w:t>
      </w:r>
    </w:p>
    <w:p>
      <w:pPr>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default" w:ascii="Times New Roman" w:hAnsi="Times New Roman" w:cs="Times New Roman"/>
          <w:color w:val="auto"/>
          <w:kern w:val="2"/>
          <w:szCs w:val="24"/>
          <w:highlight w:val="none"/>
          <w:lang w:eastAsia="zh-CN"/>
        </w:rPr>
      </w:pPr>
      <w:r>
        <w:rPr>
          <w:rFonts w:hint="default" w:ascii="Times New Roman" w:hAnsi="Times New Roman" w:cs="Times New Roman"/>
          <w:color w:val="auto"/>
          <w:kern w:val="2"/>
          <w:sz w:val="26"/>
          <w:szCs w:val="26"/>
          <w:highlight w:val="none"/>
          <w:lang w:eastAsia="zh-CN"/>
        </w:rPr>
        <w:t>考</w:t>
      </w:r>
      <w:r>
        <w:rPr>
          <w:rFonts w:hint="default" w:ascii="Times New Roman" w:hAnsi="Times New Roman" w:cs="Times New Roman"/>
          <w:color w:val="auto"/>
          <w:kern w:val="2"/>
          <w:sz w:val="26"/>
          <w:szCs w:val="26"/>
          <w:highlight w:val="none"/>
        </w:rPr>
        <w:t>虑到渭沱电站坝址与小河坝间有安居河汇入及区间影响，产沙条件区间与安居河基本相近。根据渭沱电站初设报告中建立的小河坝站和泰安站实测泥沙相关关系，关系良好，系数为1.03，考虑到区间影响，渭沱电站坝址处的泥沙等于小河坝站泥沙量的1.042倍。经计算，渭沱电站坝址处的多年平均悬移质输沙量为1773万t，多年平均含沙量1.26kg/m</w:t>
      </w:r>
      <w:r>
        <w:rPr>
          <w:rFonts w:hint="default" w:ascii="Times New Roman" w:hAnsi="Times New Roman" w:cs="Times New Roman"/>
          <w:color w:val="auto"/>
          <w:kern w:val="2"/>
          <w:sz w:val="26"/>
          <w:szCs w:val="26"/>
          <w:highlight w:val="none"/>
          <w:vertAlign w:val="superscript"/>
        </w:rPr>
        <w:t>3</w:t>
      </w:r>
      <w:r>
        <w:rPr>
          <w:rFonts w:hint="default" w:ascii="Times New Roman" w:hAnsi="Times New Roman" w:cs="Times New Roman"/>
          <w:color w:val="auto"/>
          <w:kern w:val="2"/>
          <w:sz w:val="26"/>
          <w:szCs w:val="26"/>
          <w:highlight w:val="none"/>
        </w:rPr>
        <w:t>。年内分配见下表</w:t>
      </w:r>
      <w:r>
        <w:rPr>
          <w:rFonts w:hint="default" w:ascii="Times New Roman" w:hAnsi="Times New Roman" w:cs="Times New Roman"/>
          <w:color w:val="auto"/>
          <w:kern w:val="2"/>
          <w:sz w:val="26"/>
          <w:szCs w:val="26"/>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color w:val="auto"/>
          <w:kern w:val="2"/>
          <w:szCs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eastAsia="宋体"/>
          <w:color w:val="auto"/>
          <w:kern w:val="2"/>
          <w:szCs w:val="24"/>
          <w:highlight w:val="none"/>
          <w:lang w:eastAsia="zh-CN"/>
        </w:rPr>
      </w:pPr>
      <w:r>
        <w:rPr>
          <w:rFonts w:hint="eastAsia"/>
          <w:color w:val="auto"/>
          <w:kern w:val="2"/>
          <w:szCs w:val="24"/>
          <w:highlight w:val="none"/>
          <w:lang w:eastAsia="zh-CN"/>
        </w:rPr>
        <w:t>表</w:t>
      </w:r>
      <w:r>
        <w:rPr>
          <w:rFonts w:hint="eastAsia"/>
          <w:color w:val="auto"/>
          <w:kern w:val="2"/>
          <w:szCs w:val="24"/>
          <w:highlight w:val="none"/>
          <w:lang w:val="en-US" w:eastAsia="zh-CN"/>
        </w:rPr>
        <w:t>3.3.2-7  渭沱电站坝址处</w:t>
      </w:r>
      <w:r>
        <w:rPr>
          <w:rFonts w:hint="eastAsia"/>
          <w:color w:val="auto"/>
          <w:kern w:val="2"/>
          <w:szCs w:val="24"/>
          <w:highlight w:val="none"/>
          <w:lang w:eastAsia="zh-CN"/>
        </w:rPr>
        <w:t>悬移质输沙量年内分配成果表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9"/>
        <w:gridCol w:w="670"/>
        <w:gridCol w:w="670"/>
        <w:gridCol w:w="670"/>
        <w:gridCol w:w="670"/>
        <w:gridCol w:w="670"/>
        <w:gridCol w:w="569"/>
        <w:gridCol w:w="569"/>
        <w:gridCol w:w="569"/>
        <w:gridCol w:w="569"/>
        <w:gridCol w:w="569"/>
        <w:gridCol w:w="670"/>
        <w:gridCol w:w="671"/>
        <w:gridCol w:w="6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eastAsia="zh-CN"/>
              </w:rPr>
            </w:pPr>
            <w:r>
              <w:rPr>
                <w:rFonts w:hint="eastAsia"/>
                <w:color w:val="auto"/>
                <w:sz w:val="20"/>
                <w:szCs w:val="20"/>
                <w:highlight w:val="none"/>
                <w:vertAlign w:val="baseline"/>
                <w:lang w:eastAsia="zh-CN"/>
              </w:rPr>
              <w:t>月份</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2</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3</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4</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5</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6</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7</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8</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9</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10</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11</w:t>
            </w:r>
          </w:p>
        </w:tc>
        <w:tc>
          <w:tcPr>
            <w:tcW w:w="67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12</w:t>
            </w:r>
          </w:p>
        </w:tc>
        <w:tc>
          <w:tcPr>
            <w:tcW w:w="62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eastAsia="zh-CN"/>
              </w:rPr>
            </w:pPr>
            <w:r>
              <w:rPr>
                <w:rFonts w:hint="eastAsia"/>
                <w:color w:val="auto"/>
                <w:sz w:val="20"/>
                <w:szCs w:val="20"/>
                <w:highlight w:val="none"/>
                <w:vertAlign w:val="baseline"/>
                <w:lang w:eastAsia="zh-CN"/>
              </w:rPr>
              <w:t>多年平均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30" w:leftChars="-50" w:right="-130" w:rightChars="-50" w:firstLine="0" w:firstLineChars="0"/>
              <w:jc w:val="center"/>
              <w:textAlignment w:val="auto"/>
              <w:rPr>
                <w:rFonts w:hint="eastAsia"/>
                <w:color w:val="auto"/>
                <w:sz w:val="20"/>
                <w:szCs w:val="20"/>
                <w:highlight w:val="none"/>
                <w:vertAlign w:val="baseline"/>
                <w:lang w:eastAsia="zh-CN"/>
              </w:rPr>
            </w:pPr>
            <w:r>
              <w:rPr>
                <w:rFonts w:hint="eastAsia"/>
                <w:color w:val="auto"/>
                <w:sz w:val="20"/>
                <w:szCs w:val="20"/>
                <w:highlight w:val="none"/>
                <w:vertAlign w:val="baseline"/>
                <w:lang w:eastAsia="zh-CN"/>
              </w:rPr>
              <w:t>输沙量</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w:t>
            </w:r>
            <w:r>
              <w:rPr>
                <w:rFonts w:hint="eastAsia"/>
                <w:color w:val="auto"/>
                <w:sz w:val="20"/>
                <w:szCs w:val="20"/>
                <w:highlight w:val="none"/>
                <w:vertAlign w:val="baseline"/>
                <w:lang w:eastAsia="zh-CN"/>
              </w:rPr>
              <w:t>万</w:t>
            </w:r>
            <w:r>
              <w:rPr>
                <w:rFonts w:hint="eastAsia"/>
                <w:color w:val="auto"/>
                <w:sz w:val="20"/>
                <w:szCs w:val="20"/>
                <w:highlight w:val="none"/>
                <w:vertAlign w:val="baseline"/>
                <w:lang w:val="en-US" w:eastAsia="zh-CN"/>
              </w:rPr>
              <w:t>t)</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0.058</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0.021</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0.085</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2.876</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21.27</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71.1</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658</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543</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355</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120</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1.57</w:t>
            </w:r>
          </w:p>
        </w:tc>
        <w:tc>
          <w:tcPr>
            <w:tcW w:w="67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0.074</w:t>
            </w:r>
          </w:p>
        </w:tc>
        <w:tc>
          <w:tcPr>
            <w:tcW w:w="62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1773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eastAsia="zh-CN"/>
              </w:rPr>
            </w:pPr>
            <w:r>
              <w:rPr>
                <w:rFonts w:hint="eastAsia"/>
                <w:color w:val="auto"/>
                <w:sz w:val="20"/>
                <w:szCs w:val="20"/>
                <w:highlight w:val="none"/>
                <w:vertAlign w:val="baseline"/>
                <w:lang w:eastAsia="zh-CN"/>
              </w:rPr>
              <w:t>比例（</w:t>
            </w:r>
            <w:r>
              <w:rPr>
                <w:rFonts w:hint="eastAsia"/>
                <w:color w:val="auto"/>
                <w:sz w:val="20"/>
                <w:szCs w:val="20"/>
                <w:highlight w:val="none"/>
                <w:vertAlign w:val="baseline"/>
                <w:lang w:val="en-US" w:eastAsia="zh-CN"/>
              </w:rPr>
              <w:t>%</w:t>
            </w:r>
            <w:r>
              <w:rPr>
                <w:rFonts w:hint="eastAsia"/>
                <w:color w:val="auto"/>
                <w:sz w:val="20"/>
                <w:szCs w:val="20"/>
                <w:highlight w:val="none"/>
                <w:vertAlign w:val="baseline"/>
                <w:lang w:eastAsia="zh-CN"/>
              </w:rPr>
              <w:t>）</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0.003</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0.001</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0.005</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0.161</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1.19</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4.55</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36.9</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30.5</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19.9</w:t>
            </w:r>
          </w:p>
        </w:tc>
        <w:tc>
          <w:tcPr>
            <w:tcW w:w="56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6.72</w:t>
            </w:r>
          </w:p>
        </w:tc>
        <w:tc>
          <w:tcPr>
            <w:tcW w:w="6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0.088</w:t>
            </w:r>
          </w:p>
        </w:tc>
        <w:tc>
          <w:tcPr>
            <w:tcW w:w="67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0.004</w:t>
            </w:r>
          </w:p>
        </w:tc>
        <w:tc>
          <w:tcPr>
            <w:tcW w:w="62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100</w:t>
            </w:r>
          </w:p>
        </w:tc>
      </w:tr>
    </w:tbl>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color w:val="auto"/>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480" w:lineRule="exact"/>
        <w:textAlignment w:val="auto"/>
        <w:rPr>
          <w:rFonts w:hint="eastAsia"/>
          <w:color w:val="auto"/>
          <w:highlight w:val="none"/>
          <w:lang w:eastAsia="zh-CN"/>
        </w:rPr>
      </w:pPr>
      <w:r>
        <w:rPr>
          <w:rFonts w:hint="eastAsia"/>
          <w:color w:val="auto"/>
          <w:highlight w:val="none"/>
          <w:lang w:eastAsia="zh-CN"/>
        </w:rPr>
        <w:t>本工程河段无实测推移质泥沙资料。根据涪江干流梯级渠化潼南枢纽、唐家渡枢纽等的分析，涪江干流推移质按悬移质的0.76%-10%计算。本工程河段的推移质按悬移质的5%计算，多年平均推移质输沙量为88万t。</w:t>
      </w:r>
    </w:p>
    <w:p>
      <w:pPr>
        <w:pStyle w:val="5"/>
        <w:ind w:firstLine="522"/>
        <w:rPr>
          <w:color w:val="auto"/>
          <w:highlight w:val="none"/>
        </w:rPr>
      </w:pPr>
      <w:r>
        <w:rPr>
          <w:rFonts w:hint="eastAsia"/>
          <w:color w:val="auto"/>
          <w:highlight w:val="none"/>
        </w:rPr>
        <w:t>声</w:t>
      </w:r>
      <w:r>
        <w:rPr>
          <w:color w:val="auto"/>
          <w:highlight w:val="none"/>
        </w:rPr>
        <w:t>环境</w:t>
      </w:r>
      <w:r>
        <w:rPr>
          <w:rFonts w:hint="eastAsia"/>
          <w:color w:val="auto"/>
          <w:highlight w:val="none"/>
        </w:rPr>
        <w:t>质量</w:t>
      </w:r>
      <w:r>
        <w:rPr>
          <w:color w:val="auto"/>
          <w:highlight w:val="none"/>
        </w:rPr>
        <w:t>现状调查</w:t>
      </w:r>
      <w:r>
        <w:rPr>
          <w:rFonts w:hint="eastAsia"/>
          <w:color w:val="auto"/>
          <w:highlight w:val="none"/>
        </w:rPr>
        <w:t>与</w:t>
      </w:r>
      <w:r>
        <w:rPr>
          <w:color w:val="auto"/>
          <w:highlight w:val="none"/>
        </w:rPr>
        <w:t>评价</w:t>
      </w:r>
    </w:p>
    <w:p>
      <w:pPr>
        <w:adjustRightInd w:val="0"/>
        <w:snapToGrid w:val="0"/>
        <w:ind w:firstLine="520" w:firstLineChars="0"/>
        <w:rPr>
          <w:bCs/>
          <w:color w:val="auto"/>
          <w:szCs w:val="26"/>
          <w:highlight w:val="none"/>
        </w:rPr>
      </w:pPr>
      <w:r>
        <w:rPr>
          <w:rFonts w:hint="eastAsia"/>
          <w:bCs/>
          <w:color w:val="auto"/>
          <w:szCs w:val="26"/>
          <w:highlight w:val="none"/>
        </w:rPr>
        <w:t>（1）</w:t>
      </w:r>
      <w:r>
        <w:rPr>
          <w:bCs/>
          <w:color w:val="auto"/>
          <w:szCs w:val="26"/>
          <w:highlight w:val="none"/>
        </w:rPr>
        <w:t>监测布点</w:t>
      </w:r>
    </w:p>
    <w:p>
      <w:pPr>
        <w:snapToGrid w:val="0"/>
        <w:ind w:firstLine="520"/>
        <w:rPr>
          <w:color w:val="auto"/>
          <w:szCs w:val="26"/>
          <w:highlight w:val="none"/>
        </w:rPr>
      </w:pPr>
      <w:r>
        <w:rPr>
          <w:rFonts w:hint="eastAsia"/>
          <w:color w:val="auto"/>
          <w:kern w:val="0"/>
          <w:szCs w:val="26"/>
          <w:highlight w:val="none"/>
          <w:lang w:eastAsia="zh-CN"/>
        </w:rPr>
        <w:t>本次共布设监测点位</w:t>
      </w:r>
      <w:r>
        <w:rPr>
          <w:rFonts w:hint="eastAsia"/>
          <w:color w:val="auto"/>
          <w:kern w:val="0"/>
          <w:szCs w:val="26"/>
          <w:highlight w:val="none"/>
          <w:lang w:val="en-US" w:eastAsia="zh-CN"/>
        </w:rPr>
        <w:t>4处</w:t>
      </w:r>
      <w:r>
        <w:rPr>
          <w:rFonts w:hint="eastAsia"/>
          <w:color w:val="auto"/>
          <w:kern w:val="0"/>
          <w:szCs w:val="26"/>
          <w:highlight w:val="none"/>
        </w:rPr>
        <w:t>，</w:t>
      </w:r>
      <w:r>
        <w:rPr>
          <w:rFonts w:hint="eastAsia"/>
          <w:color w:val="auto"/>
          <w:kern w:val="0"/>
          <w:szCs w:val="26"/>
          <w:highlight w:val="none"/>
          <w:lang w:eastAsia="zh-CN"/>
        </w:rPr>
        <w:t>覆盖了不同的声功能区以及施工区、弃渣场等不同区域，</w:t>
      </w:r>
      <w:r>
        <w:rPr>
          <w:rFonts w:hint="eastAsia"/>
          <w:color w:val="auto"/>
          <w:kern w:val="0"/>
          <w:szCs w:val="26"/>
          <w:highlight w:val="none"/>
        </w:rPr>
        <w:t>可反映</w:t>
      </w:r>
      <w:r>
        <w:rPr>
          <w:rFonts w:hint="eastAsia"/>
          <w:color w:val="auto"/>
          <w:kern w:val="0"/>
          <w:szCs w:val="26"/>
          <w:highlight w:val="none"/>
          <w:lang w:eastAsia="zh-CN"/>
        </w:rPr>
        <w:t>周边</w:t>
      </w:r>
      <w:r>
        <w:rPr>
          <w:rFonts w:hint="eastAsia"/>
          <w:color w:val="auto"/>
          <w:kern w:val="0"/>
          <w:szCs w:val="26"/>
          <w:highlight w:val="none"/>
        </w:rPr>
        <w:t>声环境质量现状，点位布设较为合理。</w:t>
      </w:r>
      <w:r>
        <w:rPr>
          <w:color w:val="auto"/>
          <w:szCs w:val="26"/>
          <w:highlight w:val="none"/>
        </w:rPr>
        <w:t>监测布点见</w:t>
      </w:r>
      <w:r>
        <w:rPr>
          <w:rFonts w:hint="eastAsia"/>
          <w:color w:val="auto"/>
          <w:highlight w:val="none"/>
        </w:rPr>
        <w:t>下表：</w:t>
      </w:r>
    </w:p>
    <w:p>
      <w:pPr>
        <w:snapToGrid w:val="0"/>
        <w:spacing w:line="240" w:lineRule="auto"/>
        <w:ind w:left="522" w:firstLine="520"/>
        <w:rPr>
          <w:color w:val="auto"/>
          <w:szCs w:val="26"/>
          <w:highlight w:val="none"/>
        </w:rPr>
      </w:pPr>
    </w:p>
    <w:p>
      <w:pPr>
        <w:snapToGrid w:val="0"/>
        <w:spacing w:line="240" w:lineRule="auto"/>
        <w:ind w:firstLine="0" w:firstLineChars="0"/>
        <w:jc w:val="center"/>
        <w:rPr>
          <w:color w:val="auto"/>
          <w:szCs w:val="26"/>
          <w:highlight w:val="none"/>
        </w:rPr>
      </w:pPr>
      <w:bookmarkStart w:id="109" w:name="_Ref518817938"/>
      <w:r>
        <w:rPr>
          <w:color w:val="auto"/>
          <w:szCs w:val="26"/>
          <w:highlight w:val="none"/>
        </w:rPr>
        <w:t>表</w:t>
      </w:r>
      <w:bookmarkEnd w:id="109"/>
      <w:r>
        <w:rPr>
          <w:rFonts w:hint="eastAsia"/>
          <w:color w:val="auto"/>
          <w:szCs w:val="26"/>
          <w:highlight w:val="none"/>
          <w:lang w:val="en-US" w:eastAsia="zh-CN"/>
        </w:rPr>
        <w:t>3.3.3</w:t>
      </w:r>
      <w:r>
        <w:rPr>
          <w:rFonts w:hint="eastAsia"/>
          <w:color w:val="auto"/>
          <w:szCs w:val="26"/>
          <w:highlight w:val="none"/>
        </w:rPr>
        <w:t xml:space="preserve">-1  </w:t>
      </w:r>
      <w:r>
        <w:rPr>
          <w:color w:val="auto"/>
          <w:szCs w:val="26"/>
          <w:highlight w:val="none"/>
        </w:rPr>
        <w:t>声环境现状监测布点情况</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3"/>
        <w:gridCol w:w="4569"/>
        <w:gridCol w:w="2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rPr>
            </w:pPr>
            <w:r>
              <w:rPr>
                <w:color w:val="auto"/>
                <w:sz w:val="22"/>
                <w:szCs w:val="22"/>
                <w:highlight w:val="none"/>
              </w:rPr>
              <w:t>序号</w:t>
            </w:r>
          </w:p>
        </w:tc>
        <w:tc>
          <w:tcPr>
            <w:tcW w:w="34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rPr>
            </w:pPr>
            <w:r>
              <w:rPr>
                <w:color w:val="auto"/>
                <w:sz w:val="22"/>
                <w:szCs w:val="22"/>
                <w:highlight w:val="none"/>
              </w:rPr>
              <w:t>监测点位置</w:t>
            </w:r>
          </w:p>
        </w:tc>
        <w:tc>
          <w:tcPr>
            <w:tcW w:w="220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lang w:eastAsia="zh-CN"/>
              </w:rPr>
            </w:pPr>
            <w:r>
              <w:rPr>
                <w:rFonts w:hint="eastAsia"/>
                <w:color w:val="auto"/>
                <w:sz w:val="22"/>
                <w:szCs w:val="22"/>
                <w:highlight w:val="none"/>
                <w:lang w:eastAsia="zh-CN"/>
              </w:rPr>
              <w:t>声功能区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rPr>
            </w:pPr>
            <w:r>
              <w:rPr>
                <w:color w:val="auto"/>
                <w:sz w:val="22"/>
                <w:szCs w:val="22"/>
                <w:highlight w:val="none"/>
              </w:rPr>
              <w:t>N1</w:t>
            </w:r>
          </w:p>
        </w:tc>
        <w:tc>
          <w:tcPr>
            <w:tcW w:w="34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rPr>
            </w:pPr>
            <w:r>
              <w:rPr>
                <w:rFonts w:hint="eastAsia" w:eastAsia="宋体"/>
                <w:color w:val="auto"/>
                <w:sz w:val="22"/>
                <w:szCs w:val="22"/>
                <w:highlight w:val="none"/>
                <w:lang w:val="en-US" w:eastAsia="zh-CN"/>
              </w:rPr>
              <w:t>船闸东侧居民点</w:t>
            </w:r>
          </w:p>
        </w:tc>
        <w:tc>
          <w:tcPr>
            <w:tcW w:w="220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lang w:val="en-US" w:eastAsia="zh-CN"/>
              </w:rPr>
            </w:pPr>
            <w:r>
              <w:rPr>
                <w:rFonts w:hint="eastAsia" w:eastAsia="宋体"/>
                <w:color w:val="auto"/>
                <w:sz w:val="22"/>
                <w:szCs w:val="22"/>
                <w:highlight w:val="none"/>
                <w:lang w:val="en-US" w:eastAsia="zh-CN"/>
              </w:rPr>
              <w:t>2类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color w:val="auto"/>
                <w:sz w:val="22"/>
                <w:szCs w:val="22"/>
                <w:highlight w:val="none"/>
              </w:rPr>
            </w:pPr>
            <w:r>
              <w:rPr>
                <w:color w:val="auto"/>
                <w:sz w:val="22"/>
                <w:szCs w:val="22"/>
                <w:highlight w:val="none"/>
              </w:rPr>
              <w:t>N2</w:t>
            </w:r>
          </w:p>
        </w:tc>
        <w:tc>
          <w:tcPr>
            <w:tcW w:w="34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rPr>
            </w:pPr>
            <w:r>
              <w:rPr>
                <w:rFonts w:hint="eastAsia"/>
                <w:color w:val="auto"/>
                <w:sz w:val="22"/>
                <w:szCs w:val="22"/>
                <w:highlight w:val="none"/>
                <w:lang w:eastAsia="zh-CN"/>
              </w:rPr>
              <w:t>上游疏浚区</w:t>
            </w:r>
            <w:r>
              <w:rPr>
                <w:rFonts w:hint="eastAsia" w:eastAsia="宋体"/>
                <w:color w:val="auto"/>
                <w:sz w:val="22"/>
                <w:szCs w:val="22"/>
                <w:highlight w:val="none"/>
                <w:lang w:eastAsia="zh-CN"/>
              </w:rPr>
              <w:t>东侧居民点</w:t>
            </w:r>
          </w:p>
        </w:tc>
        <w:tc>
          <w:tcPr>
            <w:tcW w:w="220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2"/>
                <w:szCs w:val="22"/>
                <w:highlight w:val="none"/>
                <w:lang w:eastAsia="zh-CN"/>
              </w:rPr>
            </w:pPr>
            <w:r>
              <w:rPr>
                <w:rFonts w:hint="eastAsia" w:eastAsia="宋体"/>
                <w:color w:val="auto"/>
                <w:sz w:val="22"/>
                <w:szCs w:val="22"/>
                <w:highlight w:val="none"/>
                <w:lang w:val="en-US" w:eastAsia="zh-CN"/>
              </w:rPr>
              <w:t>4a类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color w:val="auto"/>
                <w:sz w:val="22"/>
                <w:szCs w:val="22"/>
                <w:highlight w:val="none"/>
              </w:rPr>
            </w:pPr>
            <w:r>
              <w:rPr>
                <w:rFonts w:hint="eastAsia"/>
                <w:color w:val="auto"/>
                <w:sz w:val="22"/>
                <w:szCs w:val="22"/>
                <w:highlight w:val="none"/>
                <w:lang w:val="en-US" w:eastAsia="zh-CN"/>
              </w:rPr>
              <w:t>N3</w:t>
            </w:r>
          </w:p>
        </w:tc>
        <w:tc>
          <w:tcPr>
            <w:tcW w:w="34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rPr>
            </w:pPr>
            <w:r>
              <w:rPr>
                <w:rFonts w:hint="eastAsia"/>
                <w:color w:val="auto"/>
                <w:sz w:val="22"/>
                <w:szCs w:val="22"/>
                <w:highlight w:val="none"/>
                <w:lang w:val="en-US" w:eastAsia="zh-CN"/>
              </w:rPr>
              <w:t>上游疏浚区西侧居民点</w:t>
            </w:r>
          </w:p>
        </w:tc>
        <w:tc>
          <w:tcPr>
            <w:tcW w:w="220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lang w:val="en-US" w:eastAsia="zh-CN"/>
              </w:rPr>
            </w:pPr>
            <w:r>
              <w:rPr>
                <w:rFonts w:hint="eastAsia"/>
                <w:color w:val="auto"/>
                <w:sz w:val="22"/>
                <w:szCs w:val="22"/>
                <w:highlight w:val="none"/>
                <w:lang w:val="en-US" w:eastAsia="zh-CN"/>
              </w:rPr>
              <w:t>2类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color w:val="auto"/>
                <w:sz w:val="22"/>
                <w:szCs w:val="22"/>
                <w:highlight w:val="none"/>
              </w:rPr>
            </w:pPr>
            <w:r>
              <w:rPr>
                <w:rFonts w:hint="eastAsia"/>
                <w:color w:val="auto"/>
                <w:sz w:val="22"/>
                <w:szCs w:val="22"/>
                <w:highlight w:val="none"/>
                <w:lang w:val="en-US" w:eastAsia="zh-CN"/>
              </w:rPr>
              <w:t>N4</w:t>
            </w:r>
          </w:p>
        </w:tc>
        <w:tc>
          <w:tcPr>
            <w:tcW w:w="34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2"/>
                <w:szCs w:val="22"/>
                <w:highlight w:val="none"/>
              </w:rPr>
            </w:pPr>
            <w:r>
              <w:rPr>
                <w:rFonts w:hint="eastAsia"/>
                <w:color w:val="auto"/>
                <w:sz w:val="22"/>
                <w:szCs w:val="22"/>
                <w:highlight w:val="none"/>
                <w:lang w:val="en-US" w:eastAsia="zh-CN"/>
              </w:rPr>
              <w:t>2#弃渣场北侧居民点</w:t>
            </w:r>
          </w:p>
        </w:tc>
        <w:tc>
          <w:tcPr>
            <w:tcW w:w="220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2"/>
                <w:szCs w:val="22"/>
                <w:highlight w:val="none"/>
                <w:lang w:val="en-US" w:eastAsia="zh-CN"/>
              </w:rPr>
            </w:pPr>
            <w:r>
              <w:rPr>
                <w:rFonts w:hint="eastAsia"/>
                <w:color w:val="auto"/>
                <w:sz w:val="22"/>
                <w:szCs w:val="22"/>
                <w:highlight w:val="none"/>
                <w:lang w:val="en-US" w:eastAsia="zh-CN"/>
              </w:rPr>
              <w:t>2类</w:t>
            </w:r>
          </w:p>
        </w:tc>
      </w:tr>
    </w:tbl>
    <w:p>
      <w:pPr>
        <w:snapToGrid w:val="0"/>
        <w:spacing w:line="240" w:lineRule="auto"/>
        <w:ind w:firstLine="520"/>
        <w:rPr>
          <w:color w:val="auto"/>
          <w:szCs w:val="26"/>
          <w:highlight w:val="none"/>
        </w:rPr>
      </w:pPr>
    </w:p>
    <w:p>
      <w:pPr>
        <w:snapToGrid w:val="0"/>
        <w:spacing w:line="480" w:lineRule="atLeast"/>
        <w:ind w:firstLine="520"/>
        <w:rPr>
          <w:color w:val="auto"/>
          <w:szCs w:val="26"/>
          <w:highlight w:val="none"/>
        </w:rPr>
      </w:pPr>
      <w:r>
        <w:rPr>
          <w:color w:val="auto"/>
          <w:szCs w:val="26"/>
          <w:highlight w:val="none"/>
        </w:rPr>
        <w:t>（2）监测项目</w:t>
      </w:r>
    </w:p>
    <w:p>
      <w:pPr>
        <w:snapToGrid w:val="0"/>
        <w:spacing w:line="480" w:lineRule="atLeast"/>
        <w:ind w:firstLine="520"/>
        <w:rPr>
          <w:color w:val="auto"/>
          <w:szCs w:val="26"/>
          <w:highlight w:val="none"/>
        </w:rPr>
      </w:pPr>
      <w:r>
        <w:rPr>
          <w:color w:val="auto"/>
          <w:szCs w:val="26"/>
          <w:highlight w:val="none"/>
        </w:rPr>
        <w:t>等效连续A声级。</w:t>
      </w:r>
    </w:p>
    <w:p>
      <w:pPr>
        <w:snapToGrid w:val="0"/>
        <w:spacing w:line="480" w:lineRule="atLeast"/>
        <w:ind w:firstLine="520"/>
        <w:rPr>
          <w:color w:val="auto"/>
          <w:szCs w:val="26"/>
          <w:highlight w:val="none"/>
        </w:rPr>
      </w:pPr>
      <w:r>
        <w:rPr>
          <w:color w:val="auto"/>
          <w:szCs w:val="26"/>
          <w:highlight w:val="none"/>
        </w:rPr>
        <w:t>（3）监测频率</w:t>
      </w:r>
    </w:p>
    <w:p>
      <w:pPr>
        <w:snapToGrid w:val="0"/>
        <w:spacing w:line="480" w:lineRule="atLeast"/>
        <w:ind w:firstLine="520"/>
        <w:rPr>
          <w:color w:val="auto"/>
          <w:szCs w:val="26"/>
          <w:highlight w:val="none"/>
        </w:rPr>
      </w:pPr>
      <w:r>
        <w:rPr>
          <w:color w:val="auto"/>
          <w:szCs w:val="26"/>
          <w:highlight w:val="none"/>
        </w:rPr>
        <w:t>昼、夜各1次，连续2天。</w:t>
      </w:r>
    </w:p>
    <w:p>
      <w:pPr>
        <w:snapToGrid w:val="0"/>
        <w:spacing w:line="480" w:lineRule="atLeast"/>
        <w:ind w:firstLine="520"/>
        <w:rPr>
          <w:color w:val="auto"/>
          <w:szCs w:val="26"/>
          <w:highlight w:val="none"/>
        </w:rPr>
      </w:pPr>
      <w:r>
        <w:rPr>
          <w:color w:val="auto"/>
          <w:szCs w:val="26"/>
          <w:highlight w:val="none"/>
        </w:rPr>
        <w:t>（</w:t>
      </w:r>
      <w:r>
        <w:rPr>
          <w:rFonts w:hint="eastAsia"/>
          <w:color w:val="auto"/>
          <w:szCs w:val="26"/>
          <w:highlight w:val="none"/>
        </w:rPr>
        <w:t>4</w:t>
      </w:r>
      <w:r>
        <w:rPr>
          <w:color w:val="auto"/>
          <w:szCs w:val="26"/>
          <w:highlight w:val="none"/>
        </w:rPr>
        <w:t>）评价标准</w:t>
      </w:r>
    </w:p>
    <w:p>
      <w:pPr>
        <w:snapToGrid w:val="0"/>
        <w:spacing w:line="480" w:lineRule="atLeast"/>
        <w:ind w:firstLine="520"/>
        <w:rPr>
          <w:color w:val="auto"/>
          <w:szCs w:val="26"/>
          <w:highlight w:val="none"/>
        </w:rPr>
      </w:pPr>
      <w:r>
        <w:rPr>
          <w:color w:val="auto"/>
          <w:szCs w:val="26"/>
          <w:highlight w:val="none"/>
        </w:rPr>
        <w:t>采用《声环境质量标准》（GB3096-2008）2类</w:t>
      </w:r>
      <w:r>
        <w:rPr>
          <w:rFonts w:hint="eastAsia"/>
          <w:color w:val="auto"/>
          <w:szCs w:val="26"/>
          <w:highlight w:val="none"/>
          <w:lang w:eastAsia="zh-CN"/>
        </w:rPr>
        <w:t>、</w:t>
      </w:r>
      <w:r>
        <w:rPr>
          <w:rFonts w:hint="eastAsia"/>
          <w:color w:val="auto"/>
          <w:szCs w:val="26"/>
          <w:highlight w:val="none"/>
          <w:lang w:val="en-US" w:eastAsia="zh-CN"/>
        </w:rPr>
        <w:t>4a类</w:t>
      </w:r>
      <w:r>
        <w:rPr>
          <w:color w:val="auto"/>
          <w:szCs w:val="26"/>
          <w:highlight w:val="none"/>
        </w:rPr>
        <w:t>功能区标准。</w:t>
      </w:r>
    </w:p>
    <w:p>
      <w:pPr>
        <w:snapToGrid w:val="0"/>
        <w:spacing w:line="480" w:lineRule="atLeast"/>
        <w:ind w:firstLine="520"/>
        <w:rPr>
          <w:color w:val="auto"/>
          <w:szCs w:val="26"/>
          <w:highlight w:val="none"/>
        </w:rPr>
      </w:pPr>
      <w:r>
        <w:rPr>
          <w:rFonts w:hint="eastAsia"/>
          <w:color w:val="auto"/>
          <w:szCs w:val="26"/>
          <w:highlight w:val="none"/>
        </w:rPr>
        <w:t>（5）</w:t>
      </w:r>
      <w:r>
        <w:rPr>
          <w:color w:val="auto"/>
          <w:szCs w:val="26"/>
          <w:highlight w:val="none"/>
        </w:rPr>
        <w:t>监测</w:t>
      </w:r>
      <w:r>
        <w:rPr>
          <w:rFonts w:hint="eastAsia"/>
          <w:color w:val="auto"/>
          <w:szCs w:val="26"/>
          <w:highlight w:val="none"/>
        </w:rPr>
        <w:t>与</w:t>
      </w:r>
      <w:r>
        <w:rPr>
          <w:color w:val="auto"/>
          <w:szCs w:val="26"/>
          <w:highlight w:val="none"/>
        </w:rPr>
        <w:t>评价结果</w:t>
      </w:r>
    </w:p>
    <w:p>
      <w:pPr>
        <w:snapToGrid w:val="0"/>
        <w:spacing w:line="480" w:lineRule="atLeast"/>
        <w:ind w:firstLine="520"/>
        <w:rPr>
          <w:color w:val="auto"/>
          <w:szCs w:val="26"/>
          <w:highlight w:val="none"/>
        </w:rPr>
      </w:pPr>
      <w:r>
        <w:rPr>
          <w:color w:val="auto"/>
          <w:szCs w:val="26"/>
          <w:highlight w:val="none"/>
        </w:rPr>
        <w:t>监测结果详见</w:t>
      </w:r>
      <w:r>
        <w:rPr>
          <w:rFonts w:hint="eastAsia"/>
          <w:color w:val="auto"/>
          <w:szCs w:val="26"/>
          <w:highlight w:val="none"/>
        </w:rPr>
        <w:t>下表：</w:t>
      </w:r>
    </w:p>
    <w:p>
      <w:pPr>
        <w:snapToGrid w:val="0"/>
        <w:spacing w:line="240" w:lineRule="auto"/>
        <w:ind w:firstLine="0" w:firstLineChars="0"/>
        <w:jc w:val="right"/>
        <w:rPr>
          <w:rFonts w:hint="eastAsia"/>
          <w:color w:val="auto"/>
          <w:highlight w:val="none"/>
        </w:rPr>
      </w:pPr>
    </w:p>
    <w:p>
      <w:pPr>
        <w:snapToGrid w:val="0"/>
        <w:spacing w:line="240" w:lineRule="auto"/>
        <w:ind w:firstLine="0" w:firstLineChars="0"/>
        <w:jc w:val="right"/>
        <w:rPr>
          <w:color w:val="auto"/>
          <w:szCs w:val="26"/>
          <w:highlight w:val="none"/>
        </w:rPr>
      </w:pPr>
      <w:r>
        <w:rPr>
          <w:rFonts w:hint="eastAsia"/>
          <w:color w:val="auto"/>
          <w:highlight w:val="none"/>
        </w:rPr>
        <w:t>表</w:t>
      </w:r>
      <w:r>
        <w:rPr>
          <w:rFonts w:hint="eastAsia"/>
          <w:color w:val="auto"/>
          <w:highlight w:val="none"/>
          <w:lang w:val="en-US" w:eastAsia="zh-CN"/>
        </w:rPr>
        <w:t>3.3.3</w:t>
      </w:r>
      <w:r>
        <w:rPr>
          <w:rFonts w:hint="eastAsia"/>
          <w:color w:val="auto"/>
          <w:highlight w:val="none"/>
        </w:rPr>
        <w:t xml:space="preserve">-2  </w:t>
      </w:r>
      <w:r>
        <w:rPr>
          <w:rFonts w:hint="eastAsia"/>
          <w:color w:val="auto"/>
          <w:szCs w:val="26"/>
          <w:highlight w:val="none"/>
        </w:rPr>
        <w:t>声环境质量</w:t>
      </w:r>
      <w:r>
        <w:rPr>
          <w:color w:val="auto"/>
          <w:szCs w:val="26"/>
          <w:highlight w:val="none"/>
        </w:rPr>
        <w:t xml:space="preserve">现状监测及评价结果表     </w:t>
      </w:r>
      <w:r>
        <w:rPr>
          <w:color w:val="auto"/>
          <w:sz w:val="22"/>
          <w:szCs w:val="26"/>
          <w:highlight w:val="none"/>
        </w:rPr>
        <w:t>单位：dB(A)</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2"/>
        <w:gridCol w:w="2307"/>
        <w:gridCol w:w="1362"/>
        <w:gridCol w:w="1363"/>
        <w:gridCol w:w="1362"/>
        <w:gridCol w:w="1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dxa"/>
            <w:vMerge w:val="restart"/>
            <w:vAlign w:val="center"/>
          </w:tcPr>
          <w:p>
            <w:pPr>
              <w:widowControl/>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监测点</w:t>
            </w:r>
          </w:p>
        </w:tc>
        <w:tc>
          <w:tcPr>
            <w:tcW w:w="2307" w:type="dxa"/>
            <w:vMerge w:val="restart"/>
            <w:vAlign w:val="center"/>
          </w:tcPr>
          <w:p>
            <w:pPr>
              <w:widowControl/>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监测时间</w:t>
            </w:r>
          </w:p>
        </w:tc>
        <w:tc>
          <w:tcPr>
            <w:tcW w:w="2725" w:type="dxa"/>
            <w:gridSpan w:val="2"/>
            <w:vAlign w:val="center"/>
          </w:tcPr>
          <w:p>
            <w:pPr>
              <w:widowControl/>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昼间</w:t>
            </w:r>
          </w:p>
        </w:tc>
        <w:tc>
          <w:tcPr>
            <w:tcW w:w="2725" w:type="dxa"/>
            <w:gridSpan w:val="2"/>
            <w:vAlign w:val="center"/>
          </w:tcPr>
          <w:p>
            <w:pPr>
              <w:widowControl/>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dxa"/>
            <w:vMerge w:val="continue"/>
            <w:vAlign w:val="center"/>
          </w:tcPr>
          <w:p>
            <w:pPr>
              <w:widowControl/>
              <w:adjustRightInd w:val="0"/>
              <w:snapToGrid w:val="0"/>
              <w:spacing w:line="240" w:lineRule="auto"/>
              <w:ind w:firstLine="0" w:firstLineChars="0"/>
              <w:jc w:val="center"/>
              <w:rPr>
                <w:color w:val="auto"/>
                <w:kern w:val="0"/>
                <w:sz w:val="22"/>
                <w:szCs w:val="22"/>
                <w:highlight w:val="none"/>
              </w:rPr>
            </w:pPr>
          </w:p>
        </w:tc>
        <w:tc>
          <w:tcPr>
            <w:tcW w:w="2307" w:type="dxa"/>
            <w:vMerge w:val="continue"/>
            <w:vAlign w:val="center"/>
          </w:tcPr>
          <w:p>
            <w:pPr>
              <w:widowControl/>
              <w:adjustRightInd w:val="0"/>
              <w:snapToGrid w:val="0"/>
              <w:spacing w:line="240" w:lineRule="auto"/>
              <w:ind w:firstLine="0" w:firstLineChars="0"/>
              <w:jc w:val="center"/>
              <w:rPr>
                <w:color w:val="auto"/>
                <w:kern w:val="0"/>
                <w:sz w:val="22"/>
                <w:szCs w:val="22"/>
                <w:highlight w:val="none"/>
              </w:rPr>
            </w:pPr>
          </w:p>
        </w:tc>
        <w:tc>
          <w:tcPr>
            <w:tcW w:w="1362" w:type="dxa"/>
            <w:vAlign w:val="center"/>
          </w:tcPr>
          <w:p>
            <w:pPr>
              <w:widowControl/>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监测值</w:t>
            </w:r>
          </w:p>
        </w:tc>
        <w:tc>
          <w:tcPr>
            <w:tcW w:w="1363" w:type="dxa"/>
            <w:vAlign w:val="center"/>
          </w:tcPr>
          <w:p>
            <w:pPr>
              <w:widowControl/>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是否达标</w:t>
            </w:r>
          </w:p>
        </w:tc>
        <w:tc>
          <w:tcPr>
            <w:tcW w:w="1362" w:type="dxa"/>
            <w:vAlign w:val="center"/>
          </w:tcPr>
          <w:p>
            <w:pPr>
              <w:widowControl/>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监测值</w:t>
            </w:r>
          </w:p>
        </w:tc>
        <w:tc>
          <w:tcPr>
            <w:tcW w:w="1363" w:type="dxa"/>
            <w:vAlign w:val="center"/>
          </w:tcPr>
          <w:p>
            <w:pPr>
              <w:widowControl/>
              <w:adjustRightInd w:val="0"/>
              <w:snapToGrid w:val="0"/>
              <w:spacing w:line="240" w:lineRule="auto"/>
              <w:ind w:firstLine="0" w:firstLineChars="0"/>
              <w:jc w:val="center"/>
              <w:rPr>
                <w:color w:val="auto"/>
                <w:kern w:val="0"/>
                <w:sz w:val="22"/>
                <w:szCs w:val="22"/>
                <w:highlight w:val="none"/>
              </w:rPr>
            </w:pPr>
            <w:r>
              <w:rPr>
                <w:color w:val="auto"/>
                <w:kern w:val="0"/>
                <w:sz w:val="22"/>
                <w:szCs w:val="22"/>
                <w:highlight w:val="none"/>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dxa"/>
            <w:vMerge w:val="restart"/>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N1</w:t>
            </w:r>
          </w:p>
        </w:tc>
        <w:tc>
          <w:tcPr>
            <w:tcW w:w="2307" w:type="dxa"/>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202</w:t>
            </w:r>
            <w:r>
              <w:rPr>
                <w:rFonts w:hint="eastAsia"/>
                <w:color w:val="auto"/>
                <w:kern w:val="0"/>
                <w:sz w:val="22"/>
                <w:szCs w:val="22"/>
                <w:highlight w:val="none"/>
                <w:lang w:val="en-US" w:eastAsia="zh-CN"/>
              </w:rPr>
              <w:t>5</w:t>
            </w:r>
            <w:r>
              <w:rPr>
                <w:rFonts w:hint="eastAsia"/>
                <w:color w:val="auto"/>
                <w:kern w:val="0"/>
                <w:sz w:val="22"/>
                <w:szCs w:val="22"/>
                <w:highlight w:val="none"/>
              </w:rPr>
              <w:t>年</w:t>
            </w:r>
            <w:r>
              <w:rPr>
                <w:rFonts w:hint="eastAsia"/>
                <w:color w:val="auto"/>
                <w:kern w:val="0"/>
                <w:sz w:val="22"/>
                <w:szCs w:val="22"/>
                <w:highlight w:val="none"/>
                <w:lang w:val="en-US" w:eastAsia="zh-CN"/>
              </w:rPr>
              <w:t>8</w:t>
            </w:r>
            <w:r>
              <w:rPr>
                <w:rFonts w:hint="eastAsia"/>
                <w:color w:val="auto"/>
                <w:kern w:val="0"/>
                <w:sz w:val="22"/>
                <w:szCs w:val="22"/>
                <w:highlight w:val="none"/>
              </w:rPr>
              <w:t>月</w:t>
            </w:r>
            <w:r>
              <w:rPr>
                <w:rFonts w:hint="eastAsia"/>
                <w:color w:val="auto"/>
                <w:kern w:val="0"/>
                <w:sz w:val="22"/>
                <w:szCs w:val="22"/>
                <w:highlight w:val="none"/>
                <w:lang w:val="en-US" w:eastAsia="zh-CN"/>
              </w:rPr>
              <w:t>23</w:t>
            </w:r>
            <w:r>
              <w:rPr>
                <w:rFonts w:hint="eastAsia"/>
                <w:color w:val="auto"/>
                <w:kern w:val="0"/>
                <w:sz w:val="22"/>
                <w:szCs w:val="22"/>
                <w:highlight w:val="none"/>
              </w:rPr>
              <w:t>日</w:t>
            </w:r>
          </w:p>
        </w:tc>
        <w:tc>
          <w:tcPr>
            <w:tcW w:w="1362"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48</w:t>
            </w:r>
          </w:p>
        </w:tc>
        <w:tc>
          <w:tcPr>
            <w:tcW w:w="136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达标</w:t>
            </w:r>
          </w:p>
        </w:tc>
        <w:tc>
          <w:tcPr>
            <w:tcW w:w="1362"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41</w:t>
            </w:r>
          </w:p>
        </w:tc>
        <w:tc>
          <w:tcPr>
            <w:tcW w:w="1363"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dxa"/>
            <w:vMerge w:val="continue"/>
            <w:vAlign w:val="center"/>
          </w:tcPr>
          <w:p>
            <w:pPr>
              <w:widowControl/>
              <w:adjustRightInd w:val="0"/>
              <w:snapToGrid w:val="0"/>
              <w:spacing w:line="240" w:lineRule="auto"/>
              <w:ind w:firstLine="0" w:firstLineChars="0"/>
              <w:jc w:val="center"/>
              <w:rPr>
                <w:color w:val="auto"/>
                <w:kern w:val="0"/>
                <w:sz w:val="22"/>
                <w:szCs w:val="22"/>
                <w:highlight w:val="none"/>
              </w:rPr>
            </w:pPr>
          </w:p>
        </w:tc>
        <w:tc>
          <w:tcPr>
            <w:tcW w:w="2307" w:type="dxa"/>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202</w:t>
            </w:r>
            <w:r>
              <w:rPr>
                <w:rFonts w:hint="eastAsia"/>
                <w:color w:val="auto"/>
                <w:kern w:val="0"/>
                <w:sz w:val="22"/>
                <w:szCs w:val="22"/>
                <w:highlight w:val="none"/>
                <w:lang w:val="en-US" w:eastAsia="zh-CN"/>
              </w:rPr>
              <w:t>5</w:t>
            </w:r>
            <w:r>
              <w:rPr>
                <w:rFonts w:hint="eastAsia"/>
                <w:color w:val="auto"/>
                <w:kern w:val="0"/>
                <w:sz w:val="22"/>
                <w:szCs w:val="22"/>
                <w:highlight w:val="none"/>
              </w:rPr>
              <w:t>年</w:t>
            </w:r>
            <w:r>
              <w:rPr>
                <w:rFonts w:hint="eastAsia"/>
                <w:color w:val="auto"/>
                <w:kern w:val="0"/>
                <w:sz w:val="22"/>
                <w:szCs w:val="22"/>
                <w:highlight w:val="none"/>
                <w:lang w:val="en-US" w:eastAsia="zh-CN"/>
              </w:rPr>
              <w:t>8</w:t>
            </w:r>
            <w:r>
              <w:rPr>
                <w:rFonts w:hint="eastAsia"/>
                <w:color w:val="auto"/>
                <w:kern w:val="0"/>
                <w:sz w:val="22"/>
                <w:szCs w:val="22"/>
                <w:highlight w:val="none"/>
              </w:rPr>
              <w:t>月</w:t>
            </w:r>
            <w:r>
              <w:rPr>
                <w:rFonts w:hint="eastAsia"/>
                <w:color w:val="auto"/>
                <w:kern w:val="0"/>
                <w:sz w:val="22"/>
                <w:szCs w:val="22"/>
                <w:highlight w:val="none"/>
                <w:lang w:val="en-US" w:eastAsia="zh-CN"/>
              </w:rPr>
              <w:t>24</w:t>
            </w:r>
            <w:r>
              <w:rPr>
                <w:rFonts w:hint="eastAsia"/>
                <w:color w:val="auto"/>
                <w:kern w:val="0"/>
                <w:sz w:val="22"/>
                <w:szCs w:val="22"/>
                <w:highlight w:val="none"/>
              </w:rPr>
              <w:t>日</w:t>
            </w:r>
          </w:p>
        </w:tc>
        <w:tc>
          <w:tcPr>
            <w:tcW w:w="1362"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49</w:t>
            </w:r>
          </w:p>
        </w:tc>
        <w:tc>
          <w:tcPr>
            <w:tcW w:w="136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达标</w:t>
            </w:r>
          </w:p>
        </w:tc>
        <w:tc>
          <w:tcPr>
            <w:tcW w:w="1362"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40</w:t>
            </w:r>
          </w:p>
        </w:tc>
        <w:tc>
          <w:tcPr>
            <w:tcW w:w="1363"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dxa"/>
            <w:vMerge w:val="restart"/>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N2</w:t>
            </w:r>
          </w:p>
        </w:tc>
        <w:tc>
          <w:tcPr>
            <w:tcW w:w="2307" w:type="dxa"/>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202</w:t>
            </w:r>
            <w:r>
              <w:rPr>
                <w:rFonts w:hint="eastAsia"/>
                <w:color w:val="auto"/>
                <w:kern w:val="0"/>
                <w:sz w:val="22"/>
                <w:szCs w:val="22"/>
                <w:highlight w:val="none"/>
                <w:lang w:val="en-US" w:eastAsia="zh-CN"/>
              </w:rPr>
              <w:t>5</w:t>
            </w:r>
            <w:r>
              <w:rPr>
                <w:rFonts w:hint="eastAsia"/>
                <w:color w:val="auto"/>
                <w:kern w:val="0"/>
                <w:sz w:val="22"/>
                <w:szCs w:val="22"/>
                <w:highlight w:val="none"/>
              </w:rPr>
              <w:t>年</w:t>
            </w:r>
            <w:r>
              <w:rPr>
                <w:rFonts w:hint="eastAsia"/>
                <w:color w:val="auto"/>
                <w:kern w:val="0"/>
                <w:sz w:val="22"/>
                <w:szCs w:val="22"/>
                <w:highlight w:val="none"/>
                <w:lang w:val="en-US" w:eastAsia="zh-CN"/>
              </w:rPr>
              <w:t>8</w:t>
            </w:r>
            <w:r>
              <w:rPr>
                <w:rFonts w:hint="eastAsia"/>
                <w:color w:val="auto"/>
                <w:kern w:val="0"/>
                <w:sz w:val="22"/>
                <w:szCs w:val="22"/>
                <w:highlight w:val="none"/>
              </w:rPr>
              <w:t>月</w:t>
            </w:r>
            <w:r>
              <w:rPr>
                <w:rFonts w:hint="eastAsia"/>
                <w:color w:val="auto"/>
                <w:kern w:val="0"/>
                <w:sz w:val="22"/>
                <w:szCs w:val="22"/>
                <w:highlight w:val="none"/>
                <w:lang w:val="en-US" w:eastAsia="zh-CN"/>
              </w:rPr>
              <w:t>23</w:t>
            </w:r>
            <w:r>
              <w:rPr>
                <w:rFonts w:hint="eastAsia"/>
                <w:color w:val="auto"/>
                <w:kern w:val="0"/>
                <w:sz w:val="22"/>
                <w:szCs w:val="22"/>
                <w:highlight w:val="none"/>
              </w:rPr>
              <w:t>日</w:t>
            </w:r>
          </w:p>
        </w:tc>
        <w:tc>
          <w:tcPr>
            <w:tcW w:w="1362"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53</w:t>
            </w:r>
          </w:p>
        </w:tc>
        <w:tc>
          <w:tcPr>
            <w:tcW w:w="136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达标</w:t>
            </w:r>
          </w:p>
        </w:tc>
        <w:tc>
          <w:tcPr>
            <w:tcW w:w="1362"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47</w:t>
            </w:r>
          </w:p>
        </w:tc>
        <w:tc>
          <w:tcPr>
            <w:tcW w:w="1363"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dxa"/>
            <w:vMerge w:val="continue"/>
            <w:vAlign w:val="center"/>
          </w:tcPr>
          <w:p>
            <w:pPr>
              <w:widowControl/>
              <w:adjustRightInd w:val="0"/>
              <w:snapToGrid w:val="0"/>
              <w:spacing w:line="240" w:lineRule="auto"/>
              <w:ind w:firstLine="0" w:firstLineChars="0"/>
              <w:jc w:val="center"/>
              <w:rPr>
                <w:color w:val="auto"/>
                <w:kern w:val="0"/>
                <w:sz w:val="22"/>
                <w:szCs w:val="22"/>
                <w:highlight w:val="none"/>
              </w:rPr>
            </w:pPr>
          </w:p>
        </w:tc>
        <w:tc>
          <w:tcPr>
            <w:tcW w:w="2307" w:type="dxa"/>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202</w:t>
            </w:r>
            <w:r>
              <w:rPr>
                <w:rFonts w:hint="eastAsia"/>
                <w:color w:val="auto"/>
                <w:kern w:val="0"/>
                <w:sz w:val="22"/>
                <w:szCs w:val="22"/>
                <w:highlight w:val="none"/>
                <w:lang w:val="en-US" w:eastAsia="zh-CN"/>
              </w:rPr>
              <w:t>5</w:t>
            </w:r>
            <w:r>
              <w:rPr>
                <w:rFonts w:hint="eastAsia"/>
                <w:color w:val="auto"/>
                <w:kern w:val="0"/>
                <w:sz w:val="22"/>
                <w:szCs w:val="22"/>
                <w:highlight w:val="none"/>
              </w:rPr>
              <w:t>年</w:t>
            </w:r>
            <w:r>
              <w:rPr>
                <w:rFonts w:hint="eastAsia"/>
                <w:color w:val="auto"/>
                <w:kern w:val="0"/>
                <w:sz w:val="22"/>
                <w:szCs w:val="22"/>
                <w:highlight w:val="none"/>
                <w:lang w:val="en-US" w:eastAsia="zh-CN"/>
              </w:rPr>
              <w:t>8</w:t>
            </w:r>
            <w:r>
              <w:rPr>
                <w:rFonts w:hint="eastAsia"/>
                <w:color w:val="auto"/>
                <w:kern w:val="0"/>
                <w:sz w:val="22"/>
                <w:szCs w:val="22"/>
                <w:highlight w:val="none"/>
              </w:rPr>
              <w:t>月</w:t>
            </w:r>
            <w:r>
              <w:rPr>
                <w:rFonts w:hint="eastAsia"/>
                <w:color w:val="auto"/>
                <w:kern w:val="0"/>
                <w:sz w:val="22"/>
                <w:szCs w:val="22"/>
                <w:highlight w:val="none"/>
                <w:lang w:val="en-US" w:eastAsia="zh-CN"/>
              </w:rPr>
              <w:t>24</w:t>
            </w:r>
            <w:r>
              <w:rPr>
                <w:rFonts w:hint="eastAsia"/>
                <w:color w:val="auto"/>
                <w:kern w:val="0"/>
                <w:sz w:val="22"/>
                <w:szCs w:val="22"/>
                <w:highlight w:val="none"/>
              </w:rPr>
              <w:t>日</w:t>
            </w:r>
          </w:p>
        </w:tc>
        <w:tc>
          <w:tcPr>
            <w:tcW w:w="1362"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54</w:t>
            </w:r>
          </w:p>
        </w:tc>
        <w:tc>
          <w:tcPr>
            <w:tcW w:w="136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达标</w:t>
            </w:r>
          </w:p>
        </w:tc>
        <w:tc>
          <w:tcPr>
            <w:tcW w:w="1362"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46</w:t>
            </w:r>
          </w:p>
        </w:tc>
        <w:tc>
          <w:tcPr>
            <w:tcW w:w="1363"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dxa"/>
            <w:vMerge w:val="restart"/>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N3</w:t>
            </w:r>
          </w:p>
        </w:tc>
        <w:tc>
          <w:tcPr>
            <w:tcW w:w="2307" w:type="dxa"/>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202</w:t>
            </w:r>
            <w:r>
              <w:rPr>
                <w:rFonts w:hint="eastAsia"/>
                <w:color w:val="auto"/>
                <w:kern w:val="0"/>
                <w:sz w:val="22"/>
                <w:szCs w:val="22"/>
                <w:highlight w:val="none"/>
                <w:lang w:val="en-US" w:eastAsia="zh-CN"/>
              </w:rPr>
              <w:t>5</w:t>
            </w:r>
            <w:r>
              <w:rPr>
                <w:rFonts w:hint="eastAsia"/>
                <w:color w:val="auto"/>
                <w:kern w:val="0"/>
                <w:sz w:val="22"/>
                <w:szCs w:val="22"/>
                <w:highlight w:val="none"/>
              </w:rPr>
              <w:t>年</w:t>
            </w:r>
            <w:r>
              <w:rPr>
                <w:rFonts w:hint="eastAsia"/>
                <w:color w:val="auto"/>
                <w:kern w:val="0"/>
                <w:sz w:val="22"/>
                <w:szCs w:val="22"/>
                <w:highlight w:val="none"/>
                <w:lang w:val="en-US" w:eastAsia="zh-CN"/>
              </w:rPr>
              <w:t>8</w:t>
            </w:r>
            <w:r>
              <w:rPr>
                <w:rFonts w:hint="eastAsia"/>
                <w:color w:val="auto"/>
                <w:kern w:val="0"/>
                <w:sz w:val="22"/>
                <w:szCs w:val="22"/>
                <w:highlight w:val="none"/>
              </w:rPr>
              <w:t>月</w:t>
            </w:r>
            <w:r>
              <w:rPr>
                <w:rFonts w:hint="eastAsia"/>
                <w:color w:val="auto"/>
                <w:kern w:val="0"/>
                <w:sz w:val="22"/>
                <w:szCs w:val="22"/>
                <w:highlight w:val="none"/>
                <w:lang w:val="en-US" w:eastAsia="zh-CN"/>
              </w:rPr>
              <w:t>23</w:t>
            </w:r>
            <w:r>
              <w:rPr>
                <w:rFonts w:hint="eastAsia"/>
                <w:color w:val="auto"/>
                <w:kern w:val="0"/>
                <w:sz w:val="22"/>
                <w:szCs w:val="22"/>
                <w:highlight w:val="none"/>
              </w:rPr>
              <w:t>日</w:t>
            </w:r>
          </w:p>
        </w:tc>
        <w:tc>
          <w:tcPr>
            <w:tcW w:w="1362"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51</w:t>
            </w:r>
          </w:p>
        </w:tc>
        <w:tc>
          <w:tcPr>
            <w:tcW w:w="136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达标</w:t>
            </w:r>
          </w:p>
        </w:tc>
        <w:tc>
          <w:tcPr>
            <w:tcW w:w="1362"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44</w:t>
            </w:r>
          </w:p>
        </w:tc>
        <w:tc>
          <w:tcPr>
            <w:tcW w:w="1363"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dxa"/>
            <w:vMerge w:val="continue"/>
            <w:vAlign w:val="center"/>
          </w:tcPr>
          <w:p>
            <w:pPr>
              <w:widowControl/>
              <w:adjustRightInd w:val="0"/>
              <w:snapToGrid w:val="0"/>
              <w:spacing w:line="240" w:lineRule="auto"/>
              <w:ind w:firstLine="0" w:firstLineChars="0"/>
              <w:jc w:val="center"/>
              <w:rPr>
                <w:color w:val="auto"/>
                <w:kern w:val="0"/>
                <w:sz w:val="22"/>
                <w:szCs w:val="22"/>
                <w:highlight w:val="none"/>
              </w:rPr>
            </w:pPr>
          </w:p>
        </w:tc>
        <w:tc>
          <w:tcPr>
            <w:tcW w:w="2307" w:type="dxa"/>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202</w:t>
            </w:r>
            <w:r>
              <w:rPr>
                <w:rFonts w:hint="eastAsia"/>
                <w:color w:val="auto"/>
                <w:kern w:val="0"/>
                <w:sz w:val="22"/>
                <w:szCs w:val="22"/>
                <w:highlight w:val="none"/>
                <w:lang w:val="en-US" w:eastAsia="zh-CN"/>
              </w:rPr>
              <w:t>5</w:t>
            </w:r>
            <w:r>
              <w:rPr>
                <w:rFonts w:hint="eastAsia"/>
                <w:color w:val="auto"/>
                <w:kern w:val="0"/>
                <w:sz w:val="22"/>
                <w:szCs w:val="22"/>
                <w:highlight w:val="none"/>
              </w:rPr>
              <w:t>年</w:t>
            </w:r>
            <w:r>
              <w:rPr>
                <w:rFonts w:hint="eastAsia"/>
                <w:color w:val="auto"/>
                <w:kern w:val="0"/>
                <w:sz w:val="22"/>
                <w:szCs w:val="22"/>
                <w:highlight w:val="none"/>
                <w:lang w:val="en-US" w:eastAsia="zh-CN"/>
              </w:rPr>
              <w:t>8</w:t>
            </w:r>
            <w:r>
              <w:rPr>
                <w:rFonts w:hint="eastAsia"/>
                <w:color w:val="auto"/>
                <w:kern w:val="0"/>
                <w:sz w:val="22"/>
                <w:szCs w:val="22"/>
                <w:highlight w:val="none"/>
              </w:rPr>
              <w:t>月</w:t>
            </w:r>
            <w:r>
              <w:rPr>
                <w:rFonts w:hint="eastAsia"/>
                <w:color w:val="auto"/>
                <w:kern w:val="0"/>
                <w:sz w:val="22"/>
                <w:szCs w:val="22"/>
                <w:highlight w:val="none"/>
                <w:lang w:val="en-US" w:eastAsia="zh-CN"/>
              </w:rPr>
              <w:t>24</w:t>
            </w:r>
            <w:r>
              <w:rPr>
                <w:rFonts w:hint="eastAsia"/>
                <w:color w:val="auto"/>
                <w:kern w:val="0"/>
                <w:sz w:val="22"/>
                <w:szCs w:val="22"/>
                <w:highlight w:val="none"/>
              </w:rPr>
              <w:t>日</w:t>
            </w:r>
          </w:p>
        </w:tc>
        <w:tc>
          <w:tcPr>
            <w:tcW w:w="1362"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51</w:t>
            </w:r>
          </w:p>
        </w:tc>
        <w:tc>
          <w:tcPr>
            <w:tcW w:w="136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达标</w:t>
            </w:r>
          </w:p>
        </w:tc>
        <w:tc>
          <w:tcPr>
            <w:tcW w:w="1362"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43</w:t>
            </w:r>
          </w:p>
        </w:tc>
        <w:tc>
          <w:tcPr>
            <w:tcW w:w="1363"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dxa"/>
            <w:vMerge w:val="restart"/>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N4</w:t>
            </w:r>
          </w:p>
        </w:tc>
        <w:tc>
          <w:tcPr>
            <w:tcW w:w="2307" w:type="dxa"/>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202</w:t>
            </w:r>
            <w:r>
              <w:rPr>
                <w:rFonts w:hint="eastAsia"/>
                <w:color w:val="auto"/>
                <w:kern w:val="0"/>
                <w:sz w:val="22"/>
                <w:szCs w:val="22"/>
                <w:highlight w:val="none"/>
                <w:lang w:val="en-US" w:eastAsia="zh-CN"/>
              </w:rPr>
              <w:t>5</w:t>
            </w:r>
            <w:r>
              <w:rPr>
                <w:rFonts w:hint="eastAsia"/>
                <w:color w:val="auto"/>
                <w:kern w:val="0"/>
                <w:sz w:val="22"/>
                <w:szCs w:val="22"/>
                <w:highlight w:val="none"/>
              </w:rPr>
              <w:t>年</w:t>
            </w:r>
            <w:r>
              <w:rPr>
                <w:rFonts w:hint="eastAsia"/>
                <w:color w:val="auto"/>
                <w:kern w:val="0"/>
                <w:sz w:val="22"/>
                <w:szCs w:val="22"/>
                <w:highlight w:val="none"/>
                <w:lang w:val="en-US" w:eastAsia="zh-CN"/>
              </w:rPr>
              <w:t>8</w:t>
            </w:r>
            <w:r>
              <w:rPr>
                <w:rFonts w:hint="eastAsia"/>
                <w:color w:val="auto"/>
                <w:kern w:val="0"/>
                <w:sz w:val="22"/>
                <w:szCs w:val="22"/>
                <w:highlight w:val="none"/>
              </w:rPr>
              <w:t>月</w:t>
            </w:r>
            <w:r>
              <w:rPr>
                <w:rFonts w:hint="eastAsia"/>
                <w:color w:val="auto"/>
                <w:kern w:val="0"/>
                <w:sz w:val="22"/>
                <w:szCs w:val="22"/>
                <w:highlight w:val="none"/>
                <w:lang w:val="en-US" w:eastAsia="zh-CN"/>
              </w:rPr>
              <w:t>23</w:t>
            </w:r>
            <w:r>
              <w:rPr>
                <w:rFonts w:hint="eastAsia"/>
                <w:color w:val="auto"/>
                <w:kern w:val="0"/>
                <w:sz w:val="22"/>
                <w:szCs w:val="22"/>
                <w:highlight w:val="none"/>
              </w:rPr>
              <w:t>日</w:t>
            </w:r>
          </w:p>
        </w:tc>
        <w:tc>
          <w:tcPr>
            <w:tcW w:w="1362"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49</w:t>
            </w:r>
          </w:p>
        </w:tc>
        <w:tc>
          <w:tcPr>
            <w:tcW w:w="136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bookmarkStart w:id="110" w:name="OLE_LINK7"/>
            <w:r>
              <w:rPr>
                <w:rFonts w:hint="eastAsia" w:ascii="Times New Roman" w:hAnsi="Times New Roman" w:eastAsia="宋体" w:cs="Times New Roman"/>
                <w:color w:val="auto"/>
                <w:sz w:val="22"/>
                <w:szCs w:val="22"/>
                <w:highlight w:val="none"/>
              </w:rPr>
              <w:t>达标</w:t>
            </w:r>
            <w:bookmarkEnd w:id="110"/>
          </w:p>
        </w:tc>
        <w:tc>
          <w:tcPr>
            <w:tcW w:w="1362"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42</w:t>
            </w:r>
          </w:p>
        </w:tc>
        <w:tc>
          <w:tcPr>
            <w:tcW w:w="1363"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2" w:type="dxa"/>
            <w:vMerge w:val="continue"/>
            <w:vAlign w:val="center"/>
          </w:tcPr>
          <w:p>
            <w:pPr>
              <w:widowControl/>
              <w:adjustRightInd w:val="0"/>
              <w:snapToGrid w:val="0"/>
              <w:spacing w:line="240" w:lineRule="auto"/>
              <w:ind w:firstLine="0" w:firstLineChars="0"/>
              <w:jc w:val="center"/>
              <w:rPr>
                <w:color w:val="auto"/>
                <w:kern w:val="0"/>
                <w:sz w:val="22"/>
                <w:szCs w:val="22"/>
                <w:highlight w:val="none"/>
              </w:rPr>
            </w:pPr>
          </w:p>
        </w:tc>
        <w:tc>
          <w:tcPr>
            <w:tcW w:w="2307" w:type="dxa"/>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202</w:t>
            </w:r>
            <w:r>
              <w:rPr>
                <w:rFonts w:hint="eastAsia"/>
                <w:color w:val="auto"/>
                <w:kern w:val="0"/>
                <w:sz w:val="22"/>
                <w:szCs w:val="22"/>
                <w:highlight w:val="none"/>
                <w:lang w:val="en-US" w:eastAsia="zh-CN"/>
              </w:rPr>
              <w:t>5</w:t>
            </w:r>
            <w:r>
              <w:rPr>
                <w:rFonts w:hint="eastAsia"/>
                <w:color w:val="auto"/>
                <w:kern w:val="0"/>
                <w:sz w:val="22"/>
                <w:szCs w:val="22"/>
                <w:highlight w:val="none"/>
              </w:rPr>
              <w:t>年</w:t>
            </w:r>
            <w:r>
              <w:rPr>
                <w:rFonts w:hint="eastAsia"/>
                <w:color w:val="auto"/>
                <w:kern w:val="0"/>
                <w:sz w:val="22"/>
                <w:szCs w:val="22"/>
                <w:highlight w:val="none"/>
                <w:lang w:val="en-US" w:eastAsia="zh-CN"/>
              </w:rPr>
              <w:t>8</w:t>
            </w:r>
            <w:r>
              <w:rPr>
                <w:rFonts w:hint="eastAsia"/>
                <w:color w:val="auto"/>
                <w:kern w:val="0"/>
                <w:sz w:val="22"/>
                <w:szCs w:val="22"/>
                <w:highlight w:val="none"/>
              </w:rPr>
              <w:t>月</w:t>
            </w:r>
            <w:r>
              <w:rPr>
                <w:rFonts w:hint="eastAsia"/>
                <w:color w:val="auto"/>
                <w:kern w:val="0"/>
                <w:sz w:val="22"/>
                <w:szCs w:val="22"/>
                <w:highlight w:val="none"/>
                <w:lang w:val="en-US" w:eastAsia="zh-CN"/>
              </w:rPr>
              <w:t>24</w:t>
            </w:r>
            <w:r>
              <w:rPr>
                <w:rFonts w:hint="eastAsia"/>
                <w:color w:val="auto"/>
                <w:kern w:val="0"/>
                <w:sz w:val="22"/>
                <w:szCs w:val="22"/>
                <w:highlight w:val="none"/>
              </w:rPr>
              <w:t>日</w:t>
            </w:r>
          </w:p>
        </w:tc>
        <w:tc>
          <w:tcPr>
            <w:tcW w:w="1362"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50</w:t>
            </w:r>
          </w:p>
        </w:tc>
        <w:tc>
          <w:tcPr>
            <w:tcW w:w="136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达标</w:t>
            </w:r>
          </w:p>
        </w:tc>
        <w:tc>
          <w:tcPr>
            <w:tcW w:w="1362"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42</w:t>
            </w:r>
          </w:p>
        </w:tc>
        <w:tc>
          <w:tcPr>
            <w:tcW w:w="1363" w:type="dxa"/>
            <w:vAlign w:val="center"/>
          </w:tcPr>
          <w:p>
            <w:pPr>
              <w:adjustRightInd w:val="0"/>
              <w:snapToGrid w:val="0"/>
              <w:spacing w:line="240" w:lineRule="auto"/>
              <w:ind w:firstLine="0" w:firstLineChars="0"/>
              <w:jc w:val="center"/>
              <w:rPr>
                <w:color w:val="auto"/>
                <w:sz w:val="22"/>
                <w:szCs w:val="22"/>
                <w:highlight w:val="none"/>
              </w:rPr>
            </w:pPr>
            <w:r>
              <w:rPr>
                <w:color w:val="auto"/>
                <w:sz w:val="22"/>
                <w:szCs w:val="22"/>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9" w:type="dxa"/>
            <w:gridSpan w:val="2"/>
            <w:vAlign w:val="center"/>
          </w:tcPr>
          <w:p>
            <w:pPr>
              <w:widowControl/>
              <w:adjustRightInd w:val="0"/>
              <w:snapToGrid w:val="0"/>
              <w:spacing w:line="240" w:lineRule="auto"/>
              <w:ind w:firstLine="0" w:firstLineChars="0"/>
              <w:jc w:val="center"/>
              <w:rPr>
                <w:color w:val="auto"/>
                <w:kern w:val="0"/>
                <w:sz w:val="22"/>
                <w:szCs w:val="22"/>
                <w:highlight w:val="none"/>
              </w:rPr>
            </w:pPr>
            <w:r>
              <w:rPr>
                <w:rFonts w:hint="eastAsia"/>
                <w:color w:val="auto"/>
                <w:kern w:val="0"/>
                <w:sz w:val="22"/>
                <w:szCs w:val="22"/>
                <w:highlight w:val="none"/>
              </w:rPr>
              <w:t>2类</w:t>
            </w:r>
            <w:r>
              <w:rPr>
                <w:color w:val="auto"/>
                <w:kern w:val="0"/>
                <w:sz w:val="22"/>
                <w:szCs w:val="22"/>
                <w:highlight w:val="none"/>
              </w:rPr>
              <w:t>功能区标准</w:t>
            </w:r>
          </w:p>
        </w:tc>
        <w:tc>
          <w:tcPr>
            <w:tcW w:w="1362" w:type="dxa"/>
            <w:vAlign w:val="center"/>
          </w:tcPr>
          <w:p>
            <w:pPr>
              <w:adjustRightInd w:val="0"/>
              <w:snapToGrid w:val="0"/>
              <w:spacing w:line="240" w:lineRule="auto"/>
              <w:ind w:firstLine="0" w:firstLineChars="0"/>
              <w:jc w:val="center"/>
              <w:rPr>
                <w:color w:val="auto"/>
                <w:sz w:val="22"/>
                <w:szCs w:val="22"/>
                <w:highlight w:val="none"/>
              </w:rPr>
            </w:pPr>
            <w:r>
              <w:rPr>
                <w:rFonts w:hint="eastAsia"/>
                <w:color w:val="auto"/>
                <w:sz w:val="22"/>
                <w:szCs w:val="22"/>
                <w:highlight w:val="none"/>
              </w:rPr>
              <w:t>60</w:t>
            </w:r>
          </w:p>
        </w:tc>
        <w:tc>
          <w:tcPr>
            <w:tcW w:w="1363" w:type="dxa"/>
            <w:vAlign w:val="center"/>
          </w:tcPr>
          <w:p>
            <w:pPr>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w:t>
            </w:r>
          </w:p>
        </w:tc>
        <w:tc>
          <w:tcPr>
            <w:tcW w:w="1362" w:type="dxa"/>
            <w:vAlign w:val="center"/>
          </w:tcPr>
          <w:p>
            <w:pPr>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50</w:t>
            </w:r>
          </w:p>
        </w:tc>
        <w:tc>
          <w:tcPr>
            <w:tcW w:w="1363" w:type="dxa"/>
            <w:vAlign w:val="center"/>
          </w:tcPr>
          <w:p>
            <w:pPr>
              <w:adjustRightInd w:val="0"/>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9" w:type="dxa"/>
            <w:gridSpan w:val="2"/>
            <w:vAlign w:val="center"/>
          </w:tcPr>
          <w:p>
            <w:pPr>
              <w:widowControl/>
              <w:adjustRightInd w:val="0"/>
              <w:snapToGrid w:val="0"/>
              <w:spacing w:line="240" w:lineRule="auto"/>
              <w:ind w:firstLine="0" w:firstLineChars="0"/>
              <w:jc w:val="center"/>
              <w:rPr>
                <w:rFonts w:hint="default" w:eastAsia="宋体"/>
                <w:color w:val="auto"/>
                <w:kern w:val="0"/>
                <w:sz w:val="22"/>
                <w:szCs w:val="22"/>
                <w:highlight w:val="none"/>
                <w:lang w:val="en-US" w:eastAsia="zh-CN"/>
              </w:rPr>
            </w:pPr>
            <w:r>
              <w:rPr>
                <w:rFonts w:hint="eastAsia"/>
                <w:color w:val="auto"/>
                <w:kern w:val="0"/>
                <w:sz w:val="22"/>
                <w:szCs w:val="22"/>
                <w:highlight w:val="none"/>
                <w:lang w:val="en-US" w:eastAsia="zh-CN"/>
              </w:rPr>
              <w:t>4a类声功能区</w:t>
            </w:r>
          </w:p>
        </w:tc>
        <w:tc>
          <w:tcPr>
            <w:tcW w:w="1362" w:type="dxa"/>
            <w:vAlign w:val="center"/>
          </w:tcPr>
          <w:p>
            <w:pPr>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70</w:t>
            </w:r>
          </w:p>
        </w:tc>
        <w:tc>
          <w:tcPr>
            <w:tcW w:w="1363" w:type="dxa"/>
            <w:vAlign w:val="center"/>
          </w:tcPr>
          <w:p>
            <w:pPr>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w:t>
            </w:r>
          </w:p>
        </w:tc>
        <w:tc>
          <w:tcPr>
            <w:tcW w:w="1362" w:type="dxa"/>
            <w:vAlign w:val="center"/>
          </w:tcPr>
          <w:p>
            <w:pPr>
              <w:adjustRightInd w:val="0"/>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55</w:t>
            </w:r>
          </w:p>
        </w:tc>
        <w:tc>
          <w:tcPr>
            <w:tcW w:w="1363" w:type="dxa"/>
            <w:vAlign w:val="center"/>
          </w:tcPr>
          <w:p>
            <w:pPr>
              <w:adjustRightInd w:val="0"/>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w:t>
            </w:r>
          </w:p>
        </w:tc>
      </w:tr>
    </w:tbl>
    <w:p>
      <w:pPr>
        <w:ind w:firstLine="520"/>
        <w:rPr>
          <w:color w:val="auto"/>
          <w:highlight w:val="none"/>
        </w:rPr>
      </w:pPr>
      <w:r>
        <w:rPr>
          <w:color w:val="auto"/>
          <w:szCs w:val="26"/>
          <w:highlight w:val="none"/>
        </w:rPr>
        <w:t>由</w:t>
      </w:r>
      <w:r>
        <w:rPr>
          <w:rFonts w:hint="eastAsia"/>
          <w:color w:val="auto"/>
          <w:highlight w:val="none"/>
        </w:rPr>
        <w:t>监测结果</w:t>
      </w:r>
      <w:r>
        <w:rPr>
          <w:color w:val="auto"/>
          <w:szCs w:val="26"/>
          <w:highlight w:val="none"/>
        </w:rPr>
        <w:t>可知，各监测点昼、夜监测结果</w:t>
      </w:r>
      <w:r>
        <w:rPr>
          <w:rFonts w:hint="eastAsia"/>
          <w:color w:val="auto"/>
          <w:szCs w:val="26"/>
          <w:highlight w:val="none"/>
          <w:lang w:eastAsia="zh-CN"/>
        </w:rPr>
        <w:t>分别</w:t>
      </w:r>
      <w:r>
        <w:rPr>
          <w:color w:val="auto"/>
          <w:szCs w:val="26"/>
          <w:highlight w:val="none"/>
        </w:rPr>
        <w:t>满足《声环境质量标准》（GB3096-2008）2类</w:t>
      </w:r>
      <w:r>
        <w:rPr>
          <w:rFonts w:hint="eastAsia"/>
          <w:color w:val="auto"/>
          <w:szCs w:val="26"/>
          <w:highlight w:val="none"/>
          <w:lang w:eastAsia="zh-CN"/>
        </w:rPr>
        <w:t>、</w:t>
      </w:r>
      <w:r>
        <w:rPr>
          <w:rFonts w:hint="eastAsia"/>
          <w:color w:val="auto"/>
          <w:szCs w:val="26"/>
          <w:highlight w:val="none"/>
          <w:lang w:val="en-US" w:eastAsia="zh-CN"/>
        </w:rPr>
        <w:t>4a类</w:t>
      </w:r>
      <w:r>
        <w:rPr>
          <w:color w:val="auto"/>
          <w:szCs w:val="26"/>
          <w:highlight w:val="none"/>
        </w:rPr>
        <w:t>声环境功能区标准，区域声环境质量现状</w:t>
      </w:r>
      <w:r>
        <w:rPr>
          <w:rFonts w:hint="eastAsia"/>
          <w:color w:val="auto"/>
          <w:szCs w:val="26"/>
          <w:highlight w:val="none"/>
        </w:rPr>
        <w:t>良</w:t>
      </w:r>
      <w:r>
        <w:rPr>
          <w:color w:val="auto"/>
          <w:szCs w:val="26"/>
          <w:highlight w:val="none"/>
        </w:rPr>
        <w:t>好。</w:t>
      </w:r>
    </w:p>
    <w:p>
      <w:pPr>
        <w:pStyle w:val="5"/>
        <w:ind w:firstLine="522"/>
        <w:rPr>
          <w:color w:val="auto"/>
          <w:highlight w:val="none"/>
        </w:rPr>
      </w:pPr>
      <w:r>
        <w:rPr>
          <w:rFonts w:hint="eastAsia"/>
          <w:color w:val="auto"/>
          <w:highlight w:val="none"/>
        </w:rPr>
        <w:t>底泥</w:t>
      </w:r>
      <w:r>
        <w:rPr>
          <w:color w:val="auto"/>
          <w:highlight w:val="none"/>
        </w:rPr>
        <w:t>质量现状调查与评价</w:t>
      </w:r>
    </w:p>
    <w:p>
      <w:pPr>
        <w:ind w:firstLine="520"/>
        <w:rPr>
          <w:color w:val="auto"/>
          <w:highlight w:val="none"/>
        </w:rPr>
      </w:pPr>
      <w:r>
        <w:rPr>
          <w:rFonts w:hint="eastAsia"/>
          <w:color w:val="auto"/>
          <w:highlight w:val="none"/>
        </w:rPr>
        <w:t>（1）监测点位</w:t>
      </w:r>
    </w:p>
    <w:p>
      <w:pPr>
        <w:ind w:firstLine="52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GB3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①</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监测布点</w:t>
      </w:r>
    </w:p>
    <w:p>
      <w:pPr>
        <w:ind w:firstLine="52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本次评价主要引用</w:t>
      </w:r>
      <w:r>
        <w:rPr>
          <w:rFonts w:hint="eastAsia" w:ascii="Times New Roman" w:hAnsi="Times New Roman" w:cs="Times New Roman"/>
          <w:color w:val="auto"/>
          <w:highlight w:val="none"/>
          <w:lang w:eastAsia="zh-CN"/>
        </w:rPr>
        <w:t>渭沱</w:t>
      </w:r>
      <w:r>
        <w:rPr>
          <w:rFonts w:hint="eastAsia" w:cs="Times New Roman"/>
          <w:color w:val="auto"/>
          <w:highlight w:val="none"/>
          <w:lang w:eastAsia="zh-CN"/>
        </w:rPr>
        <w:t>枢纽上游</w:t>
      </w:r>
      <w:r>
        <w:rPr>
          <w:rFonts w:hint="eastAsia" w:ascii="Times New Roman" w:hAnsi="Times New Roman" w:cs="Times New Roman"/>
          <w:color w:val="auto"/>
          <w:highlight w:val="none"/>
          <w:lang w:eastAsia="zh-CN"/>
        </w:rPr>
        <w:t>及下游</w:t>
      </w:r>
      <w:r>
        <w:rPr>
          <w:rFonts w:hint="default" w:ascii="Times New Roman" w:hAnsi="Times New Roman" w:cs="Times New Roman"/>
          <w:color w:val="auto"/>
          <w:highlight w:val="none"/>
        </w:rPr>
        <w:t>已有</w:t>
      </w:r>
      <w:r>
        <w:rPr>
          <w:rFonts w:hint="eastAsia" w:ascii="Times New Roman" w:hAnsi="Times New Roman" w:cs="Times New Roman"/>
          <w:color w:val="auto"/>
          <w:highlight w:val="none"/>
          <w:lang w:eastAsia="zh-CN"/>
        </w:rPr>
        <w:t>底泥监测数据</w:t>
      </w:r>
      <w:r>
        <w:rPr>
          <w:rFonts w:hint="default" w:ascii="Times New Roman" w:hAnsi="Times New Roman" w:cs="Times New Roman"/>
          <w:color w:val="auto"/>
          <w:highlight w:val="none"/>
        </w:rPr>
        <w:t>对区域</w:t>
      </w:r>
      <w:r>
        <w:rPr>
          <w:rFonts w:hint="eastAsia" w:ascii="Times New Roman" w:hAnsi="Times New Roman" w:cs="Times New Roman"/>
          <w:color w:val="auto"/>
          <w:highlight w:val="none"/>
          <w:lang w:eastAsia="zh-CN"/>
        </w:rPr>
        <w:t>底泥</w:t>
      </w:r>
      <w:r>
        <w:rPr>
          <w:rFonts w:hint="default" w:ascii="Times New Roman" w:hAnsi="Times New Roman" w:cs="Times New Roman"/>
          <w:color w:val="auto"/>
          <w:highlight w:val="none"/>
        </w:rPr>
        <w:t>现状进行调查与评价。监测布点情况如下：</w:t>
      </w:r>
    </w:p>
    <w:p>
      <w:pPr>
        <w:pStyle w:val="36"/>
        <w:spacing w:line="240" w:lineRule="auto"/>
        <w:ind w:firstLine="480"/>
        <w:rPr>
          <w:rFonts w:hint="default" w:ascii="Times New Roman" w:hAnsi="Times New Roman" w:cs="Times New Roman"/>
          <w:color w:val="auto"/>
          <w:highlight w:val="none"/>
        </w:rPr>
      </w:pPr>
    </w:p>
    <w:p>
      <w:pPr>
        <w:tabs>
          <w:tab w:val="left" w:pos="6840"/>
        </w:tabs>
        <w:topLinePunct/>
        <w:spacing w:line="240" w:lineRule="auto"/>
        <w:ind w:firstLine="520"/>
        <w:jc w:val="center"/>
        <w:rPr>
          <w:rFonts w:hint="default" w:ascii="Times New Roman" w:hAnsi="Times New Roman" w:cs="Times New Roman" w:eastAsiaTheme="minorEastAsia"/>
          <w:bCs/>
          <w:color w:val="auto"/>
          <w:szCs w:val="26"/>
          <w:highlight w:val="none"/>
        </w:rPr>
      </w:pPr>
      <w:r>
        <w:rPr>
          <w:rFonts w:hint="default" w:ascii="Times New Roman" w:hAnsi="Times New Roman" w:cs="Times New Roman" w:eastAsiaTheme="minorEastAsia"/>
          <w:bCs/>
          <w:color w:val="auto"/>
          <w:szCs w:val="26"/>
          <w:highlight w:val="none"/>
        </w:rPr>
        <w:t>表</w:t>
      </w:r>
      <w:r>
        <w:rPr>
          <w:rFonts w:hint="eastAsia" w:cs="Times New Roman" w:eastAsiaTheme="minorEastAsia"/>
          <w:bCs/>
          <w:color w:val="auto"/>
          <w:szCs w:val="26"/>
          <w:highlight w:val="none"/>
          <w:lang w:val="en-US" w:eastAsia="zh-CN"/>
        </w:rPr>
        <w:t>3.3.4</w:t>
      </w:r>
      <w:r>
        <w:rPr>
          <w:rFonts w:hint="default" w:ascii="Times New Roman" w:hAnsi="Times New Roman" w:cs="Times New Roman" w:eastAsiaTheme="minorEastAsia"/>
          <w:bCs/>
          <w:color w:val="auto"/>
          <w:szCs w:val="26"/>
          <w:highlight w:val="none"/>
        </w:rPr>
        <w:t xml:space="preserve">-1  </w:t>
      </w:r>
      <w:r>
        <w:rPr>
          <w:rFonts w:hint="eastAsia" w:ascii="Times New Roman" w:hAnsi="Times New Roman" w:cs="Times New Roman" w:eastAsiaTheme="minorEastAsia"/>
          <w:bCs/>
          <w:color w:val="auto"/>
          <w:szCs w:val="26"/>
          <w:highlight w:val="none"/>
          <w:lang w:eastAsia="zh-CN"/>
        </w:rPr>
        <w:t>底泥监测点位</w:t>
      </w:r>
      <w:r>
        <w:rPr>
          <w:rFonts w:hint="default" w:ascii="Times New Roman" w:hAnsi="Times New Roman" w:cs="Times New Roman" w:eastAsiaTheme="minorEastAsia"/>
          <w:bCs/>
          <w:color w:val="auto"/>
          <w:szCs w:val="26"/>
          <w:highlight w:val="none"/>
        </w:rPr>
        <w:t>布置一览表</w:t>
      </w:r>
    </w:p>
    <w:tbl>
      <w:tblPr>
        <w:tblStyle w:val="28"/>
        <w:tblW w:w="485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28" w:type="dxa"/>
          <w:bottom w:w="0" w:type="dxa"/>
          <w:right w:w="28" w:type="dxa"/>
        </w:tblCellMar>
      </w:tblPr>
      <w:tblGrid>
        <w:gridCol w:w="534"/>
        <w:gridCol w:w="614"/>
        <w:gridCol w:w="1227"/>
        <w:gridCol w:w="1364"/>
        <w:gridCol w:w="995"/>
        <w:gridCol w:w="1351"/>
        <w:gridCol w:w="2438"/>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13" w:type="pc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河流</w:t>
            </w:r>
          </w:p>
        </w:tc>
        <w:tc>
          <w:tcPr>
            <w:tcW w:w="360" w:type="pc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断面</w:t>
            </w:r>
          </w:p>
        </w:tc>
        <w:tc>
          <w:tcPr>
            <w:tcW w:w="719" w:type="pct"/>
            <w:vAlign w:val="center"/>
          </w:tcPr>
          <w:p>
            <w:pPr>
              <w:pStyle w:val="203"/>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点位名称</w:t>
            </w:r>
          </w:p>
        </w:tc>
        <w:tc>
          <w:tcPr>
            <w:tcW w:w="800" w:type="pc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断面位置</w:t>
            </w:r>
          </w:p>
        </w:tc>
        <w:tc>
          <w:tcPr>
            <w:tcW w:w="583" w:type="pc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监测时间</w:t>
            </w:r>
          </w:p>
        </w:tc>
        <w:tc>
          <w:tcPr>
            <w:tcW w:w="792" w:type="pc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w:t>
            </w:r>
          </w:p>
        </w:tc>
        <w:tc>
          <w:tcPr>
            <w:tcW w:w="1430" w:type="pc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数据来源</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13" w:type="pct"/>
            <w:vMerge w:val="restart"/>
            <w:vAlign w:val="center"/>
          </w:tcPr>
          <w:p>
            <w:pPr>
              <w:pStyle w:val="203"/>
              <w:rPr>
                <w:rFonts w:hint="default" w:ascii="Times New Roman" w:hAnsi="Times New Roman" w:cs="Times New Roman"/>
                <w:color w:val="auto"/>
                <w:highlight w:val="none"/>
              </w:rPr>
            </w:pPr>
            <w:r>
              <w:rPr>
                <w:rFonts w:hint="default" w:ascii="Times New Roman" w:hAnsi="Times New Roman" w:cs="Times New Roman"/>
                <w:color w:val="auto"/>
                <w:highlight w:val="none"/>
              </w:rPr>
              <w:t>涪江</w:t>
            </w:r>
          </w:p>
        </w:tc>
        <w:tc>
          <w:tcPr>
            <w:tcW w:w="360" w:type="pct"/>
            <w:vAlign w:val="center"/>
          </w:tcPr>
          <w:p>
            <w:pPr>
              <w:pStyle w:val="203"/>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YD2</w:t>
            </w:r>
          </w:p>
        </w:tc>
        <w:tc>
          <w:tcPr>
            <w:tcW w:w="719" w:type="pct"/>
            <w:vAlign w:val="center"/>
          </w:tcPr>
          <w:p>
            <w:pPr>
              <w:pStyle w:val="20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草坝场</w:t>
            </w:r>
          </w:p>
        </w:tc>
        <w:tc>
          <w:tcPr>
            <w:tcW w:w="800" w:type="pct"/>
            <w:vAlign w:val="center"/>
          </w:tcPr>
          <w:p>
            <w:pPr>
              <w:pStyle w:val="203"/>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eastAsia="zh-CN"/>
              </w:rPr>
              <w:t>渭沱</w:t>
            </w:r>
            <w:r>
              <w:rPr>
                <w:rFonts w:hint="eastAsia" w:cs="Times New Roman"/>
                <w:color w:val="auto"/>
                <w:highlight w:val="none"/>
                <w:lang w:eastAsia="zh-CN"/>
              </w:rPr>
              <w:t>枢纽上游河段</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t>拟建船闸上游</w:t>
            </w:r>
            <w:r>
              <w:rPr>
                <w:rFonts w:hint="default" w:ascii="Times New Roman" w:hAnsi="Times New Roman" w:cs="Times New Roman"/>
                <w:color w:val="auto"/>
                <w:highlight w:val="none"/>
                <w:lang w:val="en-US" w:eastAsia="zh-CN"/>
              </w:rPr>
              <w:t>3km</w:t>
            </w:r>
          </w:p>
        </w:tc>
        <w:tc>
          <w:tcPr>
            <w:tcW w:w="583" w:type="pct"/>
            <w:vAlign w:val="center"/>
          </w:tcPr>
          <w:p>
            <w:pPr>
              <w:pStyle w:val="203"/>
              <w:rPr>
                <w:rFonts w:hint="default" w:ascii="Times New Roman" w:hAnsi="Times New Roman" w:cs="Times New Roman"/>
                <w:color w:val="auto"/>
                <w:kern w:val="0"/>
                <w:highlight w:val="none"/>
              </w:rPr>
            </w:pPr>
            <w:r>
              <w:rPr>
                <w:rFonts w:hint="eastAsia"/>
                <w:color w:val="auto"/>
                <w:highlight w:val="none"/>
              </w:rPr>
              <w:t>2024年12月5日</w:t>
            </w:r>
          </w:p>
        </w:tc>
        <w:tc>
          <w:tcPr>
            <w:tcW w:w="792" w:type="pct"/>
            <w:vAlign w:val="center"/>
          </w:tcPr>
          <w:p>
            <w:pPr>
              <w:pStyle w:val="203"/>
              <w:rPr>
                <w:rFonts w:hint="default" w:ascii="Times New Roman" w:hAnsi="Times New Roman" w:cs="Times New Roman"/>
                <w:color w:val="auto"/>
                <w:kern w:val="0"/>
                <w:highlight w:val="none"/>
              </w:rPr>
            </w:pPr>
            <w:r>
              <w:rPr>
                <w:rFonts w:hint="eastAsia"/>
                <w:color w:val="auto"/>
                <w:highlight w:val="none"/>
              </w:rPr>
              <w:t>pH、铜、镉、铅、铬、汞、砷、锌、镍</w:t>
            </w:r>
          </w:p>
        </w:tc>
        <w:tc>
          <w:tcPr>
            <w:tcW w:w="1430" w:type="pct"/>
            <w:vAlign w:val="center"/>
          </w:tcPr>
          <w:p>
            <w:pPr>
              <w:pStyle w:val="203"/>
              <w:rPr>
                <w:rFonts w:hint="default" w:ascii="Times New Roman" w:hAnsi="Times New Roman" w:eastAsia="宋体" w:cs="Times New Roman"/>
                <w:color w:val="auto"/>
                <w:kern w:val="0"/>
                <w:highlight w:val="none"/>
                <w:lang w:eastAsia="zh-CN"/>
              </w:rPr>
            </w:pPr>
            <w:r>
              <w:rPr>
                <w:rFonts w:hint="default" w:ascii="Times New Roman" w:hAnsi="Times New Roman" w:cs="Times New Roman"/>
                <w:color w:val="auto"/>
                <w:kern w:val="0"/>
                <w:highlight w:val="none"/>
                <w:lang w:eastAsia="zh-CN"/>
              </w:rPr>
              <w:t>引用《合川区涪江富金坝电站至渭沱电站段河道清淤项目环境影响报告书》监测数据（</w:t>
            </w:r>
            <w:r>
              <w:rPr>
                <w:rFonts w:hint="eastAsia" w:ascii="Times New Roman" w:hAnsi="Times New Roman" w:cs="Times New Roman"/>
                <w:color w:val="auto"/>
                <w:kern w:val="0"/>
                <w:highlight w:val="none"/>
                <w:lang w:val="en-US" w:eastAsia="zh-CN"/>
              </w:rPr>
              <w:t>D</w:t>
            </w:r>
            <w:r>
              <w:rPr>
                <w:rFonts w:hint="eastAsia" w:cs="Times New Roman"/>
                <w:color w:val="auto"/>
                <w:kern w:val="0"/>
                <w:highlight w:val="none"/>
                <w:lang w:val="en-US" w:eastAsia="zh-CN"/>
              </w:rPr>
              <w:t>N</w:t>
            </w:r>
            <w:r>
              <w:rPr>
                <w:rFonts w:hint="eastAsia" w:ascii="Times New Roman" w:hAnsi="Times New Roman" w:cs="Times New Roman"/>
                <w:color w:val="auto"/>
                <w:kern w:val="0"/>
                <w:highlight w:val="none"/>
                <w:lang w:val="en-US" w:eastAsia="zh-CN"/>
              </w:rPr>
              <w:t>2</w:t>
            </w:r>
            <w:r>
              <w:rPr>
                <w:rFonts w:hint="default" w:ascii="Times New Roman" w:hAnsi="Times New Roman" w:cs="Times New Roman"/>
                <w:color w:val="auto"/>
                <w:kern w:val="0"/>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13" w:type="pct"/>
            <w:vMerge w:val="continue"/>
            <w:vAlign w:val="center"/>
          </w:tcPr>
          <w:p>
            <w:pPr>
              <w:pStyle w:val="203"/>
              <w:rPr>
                <w:rFonts w:hint="default" w:ascii="Times New Roman" w:hAnsi="Times New Roman" w:cs="Times New Roman"/>
                <w:color w:val="auto"/>
                <w:highlight w:val="none"/>
              </w:rPr>
            </w:pPr>
          </w:p>
        </w:tc>
        <w:tc>
          <w:tcPr>
            <w:tcW w:w="360" w:type="pct"/>
            <w:vAlign w:val="center"/>
          </w:tcPr>
          <w:p>
            <w:pPr>
              <w:pStyle w:val="203"/>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Y</w:t>
            </w:r>
            <w:r>
              <w:rPr>
                <w:rFonts w:hint="eastAsia" w:ascii="Times New Roman" w:hAnsi="Times New Roman" w:cs="Times New Roman"/>
                <w:color w:val="auto"/>
                <w:highlight w:val="none"/>
                <w:lang w:val="en-US" w:eastAsia="zh-CN"/>
              </w:rPr>
              <w:t>D3</w:t>
            </w:r>
          </w:p>
        </w:tc>
        <w:tc>
          <w:tcPr>
            <w:tcW w:w="719" w:type="pct"/>
            <w:vAlign w:val="center"/>
          </w:tcPr>
          <w:p>
            <w:pPr>
              <w:pStyle w:val="203"/>
              <w:rPr>
                <w:rFonts w:hint="default" w:ascii="Times New Roman" w:hAnsi="Times New Roman" w:cs="Times New Roman"/>
                <w:color w:val="auto"/>
                <w:highlight w:val="none"/>
                <w:lang w:val="en-US" w:eastAsia="zh-CN"/>
              </w:rPr>
            </w:pPr>
            <w:r>
              <w:rPr>
                <w:rFonts w:hint="eastAsia"/>
                <w:color w:val="auto"/>
                <w:sz w:val="22"/>
                <w:szCs w:val="22"/>
                <w:highlight w:val="none"/>
              </w:rPr>
              <w:t>坐金滩</w:t>
            </w:r>
          </w:p>
        </w:tc>
        <w:tc>
          <w:tcPr>
            <w:tcW w:w="800" w:type="pct"/>
            <w:vAlign w:val="center"/>
          </w:tcPr>
          <w:p>
            <w:pPr>
              <w:pStyle w:val="203"/>
              <w:rPr>
                <w:rFonts w:hint="default"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渭沱</w:t>
            </w:r>
            <w:r>
              <w:rPr>
                <w:rFonts w:hint="eastAsia" w:cs="Times New Roman"/>
                <w:color w:val="auto"/>
                <w:highlight w:val="none"/>
                <w:lang w:eastAsia="zh-CN"/>
              </w:rPr>
              <w:t>枢纽</w:t>
            </w:r>
            <w:r>
              <w:rPr>
                <w:rFonts w:hint="eastAsia" w:ascii="Times New Roman" w:hAnsi="Times New Roman" w:cs="Times New Roman"/>
                <w:color w:val="auto"/>
                <w:highlight w:val="none"/>
                <w:lang w:eastAsia="zh-CN"/>
              </w:rPr>
              <w:t>下游河段，</w:t>
            </w:r>
            <w:r>
              <w:rPr>
                <w:rFonts w:hint="default" w:ascii="Times New Roman" w:hAnsi="Times New Roman" w:cs="Times New Roman"/>
                <w:color w:val="auto"/>
                <w:highlight w:val="none"/>
                <w:lang w:eastAsia="zh-CN"/>
              </w:rPr>
              <w:t>拟建船闸</w:t>
            </w:r>
            <w:r>
              <w:rPr>
                <w:rFonts w:hint="eastAsia" w:ascii="Times New Roman" w:hAnsi="Times New Roman" w:cs="Times New Roman"/>
                <w:color w:val="auto"/>
                <w:highlight w:val="none"/>
                <w:lang w:eastAsia="zh-CN"/>
              </w:rPr>
              <w:t>下游</w:t>
            </w:r>
            <w:r>
              <w:rPr>
                <w:rFonts w:hint="eastAsia" w:ascii="Times New Roman" w:hAnsi="Times New Roman" w:cs="Times New Roman"/>
                <w:color w:val="auto"/>
                <w:highlight w:val="none"/>
                <w:lang w:val="en-US" w:eastAsia="zh-CN"/>
              </w:rPr>
              <w:t>1</w:t>
            </w:r>
            <w:r>
              <w:rPr>
                <w:rFonts w:hint="default" w:ascii="Times New Roman" w:hAnsi="Times New Roman" w:cs="Times New Roman"/>
                <w:color w:val="auto"/>
                <w:highlight w:val="none"/>
                <w:lang w:val="en-US" w:eastAsia="zh-CN"/>
              </w:rPr>
              <w:t>km</w:t>
            </w:r>
          </w:p>
        </w:tc>
        <w:tc>
          <w:tcPr>
            <w:tcW w:w="583" w:type="pct"/>
            <w:vAlign w:val="center"/>
          </w:tcPr>
          <w:p>
            <w:pPr>
              <w:pStyle w:val="203"/>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2024年4月24日</w:t>
            </w:r>
          </w:p>
        </w:tc>
        <w:tc>
          <w:tcPr>
            <w:tcW w:w="792" w:type="pct"/>
            <w:vAlign w:val="center"/>
          </w:tcPr>
          <w:p>
            <w:pPr>
              <w:pStyle w:val="203"/>
              <w:rPr>
                <w:rFonts w:hint="default" w:ascii="Times New Roman" w:hAnsi="Times New Roman" w:cs="Times New Roman"/>
                <w:color w:val="auto"/>
                <w:kern w:val="0"/>
                <w:highlight w:val="none"/>
              </w:rPr>
            </w:pPr>
            <w:r>
              <w:rPr>
                <w:rFonts w:hint="eastAsia"/>
                <w:color w:val="auto"/>
                <w:highlight w:val="none"/>
              </w:rPr>
              <w:t>pH、铜、镉、铅、铬、汞、砷、锌、镍</w:t>
            </w:r>
          </w:p>
        </w:tc>
        <w:tc>
          <w:tcPr>
            <w:tcW w:w="1430" w:type="pct"/>
            <w:vAlign w:val="center"/>
          </w:tcPr>
          <w:p>
            <w:pPr>
              <w:pStyle w:val="203"/>
              <w:rPr>
                <w:rFonts w:hint="default" w:ascii="Times New Roman" w:hAnsi="Times New Roman" w:cs="Times New Roman"/>
                <w:color w:val="auto"/>
                <w:kern w:val="0"/>
                <w:highlight w:val="none"/>
                <w:lang w:eastAsia="zh-CN"/>
              </w:rPr>
            </w:pPr>
            <w:r>
              <w:rPr>
                <w:rFonts w:hint="default" w:ascii="Times New Roman" w:hAnsi="Times New Roman" w:cs="Times New Roman"/>
                <w:color w:val="auto"/>
                <w:kern w:val="0"/>
                <w:highlight w:val="none"/>
                <w:lang w:eastAsia="zh-CN"/>
              </w:rPr>
              <w:t>引用《涪江重庆段航道整治工程环境影响报告书》监测数据（</w:t>
            </w:r>
            <w:r>
              <w:rPr>
                <w:rFonts w:hint="eastAsia" w:ascii="Times New Roman" w:hAnsi="Times New Roman" w:cs="Times New Roman"/>
                <w:color w:val="auto"/>
                <w:kern w:val="0"/>
                <w:highlight w:val="none"/>
                <w:lang w:val="en-US" w:eastAsia="zh-CN"/>
              </w:rPr>
              <w:t>D3</w:t>
            </w:r>
            <w:r>
              <w:rPr>
                <w:rFonts w:hint="default" w:ascii="Times New Roman" w:hAnsi="Times New Roman" w:cs="Times New Roman"/>
                <w:color w:val="auto"/>
                <w:kern w:val="0"/>
                <w:highlight w:val="none"/>
                <w:lang w:eastAsia="zh-CN"/>
              </w:rPr>
              <w:t>）</w:t>
            </w:r>
          </w:p>
        </w:tc>
      </w:tr>
    </w:tbl>
    <w:p>
      <w:pPr>
        <w:spacing w:line="240" w:lineRule="auto"/>
        <w:ind w:firstLine="520"/>
        <w:rPr>
          <w:rFonts w:hint="default" w:ascii="Times New Roman" w:hAnsi="Times New Roman" w:cs="Times New Roman" w:eastAsiaTheme="minorEastAsia"/>
          <w:color w:val="auto"/>
          <w:highlight w:val="none"/>
        </w:rPr>
      </w:pPr>
    </w:p>
    <w:p>
      <w:pPr>
        <w:ind w:firstLine="520"/>
        <w:rPr>
          <w:rFonts w:hint="default" w:ascii="Times New Roman" w:hAnsi="Times New Roman" w:cs="Times New Roman" w:eastAsiaTheme="minorEastAsia"/>
          <w:color w:val="auto"/>
          <w:highlight w:val="none"/>
        </w:rPr>
      </w:pPr>
      <w:r>
        <w:rPr>
          <w:rFonts w:hint="eastAsia" w:ascii="Times New Roman" w:hAnsi="Times New Roman" w:cs="Times New Roman"/>
          <w:color w:val="auto"/>
          <w:highlight w:val="none"/>
          <w:lang w:eastAsia="zh-CN"/>
        </w:rPr>
        <w:t>目前，项目所在涪江江段已全部渠化，各枢纽电站均为日调节功能，库区内底泥情况类似，本次评价引用底泥监测点位覆盖了渭沱电站库区及河段</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eastAsia="zh-CN"/>
        </w:rPr>
        <w:t>点位</w:t>
      </w:r>
      <w:r>
        <w:rPr>
          <w:rFonts w:hint="default" w:ascii="Times New Roman" w:hAnsi="Times New Roman" w:cs="Times New Roman"/>
          <w:color w:val="auto"/>
          <w:highlight w:val="none"/>
          <w:lang w:eastAsia="zh-CN"/>
        </w:rPr>
        <w:t>布设</w:t>
      </w:r>
      <w:r>
        <w:rPr>
          <w:rFonts w:hint="default" w:ascii="Times New Roman" w:hAnsi="Times New Roman" w:cs="Times New Roman"/>
          <w:color w:val="auto"/>
          <w:highlight w:val="none"/>
        </w:rPr>
        <w:t>具有一定代表性，可反映区域</w:t>
      </w:r>
      <w:r>
        <w:rPr>
          <w:rFonts w:hint="eastAsia" w:ascii="Times New Roman" w:hAnsi="Times New Roman" w:cs="Times New Roman"/>
          <w:color w:val="auto"/>
          <w:highlight w:val="none"/>
          <w:lang w:eastAsia="zh-CN"/>
        </w:rPr>
        <w:t>底泥环境</w:t>
      </w:r>
      <w:r>
        <w:rPr>
          <w:rFonts w:hint="default" w:ascii="Times New Roman" w:hAnsi="Times New Roman" w:cs="Times New Roman"/>
          <w:color w:val="auto"/>
          <w:highlight w:val="none"/>
        </w:rPr>
        <w:t>质量现状。</w:t>
      </w:r>
    </w:p>
    <w:p>
      <w:pPr>
        <w:tabs>
          <w:tab w:val="center" w:pos="4625"/>
        </w:tabs>
        <w:ind w:firstLine="520"/>
        <w:rPr>
          <w:color w:val="auto"/>
          <w:highlight w:val="none"/>
        </w:rPr>
      </w:pPr>
      <w:r>
        <w:rPr>
          <w:rFonts w:hint="eastAsia"/>
          <w:color w:val="auto"/>
          <w:highlight w:val="none"/>
        </w:rPr>
        <w:t>（</w:t>
      </w:r>
      <w:r>
        <w:rPr>
          <w:rFonts w:hint="eastAsia"/>
          <w:color w:val="auto"/>
          <w:highlight w:val="none"/>
          <w:lang w:val="en-US" w:eastAsia="zh-CN"/>
        </w:rPr>
        <w:t>2</w:t>
      </w:r>
      <w:r>
        <w:rPr>
          <w:rFonts w:hint="eastAsia"/>
          <w:color w:val="auto"/>
          <w:highlight w:val="none"/>
        </w:rPr>
        <w:t>）评价方法</w:t>
      </w:r>
    </w:p>
    <w:p>
      <w:pPr>
        <w:tabs>
          <w:tab w:val="center" w:pos="4625"/>
        </w:tabs>
        <w:ind w:firstLine="520"/>
        <w:rPr>
          <w:color w:val="auto"/>
          <w:highlight w:val="none"/>
        </w:rPr>
      </w:pPr>
      <w:r>
        <w:rPr>
          <w:rFonts w:hint="eastAsia"/>
          <w:color w:val="auto"/>
          <w:highlight w:val="none"/>
        </w:rPr>
        <w:t>采用底泥污染指数法，公式为：</w:t>
      </w:r>
    </w:p>
    <w:p>
      <w:pPr>
        <w:tabs>
          <w:tab w:val="center" w:pos="4625"/>
        </w:tabs>
        <w:ind w:firstLine="0" w:firstLineChars="0"/>
        <w:jc w:val="center"/>
        <w:rPr>
          <w:i/>
          <w:iCs/>
          <w:color w:val="auto"/>
          <w:highlight w:val="none"/>
          <w:lang w:val="en-GB"/>
        </w:rPr>
      </w:pPr>
      <w:r>
        <w:rPr>
          <w:i/>
          <w:iCs/>
          <w:color w:val="auto"/>
          <w:highlight w:val="none"/>
          <w:lang w:val="en-GB"/>
        </w:rPr>
        <w:t>P</w:t>
      </w:r>
      <w:r>
        <w:rPr>
          <w:i/>
          <w:iCs/>
          <w:color w:val="auto"/>
          <w:highlight w:val="none"/>
          <w:vertAlign w:val="subscript"/>
          <w:lang w:val="en-GB"/>
        </w:rPr>
        <w:t>i</w:t>
      </w:r>
      <w:r>
        <w:rPr>
          <w:rFonts w:hint="eastAsia"/>
          <w:i/>
          <w:iCs/>
          <w:color w:val="auto"/>
          <w:highlight w:val="none"/>
          <w:vertAlign w:val="subscript"/>
          <w:lang w:val="en-GB"/>
        </w:rPr>
        <w:t>，</w:t>
      </w:r>
      <w:r>
        <w:rPr>
          <w:i/>
          <w:iCs/>
          <w:color w:val="auto"/>
          <w:highlight w:val="none"/>
          <w:vertAlign w:val="subscript"/>
          <w:lang w:val="en-GB"/>
        </w:rPr>
        <w:t>j</w:t>
      </w:r>
      <w:r>
        <w:rPr>
          <w:i w:val="0"/>
          <w:iCs w:val="0"/>
          <w:color w:val="auto"/>
          <w:highlight w:val="none"/>
          <w:lang w:val="en-GB"/>
        </w:rPr>
        <w:t>=</w:t>
      </w:r>
      <w:r>
        <w:rPr>
          <w:i/>
          <w:iCs/>
          <w:color w:val="auto"/>
          <w:highlight w:val="none"/>
          <w:shd w:val="clear" w:fill="FFFFFF"/>
          <w:lang w:val="en-GB"/>
        </w:rPr>
        <w:t>C</w:t>
      </w:r>
      <w:r>
        <w:rPr>
          <w:i/>
          <w:iCs/>
          <w:color w:val="auto"/>
          <w:highlight w:val="none"/>
          <w:shd w:val="clear" w:fill="FFFFFF"/>
          <w:vertAlign w:val="subscript"/>
          <w:lang w:val="en-GB"/>
        </w:rPr>
        <w:t>i</w:t>
      </w:r>
      <w:r>
        <w:rPr>
          <w:rFonts w:hint="eastAsia"/>
          <w:i/>
          <w:iCs/>
          <w:color w:val="auto"/>
          <w:highlight w:val="none"/>
          <w:vertAlign w:val="subscript"/>
          <w:lang w:val="en-GB"/>
        </w:rPr>
        <w:t>，</w:t>
      </w:r>
      <w:r>
        <w:rPr>
          <w:i/>
          <w:iCs/>
          <w:color w:val="auto"/>
          <w:highlight w:val="none"/>
          <w:vertAlign w:val="subscript"/>
          <w:lang w:val="en-GB"/>
        </w:rPr>
        <w:t>j</w:t>
      </w:r>
      <w:r>
        <w:rPr>
          <w:i w:val="0"/>
          <w:iCs w:val="0"/>
          <w:color w:val="auto"/>
          <w:highlight w:val="none"/>
          <w:lang w:val="en-GB"/>
        </w:rPr>
        <w:t>/</w:t>
      </w:r>
      <w:r>
        <w:rPr>
          <w:i/>
          <w:iCs/>
          <w:color w:val="auto"/>
          <w:highlight w:val="none"/>
          <w:lang w:val="en-GB"/>
        </w:rPr>
        <w:t>C</w:t>
      </w:r>
      <w:r>
        <w:rPr>
          <w:i/>
          <w:iCs/>
          <w:color w:val="auto"/>
          <w:highlight w:val="none"/>
          <w:vertAlign w:val="subscript"/>
          <w:lang w:val="en-GB"/>
        </w:rPr>
        <w:t>si</w:t>
      </w:r>
    </w:p>
    <w:p>
      <w:pPr>
        <w:tabs>
          <w:tab w:val="center" w:pos="4625"/>
        </w:tabs>
        <w:ind w:firstLine="520"/>
        <w:rPr>
          <w:rFonts w:hint="eastAsia"/>
          <w:color w:val="auto"/>
          <w:highlight w:val="none"/>
        </w:rPr>
      </w:pPr>
      <w:r>
        <w:rPr>
          <w:rFonts w:hint="eastAsia"/>
          <w:color w:val="auto"/>
          <w:highlight w:val="none"/>
        </w:rPr>
        <w:t>式中：</w:t>
      </w:r>
    </w:p>
    <w:p>
      <w:pPr>
        <w:tabs>
          <w:tab w:val="center" w:pos="4625"/>
        </w:tabs>
        <w:ind w:firstLine="520"/>
        <w:rPr>
          <w:color w:val="auto"/>
          <w:highlight w:val="none"/>
        </w:rPr>
      </w:pPr>
      <w:r>
        <w:rPr>
          <w:i/>
          <w:iCs/>
          <w:color w:val="auto"/>
          <w:highlight w:val="none"/>
        </w:rPr>
        <w:t>P</w:t>
      </w:r>
      <w:r>
        <w:rPr>
          <w:i/>
          <w:iCs/>
          <w:color w:val="auto"/>
          <w:highlight w:val="none"/>
          <w:vertAlign w:val="subscript"/>
        </w:rPr>
        <w:t>i</w:t>
      </w:r>
      <w:r>
        <w:rPr>
          <w:rFonts w:hint="eastAsia"/>
          <w:i/>
          <w:iCs/>
          <w:color w:val="auto"/>
          <w:highlight w:val="none"/>
          <w:vertAlign w:val="subscript"/>
        </w:rPr>
        <w:t>，</w:t>
      </w:r>
      <w:r>
        <w:rPr>
          <w:i/>
          <w:iCs/>
          <w:color w:val="auto"/>
          <w:highlight w:val="none"/>
          <w:vertAlign w:val="subscript"/>
        </w:rPr>
        <w:t>j</w:t>
      </w:r>
      <w:r>
        <w:rPr>
          <w:rFonts w:hint="eastAsia"/>
          <w:color w:val="auto"/>
          <w:highlight w:val="none"/>
        </w:rPr>
        <w:t>——底泥污染因子</w:t>
      </w:r>
      <w:r>
        <w:rPr>
          <w:color w:val="auto"/>
          <w:highlight w:val="none"/>
        </w:rPr>
        <w:t>i</w:t>
      </w:r>
      <w:r>
        <w:rPr>
          <w:rFonts w:hint="eastAsia"/>
          <w:color w:val="auto"/>
          <w:highlight w:val="none"/>
        </w:rPr>
        <w:t>的单项污染指数，大于</w:t>
      </w:r>
      <w:r>
        <w:rPr>
          <w:color w:val="auto"/>
          <w:highlight w:val="none"/>
        </w:rPr>
        <w:t>1</w:t>
      </w:r>
      <w:r>
        <w:rPr>
          <w:rFonts w:hint="eastAsia"/>
          <w:color w:val="auto"/>
          <w:highlight w:val="none"/>
        </w:rPr>
        <w:t>表明该污染因子超标；</w:t>
      </w:r>
    </w:p>
    <w:p>
      <w:pPr>
        <w:tabs>
          <w:tab w:val="center" w:pos="4625"/>
        </w:tabs>
        <w:ind w:firstLine="520"/>
        <w:rPr>
          <w:color w:val="auto"/>
          <w:highlight w:val="none"/>
        </w:rPr>
      </w:pPr>
      <w:r>
        <w:rPr>
          <w:i/>
          <w:iCs/>
          <w:color w:val="auto"/>
          <w:highlight w:val="none"/>
          <w:shd w:val="clear" w:fill="FFFFFF"/>
        </w:rPr>
        <w:t>C</w:t>
      </w:r>
      <w:r>
        <w:rPr>
          <w:i/>
          <w:iCs/>
          <w:color w:val="auto"/>
          <w:highlight w:val="none"/>
          <w:shd w:val="clear" w:fill="FFFFFF"/>
          <w:vertAlign w:val="subscript"/>
        </w:rPr>
        <w:t>i</w:t>
      </w:r>
      <w:r>
        <w:rPr>
          <w:rFonts w:hint="eastAsia"/>
          <w:i/>
          <w:iCs/>
          <w:color w:val="auto"/>
          <w:highlight w:val="none"/>
          <w:vertAlign w:val="subscript"/>
        </w:rPr>
        <w:t>，</w:t>
      </w:r>
      <w:r>
        <w:rPr>
          <w:i/>
          <w:iCs/>
          <w:color w:val="auto"/>
          <w:highlight w:val="none"/>
          <w:vertAlign w:val="subscript"/>
        </w:rPr>
        <w:t>j</w:t>
      </w:r>
      <w:r>
        <w:rPr>
          <w:rFonts w:hint="eastAsia"/>
          <w:color w:val="auto"/>
          <w:highlight w:val="none"/>
        </w:rPr>
        <w:t>——调查点位污染因子</w:t>
      </w:r>
      <w:r>
        <w:rPr>
          <w:color w:val="auto"/>
          <w:highlight w:val="none"/>
        </w:rPr>
        <w:t>i</w:t>
      </w:r>
      <w:r>
        <w:rPr>
          <w:rFonts w:hint="eastAsia"/>
          <w:color w:val="auto"/>
          <w:highlight w:val="none"/>
        </w:rPr>
        <w:t>的实测值，</w:t>
      </w:r>
      <w:r>
        <w:rPr>
          <w:color w:val="auto"/>
          <w:highlight w:val="none"/>
        </w:rPr>
        <w:t>mg/L</w:t>
      </w:r>
      <w:r>
        <w:rPr>
          <w:rFonts w:hint="eastAsia"/>
          <w:color w:val="auto"/>
          <w:highlight w:val="none"/>
        </w:rPr>
        <w:t>；</w:t>
      </w:r>
    </w:p>
    <w:p>
      <w:pPr>
        <w:tabs>
          <w:tab w:val="center" w:pos="4625"/>
        </w:tabs>
        <w:ind w:firstLine="520"/>
        <w:rPr>
          <w:color w:val="auto"/>
          <w:highlight w:val="none"/>
        </w:rPr>
      </w:pPr>
      <w:r>
        <w:rPr>
          <w:i/>
          <w:iCs/>
          <w:color w:val="auto"/>
          <w:highlight w:val="none"/>
        </w:rPr>
        <w:t>Cs</w:t>
      </w:r>
      <w:r>
        <w:rPr>
          <w:i/>
          <w:iCs/>
          <w:color w:val="auto"/>
          <w:highlight w:val="none"/>
          <w:vertAlign w:val="subscript"/>
        </w:rPr>
        <w:t>i</w:t>
      </w:r>
      <w:r>
        <w:rPr>
          <w:rFonts w:hint="eastAsia"/>
          <w:color w:val="auto"/>
          <w:highlight w:val="none"/>
        </w:rPr>
        <w:t>——污染因子</w:t>
      </w:r>
      <w:r>
        <w:rPr>
          <w:color w:val="auto"/>
          <w:highlight w:val="none"/>
        </w:rPr>
        <w:t>i</w:t>
      </w:r>
      <w:r>
        <w:rPr>
          <w:rFonts w:hint="eastAsia"/>
          <w:color w:val="auto"/>
          <w:highlight w:val="none"/>
        </w:rPr>
        <w:t>项的评价标准，</w:t>
      </w:r>
      <w:r>
        <w:rPr>
          <w:color w:val="auto"/>
          <w:highlight w:val="none"/>
        </w:rPr>
        <w:t>mg/L</w:t>
      </w:r>
      <w:r>
        <w:rPr>
          <w:rFonts w:hint="eastAsia"/>
          <w:color w:val="auto"/>
          <w:highlight w:val="none"/>
        </w:rPr>
        <w:t>。</w:t>
      </w:r>
    </w:p>
    <w:p>
      <w:pPr>
        <w:tabs>
          <w:tab w:val="center" w:pos="4625"/>
        </w:tabs>
        <w:ind w:firstLine="520"/>
        <w:rPr>
          <w:color w:val="auto"/>
          <w:highlight w:val="none"/>
        </w:rPr>
      </w:pPr>
      <w:r>
        <w:rPr>
          <w:rFonts w:hint="eastAsia"/>
          <w:color w:val="auto"/>
          <w:highlight w:val="none"/>
        </w:rPr>
        <w:t>（</w:t>
      </w:r>
      <w:r>
        <w:rPr>
          <w:rFonts w:hint="eastAsia"/>
          <w:color w:val="auto"/>
          <w:highlight w:val="none"/>
          <w:lang w:val="en-US" w:eastAsia="zh-CN"/>
        </w:rPr>
        <w:t>3</w:t>
      </w:r>
      <w:r>
        <w:rPr>
          <w:rFonts w:hint="eastAsia"/>
          <w:color w:val="auto"/>
          <w:highlight w:val="none"/>
        </w:rPr>
        <w:t>）监测</w:t>
      </w:r>
      <w:r>
        <w:rPr>
          <w:rFonts w:hint="eastAsia"/>
          <w:color w:val="auto"/>
          <w:highlight w:val="none"/>
          <w:lang w:eastAsia="zh-CN"/>
        </w:rPr>
        <w:t>及评价</w:t>
      </w:r>
      <w:r>
        <w:rPr>
          <w:rFonts w:hint="eastAsia"/>
          <w:color w:val="auto"/>
          <w:highlight w:val="none"/>
        </w:rPr>
        <w:t>结果</w:t>
      </w:r>
    </w:p>
    <w:p>
      <w:pPr>
        <w:tabs>
          <w:tab w:val="center" w:pos="4625"/>
        </w:tabs>
        <w:ind w:firstLine="520"/>
        <w:rPr>
          <w:rFonts w:hint="eastAsia" w:eastAsia="宋体"/>
          <w:color w:val="auto"/>
          <w:highlight w:val="none"/>
          <w:lang w:eastAsia="zh-CN"/>
        </w:rPr>
      </w:pPr>
      <w:r>
        <w:rPr>
          <w:rFonts w:hint="eastAsia"/>
          <w:color w:val="auto"/>
          <w:highlight w:val="none"/>
        </w:rPr>
        <w:t>底质监测</w:t>
      </w:r>
      <w:r>
        <w:rPr>
          <w:rFonts w:hint="eastAsia"/>
          <w:color w:val="auto"/>
          <w:highlight w:val="none"/>
          <w:lang w:eastAsia="zh-CN"/>
        </w:rPr>
        <w:t>及评价</w:t>
      </w:r>
      <w:r>
        <w:rPr>
          <w:rFonts w:hint="eastAsia"/>
          <w:color w:val="auto"/>
          <w:highlight w:val="none"/>
        </w:rPr>
        <w:t>结果见</w:t>
      </w:r>
      <w:r>
        <w:rPr>
          <w:rFonts w:hint="eastAsia"/>
          <w:color w:val="auto"/>
          <w:highlight w:val="none"/>
          <w:lang w:eastAsia="zh-CN"/>
        </w:rPr>
        <w:t>下表：</w:t>
      </w:r>
    </w:p>
    <w:p>
      <w:pPr>
        <w:tabs>
          <w:tab w:val="center" w:pos="4625"/>
        </w:tabs>
        <w:spacing w:line="240" w:lineRule="auto"/>
        <w:ind w:firstLine="520"/>
        <w:rPr>
          <w:color w:val="auto"/>
          <w:highlight w:val="none"/>
        </w:rPr>
      </w:pPr>
    </w:p>
    <w:p>
      <w:pPr>
        <w:tabs>
          <w:tab w:val="center" w:pos="4625"/>
        </w:tabs>
        <w:spacing w:line="240" w:lineRule="auto"/>
        <w:ind w:left="0" w:leftChars="0" w:firstLine="0" w:firstLineChars="0"/>
        <w:jc w:val="center"/>
        <w:rPr>
          <w:rFonts w:hint="eastAsia"/>
          <w:color w:val="auto"/>
          <w:highlight w:val="none"/>
          <w:lang w:val="en-US" w:eastAsia="zh-CN"/>
        </w:rPr>
      </w:pPr>
    </w:p>
    <w:p>
      <w:pPr>
        <w:tabs>
          <w:tab w:val="center" w:pos="4625"/>
        </w:tabs>
        <w:spacing w:line="240" w:lineRule="auto"/>
        <w:ind w:left="0" w:leftChars="0" w:firstLine="0" w:firstLineChars="0"/>
        <w:jc w:val="center"/>
        <w:rPr>
          <w:rFonts w:hint="eastAsia"/>
          <w:color w:val="auto"/>
          <w:highlight w:val="none"/>
          <w:lang w:val="en-US" w:eastAsia="zh-CN"/>
        </w:rPr>
      </w:pPr>
    </w:p>
    <w:p>
      <w:pPr>
        <w:tabs>
          <w:tab w:val="center" w:pos="4625"/>
        </w:tabs>
        <w:spacing w:line="240" w:lineRule="auto"/>
        <w:ind w:left="0" w:leftChars="0" w:firstLine="0" w:firstLineChars="0"/>
        <w:jc w:val="center"/>
        <w:rPr>
          <w:color w:val="auto"/>
          <w:highlight w:val="none"/>
        </w:rPr>
      </w:pPr>
      <w:r>
        <w:rPr>
          <w:rFonts w:hint="eastAsia"/>
          <w:color w:val="auto"/>
          <w:highlight w:val="none"/>
          <w:lang w:val="en-US" w:eastAsia="zh-CN"/>
        </w:rPr>
        <w:t xml:space="preserve">表3.3.4-2  </w:t>
      </w:r>
      <w:r>
        <w:rPr>
          <w:rFonts w:hint="eastAsia"/>
          <w:color w:val="auto"/>
          <w:highlight w:val="none"/>
        </w:rPr>
        <w:t>底泥监测</w:t>
      </w:r>
      <w:r>
        <w:rPr>
          <w:rFonts w:hint="eastAsia"/>
          <w:color w:val="auto"/>
          <w:highlight w:val="none"/>
          <w:lang w:eastAsia="zh-CN"/>
        </w:rPr>
        <w:t>及评价</w:t>
      </w:r>
      <w:r>
        <w:rPr>
          <w:rFonts w:hint="eastAsia"/>
          <w:color w:val="auto"/>
          <w:highlight w:val="none"/>
        </w:rPr>
        <w:t>结果</w:t>
      </w:r>
      <w:r>
        <w:rPr>
          <w:rFonts w:hint="eastAsia"/>
          <w:color w:val="auto"/>
          <w:highlight w:val="none"/>
          <w:lang w:eastAsia="zh-CN"/>
        </w:rPr>
        <w:t>汇总表</w:t>
      </w:r>
      <w:r>
        <w:rPr>
          <w:rFonts w:hint="eastAsia"/>
          <w:color w:val="auto"/>
          <w:highlight w:val="none"/>
          <w:lang w:val="en-US" w:eastAsia="zh-CN"/>
        </w:rPr>
        <w:t xml:space="preserve">  </w:t>
      </w:r>
      <w:r>
        <w:rPr>
          <w:rFonts w:hint="eastAsia"/>
          <w:color w:val="auto"/>
          <w:sz w:val="22"/>
          <w:szCs w:val="22"/>
          <w:highlight w:val="none"/>
        </w:rPr>
        <w:t>单位：mg/kg</w:t>
      </w:r>
    </w:p>
    <w:tbl>
      <w:tblPr>
        <w:tblStyle w:val="28"/>
        <w:tblW w:w="4849"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558"/>
        <w:gridCol w:w="767"/>
        <w:gridCol w:w="960"/>
        <w:gridCol w:w="770"/>
        <w:gridCol w:w="681"/>
        <w:gridCol w:w="681"/>
        <w:gridCol w:w="681"/>
        <w:gridCol w:w="681"/>
        <w:gridCol w:w="681"/>
        <w:gridCol w:w="692"/>
        <w:gridCol w:w="682"/>
        <w:gridCol w:w="688"/>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558" w:type="dxa"/>
            <w:tcMar>
              <w:top w:w="0" w:type="dxa"/>
              <w:left w:w="28" w:type="dxa"/>
              <w:bottom w:w="0" w:type="dxa"/>
              <w:right w:w="28" w:type="dxa"/>
            </w:tcMar>
            <w:vAlign w:val="center"/>
          </w:tcPr>
          <w:p>
            <w:pPr>
              <w:widowControl/>
              <w:adjustRightInd w:val="0"/>
              <w:snapToGrid w:val="0"/>
              <w:spacing w:line="240" w:lineRule="auto"/>
              <w:ind w:firstLine="0" w:firstLineChars="0"/>
              <w:jc w:val="center"/>
              <w:rPr>
                <w:color w:val="auto"/>
                <w:sz w:val="21"/>
                <w:szCs w:val="21"/>
                <w:highlight w:val="none"/>
                <w:lang w:val="en-GB"/>
              </w:rPr>
            </w:pPr>
            <w:r>
              <w:rPr>
                <w:color w:val="auto"/>
                <w:sz w:val="21"/>
                <w:szCs w:val="21"/>
                <w:highlight w:val="none"/>
                <w:lang w:val="en-GB"/>
              </w:rPr>
              <w:t>序号</w:t>
            </w:r>
          </w:p>
        </w:tc>
        <w:tc>
          <w:tcPr>
            <w:tcW w:w="1727" w:type="dxa"/>
            <w:gridSpan w:val="2"/>
            <w:tcMar>
              <w:top w:w="0" w:type="dxa"/>
              <w:left w:w="28" w:type="dxa"/>
              <w:bottom w:w="0" w:type="dxa"/>
              <w:right w:w="28" w:type="dxa"/>
            </w:tcMar>
            <w:vAlign w:val="center"/>
          </w:tcPr>
          <w:p>
            <w:pPr>
              <w:widowControl/>
              <w:adjustRightInd w:val="0"/>
              <w:snapToGrid w:val="0"/>
              <w:spacing w:line="240" w:lineRule="auto"/>
              <w:ind w:firstLine="0" w:firstLineChars="0"/>
              <w:jc w:val="center"/>
              <w:rPr>
                <w:color w:val="auto"/>
                <w:sz w:val="21"/>
                <w:szCs w:val="21"/>
                <w:highlight w:val="none"/>
                <w:lang w:val="en-GB"/>
              </w:rPr>
            </w:pPr>
            <w:r>
              <w:rPr>
                <w:color w:val="auto"/>
                <w:sz w:val="21"/>
                <w:szCs w:val="21"/>
                <w:highlight w:val="none"/>
                <w:lang w:val="en-GB"/>
              </w:rPr>
              <w:t>监测点位</w:t>
            </w:r>
          </w:p>
        </w:tc>
        <w:tc>
          <w:tcPr>
            <w:tcW w:w="770" w:type="dxa"/>
            <w:tcMar>
              <w:top w:w="0" w:type="dxa"/>
              <w:left w:w="28" w:type="dxa"/>
              <w:bottom w:w="0" w:type="dxa"/>
              <w:right w:w="28" w:type="dxa"/>
            </w:tcMar>
            <w:vAlign w:val="center"/>
          </w:tcPr>
          <w:p>
            <w:pPr>
              <w:widowControl/>
              <w:adjustRightInd w:val="0"/>
              <w:snapToGrid w:val="0"/>
              <w:spacing w:line="240" w:lineRule="auto"/>
              <w:ind w:firstLine="0" w:firstLineChars="0"/>
              <w:jc w:val="center"/>
              <w:rPr>
                <w:color w:val="auto"/>
                <w:sz w:val="21"/>
                <w:szCs w:val="21"/>
                <w:highlight w:val="none"/>
                <w:lang w:val="en-GB"/>
              </w:rPr>
            </w:pPr>
            <w:r>
              <w:rPr>
                <w:color w:val="auto"/>
                <w:sz w:val="21"/>
                <w:szCs w:val="21"/>
                <w:highlight w:val="none"/>
              </w:rPr>
              <w:t>pH</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color w:val="auto"/>
                <w:sz w:val="21"/>
                <w:szCs w:val="21"/>
                <w:highlight w:val="none"/>
                <w:lang w:val="en-GB"/>
              </w:rPr>
            </w:pPr>
            <w:r>
              <w:rPr>
                <w:rFonts w:hint="eastAsia"/>
                <w:color w:val="auto"/>
                <w:sz w:val="21"/>
                <w:szCs w:val="21"/>
                <w:highlight w:val="none"/>
              </w:rPr>
              <w:t>砷</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color w:val="auto"/>
                <w:sz w:val="21"/>
                <w:szCs w:val="21"/>
                <w:highlight w:val="none"/>
                <w:lang w:val="en-GB"/>
              </w:rPr>
            </w:pPr>
            <w:r>
              <w:rPr>
                <w:rFonts w:hint="eastAsia"/>
                <w:color w:val="auto"/>
                <w:sz w:val="21"/>
                <w:szCs w:val="21"/>
                <w:highlight w:val="none"/>
              </w:rPr>
              <w:t>镉</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color w:val="auto"/>
                <w:sz w:val="21"/>
                <w:szCs w:val="21"/>
                <w:highlight w:val="none"/>
                <w:lang w:val="en-GB"/>
              </w:rPr>
            </w:pPr>
            <w:r>
              <w:rPr>
                <w:rFonts w:hint="eastAsia"/>
                <w:color w:val="auto"/>
                <w:sz w:val="21"/>
                <w:szCs w:val="21"/>
                <w:highlight w:val="none"/>
              </w:rPr>
              <w:t>铜</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color w:val="auto"/>
                <w:sz w:val="21"/>
                <w:szCs w:val="21"/>
                <w:highlight w:val="none"/>
                <w:lang w:val="en-GB"/>
              </w:rPr>
            </w:pPr>
            <w:r>
              <w:rPr>
                <w:rFonts w:hint="eastAsia"/>
                <w:color w:val="auto"/>
                <w:sz w:val="21"/>
                <w:szCs w:val="21"/>
                <w:highlight w:val="none"/>
              </w:rPr>
              <w:t>铅</w:t>
            </w:r>
          </w:p>
        </w:tc>
        <w:tc>
          <w:tcPr>
            <w:tcW w:w="681" w:type="dxa"/>
            <w:tcBorders>
              <w:right w:val="single" w:color="auto" w:sz="8" w:space="0"/>
            </w:tcBorders>
            <w:tcMar>
              <w:top w:w="0" w:type="dxa"/>
              <w:left w:w="28" w:type="dxa"/>
              <w:bottom w:w="0" w:type="dxa"/>
              <w:right w:w="28" w:type="dxa"/>
            </w:tcMar>
            <w:vAlign w:val="center"/>
          </w:tcPr>
          <w:p>
            <w:pPr>
              <w:widowControl/>
              <w:adjustRightInd w:val="0"/>
              <w:snapToGrid w:val="0"/>
              <w:spacing w:line="240" w:lineRule="auto"/>
              <w:ind w:firstLine="0" w:firstLineChars="0"/>
              <w:jc w:val="center"/>
              <w:rPr>
                <w:color w:val="auto"/>
                <w:sz w:val="21"/>
                <w:szCs w:val="21"/>
                <w:highlight w:val="none"/>
                <w:lang w:val="en-GB"/>
              </w:rPr>
            </w:pPr>
            <w:r>
              <w:rPr>
                <w:rFonts w:hint="eastAsia"/>
                <w:color w:val="auto"/>
                <w:sz w:val="21"/>
                <w:szCs w:val="21"/>
                <w:highlight w:val="none"/>
              </w:rPr>
              <w:t>汞</w:t>
            </w:r>
          </w:p>
        </w:tc>
        <w:tc>
          <w:tcPr>
            <w:tcW w:w="692" w:type="dxa"/>
            <w:tcBorders>
              <w:left w:val="single" w:color="auto" w:sz="8" w:space="0"/>
            </w:tcBorders>
            <w:vAlign w:val="center"/>
          </w:tcPr>
          <w:p>
            <w:pPr>
              <w:widowControl/>
              <w:adjustRightInd w:val="0"/>
              <w:snapToGrid w:val="0"/>
              <w:spacing w:line="240" w:lineRule="auto"/>
              <w:ind w:firstLine="0" w:firstLineChars="0"/>
              <w:jc w:val="center"/>
              <w:rPr>
                <w:color w:val="auto"/>
                <w:sz w:val="21"/>
                <w:szCs w:val="21"/>
                <w:highlight w:val="none"/>
                <w:lang w:val="en-GB"/>
              </w:rPr>
            </w:pPr>
            <w:r>
              <w:rPr>
                <w:rFonts w:hint="eastAsia"/>
                <w:color w:val="auto"/>
                <w:sz w:val="21"/>
                <w:szCs w:val="21"/>
                <w:highlight w:val="none"/>
              </w:rPr>
              <w:t>镍</w:t>
            </w:r>
          </w:p>
        </w:tc>
        <w:tc>
          <w:tcPr>
            <w:tcW w:w="682" w:type="dxa"/>
            <w:tcMar>
              <w:top w:w="0" w:type="dxa"/>
              <w:left w:w="28" w:type="dxa"/>
              <w:bottom w:w="0" w:type="dxa"/>
              <w:right w:w="28" w:type="dxa"/>
            </w:tcMar>
            <w:vAlign w:val="center"/>
          </w:tcPr>
          <w:p>
            <w:pPr>
              <w:widowControl/>
              <w:adjustRightInd w:val="0"/>
              <w:snapToGrid w:val="0"/>
              <w:spacing w:line="240" w:lineRule="auto"/>
              <w:ind w:firstLine="0" w:firstLineChars="0"/>
              <w:jc w:val="center"/>
              <w:rPr>
                <w:color w:val="auto"/>
                <w:sz w:val="21"/>
                <w:szCs w:val="21"/>
                <w:highlight w:val="none"/>
                <w:lang w:val="en-GB"/>
              </w:rPr>
            </w:pPr>
            <w:r>
              <w:rPr>
                <w:rFonts w:hint="eastAsia"/>
                <w:color w:val="auto"/>
                <w:sz w:val="21"/>
                <w:szCs w:val="21"/>
                <w:highlight w:val="none"/>
              </w:rPr>
              <w:t>锌</w:t>
            </w:r>
          </w:p>
        </w:tc>
        <w:tc>
          <w:tcPr>
            <w:tcW w:w="688" w:type="dxa"/>
            <w:tcMar>
              <w:top w:w="0" w:type="dxa"/>
              <w:left w:w="28" w:type="dxa"/>
              <w:bottom w:w="0" w:type="dxa"/>
              <w:right w:w="28" w:type="dxa"/>
            </w:tcMar>
            <w:vAlign w:val="center"/>
          </w:tcPr>
          <w:p>
            <w:pPr>
              <w:widowControl/>
              <w:adjustRightInd w:val="0"/>
              <w:snapToGrid w:val="0"/>
              <w:spacing w:line="240" w:lineRule="auto"/>
              <w:ind w:firstLine="0" w:firstLineChars="0"/>
              <w:jc w:val="center"/>
              <w:rPr>
                <w:color w:val="auto"/>
                <w:sz w:val="21"/>
                <w:szCs w:val="21"/>
                <w:highlight w:val="none"/>
                <w:lang w:val="en-GB"/>
              </w:rPr>
            </w:pPr>
            <w:r>
              <w:rPr>
                <w:rFonts w:hint="eastAsia"/>
                <w:color w:val="auto"/>
                <w:sz w:val="21"/>
                <w:szCs w:val="21"/>
                <w:highlight w:val="none"/>
              </w:rPr>
              <w:t>铬</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558" w:type="dxa"/>
            <w:vMerge w:val="restart"/>
            <w:tcMar>
              <w:top w:w="0" w:type="dxa"/>
              <w:left w:w="28" w:type="dxa"/>
              <w:bottom w:w="0" w:type="dxa"/>
              <w:right w:w="28" w:type="dxa"/>
            </w:tcMar>
            <w:vAlign w:val="center"/>
          </w:tcPr>
          <w:p>
            <w:pPr>
              <w:pStyle w:val="7"/>
              <w:spacing w:line="240" w:lineRule="auto"/>
              <w:ind w:firstLine="0" w:firstLineChars="0"/>
              <w:jc w:val="center"/>
              <w:rPr>
                <w:rFonts w:hint="default" w:eastAsia="宋体"/>
                <w:color w:val="auto"/>
                <w:sz w:val="21"/>
                <w:szCs w:val="21"/>
                <w:highlight w:val="none"/>
                <w:lang w:val="en-US" w:eastAsia="zh-CN"/>
              </w:rPr>
            </w:pPr>
            <w:r>
              <w:rPr>
                <w:rFonts w:hint="eastAsia"/>
                <w:color w:val="auto"/>
                <w:sz w:val="22"/>
                <w:highlight w:val="none"/>
                <w:lang w:val="en-US" w:eastAsia="zh-CN"/>
              </w:rPr>
              <w:t>YD2</w:t>
            </w:r>
          </w:p>
        </w:tc>
        <w:tc>
          <w:tcPr>
            <w:tcW w:w="767" w:type="dxa"/>
            <w:vMerge w:val="restart"/>
            <w:tcMar>
              <w:top w:w="0" w:type="dxa"/>
              <w:left w:w="28" w:type="dxa"/>
              <w:bottom w:w="0" w:type="dxa"/>
              <w:right w:w="28" w:type="dxa"/>
            </w:tcMar>
            <w:vAlign w:val="center"/>
          </w:tcPr>
          <w:p>
            <w:pPr>
              <w:widowControl/>
              <w:adjustRightInd w:val="0"/>
              <w:snapToGrid w:val="0"/>
              <w:spacing w:line="240" w:lineRule="auto"/>
              <w:ind w:firstLine="0" w:firstLineChars="0"/>
              <w:jc w:val="center"/>
              <w:rPr>
                <w:color w:val="auto"/>
                <w:sz w:val="21"/>
                <w:szCs w:val="21"/>
                <w:highlight w:val="none"/>
                <w:lang w:val="en-GB"/>
              </w:rPr>
            </w:pPr>
            <w:r>
              <w:rPr>
                <w:rFonts w:hint="eastAsia"/>
                <w:color w:val="auto"/>
                <w:sz w:val="21"/>
                <w:szCs w:val="21"/>
                <w:highlight w:val="none"/>
              </w:rPr>
              <w:t>草坝场</w:t>
            </w:r>
          </w:p>
        </w:tc>
        <w:tc>
          <w:tcPr>
            <w:tcW w:w="960"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监测值</w:t>
            </w:r>
          </w:p>
        </w:tc>
        <w:tc>
          <w:tcPr>
            <w:tcW w:w="770"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6.72</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6.36</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0.07</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37</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9.4</w:t>
            </w:r>
          </w:p>
        </w:tc>
        <w:tc>
          <w:tcPr>
            <w:tcW w:w="681" w:type="dxa"/>
            <w:tcBorders>
              <w:right w:val="single" w:color="auto" w:sz="8" w:space="0"/>
            </w:tcBorders>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0.17</w:t>
            </w:r>
          </w:p>
        </w:tc>
        <w:tc>
          <w:tcPr>
            <w:tcW w:w="692" w:type="dxa"/>
            <w:tcBorders>
              <w:left w:val="single" w:color="auto" w:sz="8"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73</w:t>
            </w:r>
          </w:p>
        </w:tc>
        <w:tc>
          <w:tcPr>
            <w:tcW w:w="682"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35</w:t>
            </w:r>
          </w:p>
        </w:tc>
        <w:tc>
          <w:tcPr>
            <w:tcW w:w="688"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25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558" w:type="dxa"/>
            <w:vMerge w:val="continue"/>
            <w:tcMar>
              <w:top w:w="0" w:type="dxa"/>
              <w:left w:w="28" w:type="dxa"/>
              <w:bottom w:w="0" w:type="dxa"/>
              <w:right w:w="28" w:type="dxa"/>
            </w:tcMar>
            <w:vAlign w:val="center"/>
          </w:tcPr>
          <w:p>
            <w:pPr>
              <w:pStyle w:val="7"/>
              <w:spacing w:line="240" w:lineRule="auto"/>
              <w:ind w:firstLine="0" w:firstLineChars="0"/>
              <w:jc w:val="center"/>
              <w:rPr>
                <w:color w:val="auto"/>
                <w:sz w:val="22"/>
                <w:highlight w:val="none"/>
              </w:rPr>
            </w:pPr>
          </w:p>
        </w:tc>
        <w:tc>
          <w:tcPr>
            <w:tcW w:w="767" w:type="dxa"/>
            <w:vMerge w:val="continue"/>
            <w:tcMar>
              <w:top w:w="0" w:type="dxa"/>
              <w:left w:w="28" w:type="dxa"/>
              <w:bottom w:w="0" w:type="dxa"/>
              <w:right w:w="28" w:type="dxa"/>
            </w:tcMar>
            <w:vAlign w:val="center"/>
          </w:tcPr>
          <w:p>
            <w:pPr>
              <w:widowControl/>
              <w:adjustRightInd w:val="0"/>
              <w:snapToGrid w:val="0"/>
              <w:spacing w:line="240" w:lineRule="auto"/>
              <w:ind w:firstLine="0" w:firstLineChars="0"/>
              <w:jc w:val="center"/>
              <w:rPr>
                <w:rFonts w:hint="eastAsia"/>
                <w:color w:val="auto"/>
                <w:sz w:val="21"/>
                <w:szCs w:val="21"/>
                <w:highlight w:val="none"/>
              </w:rPr>
            </w:pPr>
          </w:p>
        </w:tc>
        <w:tc>
          <w:tcPr>
            <w:tcW w:w="960"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污染指数</w:t>
            </w:r>
          </w:p>
        </w:tc>
        <w:tc>
          <w:tcPr>
            <w:tcW w:w="770"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 xml:space="preserve">0.21 </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 xml:space="preserve">0.23 </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 xml:space="preserve">0.37 </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 xml:space="preserve">0.08 </w:t>
            </w:r>
          </w:p>
        </w:tc>
        <w:tc>
          <w:tcPr>
            <w:tcW w:w="681" w:type="dxa"/>
            <w:tcBorders>
              <w:right w:val="single" w:color="auto" w:sz="8" w:space="0"/>
            </w:tcBorders>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 xml:space="preserve">0.07 </w:t>
            </w:r>
          </w:p>
        </w:tc>
        <w:tc>
          <w:tcPr>
            <w:tcW w:w="692" w:type="dxa"/>
            <w:tcBorders>
              <w:left w:val="single" w:color="auto" w:sz="8"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 xml:space="preserve">0.73 </w:t>
            </w:r>
          </w:p>
        </w:tc>
        <w:tc>
          <w:tcPr>
            <w:tcW w:w="682"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 xml:space="preserve">0.14 </w:t>
            </w:r>
          </w:p>
        </w:tc>
        <w:tc>
          <w:tcPr>
            <w:tcW w:w="688"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 xml:space="preserve">0.13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2285" w:type="dxa"/>
            <w:gridSpan w:val="3"/>
            <w:tcMar>
              <w:top w:w="0" w:type="dxa"/>
              <w:left w:w="28" w:type="dxa"/>
              <w:bottom w:w="0" w:type="dxa"/>
              <w:right w:w="28" w:type="dxa"/>
            </w:tcMar>
            <w:vAlign w:val="center"/>
          </w:tcPr>
          <w:p>
            <w:pPr>
              <w:widowControl/>
              <w:adjustRightInd w:val="0"/>
              <w:snapToGrid w:val="0"/>
              <w:spacing w:line="240" w:lineRule="auto"/>
              <w:ind w:firstLine="0" w:firstLineChars="0"/>
              <w:jc w:val="center"/>
              <w:rPr>
                <w:rFonts w:hint="eastAsia"/>
                <w:color w:val="auto"/>
                <w:sz w:val="21"/>
                <w:szCs w:val="21"/>
                <w:highlight w:val="none"/>
                <w:lang w:eastAsia="zh-CN"/>
              </w:rPr>
            </w:pPr>
            <w:r>
              <w:rPr>
                <w:rFonts w:hint="eastAsia"/>
                <w:color w:val="auto"/>
                <w:sz w:val="21"/>
                <w:szCs w:val="21"/>
                <w:highlight w:val="none"/>
                <w:lang w:val="en-GB"/>
              </w:rPr>
              <w:t>评价标准（mg/kg）</w:t>
            </w:r>
          </w:p>
        </w:tc>
        <w:tc>
          <w:tcPr>
            <w:tcW w:w="770" w:type="dxa"/>
            <w:tcMar>
              <w:top w:w="0" w:type="dxa"/>
              <w:left w:w="28" w:type="dxa"/>
              <w:bottom w:w="0" w:type="dxa"/>
              <w:right w:w="28" w:type="dxa"/>
            </w:tcMar>
            <w:vAlign w:val="center"/>
          </w:tcPr>
          <w:p>
            <w:pPr>
              <w:widowControl/>
              <w:adjustRightInd w:val="0"/>
              <w:snapToGrid w:val="0"/>
              <w:spacing w:line="240" w:lineRule="auto"/>
              <w:ind w:firstLine="0" w:firstLineChars="0"/>
              <w:jc w:val="center"/>
              <w:rPr>
                <w:color w:val="auto"/>
                <w:sz w:val="21"/>
                <w:szCs w:val="21"/>
                <w:highlight w:val="none"/>
              </w:rPr>
            </w:pPr>
            <w:r>
              <w:rPr>
                <w:rFonts w:hint="eastAsia"/>
                <w:color w:val="auto"/>
                <w:sz w:val="21"/>
                <w:szCs w:val="21"/>
                <w:highlight w:val="none"/>
              </w:rPr>
              <w:t>6.5&lt; pH≤7.5</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rPr>
              <w:t>30</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rPr>
              <w:t>0.3</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rPr>
              <w:t>100</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rPr>
              <w:t>120</w:t>
            </w:r>
          </w:p>
        </w:tc>
        <w:tc>
          <w:tcPr>
            <w:tcW w:w="681" w:type="dxa"/>
            <w:tcBorders>
              <w:right w:val="single" w:color="auto" w:sz="8" w:space="0"/>
            </w:tcBorders>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rPr>
              <w:t>2.4</w:t>
            </w:r>
          </w:p>
        </w:tc>
        <w:tc>
          <w:tcPr>
            <w:tcW w:w="692" w:type="dxa"/>
            <w:tcBorders>
              <w:left w:val="single" w:color="auto" w:sz="8"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rPr>
              <w:t>100</w:t>
            </w:r>
          </w:p>
        </w:tc>
        <w:tc>
          <w:tcPr>
            <w:tcW w:w="682"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rPr>
              <w:t>250</w:t>
            </w:r>
          </w:p>
        </w:tc>
        <w:tc>
          <w:tcPr>
            <w:tcW w:w="688"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rPr>
              <w:t>200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558" w:type="dxa"/>
            <w:vMerge w:val="restart"/>
            <w:tcMar>
              <w:top w:w="0" w:type="dxa"/>
              <w:left w:w="28" w:type="dxa"/>
              <w:bottom w:w="0" w:type="dxa"/>
              <w:right w:w="28" w:type="dxa"/>
            </w:tcMar>
            <w:vAlign w:val="center"/>
          </w:tcPr>
          <w:p>
            <w:pPr>
              <w:pStyle w:val="7"/>
              <w:spacing w:line="240" w:lineRule="auto"/>
              <w:ind w:firstLine="0" w:firstLineChars="0"/>
              <w:jc w:val="center"/>
              <w:rPr>
                <w:rFonts w:hint="default" w:eastAsia="宋体"/>
                <w:color w:val="auto"/>
                <w:sz w:val="21"/>
                <w:szCs w:val="21"/>
                <w:highlight w:val="none"/>
                <w:lang w:val="en-US" w:eastAsia="zh-CN"/>
              </w:rPr>
            </w:pPr>
            <w:r>
              <w:rPr>
                <w:rFonts w:hint="eastAsia"/>
                <w:color w:val="auto"/>
                <w:sz w:val="22"/>
                <w:highlight w:val="none"/>
                <w:lang w:val="en-US" w:eastAsia="zh-CN"/>
              </w:rPr>
              <w:t>YD3</w:t>
            </w:r>
          </w:p>
        </w:tc>
        <w:tc>
          <w:tcPr>
            <w:tcW w:w="767" w:type="dxa"/>
            <w:vMerge w:val="restart"/>
            <w:tcMar>
              <w:top w:w="0" w:type="dxa"/>
              <w:left w:w="28" w:type="dxa"/>
              <w:bottom w:w="0" w:type="dxa"/>
              <w:right w:w="28" w:type="dxa"/>
            </w:tcMar>
            <w:vAlign w:val="center"/>
          </w:tcPr>
          <w:p>
            <w:pPr>
              <w:widowControl/>
              <w:adjustRightInd w:val="0"/>
              <w:snapToGrid w:val="0"/>
              <w:spacing w:line="240" w:lineRule="auto"/>
              <w:ind w:firstLine="0" w:firstLineChars="0"/>
              <w:jc w:val="center"/>
              <w:rPr>
                <w:rFonts w:hint="eastAsia"/>
                <w:color w:val="auto"/>
                <w:sz w:val="21"/>
                <w:szCs w:val="21"/>
                <w:highlight w:val="none"/>
              </w:rPr>
            </w:pPr>
            <w:r>
              <w:rPr>
                <w:rFonts w:hint="eastAsia" w:ascii="Times New Roman" w:hAnsi="Times New Roman" w:eastAsia="宋体" w:cs="Times New Roman"/>
                <w:color w:val="auto"/>
                <w:sz w:val="21"/>
                <w:szCs w:val="21"/>
                <w:highlight w:val="none"/>
                <w:lang w:eastAsia="zh-CN"/>
              </w:rPr>
              <w:t>坐金点</w:t>
            </w:r>
          </w:p>
        </w:tc>
        <w:tc>
          <w:tcPr>
            <w:tcW w:w="960"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eastAsia="zh-CN"/>
              </w:rPr>
              <w:t>监测值</w:t>
            </w:r>
          </w:p>
        </w:tc>
        <w:tc>
          <w:tcPr>
            <w:tcW w:w="770"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8.17</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4.16</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0.07</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23</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29</w:t>
            </w:r>
          </w:p>
        </w:tc>
        <w:tc>
          <w:tcPr>
            <w:tcW w:w="681" w:type="dxa"/>
            <w:tcBorders>
              <w:right w:val="single" w:color="auto" w:sz="8" w:space="0"/>
            </w:tcBorders>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0.118</w:t>
            </w:r>
          </w:p>
        </w:tc>
        <w:tc>
          <w:tcPr>
            <w:tcW w:w="692" w:type="dxa"/>
            <w:tcBorders>
              <w:left w:val="single" w:color="auto" w:sz="8"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49</w:t>
            </w:r>
          </w:p>
        </w:tc>
        <w:tc>
          <w:tcPr>
            <w:tcW w:w="682"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79</w:t>
            </w:r>
          </w:p>
        </w:tc>
        <w:tc>
          <w:tcPr>
            <w:tcW w:w="688"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55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558" w:type="dxa"/>
            <w:vMerge w:val="continue"/>
            <w:tcMar>
              <w:top w:w="0" w:type="dxa"/>
              <w:left w:w="28" w:type="dxa"/>
              <w:bottom w:w="0" w:type="dxa"/>
              <w:right w:w="28" w:type="dxa"/>
            </w:tcMar>
            <w:vAlign w:val="center"/>
          </w:tcPr>
          <w:p>
            <w:pPr>
              <w:pStyle w:val="7"/>
              <w:spacing w:line="240" w:lineRule="auto"/>
              <w:ind w:firstLine="0" w:firstLineChars="0"/>
              <w:jc w:val="center"/>
              <w:rPr>
                <w:color w:val="auto"/>
                <w:sz w:val="22"/>
                <w:highlight w:val="none"/>
              </w:rPr>
            </w:pPr>
          </w:p>
        </w:tc>
        <w:tc>
          <w:tcPr>
            <w:tcW w:w="767" w:type="dxa"/>
            <w:vMerge w:val="continue"/>
            <w:tcMar>
              <w:top w:w="0" w:type="dxa"/>
              <w:left w:w="28" w:type="dxa"/>
              <w:bottom w:w="0" w:type="dxa"/>
              <w:right w:w="28" w:type="dxa"/>
            </w:tcMar>
            <w:vAlign w:val="center"/>
          </w:tcPr>
          <w:p>
            <w:pPr>
              <w:widowControl/>
              <w:adjustRightInd w:val="0"/>
              <w:snapToGrid w:val="0"/>
              <w:spacing w:line="240" w:lineRule="auto"/>
              <w:ind w:firstLine="0" w:firstLineChars="0"/>
              <w:jc w:val="center"/>
              <w:rPr>
                <w:rFonts w:hint="eastAsia"/>
                <w:color w:val="auto"/>
                <w:sz w:val="21"/>
                <w:szCs w:val="21"/>
                <w:highlight w:val="none"/>
              </w:rPr>
            </w:pPr>
          </w:p>
        </w:tc>
        <w:tc>
          <w:tcPr>
            <w:tcW w:w="960"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eastAsia="zh-CN"/>
              </w:rPr>
              <w:t>污染指数</w:t>
            </w:r>
          </w:p>
        </w:tc>
        <w:tc>
          <w:tcPr>
            <w:tcW w:w="770"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 xml:space="preserve">0.17 </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 xml:space="preserve">0.12 </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 xml:space="preserve">0.23 </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 xml:space="preserve">0.17 </w:t>
            </w:r>
          </w:p>
        </w:tc>
        <w:tc>
          <w:tcPr>
            <w:tcW w:w="681" w:type="dxa"/>
            <w:tcBorders>
              <w:right w:val="single" w:color="auto" w:sz="8" w:space="0"/>
            </w:tcBorders>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 xml:space="preserve">0.03 </w:t>
            </w:r>
          </w:p>
        </w:tc>
        <w:tc>
          <w:tcPr>
            <w:tcW w:w="692" w:type="dxa"/>
            <w:tcBorders>
              <w:left w:val="single" w:color="auto" w:sz="8"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 xml:space="preserve">0.26 </w:t>
            </w:r>
          </w:p>
        </w:tc>
        <w:tc>
          <w:tcPr>
            <w:tcW w:w="682"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 xml:space="preserve">0.26 </w:t>
            </w:r>
          </w:p>
        </w:tc>
        <w:tc>
          <w:tcPr>
            <w:tcW w:w="688"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color w:val="auto"/>
                <w:sz w:val="21"/>
                <w:szCs w:val="21"/>
                <w:highlight w:val="none"/>
              </w:rPr>
              <w:t xml:space="preserve">0.22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2285" w:type="dxa"/>
            <w:gridSpan w:val="3"/>
            <w:tcMar>
              <w:top w:w="0" w:type="dxa"/>
              <w:left w:w="28" w:type="dxa"/>
              <w:bottom w:w="0" w:type="dxa"/>
              <w:right w:w="28" w:type="dxa"/>
            </w:tcMar>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lang w:val="en-GB"/>
              </w:rPr>
              <w:t>评价标准（mg/kg）</w:t>
            </w:r>
          </w:p>
        </w:tc>
        <w:tc>
          <w:tcPr>
            <w:tcW w:w="770"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ascii="Times New Roman" w:hAnsi="Times New Roman" w:eastAsia="宋体" w:cs="Times New Roman"/>
                <w:color w:val="auto"/>
                <w:kern w:val="2"/>
                <w:sz w:val="21"/>
                <w:szCs w:val="21"/>
                <w:highlight w:val="none"/>
                <w:lang w:val="en-GB" w:eastAsia="zh-CN" w:bidi="ar-SA"/>
              </w:rPr>
              <w:t>pH&gt;7.5</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rPr>
              <w:t>25</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rPr>
              <w:t>0.6</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rPr>
              <w:t>100</w:t>
            </w:r>
          </w:p>
        </w:tc>
        <w:tc>
          <w:tcPr>
            <w:tcW w:w="681"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rPr>
              <w:t>170</w:t>
            </w:r>
          </w:p>
        </w:tc>
        <w:tc>
          <w:tcPr>
            <w:tcW w:w="681" w:type="dxa"/>
            <w:tcBorders>
              <w:right w:val="single" w:color="auto" w:sz="8" w:space="0"/>
            </w:tcBorders>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rPr>
              <w:t>3.4</w:t>
            </w:r>
          </w:p>
        </w:tc>
        <w:tc>
          <w:tcPr>
            <w:tcW w:w="692" w:type="dxa"/>
            <w:tcBorders>
              <w:left w:val="single" w:color="auto" w:sz="8"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rPr>
              <w:t>190</w:t>
            </w:r>
          </w:p>
        </w:tc>
        <w:tc>
          <w:tcPr>
            <w:tcW w:w="682"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rPr>
              <w:t>300</w:t>
            </w:r>
          </w:p>
        </w:tc>
        <w:tc>
          <w:tcPr>
            <w:tcW w:w="688" w:type="dxa"/>
            <w:tcMar>
              <w:top w:w="0" w:type="dxa"/>
              <w:left w:w="28" w:type="dxa"/>
              <w:bottom w:w="0" w:type="dxa"/>
              <w:right w:w="28" w:type="dxa"/>
            </w:tcMar>
            <w:vAlign w:val="center"/>
          </w:tcPr>
          <w:p>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1"/>
                <w:highlight w:val="none"/>
                <w:lang w:val="en-GB" w:eastAsia="zh-CN" w:bidi="ar-SA"/>
              </w:rPr>
            </w:pPr>
            <w:r>
              <w:rPr>
                <w:rFonts w:hint="eastAsia"/>
                <w:color w:val="auto"/>
                <w:sz w:val="21"/>
                <w:szCs w:val="21"/>
                <w:highlight w:val="none"/>
              </w:rPr>
              <w:t>250</w:t>
            </w:r>
          </w:p>
        </w:tc>
      </w:tr>
    </w:tbl>
    <w:p>
      <w:pPr>
        <w:snapToGrid w:val="0"/>
        <w:spacing w:line="240" w:lineRule="auto"/>
        <w:rPr>
          <w:color w:val="auto"/>
          <w:sz w:val="22"/>
          <w:szCs w:val="22"/>
          <w:highlight w:val="none"/>
        </w:rPr>
      </w:pPr>
      <w:r>
        <w:rPr>
          <w:rFonts w:hint="eastAsia"/>
          <w:color w:val="auto"/>
          <w:sz w:val="22"/>
          <w:szCs w:val="22"/>
          <w:highlight w:val="none"/>
        </w:rPr>
        <w:t>注</w:t>
      </w:r>
      <w:r>
        <w:rPr>
          <w:color w:val="auto"/>
          <w:sz w:val="22"/>
          <w:szCs w:val="22"/>
          <w:highlight w:val="none"/>
        </w:rPr>
        <w:t>：pH为无量纲。</w:t>
      </w:r>
    </w:p>
    <w:p>
      <w:pPr>
        <w:tabs>
          <w:tab w:val="center" w:pos="4625"/>
        </w:tabs>
        <w:spacing w:line="240" w:lineRule="auto"/>
        <w:ind w:firstLine="0" w:firstLineChars="0"/>
        <w:rPr>
          <w:color w:val="auto"/>
          <w:highlight w:val="none"/>
        </w:rPr>
      </w:pPr>
    </w:p>
    <w:p>
      <w:pPr>
        <w:ind w:firstLine="520"/>
        <w:rPr>
          <w:color w:val="auto"/>
          <w:highlight w:val="none"/>
        </w:rPr>
      </w:pPr>
      <w:r>
        <w:rPr>
          <w:rFonts w:hint="eastAsia"/>
          <w:color w:val="auto"/>
          <w:highlight w:val="none"/>
        </w:rPr>
        <w:t>从上表可以看出，各监测点的底质铜、镉、铅、铬、汞、砷、锌、镍等监测因子均低于《土壤环境质量农用地土壤污染风险管控标准（试行）》（GB 15618-2018）风险</w:t>
      </w:r>
      <w:r>
        <w:rPr>
          <w:color w:val="auto"/>
          <w:highlight w:val="none"/>
        </w:rPr>
        <w:t>筛选值，河道底泥生态环境风险低</w:t>
      </w:r>
      <w:r>
        <w:rPr>
          <w:rFonts w:hint="eastAsia"/>
          <w:color w:val="auto"/>
          <w:highlight w:val="none"/>
        </w:rPr>
        <w:t>。</w:t>
      </w:r>
    </w:p>
    <w:p>
      <w:pPr>
        <w:ind w:firstLine="520"/>
        <w:rPr>
          <w:color w:val="auto"/>
          <w:highlight w:val="none"/>
        </w:rPr>
        <w:sectPr>
          <w:pgSz w:w="11906" w:h="16838"/>
          <w:pgMar w:top="1701" w:right="1588" w:bottom="1588" w:left="1588" w:header="1304" w:footer="1247" w:gutter="0"/>
          <w:cols w:space="425" w:num="1"/>
          <w:docGrid w:linePitch="354" w:charSpace="0"/>
        </w:sectPr>
      </w:pPr>
    </w:p>
    <w:p>
      <w:pPr>
        <w:snapToGrid w:val="0"/>
        <w:spacing w:line="240" w:lineRule="auto"/>
        <w:ind w:firstLine="520"/>
        <w:rPr>
          <w:color w:val="auto"/>
          <w:szCs w:val="26"/>
          <w:highlight w:val="none"/>
        </w:rPr>
      </w:pPr>
    </w:p>
    <w:p>
      <w:pPr>
        <w:pStyle w:val="3"/>
        <w:spacing w:line="240" w:lineRule="auto"/>
        <w:ind w:firstLineChars="0"/>
        <w:rPr>
          <w:color w:val="auto"/>
          <w:highlight w:val="none"/>
        </w:rPr>
      </w:pPr>
      <w:bookmarkStart w:id="111" w:name="_Toc5516"/>
      <w:bookmarkStart w:id="112" w:name="_Toc240356348"/>
      <w:r>
        <w:rPr>
          <w:rFonts w:hint="eastAsia"/>
          <w:color w:val="auto"/>
          <w:highlight w:val="none"/>
        </w:rPr>
        <w:t>环境影响</w:t>
      </w:r>
      <w:r>
        <w:rPr>
          <w:color w:val="auto"/>
          <w:highlight w:val="none"/>
        </w:rPr>
        <w:t>预测与评价</w:t>
      </w:r>
      <w:bookmarkEnd w:id="111"/>
    </w:p>
    <w:p>
      <w:pPr>
        <w:spacing w:line="240" w:lineRule="auto"/>
        <w:ind w:firstLine="520"/>
        <w:rPr>
          <w:color w:val="auto"/>
          <w:highlight w:val="none"/>
        </w:rPr>
      </w:pPr>
    </w:p>
    <w:p>
      <w:pPr>
        <w:pStyle w:val="4"/>
        <w:rPr>
          <w:color w:val="auto"/>
          <w:highlight w:val="none"/>
        </w:rPr>
      </w:pPr>
      <w:bookmarkStart w:id="113" w:name="_Toc26057"/>
      <w:r>
        <w:rPr>
          <w:rFonts w:hint="eastAsia"/>
          <w:color w:val="auto"/>
          <w:highlight w:val="none"/>
          <w:lang w:eastAsia="zh-CN"/>
        </w:rPr>
        <w:t>生态</w:t>
      </w:r>
      <w:r>
        <w:rPr>
          <w:color w:val="auto"/>
          <w:highlight w:val="none"/>
        </w:rPr>
        <w:t>环境</w:t>
      </w:r>
      <w:r>
        <w:rPr>
          <w:rFonts w:hint="eastAsia"/>
          <w:color w:val="auto"/>
          <w:highlight w:val="none"/>
          <w:shd w:val="clear" w:fill="FFFFFF"/>
          <w:lang w:eastAsia="zh-CN"/>
        </w:rPr>
        <w:t>影响评价</w:t>
      </w:r>
      <w:bookmarkEnd w:id="113"/>
    </w:p>
    <w:p>
      <w:pPr>
        <w:pStyle w:val="5"/>
        <w:adjustRightInd w:val="0"/>
        <w:snapToGrid w:val="0"/>
        <w:ind w:firstLine="522"/>
        <w:rPr>
          <w:color w:val="auto"/>
          <w:highlight w:val="none"/>
        </w:rPr>
      </w:pPr>
      <w:r>
        <w:rPr>
          <w:rFonts w:hint="eastAsia"/>
          <w:color w:val="auto"/>
          <w:highlight w:val="none"/>
          <w:lang w:eastAsia="zh-CN"/>
        </w:rPr>
        <w:t>施工期</w:t>
      </w:r>
      <w:r>
        <w:rPr>
          <w:rFonts w:hint="eastAsia"/>
          <w:color w:val="auto"/>
          <w:highlight w:val="none"/>
        </w:rPr>
        <w:t>生态</w:t>
      </w:r>
      <w:r>
        <w:rPr>
          <w:color w:val="auto"/>
          <w:highlight w:val="none"/>
        </w:rPr>
        <w:t>环境影响评价</w:t>
      </w:r>
    </w:p>
    <w:p>
      <w:pPr>
        <w:pStyle w:val="6"/>
        <w:bidi w:val="0"/>
        <w:rPr>
          <w:rFonts w:hint="eastAsia"/>
          <w:color w:val="auto"/>
          <w:highlight w:val="none"/>
          <w:lang w:eastAsia="zh-CN"/>
        </w:rPr>
      </w:pPr>
      <w:r>
        <w:rPr>
          <w:rFonts w:hint="eastAsia"/>
          <w:color w:val="auto"/>
          <w:highlight w:val="none"/>
          <w:lang w:eastAsia="zh-CN"/>
        </w:rPr>
        <w:t>陆生生态影响</w:t>
      </w:r>
    </w:p>
    <w:p>
      <w:pPr>
        <w:adjustRightInd w:val="0"/>
        <w:snapToGrid w:val="0"/>
        <w:ind w:firstLine="520" w:firstLineChars="0"/>
        <w:rPr>
          <w:bCs/>
          <w:color w:val="auto"/>
          <w:spacing w:val="4"/>
          <w:szCs w:val="26"/>
          <w:highlight w:val="none"/>
        </w:rPr>
      </w:pPr>
      <w:r>
        <w:rPr>
          <w:rFonts w:hint="eastAsia"/>
          <w:bCs/>
          <w:color w:val="auto"/>
          <w:spacing w:val="4"/>
          <w:szCs w:val="26"/>
          <w:highlight w:val="none"/>
          <w:lang w:eastAsia="zh-CN"/>
        </w:rPr>
        <w:t>（</w:t>
      </w:r>
      <w:r>
        <w:rPr>
          <w:rFonts w:hint="eastAsia"/>
          <w:bCs/>
          <w:color w:val="auto"/>
          <w:spacing w:val="4"/>
          <w:szCs w:val="26"/>
          <w:highlight w:val="none"/>
          <w:lang w:val="en-US" w:eastAsia="zh-CN"/>
        </w:rPr>
        <w:t>1</w:t>
      </w:r>
      <w:r>
        <w:rPr>
          <w:rFonts w:hint="eastAsia"/>
          <w:bCs/>
          <w:color w:val="auto"/>
          <w:spacing w:val="4"/>
          <w:szCs w:val="26"/>
          <w:highlight w:val="none"/>
          <w:lang w:eastAsia="zh-CN"/>
        </w:rPr>
        <w:t>）</w:t>
      </w:r>
      <w:r>
        <w:rPr>
          <w:rFonts w:hint="eastAsia"/>
          <w:bCs/>
          <w:color w:val="auto"/>
          <w:spacing w:val="4"/>
          <w:szCs w:val="26"/>
          <w:highlight w:val="none"/>
        </w:rPr>
        <w:t>对土地利用的影响</w:t>
      </w:r>
    </w:p>
    <w:p>
      <w:pPr>
        <w:spacing w:line="460" w:lineRule="exact"/>
        <w:ind w:firstLine="520"/>
        <w:rPr>
          <w:rFonts w:hint="eastAsia" w:eastAsia="宋体"/>
          <w:color w:val="auto"/>
          <w:szCs w:val="26"/>
          <w:highlight w:val="none"/>
          <w:lang w:eastAsia="zh-CN" w:bidi="ar"/>
        </w:rPr>
      </w:pPr>
      <w:r>
        <w:rPr>
          <w:rFonts w:hint="eastAsia"/>
          <w:color w:val="auto"/>
          <w:highlight w:val="none"/>
          <w:lang w:eastAsia="zh-CN" w:bidi="ar"/>
        </w:rPr>
        <w:t>项目船闸</w:t>
      </w:r>
      <w:r>
        <w:rPr>
          <w:rFonts w:hint="eastAsia"/>
          <w:color w:val="auto"/>
          <w:highlight w:val="none"/>
          <w:shd w:val="clear" w:fill="FFFFFF"/>
          <w:lang w:eastAsia="zh-CN" w:bidi="ar"/>
        </w:rPr>
        <w:t>主体工程</w:t>
      </w:r>
      <w:r>
        <w:rPr>
          <w:rFonts w:hint="eastAsia"/>
          <w:color w:val="auto"/>
          <w:highlight w:val="none"/>
          <w:lang w:eastAsia="zh-CN" w:bidi="ar"/>
        </w:rPr>
        <w:t>占地主要位于陆域范围，按用地性质划分，可分为</w:t>
      </w:r>
      <w:r>
        <w:rPr>
          <w:rFonts w:hint="eastAsia"/>
          <w:color w:val="auto"/>
          <w:highlight w:val="none"/>
          <w:lang w:bidi="ar"/>
        </w:rPr>
        <w:t>永久占地和临时占地</w:t>
      </w:r>
      <w:r>
        <w:rPr>
          <w:rFonts w:hint="eastAsia"/>
          <w:color w:val="auto"/>
          <w:highlight w:val="none"/>
          <w:lang w:eastAsia="zh-CN" w:bidi="ar"/>
        </w:rPr>
        <w:t>。</w:t>
      </w:r>
      <w:r>
        <w:rPr>
          <w:color w:val="auto"/>
          <w:szCs w:val="26"/>
          <w:highlight w:val="none"/>
          <w:lang w:bidi="ar"/>
        </w:rPr>
        <w:t>根据项目占地情况分析，</w:t>
      </w:r>
      <w:r>
        <w:rPr>
          <w:rFonts w:hint="eastAsia"/>
          <w:color w:val="auto"/>
          <w:szCs w:val="26"/>
          <w:highlight w:val="none"/>
          <w:lang w:bidi="ar"/>
        </w:rPr>
        <w:t>项目总占地</w:t>
      </w:r>
      <w:r>
        <w:rPr>
          <w:color w:val="auto"/>
          <w:szCs w:val="26"/>
          <w:highlight w:val="none"/>
          <w:lang w:bidi="ar"/>
        </w:rPr>
        <w:t>约</w:t>
      </w:r>
      <w:r>
        <w:rPr>
          <w:rFonts w:hint="eastAsia"/>
          <w:color w:val="auto"/>
          <w:highlight w:val="none"/>
          <w:lang w:val="en-US" w:eastAsia="zh-CN"/>
        </w:rPr>
        <w:t>52.63</w:t>
      </w:r>
      <w:r>
        <w:rPr>
          <w:color w:val="auto"/>
          <w:szCs w:val="26"/>
          <w:highlight w:val="none"/>
          <w:lang w:bidi="ar"/>
        </w:rPr>
        <w:t>hm</w:t>
      </w:r>
      <w:r>
        <w:rPr>
          <w:color w:val="auto"/>
          <w:szCs w:val="26"/>
          <w:highlight w:val="none"/>
          <w:vertAlign w:val="superscript"/>
          <w:lang w:bidi="ar"/>
        </w:rPr>
        <w:t>2</w:t>
      </w:r>
      <w:r>
        <w:rPr>
          <w:rFonts w:hint="eastAsia"/>
          <w:color w:val="auto"/>
          <w:szCs w:val="26"/>
          <w:highlight w:val="none"/>
          <w:lang w:bidi="ar"/>
        </w:rPr>
        <w:t>，</w:t>
      </w:r>
      <w:r>
        <w:rPr>
          <w:color w:val="auto"/>
          <w:szCs w:val="26"/>
          <w:highlight w:val="none"/>
          <w:lang w:bidi="ar"/>
        </w:rPr>
        <w:t>其中永久占地约</w:t>
      </w:r>
      <w:r>
        <w:rPr>
          <w:rFonts w:hint="eastAsia"/>
          <w:color w:val="auto"/>
          <w:szCs w:val="26"/>
          <w:highlight w:val="none"/>
          <w:lang w:val="en-US" w:eastAsia="zh-CN" w:bidi="ar"/>
        </w:rPr>
        <w:t>14.93</w:t>
      </w:r>
      <w:r>
        <w:rPr>
          <w:color w:val="auto"/>
          <w:szCs w:val="26"/>
          <w:highlight w:val="none"/>
          <w:lang w:bidi="ar"/>
        </w:rPr>
        <w:t>hm</w:t>
      </w:r>
      <w:r>
        <w:rPr>
          <w:color w:val="auto"/>
          <w:szCs w:val="26"/>
          <w:highlight w:val="none"/>
          <w:vertAlign w:val="superscript"/>
          <w:lang w:bidi="ar"/>
        </w:rPr>
        <w:t>2</w:t>
      </w:r>
      <w:r>
        <w:rPr>
          <w:rFonts w:hint="eastAsia"/>
          <w:color w:val="auto"/>
          <w:szCs w:val="26"/>
          <w:highlight w:val="none"/>
          <w:lang w:bidi="ar"/>
        </w:rPr>
        <w:t>，</w:t>
      </w:r>
      <w:r>
        <w:rPr>
          <w:rFonts w:hint="eastAsia"/>
          <w:color w:val="auto"/>
          <w:szCs w:val="24"/>
          <w:highlight w:val="none"/>
        </w:rPr>
        <w:t>包括船闸、</w:t>
      </w:r>
      <w:r>
        <w:rPr>
          <w:rFonts w:hint="eastAsia"/>
          <w:color w:val="auto"/>
          <w:szCs w:val="24"/>
          <w:highlight w:val="none"/>
          <w:lang w:eastAsia="zh-CN"/>
        </w:rPr>
        <w:t>管理区</w:t>
      </w:r>
      <w:r>
        <w:rPr>
          <w:rFonts w:hint="eastAsia"/>
          <w:color w:val="auto"/>
          <w:szCs w:val="24"/>
          <w:highlight w:val="none"/>
        </w:rPr>
        <w:t>、</w:t>
      </w:r>
      <w:r>
        <w:rPr>
          <w:rFonts w:hint="eastAsia"/>
          <w:color w:val="auto"/>
          <w:szCs w:val="24"/>
          <w:highlight w:val="none"/>
          <w:lang w:eastAsia="zh-CN"/>
        </w:rPr>
        <w:t>锚地等</w:t>
      </w:r>
      <w:r>
        <w:rPr>
          <w:rFonts w:hint="eastAsia"/>
          <w:color w:val="auto"/>
          <w:szCs w:val="24"/>
          <w:highlight w:val="none"/>
        </w:rPr>
        <w:t>永久性建筑物占地区，</w:t>
      </w:r>
      <w:r>
        <w:rPr>
          <w:rFonts w:hint="eastAsia"/>
          <w:color w:val="auto"/>
          <w:szCs w:val="24"/>
          <w:highlight w:val="none"/>
          <w:lang w:eastAsia="zh-CN"/>
        </w:rPr>
        <w:t>临时占地约</w:t>
      </w:r>
      <w:r>
        <w:rPr>
          <w:rFonts w:hint="eastAsia"/>
          <w:color w:val="auto"/>
          <w:szCs w:val="24"/>
          <w:highlight w:val="none"/>
          <w:lang w:val="en-US" w:eastAsia="zh-CN"/>
        </w:rPr>
        <w:t>37.70hm</w:t>
      </w:r>
      <w:r>
        <w:rPr>
          <w:rFonts w:hint="eastAsia"/>
          <w:color w:val="auto"/>
          <w:szCs w:val="24"/>
          <w:highlight w:val="none"/>
          <w:vertAlign w:val="superscript"/>
          <w:lang w:val="en-US" w:eastAsia="zh-CN"/>
        </w:rPr>
        <w:t>2</w:t>
      </w:r>
      <w:r>
        <w:rPr>
          <w:rFonts w:hint="eastAsia"/>
          <w:color w:val="auto"/>
          <w:szCs w:val="24"/>
          <w:highlight w:val="none"/>
          <w:vertAlign w:val="baseline"/>
          <w:lang w:val="en-US" w:eastAsia="zh-CN"/>
        </w:rPr>
        <w:t>，</w:t>
      </w:r>
      <w:r>
        <w:rPr>
          <w:rFonts w:hint="eastAsia"/>
          <w:color w:val="auto"/>
          <w:szCs w:val="24"/>
          <w:highlight w:val="none"/>
          <w:lang w:eastAsia="zh-CN"/>
        </w:rPr>
        <w:t>主要包括施工场地、弃渣场、疏浚工程、临时围堰</w:t>
      </w:r>
      <w:r>
        <w:rPr>
          <w:rFonts w:hint="eastAsia"/>
          <w:color w:val="auto"/>
          <w:szCs w:val="24"/>
          <w:highlight w:val="none"/>
        </w:rPr>
        <w:t>等。</w:t>
      </w:r>
      <w:r>
        <w:rPr>
          <w:rFonts w:hint="eastAsia"/>
          <w:color w:val="auto"/>
          <w:szCs w:val="26"/>
          <w:highlight w:val="none"/>
          <w:lang w:eastAsia="zh-CN" w:bidi="ar"/>
        </w:rPr>
        <w:t>项目占地类型统计如下：</w:t>
      </w:r>
    </w:p>
    <w:p>
      <w:pPr>
        <w:adjustRightInd w:val="0"/>
        <w:snapToGrid w:val="0"/>
        <w:spacing w:line="240" w:lineRule="auto"/>
        <w:ind w:left="0" w:leftChars="0" w:firstLine="0" w:firstLineChars="0"/>
        <w:jc w:val="right"/>
        <w:rPr>
          <w:color w:val="auto"/>
          <w:szCs w:val="26"/>
          <w:highlight w:val="none"/>
          <w:lang w:bidi="ar"/>
        </w:rPr>
      </w:pPr>
    </w:p>
    <w:p>
      <w:pPr>
        <w:adjustRightInd w:val="0"/>
        <w:snapToGrid w:val="0"/>
        <w:spacing w:line="240" w:lineRule="auto"/>
        <w:ind w:left="0" w:leftChars="0" w:firstLine="0" w:firstLineChars="0"/>
        <w:jc w:val="right"/>
        <w:rPr>
          <w:color w:val="auto"/>
          <w:sz w:val="22"/>
          <w:highlight w:val="none"/>
          <w:vertAlign w:val="superscript"/>
          <w:lang w:bidi="ar"/>
        </w:rPr>
      </w:pPr>
      <w:r>
        <w:rPr>
          <w:color w:val="auto"/>
          <w:szCs w:val="26"/>
          <w:highlight w:val="none"/>
          <w:lang w:bidi="ar"/>
        </w:rPr>
        <w:t>表</w:t>
      </w:r>
      <w:r>
        <w:rPr>
          <w:rFonts w:hint="eastAsia"/>
          <w:color w:val="auto"/>
          <w:szCs w:val="26"/>
          <w:highlight w:val="none"/>
          <w:lang w:val="en-US" w:eastAsia="zh-CN" w:bidi="ar"/>
        </w:rPr>
        <w:t xml:space="preserve">4.1.1-1  </w:t>
      </w:r>
      <w:r>
        <w:rPr>
          <w:rFonts w:hint="eastAsia"/>
          <w:color w:val="auto"/>
          <w:szCs w:val="26"/>
          <w:highlight w:val="none"/>
          <w:lang w:bidi="ar"/>
        </w:rPr>
        <w:t>拟建</w:t>
      </w:r>
      <w:r>
        <w:rPr>
          <w:color w:val="auto"/>
          <w:szCs w:val="26"/>
          <w:highlight w:val="none"/>
          <w:lang w:bidi="ar"/>
        </w:rPr>
        <w:t xml:space="preserve">项目占地类型统计表             </w:t>
      </w:r>
      <w:r>
        <w:rPr>
          <w:color w:val="auto"/>
          <w:sz w:val="22"/>
          <w:highlight w:val="none"/>
          <w:lang w:bidi="ar"/>
        </w:rPr>
        <w:t>单位：hm</w:t>
      </w:r>
      <w:r>
        <w:rPr>
          <w:color w:val="auto"/>
          <w:sz w:val="22"/>
          <w:highlight w:val="none"/>
          <w:vertAlign w:val="superscript"/>
          <w:lang w:bidi="ar"/>
        </w:rPr>
        <w:t>2</w:t>
      </w:r>
    </w:p>
    <w:tbl>
      <w:tblPr>
        <w:tblStyle w:val="28"/>
        <w:tblW w:w="485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425"/>
        <w:gridCol w:w="2650"/>
        <w:gridCol w:w="1151"/>
        <w:gridCol w:w="1151"/>
        <w:gridCol w:w="1151"/>
        <w:gridCol w:w="115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4075" w:type="dxa"/>
            <w:gridSpan w:val="2"/>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土地类型</w:t>
            </w:r>
          </w:p>
        </w:tc>
        <w:tc>
          <w:tcPr>
            <w:tcW w:w="2302" w:type="dxa"/>
            <w:gridSpan w:val="2"/>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sz w:val="22"/>
                <w:szCs w:val="22"/>
                <w:highlight w:val="none"/>
                <w:u w:val="none"/>
                <w:lang w:eastAsia="zh-CN"/>
              </w:rPr>
            </w:pPr>
            <w:r>
              <w:rPr>
                <w:rFonts w:hint="eastAsia" w:ascii="Times New Roman" w:hAnsi="Times New Roman" w:eastAsia="宋体" w:cs="Times New Roman"/>
                <w:i w:val="0"/>
                <w:iCs w:val="0"/>
                <w:color w:val="auto"/>
                <w:sz w:val="22"/>
                <w:szCs w:val="22"/>
                <w:highlight w:val="none"/>
                <w:u w:val="none"/>
                <w:lang w:eastAsia="zh-CN"/>
              </w:rPr>
              <w:t>永久用地</w:t>
            </w:r>
          </w:p>
        </w:tc>
        <w:tc>
          <w:tcPr>
            <w:tcW w:w="2302" w:type="dxa"/>
            <w:gridSpan w:val="2"/>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临时用地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一级类</w:t>
            </w: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二级类</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面积（hm</w:t>
            </w:r>
            <w:r>
              <w:rPr>
                <w:rStyle w:val="242"/>
                <w:rFonts w:hint="default" w:ascii="Times New Roman" w:hAnsi="Times New Roman" w:eastAsia="宋体" w:cs="Times New Roman"/>
                <w:color w:val="auto"/>
                <w:sz w:val="22"/>
                <w:szCs w:val="22"/>
                <w:highlight w:val="none"/>
                <w:lang w:val="en-US" w:eastAsia="zh-CN" w:bidi="ar"/>
              </w:rPr>
              <w:t>2</w:t>
            </w: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占比（%）</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面积（hm</w:t>
            </w:r>
            <w:r>
              <w:rPr>
                <w:rStyle w:val="242"/>
                <w:rFonts w:hint="default" w:ascii="Times New Roman" w:hAnsi="Times New Roman" w:eastAsia="宋体" w:cs="Times New Roman"/>
                <w:color w:val="auto"/>
                <w:sz w:val="22"/>
                <w:szCs w:val="22"/>
                <w:highlight w:val="none"/>
                <w:lang w:val="en-US" w:eastAsia="zh-CN" w:bidi="ar"/>
              </w:rPr>
              <w:t>2</w:t>
            </w: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占比（%）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01耕地</w:t>
            </w: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0101水田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4.55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0103旱地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1.87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12.51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5.12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1.87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小计</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1.87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12.51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9.67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1.87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restart"/>
            <w:tcBorders>
              <w:top w:val="single" w:color="000000" w:sz="8" w:space="0"/>
              <w:left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02园地</w:t>
            </w: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0201果园</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0.26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1.76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0.22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0.26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left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0204 其他园地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小计</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0.26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1.76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0.22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0.26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03林地</w:t>
            </w: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0301乔木林地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2.46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16.47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8.29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2.46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0302竹林地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0.46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3.07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0.93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0.46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0305灌木林地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0.01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0.06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3.00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0307其他林地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0.11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0.77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0.11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小计</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3.04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20.37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12.22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3.04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04草地</w:t>
            </w: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0404其它草地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0.87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5.81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1.04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0.87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05商服用地</w:t>
            </w: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0507其他商服用地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06工矿仓储用地</w:t>
            </w: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0601工业用地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0602采矿用地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0604仓储用地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小计</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07住宅用地</w:t>
            </w: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0701城镇住宅用地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0702农村宅基地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0.15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0.99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0.01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0.15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小计</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0.15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0.99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0.01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0.15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restart"/>
            <w:tcBorders>
              <w:top w:val="single" w:color="000000" w:sz="8" w:space="0"/>
              <w:left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08公共管理与公共服务用地</w:t>
            </w: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0801机关团体用地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left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0807 文化设施用地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left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0809</w:t>
            </w:r>
            <w:r>
              <w:rPr>
                <w:rFonts w:hint="eastAsia" w:cs="Times New Roman"/>
                <w:i w:val="0"/>
                <w:iCs w:val="0"/>
                <w:color w:val="auto"/>
                <w:kern w:val="0"/>
                <w:sz w:val="22"/>
                <w:szCs w:val="22"/>
                <w:highlight w:val="none"/>
                <w:u w:val="none"/>
                <w:lang w:val="en-US" w:eastAsia="zh-CN" w:bidi="ar"/>
              </w:rPr>
              <w:t>公</w:t>
            </w:r>
            <w:r>
              <w:rPr>
                <w:rFonts w:hint="default" w:ascii="Times New Roman" w:hAnsi="Times New Roman" w:eastAsia="宋体" w:cs="Times New Roman"/>
                <w:i w:val="0"/>
                <w:iCs w:val="0"/>
                <w:color w:val="auto"/>
                <w:kern w:val="0"/>
                <w:sz w:val="22"/>
                <w:szCs w:val="22"/>
                <w:highlight w:val="none"/>
                <w:u w:val="none"/>
                <w:lang w:val="en-US" w:eastAsia="zh-CN" w:bidi="ar"/>
              </w:rPr>
              <w:t>用设施用地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5.63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37.74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5.63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小计</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5.63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37.74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5.63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10交通运输用地</w:t>
            </w: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1003公路用地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0.16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1.08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0.01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0.16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1004城镇村道路用地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1005 交通服务场站用地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1006农村道路</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0.03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0.21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0.28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小计</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0.19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1.29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0.29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0.19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11水域及水利设施用地</w:t>
            </w: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1101河流水面</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2.33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15.59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12.98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2.33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1104坑塘水面</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1.24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1106内陆滩涂</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0.10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0.67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0.10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1107 沟渠</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1109水工建筑用地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小计</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2.43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16.26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14.22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2.43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12其他土地</w:t>
            </w: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1202设施农用地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0.03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1207裸岩石砾地</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0.49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3.27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0.49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425"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2650"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小计</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0.49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3.27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0.03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0.49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4075" w:type="dxa"/>
            <w:gridSpan w:val="2"/>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总计</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14.93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100.00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37.70 </w:t>
            </w:r>
          </w:p>
        </w:tc>
        <w:tc>
          <w:tcPr>
            <w:tcW w:w="1151"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auto"/>
                <w:kern w:val="2"/>
                <w:sz w:val="22"/>
                <w:szCs w:val="22"/>
                <w:highlight w:val="none"/>
                <w:u w:val="none"/>
                <w:lang w:val="en-US" w:eastAsia="zh-CN" w:bidi="ar"/>
              </w:rPr>
            </w:pPr>
            <w:r>
              <w:rPr>
                <w:rFonts w:hint="default" w:ascii="Times New Roman" w:hAnsi="Times New Roman" w:eastAsia="宋体" w:cs="Times New Roman"/>
                <w:i w:val="0"/>
                <w:iCs w:val="0"/>
                <w:color w:val="auto"/>
                <w:kern w:val="2"/>
                <w:sz w:val="22"/>
                <w:szCs w:val="22"/>
                <w:highlight w:val="none"/>
                <w:u w:val="none"/>
                <w:lang w:val="en-US" w:eastAsia="zh-CN" w:bidi="ar"/>
              </w:rPr>
              <w:t xml:space="preserve">14.93 </w:t>
            </w:r>
          </w:p>
        </w:tc>
      </w:tr>
    </w:tbl>
    <w:p>
      <w:pPr>
        <w:spacing w:line="240" w:lineRule="auto"/>
        <w:ind w:firstLine="520" w:firstLineChars="0"/>
        <w:rPr>
          <w:bCs/>
          <w:color w:val="auto"/>
          <w:highlight w:val="none"/>
          <w:lang w:bidi="ar"/>
        </w:rPr>
      </w:pPr>
    </w:p>
    <w:p>
      <w:pPr>
        <w:spacing w:line="460" w:lineRule="exact"/>
        <w:ind w:firstLine="520" w:firstLineChars="0"/>
        <w:rPr>
          <w:bCs/>
          <w:color w:val="auto"/>
          <w:highlight w:val="none"/>
        </w:rPr>
      </w:pPr>
      <w:r>
        <w:rPr>
          <w:bCs/>
          <w:color w:val="auto"/>
          <w:highlight w:val="none"/>
          <w:lang w:bidi="ar"/>
        </w:rPr>
        <w:fldChar w:fldCharType="begin"/>
      </w:r>
      <w:r>
        <w:rPr>
          <w:bCs/>
          <w:color w:val="auto"/>
          <w:highlight w:val="none"/>
          <w:lang w:bidi="ar"/>
        </w:rPr>
        <w:instrText xml:space="preserve"> </w:instrText>
      </w:r>
      <w:r>
        <w:rPr>
          <w:rFonts w:hint="eastAsia"/>
          <w:bCs/>
          <w:color w:val="auto"/>
          <w:highlight w:val="none"/>
          <w:lang w:bidi="ar"/>
        </w:rPr>
        <w:instrText xml:space="preserve">= 1 \* GB3</w:instrText>
      </w:r>
      <w:r>
        <w:rPr>
          <w:bCs/>
          <w:color w:val="auto"/>
          <w:highlight w:val="none"/>
          <w:lang w:bidi="ar"/>
        </w:rPr>
        <w:instrText xml:space="preserve"> </w:instrText>
      </w:r>
      <w:r>
        <w:rPr>
          <w:bCs/>
          <w:color w:val="auto"/>
          <w:highlight w:val="none"/>
          <w:lang w:bidi="ar"/>
        </w:rPr>
        <w:fldChar w:fldCharType="separate"/>
      </w:r>
      <w:r>
        <w:rPr>
          <w:rFonts w:hint="eastAsia"/>
          <w:bCs/>
          <w:color w:val="auto"/>
          <w:highlight w:val="none"/>
          <w:lang w:bidi="ar"/>
        </w:rPr>
        <w:t>①</w:t>
      </w:r>
      <w:r>
        <w:rPr>
          <w:bCs/>
          <w:color w:val="auto"/>
          <w:highlight w:val="none"/>
          <w:lang w:bidi="ar"/>
        </w:rPr>
        <w:fldChar w:fldCharType="end"/>
      </w:r>
      <w:r>
        <w:rPr>
          <w:bCs/>
          <w:color w:val="auto"/>
          <w:szCs w:val="26"/>
          <w:highlight w:val="none"/>
          <w:lang w:bidi="ar"/>
        </w:rPr>
        <w:t>永久占地对土地利用的影响</w:t>
      </w:r>
    </w:p>
    <w:p>
      <w:pPr>
        <w:spacing w:line="460" w:lineRule="exact"/>
        <w:ind w:firstLine="520"/>
        <w:rPr>
          <w:color w:val="auto"/>
          <w:szCs w:val="26"/>
          <w:highlight w:val="none"/>
        </w:rPr>
      </w:pPr>
      <w:r>
        <w:rPr>
          <w:rFonts w:hint="eastAsia"/>
          <w:color w:val="auto"/>
          <w:szCs w:val="26"/>
          <w:highlight w:val="none"/>
          <w:lang w:bidi="ar"/>
        </w:rPr>
        <w:t>项目</w:t>
      </w:r>
      <w:r>
        <w:rPr>
          <w:rFonts w:hint="eastAsia"/>
          <w:color w:val="auto"/>
          <w:szCs w:val="26"/>
          <w:highlight w:val="none"/>
          <w:lang w:eastAsia="zh-CN" w:bidi="ar"/>
        </w:rPr>
        <w:t>永久占地</w:t>
      </w:r>
      <w:r>
        <w:rPr>
          <w:rFonts w:hint="eastAsia"/>
          <w:color w:val="auto"/>
          <w:szCs w:val="26"/>
          <w:highlight w:val="none"/>
          <w:shd w:val="clear" w:fill="FFFFFF"/>
          <w:lang w:eastAsia="zh-CN" w:bidi="ar"/>
        </w:rPr>
        <w:t>主要为</w:t>
      </w:r>
      <w:r>
        <w:rPr>
          <w:rFonts w:hint="eastAsia"/>
          <w:color w:val="auto"/>
          <w:szCs w:val="24"/>
          <w:highlight w:val="none"/>
        </w:rPr>
        <w:t>船闸、</w:t>
      </w:r>
      <w:r>
        <w:rPr>
          <w:rFonts w:hint="eastAsia"/>
          <w:color w:val="auto"/>
          <w:szCs w:val="24"/>
          <w:highlight w:val="none"/>
          <w:lang w:eastAsia="zh-CN"/>
        </w:rPr>
        <w:t>管理区</w:t>
      </w:r>
      <w:r>
        <w:rPr>
          <w:rFonts w:hint="eastAsia"/>
          <w:color w:val="auto"/>
          <w:szCs w:val="24"/>
          <w:highlight w:val="none"/>
        </w:rPr>
        <w:t>、</w:t>
      </w:r>
      <w:r>
        <w:rPr>
          <w:rFonts w:hint="eastAsia"/>
          <w:color w:val="auto"/>
          <w:szCs w:val="24"/>
          <w:highlight w:val="none"/>
          <w:lang w:eastAsia="zh-CN"/>
        </w:rPr>
        <w:t>锚地等，占地面积较小</w:t>
      </w:r>
      <w:r>
        <w:rPr>
          <w:rFonts w:hint="eastAsia"/>
          <w:color w:val="auto"/>
          <w:szCs w:val="26"/>
          <w:highlight w:val="none"/>
          <w:lang w:eastAsia="zh-CN" w:bidi="ar"/>
        </w:rPr>
        <w:t>，合计</w:t>
      </w:r>
      <w:r>
        <w:rPr>
          <w:rFonts w:hint="eastAsia"/>
          <w:color w:val="auto"/>
          <w:szCs w:val="26"/>
          <w:highlight w:val="none"/>
          <w:lang w:val="en-US" w:eastAsia="zh-CN" w:bidi="ar"/>
        </w:rPr>
        <w:t>14.93hm</w:t>
      </w:r>
      <w:r>
        <w:rPr>
          <w:rFonts w:hint="eastAsia"/>
          <w:color w:val="auto"/>
          <w:szCs w:val="26"/>
          <w:highlight w:val="none"/>
          <w:vertAlign w:val="superscript"/>
          <w:lang w:val="en-US" w:eastAsia="zh-CN" w:bidi="ar"/>
        </w:rPr>
        <w:t>2</w:t>
      </w:r>
      <w:r>
        <w:rPr>
          <w:rFonts w:hint="eastAsia"/>
          <w:color w:val="auto"/>
          <w:szCs w:val="26"/>
          <w:highlight w:val="none"/>
          <w:vertAlign w:val="baseline"/>
          <w:lang w:val="en-US" w:eastAsia="zh-CN" w:bidi="ar"/>
        </w:rPr>
        <w:t>。</w:t>
      </w:r>
      <w:r>
        <w:rPr>
          <w:rFonts w:hint="eastAsia"/>
          <w:color w:val="auto"/>
          <w:szCs w:val="26"/>
          <w:highlight w:val="none"/>
          <w:lang w:eastAsia="zh-CN" w:bidi="ar"/>
        </w:rPr>
        <w:t>根据项目占地类型统计，项目永久占地主要占用现有枢纽管理区，现状为公共设施用地，占用面积</w:t>
      </w:r>
      <w:r>
        <w:rPr>
          <w:rFonts w:hint="eastAsia"/>
          <w:color w:val="auto"/>
          <w:szCs w:val="26"/>
          <w:highlight w:val="none"/>
          <w:lang w:val="en-US" w:eastAsia="zh-CN" w:bidi="ar"/>
        </w:rPr>
        <w:t>5.63hm</w:t>
      </w:r>
      <w:r>
        <w:rPr>
          <w:rFonts w:hint="eastAsia"/>
          <w:color w:val="auto"/>
          <w:szCs w:val="26"/>
          <w:highlight w:val="none"/>
          <w:vertAlign w:val="superscript"/>
          <w:lang w:val="en-US" w:eastAsia="zh-CN" w:bidi="ar"/>
        </w:rPr>
        <w:t>2</w:t>
      </w:r>
      <w:r>
        <w:rPr>
          <w:rFonts w:hint="eastAsia"/>
          <w:color w:val="auto"/>
          <w:szCs w:val="26"/>
          <w:highlight w:val="none"/>
          <w:vertAlign w:val="baseline"/>
          <w:lang w:val="en-US" w:eastAsia="zh-CN" w:bidi="ar"/>
        </w:rPr>
        <w:t>，</w:t>
      </w:r>
      <w:r>
        <w:rPr>
          <w:rFonts w:hint="eastAsia"/>
          <w:color w:val="auto"/>
          <w:szCs w:val="26"/>
          <w:highlight w:val="none"/>
          <w:lang w:eastAsia="zh-CN" w:bidi="ar"/>
        </w:rPr>
        <w:t>占比达</w:t>
      </w:r>
      <w:r>
        <w:rPr>
          <w:rFonts w:hint="eastAsia"/>
          <w:color w:val="auto"/>
          <w:szCs w:val="26"/>
          <w:highlight w:val="none"/>
          <w:lang w:val="en-US" w:eastAsia="zh-CN" w:bidi="ar"/>
        </w:rPr>
        <w:t>37.74%</w:t>
      </w:r>
      <w:r>
        <w:rPr>
          <w:rFonts w:hint="eastAsia"/>
          <w:color w:val="auto"/>
          <w:szCs w:val="26"/>
          <w:highlight w:val="none"/>
          <w:lang w:bidi="ar"/>
        </w:rPr>
        <w:t>，</w:t>
      </w:r>
      <w:r>
        <w:rPr>
          <w:rFonts w:hint="eastAsia"/>
          <w:color w:val="auto"/>
          <w:szCs w:val="26"/>
          <w:highlight w:val="none"/>
          <w:lang w:eastAsia="zh-CN" w:bidi="ar"/>
        </w:rPr>
        <w:t>其余占用少量耕地（</w:t>
      </w:r>
      <w:r>
        <w:rPr>
          <w:rFonts w:hint="eastAsia"/>
          <w:color w:val="auto"/>
          <w:szCs w:val="26"/>
          <w:highlight w:val="none"/>
          <w:lang w:val="en-US" w:eastAsia="zh-CN" w:bidi="ar"/>
        </w:rPr>
        <w:t>1.87hm</w:t>
      </w:r>
      <w:r>
        <w:rPr>
          <w:rFonts w:hint="eastAsia"/>
          <w:color w:val="auto"/>
          <w:szCs w:val="26"/>
          <w:highlight w:val="none"/>
          <w:vertAlign w:val="superscript"/>
          <w:lang w:val="en-US" w:eastAsia="zh-CN" w:bidi="ar"/>
        </w:rPr>
        <w:t>2</w:t>
      </w:r>
      <w:r>
        <w:rPr>
          <w:rFonts w:hint="eastAsia"/>
          <w:color w:val="auto"/>
          <w:szCs w:val="26"/>
          <w:highlight w:val="none"/>
          <w:lang w:eastAsia="zh-CN" w:bidi="ar"/>
        </w:rPr>
        <w:t>）、林地（</w:t>
      </w:r>
      <w:r>
        <w:rPr>
          <w:rFonts w:hint="eastAsia"/>
          <w:color w:val="auto"/>
          <w:szCs w:val="26"/>
          <w:highlight w:val="none"/>
          <w:lang w:val="en-US" w:eastAsia="zh-CN" w:bidi="ar"/>
        </w:rPr>
        <w:t>3.04hm</w:t>
      </w:r>
      <w:r>
        <w:rPr>
          <w:rFonts w:hint="eastAsia"/>
          <w:color w:val="auto"/>
          <w:szCs w:val="26"/>
          <w:highlight w:val="none"/>
          <w:vertAlign w:val="superscript"/>
          <w:lang w:val="en-US" w:eastAsia="zh-CN" w:bidi="ar"/>
        </w:rPr>
        <w:t>2</w:t>
      </w:r>
      <w:r>
        <w:rPr>
          <w:rFonts w:hint="eastAsia"/>
          <w:color w:val="auto"/>
          <w:szCs w:val="26"/>
          <w:highlight w:val="none"/>
          <w:lang w:eastAsia="zh-CN" w:bidi="ar"/>
        </w:rPr>
        <w:t>）、河流水面（</w:t>
      </w:r>
      <w:r>
        <w:rPr>
          <w:rFonts w:hint="eastAsia"/>
          <w:color w:val="auto"/>
          <w:szCs w:val="26"/>
          <w:highlight w:val="none"/>
          <w:lang w:val="en-US" w:eastAsia="zh-CN" w:bidi="ar"/>
        </w:rPr>
        <w:t>2.33hm</w:t>
      </w:r>
      <w:r>
        <w:rPr>
          <w:rFonts w:hint="eastAsia"/>
          <w:color w:val="auto"/>
          <w:szCs w:val="26"/>
          <w:highlight w:val="none"/>
          <w:vertAlign w:val="superscript"/>
          <w:lang w:val="en-US" w:eastAsia="zh-CN" w:bidi="ar"/>
        </w:rPr>
        <w:t>2</w:t>
      </w:r>
      <w:r>
        <w:rPr>
          <w:rFonts w:hint="eastAsia"/>
          <w:color w:val="auto"/>
          <w:szCs w:val="26"/>
          <w:highlight w:val="none"/>
          <w:lang w:eastAsia="zh-CN" w:bidi="ar"/>
        </w:rPr>
        <w:t>）及其他建设用地。工程实施后，会导致耕地、林地面积有所减少，建设用地面积增加，但变化程度有限。总体来说，项目永久占地规模较小，且以占用现状枢纽管理区用地为主，工程建设前后土地利用现状结构变化较小</w:t>
      </w:r>
      <w:r>
        <w:rPr>
          <w:rFonts w:hint="eastAsia"/>
          <w:bCs/>
          <w:color w:val="auto"/>
          <w:szCs w:val="26"/>
          <w:highlight w:val="none"/>
          <w:lang w:eastAsia="zh-CN" w:bidi="ar"/>
        </w:rPr>
        <w:t>，</w:t>
      </w:r>
      <w:r>
        <w:rPr>
          <w:bCs/>
          <w:color w:val="auto"/>
          <w:szCs w:val="26"/>
          <w:highlight w:val="none"/>
          <w:lang w:bidi="ar"/>
        </w:rPr>
        <w:t>对</w:t>
      </w:r>
      <w:r>
        <w:rPr>
          <w:rFonts w:hint="eastAsia"/>
          <w:bCs/>
          <w:color w:val="auto"/>
          <w:szCs w:val="26"/>
          <w:highlight w:val="none"/>
          <w:lang w:bidi="ar"/>
        </w:rPr>
        <w:t>区域</w:t>
      </w:r>
      <w:r>
        <w:rPr>
          <w:bCs/>
          <w:color w:val="auto"/>
          <w:szCs w:val="26"/>
          <w:highlight w:val="none"/>
          <w:lang w:bidi="ar"/>
        </w:rPr>
        <w:t>土地利用</w:t>
      </w:r>
      <w:r>
        <w:rPr>
          <w:rFonts w:hint="eastAsia"/>
          <w:bCs/>
          <w:color w:val="auto"/>
          <w:szCs w:val="26"/>
          <w:highlight w:val="none"/>
          <w:lang w:bidi="ar"/>
        </w:rPr>
        <w:t>现状格局</w:t>
      </w:r>
      <w:r>
        <w:rPr>
          <w:bCs/>
          <w:color w:val="auto"/>
          <w:szCs w:val="26"/>
          <w:highlight w:val="none"/>
          <w:lang w:bidi="ar"/>
        </w:rPr>
        <w:t>影响</w:t>
      </w:r>
      <w:r>
        <w:rPr>
          <w:rFonts w:hint="eastAsia"/>
          <w:bCs/>
          <w:color w:val="auto"/>
          <w:szCs w:val="26"/>
          <w:highlight w:val="none"/>
          <w:lang w:eastAsia="zh-CN" w:bidi="ar"/>
        </w:rPr>
        <w:t>不大</w:t>
      </w:r>
      <w:r>
        <w:rPr>
          <w:bCs/>
          <w:color w:val="auto"/>
          <w:szCs w:val="26"/>
          <w:highlight w:val="none"/>
          <w:lang w:bidi="ar"/>
        </w:rPr>
        <w:t>。</w:t>
      </w:r>
    </w:p>
    <w:p>
      <w:pPr>
        <w:spacing w:line="460" w:lineRule="exact"/>
        <w:ind w:firstLine="520"/>
        <w:rPr>
          <w:color w:val="auto"/>
          <w:szCs w:val="26"/>
          <w:highlight w:val="none"/>
        </w:rPr>
      </w:pPr>
      <w:r>
        <w:rPr>
          <w:rFonts w:hint="eastAsia"/>
          <w:color w:val="auto"/>
          <w:szCs w:val="26"/>
          <w:highlight w:val="none"/>
          <w:lang w:bidi="ar"/>
        </w:rPr>
        <w:t>根据《中华人民共和国土地管理法</w:t>
      </w:r>
      <w:r>
        <w:rPr>
          <w:rFonts w:hint="eastAsia"/>
          <w:color w:val="auto"/>
          <w:szCs w:val="26"/>
          <w:highlight w:val="none"/>
          <w:shd w:val="clear" w:fill="FFFFFF"/>
          <w:lang w:bidi="ar"/>
        </w:rPr>
        <w:t>》</w:t>
      </w:r>
      <w:r>
        <w:rPr>
          <w:rFonts w:hint="eastAsia"/>
          <w:color w:val="auto"/>
          <w:szCs w:val="26"/>
          <w:highlight w:val="none"/>
          <w:shd w:val="clear" w:fill="FFFFFF"/>
          <w:lang w:eastAsia="zh-CN" w:bidi="ar"/>
        </w:rPr>
        <w:t>、《</w:t>
      </w:r>
      <w:r>
        <w:rPr>
          <w:rFonts w:hint="eastAsia"/>
          <w:color w:val="auto"/>
          <w:szCs w:val="26"/>
          <w:highlight w:val="none"/>
          <w:lang w:eastAsia="zh-CN" w:bidi="ar"/>
        </w:rPr>
        <w:t>重庆市土地管理条例》</w:t>
      </w:r>
      <w:r>
        <w:rPr>
          <w:rFonts w:hint="eastAsia"/>
          <w:color w:val="auto"/>
          <w:szCs w:val="26"/>
          <w:highlight w:val="none"/>
          <w:lang w:bidi="ar"/>
        </w:rPr>
        <w:t>等相关规定，</w:t>
      </w:r>
      <w:r>
        <w:rPr>
          <w:rFonts w:hint="eastAsia"/>
          <w:color w:val="auto"/>
          <w:szCs w:val="26"/>
          <w:highlight w:val="none"/>
          <w:lang w:eastAsia="zh-CN" w:bidi="ar"/>
        </w:rPr>
        <w:t>办理有关手续</w:t>
      </w:r>
      <w:r>
        <w:rPr>
          <w:color w:val="auto"/>
          <w:szCs w:val="26"/>
          <w:highlight w:val="none"/>
          <w:lang w:bidi="ar"/>
        </w:rPr>
        <w:t>；建设单位要与地方政府及有关职能部门积极协调，在施工前认真落实地方有关征地补偿手续及其费用，配合地方政府解决</w:t>
      </w:r>
      <w:r>
        <w:rPr>
          <w:rFonts w:hint="eastAsia"/>
          <w:color w:val="auto"/>
          <w:szCs w:val="26"/>
          <w:highlight w:val="none"/>
          <w:lang w:bidi="ar"/>
        </w:rPr>
        <w:t>项目</w:t>
      </w:r>
      <w:r>
        <w:rPr>
          <w:color w:val="auto"/>
          <w:szCs w:val="26"/>
          <w:highlight w:val="none"/>
          <w:lang w:bidi="ar"/>
        </w:rPr>
        <w:t>扰动区域内的土地占补平衡问题；同时在施工和运营期间要落实本报告书中的有关环境保护措施，将永久性工程占地对</w:t>
      </w:r>
      <w:r>
        <w:rPr>
          <w:rFonts w:hint="eastAsia"/>
          <w:color w:val="auto"/>
          <w:szCs w:val="26"/>
          <w:highlight w:val="none"/>
          <w:lang w:bidi="ar"/>
        </w:rPr>
        <w:t>周边</w:t>
      </w:r>
      <w:r>
        <w:rPr>
          <w:color w:val="auto"/>
          <w:szCs w:val="26"/>
          <w:highlight w:val="none"/>
          <w:lang w:bidi="ar"/>
        </w:rPr>
        <w:t>地区土地利用的影响减到最小。</w:t>
      </w:r>
    </w:p>
    <w:p>
      <w:pPr>
        <w:spacing w:line="460" w:lineRule="exact"/>
        <w:ind w:firstLine="520"/>
        <w:rPr>
          <w:color w:val="auto"/>
          <w:szCs w:val="26"/>
          <w:highlight w:val="none"/>
        </w:rPr>
      </w:pPr>
      <w:r>
        <w:rPr>
          <w:color w:val="auto"/>
          <w:szCs w:val="26"/>
          <w:highlight w:val="none"/>
          <w:lang w:bidi="ar"/>
        </w:rPr>
        <w:fldChar w:fldCharType="begin"/>
      </w:r>
      <w:r>
        <w:rPr>
          <w:color w:val="auto"/>
          <w:szCs w:val="26"/>
          <w:highlight w:val="none"/>
          <w:lang w:bidi="ar"/>
        </w:rPr>
        <w:instrText xml:space="preserve"> </w:instrText>
      </w:r>
      <w:r>
        <w:rPr>
          <w:rFonts w:hint="eastAsia"/>
          <w:color w:val="auto"/>
          <w:szCs w:val="26"/>
          <w:highlight w:val="none"/>
          <w:lang w:bidi="ar"/>
        </w:rPr>
        <w:instrText xml:space="preserve">= 2 \* GB3</w:instrText>
      </w:r>
      <w:r>
        <w:rPr>
          <w:color w:val="auto"/>
          <w:szCs w:val="26"/>
          <w:highlight w:val="none"/>
          <w:lang w:bidi="ar"/>
        </w:rPr>
        <w:instrText xml:space="preserve"> </w:instrText>
      </w:r>
      <w:r>
        <w:rPr>
          <w:color w:val="auto"/>
          <w:szCs w:val="26"/>
          <w:highlight w:val="none"/>
          <w:lang w:bidi="ar"/>
        </w:rPr>
        <w:fldChar w:fldCharType="separate"/>
      </w:r>
      <w:r>
        <w:rPr>
          <w:rFonts w:hint="eastAsia"/>
          <w:color w:val="auto"/>
          <w:szCs w:val="26"/>
          <w:highlight w:val="none"/>
          <w:lang w:bidi="ar"/>
        </w:rPr>
        <w:t>②</w:t>
      </w:r>
      <w:r>
        <w:rPr>
          <w:color w:val="auto"/>
          <w:szCs w:val="26"/>
          <w:highlight w:val="none"/>
          <w:lang w:bidi="ar"/>
        </w:rPr>
        <w:fldChar w:fldCharType="end"/>
      </w:r>
      <w:r>
        <w:rPr>
          <w:color w:val="auto"/>
          <w:szCs w:val="26"/>
          <w:highlight w:val="none"/>
          <w:lang w:bidi="ar"/>
        </w:rPr>
        <w:t>临时占地对土地利用的影响</w:t>
      </w:r>
    </w:p>
    <w:p>
      <w:pPr>
        <w:spacing w:line="460" w:lineRule="exact"/>
        <w:ind w:firstLine="520"/>
        <w:rPr>
          <w:color w:val="auto"/>
          <w:highlight w:val="none"/>
          <w:lang w:bidi="ar"/>
        </w:rPr>
      </w:pPr>
      <w:r>
        <w:rPr>
          <w:rFonts w:hint="eastAsia"/>
          <w:color w:val="auto"/>
          <w:szCs w:val="26"/>
          <w:highlight w:val="none"/>
          <w:lang w:bidi="ar"/>
        </w:rPr>
        <w:t>工程临时占地主要为</w:t>
      </w:r>
      <w:r>
        <w:rPr>
          <w:rFonts w:hint="eastAsia"/>
          <w:color w:val="auto"/>
          <w:szCs w:val="24"/>
          <w:highlight w:val="none"/>
          <w:lang w:eastAsia="zh-CN"/>
        </w:rPr>
        <w:t>施工场地、弃渣场、临时围堰</w:t>
      </w:r>
      <w:r>
        <w:rPr>
          <w:rFonts w:hint="eastAsia"/>
          <w:color w:val="auto"/>
          <w:szCs w:val="26"/>
          <w:highlight w:val="none"/>
          <w:lang w:bidi="ar"/>
        </w:rPr>
        <w:t>等。</w:t>
      </w:r>
      <w:r>
        <w:rPr>
          <w:rFonts w:hint="eastAsia"/>
          <w:color w:val="auto"/>
          <w:szCs w:val="26"/>
          <w:highlight w:val="none"/>
          <w:lang w:eastAsia="zh-CN" w:bidi="ar"/>
        </w:rPr>
        <w:t>其中</w:t>
      </w:r>
      <w:r>
        <w:rPr>
          <w:rFonts w:hint="eastAsia"/>
          <w:color w:val="auto"/>
          <w:szCs w:val="24"/>
          <w:highlight w:val="none"/>
          <w:lang w:eastAsia="zh-CN"/>
        </w:rPr>
        <w:t>航道疏浚、临时围堰</w:t>
      </w:r>
      <w:r>
        <w:rPr>
          <w:rFonts w:hint="eastAsia"/>
          <w:color w:val="auto"/>
          <w:szCs w:val="26"/>
          <w:highlight w:val="none"/>
          <w:lang w:bidi="ar"/>
        </w:rPr>
        <w:t>等</w:t>
      </w:r>
      <w:r>
        <w:rPr>
          <w:rFonts w:hint="eastAsia"/>
          <w:color w:val="auto"/>
          <w:szCs w:val="26"/>
          <w:highlight w:val="none"/>
          <w:lang w:eastAsia="zh-CN" w:bidi="ar"/>
        </w:rPr>
        <w:t>主要以占用水域为主，施工场地、弃渣场等主要占用陆域范围。</w:t>
      </w:r>
      <w:r>
        <w:rPr>
          <w:color w:val="auto"/>
          <w:highlight w:val="none"/>
          <w:lang w:bidi="ar"/>
        </w:rPr>
        <w:t>根据占地类型统计，</w:t>
      </w:r>
      <w:r>
        <w:rPr>
          <w:rFonts w:hint="eastAsia"/>
          <w:color w:val="auto"/>
          <w:highlight w:val="none"/>
          <w:lang w:bidi="ar"/>
        </w:rPr>
        <w:t>项目</w:t>
      </w:r>
      <w:r>
        <w:rPr>
          <w:color w:val="auto"/>
          <w:highlight w:val="none"/>
          <w:lang w:bidi="ar"/>
        </w:rPr>
        <w:t>临时占地面积</w:t>
      </w:r>
      <w:r>
        <w:rPr>
          <w:rFonts w:hint="eastAsia"/>
          <w:color w:val="auto"/>
          <w:szCs w:val="26"/>
          <w:highlight w:val="none"/>
          <w:lang w:bidi="ar"/>
        </w:rPr>
        <w:t>约</w:t>
      </w:r>
      <w:r>
        <w:rPr>
          <w:rFonts w:hint="eastAsia"/>
          <w:color w:val="auto"/>
          <w:szCs w:val="26"/>
          <w:highlight w:val="none"/>
          <w:lang w:val="en-US" w:eastAsia="zh-CN" w:bidi="ar"/>
        </w:rPr>
        <w:t>37.70</w:t>
      </w:r>
      <w:r>
        <w:rPr>
          <w:color w:val="auto"/>
          <w:szCs w:val="26"/>
          <w:highlight w:val="none"/>
          <w:lang w:bidi="ar"/>
        </w:rPr>
        <w:t>hm</w:t>
      </w:r>
      <w:r>
        <w:rPr>
          <w:color w:val="auto"/>
          <w:szCs w:val="26"/>
          <w:highlight w:val="none"/>
          <w:vertAlign w:val="superscript"/>
          <w:lang w:bidi="ar"/>
        </w:rPr>
        <w:t>2</w:t>
      </w:r>
      <w:r>
        <w:rPr>
          <w:rFonts w:hint="eastAsia"/>
          <w:color w:val="auto"/>
          <w:szCs w:val="26"/>
          <w:highlight w:val="none"/>
          <w:lang w:bidi="ar"/>
        </w:rPr>
        <w:t>，</w:t>
      </w:r>
      <w:r>
        <w:rPr>
          <w:rFonts w:hint="eastAsia"/>
          <w:color w:val="auto"/>
          <w:szCs w:val="26"/>
          <w:highlight w:val="none"/>
          <w:lang w:eastAsia="zh-CN" w:bidi="ar"/>
        </w:rPr>
        <w:t>占整个评价范围的</w:t>
      </w:r>
      <w:r>
        <w:rPr>
          <w:rFonts w:hint="eastAsia"/>
          <w:color w:val="auto"/>
          <w:szCs w:val="26"/>
          <w:highlight w:val="none"/>
          <w:lang w:val="en-US" w:eastAsia="zh-CN" w:bidi="ar"/>
        </w:rPr>
        <w:t>4.45%，以占用水域、林地、耕地为主，分别为14.22hm</w:t>
      </w:r>
      <w:r>
        <w:rPr>
          <w:rFonts w:hint="eastAsia"/>
          <w:color w:val="auto"/>
          <w:szCs w:val="26"/>
          <w:highlight w:val="none"/>
          <w:vertAlign w:val="superscript"/>
          <w:lang w:val="en-US" w:eastAsia="zh-CN" w:bidi="ar"/>
        </w:rPr>
        <w:t>2</w:t>
      </w:r>
      <w:r>
        <w:rPr>
          <w:rFonts w:hint="eastAsia"/>
          <w:color w:val="auto"/>
          <w:szCs w:val="26"/>
          <w:highlight w:val="none"/>
          <w:vertAlign w:val="baseline"/>
          <w:lang w:val="en-US" w:eastAsia="zh-CN" w:bidi="ar"/>
        </w:rPr>
        <w:t>（37.72%）、12.22hm</w:t>
      </w:r>
      <w:r>
        <w:rPr>
          <w:rFonts w:hint="eastAsia"/>
          <w:color w:val="auto"/>
          <w:szCs w:val="26"/>
          <w:highlight w:val="none"/>
          <w:vertAlign w:val="superscript"/>
          <w:lang w:val="en-US" w:eastAsia="zh-CN" w:bidi="ar"/>
        </w:rPr>
        <w:t>2</w:t>
      </w:r>
      <w:r>
        <w:rPr>
          <w:rFonts w:hint="eastAsia"/>
          <w:color w:val="auto"/>
          <w:szCs w:val="26"/>
          <w:highlight w:val="none"/>
          <w:vertAlign w:val="baseline"/>
          <w:lang w:val="en-US" w:eastAsia="zh-CN" w:bidi="ar"/>
        </w:rPr>
        <w:t>（32.40%）、9.67hm</w:t>
      </w:r>
      <w:r>
        <w:rPr>
          <w:rFonts w:hint="eastAsia"/>
          <w:color w:val="auto"/>
          <w:szCs w:val="26"/>
          <w:highlight w:val="none"/>
          <w:vertAlign w:val="superscript"/>
          <w:lang w:val="en-US" w:eastAsia="zh-CN" w:bidi="ar"/>
        </w:rPr>
        <w:t>2</w:t>
      </w:r>
      <w:r>
        <w:rPr>
          <w:rFonts w:hint="eastAsia"/>
          <w:color w:val="auto"/>
          <w:szCs w:val="26"/>
          <w:highlight w:val="none"/>
          <w:vertAlign w:val="baseline"/>
          <w:lang w:val="en-US" w:eastAsia="zh-CN" w:bidi="ar"/>
        </w:rPr>
        <w:t>（25.66%）</w:t>
      </w:r>
      <w:r>
        <w:rPr>
          <w:rFonts w:hint="eastAsia"/>
          <w:color w:val="auto"/>
          <w:szCs w:val="26"/>
          <w:highlight w:val="none"/>
          <w:lang w:bidi="ar"/>
        </w:rPr>
        <w:t>。</w:t>
      </w:r>
      <w:r>
        <w:rPr>
          <w:rFonts w:hint="eastAsia"/>
          <w:color w:val="auto"/>
          <w:szCs w:val="26"/>
          <w:highlight w:val="none"/>
          <w:lang w:eastAsia="zh-CN" w:bidi="ar"/>
        </w:rPr>
        <w:t>对于水域临时占用，施工完成后会对临时围堰等进行拆除，恢复正常水面，不会造成土地利用类型改变。对于林地、耕地等临时占用，主要是施工场地、弃渣场，根据调查，</w:t>
      </w:r>
      <w:r>
        <w:rPr>
          <w:rFonts w:hint="eastAsia"/>
          <w:color w:val="auto"/>
          <w:highlight w:val="none"/>
          <w:lang w:bidi="ar"/>
        </w:rPr>
        <w:t>项目所在</w:t>
      </w:r>
      <w:r>
        <w:rPr>
          <w:rFonts w:hint="eastAsia"/>
          <w:color w:val="auto"/>
          <w:highlight w:val="none"/>
          <w:lang w:eastAsia="zh-CN" w:bidi="ar"/>
        </w:rPr>
        <w:t>临时占地周边</w:t>
      </w:r>
      <w:r>
        <w:rPr>
          <w:color w:val="auto"/>
          <w:highlight w:val="none"/>
          <w:lang w:bidi="ar"/>
        </w:rPr>
        <w:t>林地、耕地面积分布较广，</w:t>
      </w:r>
      <w:r>
        <w:rPr>
          <w:rFonts w:hint="eastAsia"/>
          <w:color w:val="auto"/>
          <w:highlight w:val="none"/>
          <w:lang w:bidi="ar"/>
        </w:rPr>
        <w:t>是评价</w:t>
      </w:r>
      <w:r>
        <w:rPr>
          <w:color w:val="auto"/>
          <w:highlight w:val="none"/>
          <w:lang w:bidi="ar"/>
        </w:rPr>
        <w:t>范围内</w:t>
      </w:r>
      <w:r>
        <w:rPr>
          <w:rFonts w:hint="eastAsia"/>
          <w:color w:val="auto"/>
          <w:highlight w:val="none"/>
          <w:lang w:eastAsia="zh-CN" w:bidi="ar"/>
        </w:rPr>
        <w:t>除水域外的</w:t>
      </w:r>
      <w:r>
        <w:rPr>
          <w:color w:val="auto"/>
          <w:highlight w:val="none"/>
          <w:lang w:bidi="ar"/>
        </w:rPr>
        <w:t>主要土地利用类型</w:t>
      </w:r>
      <w:r>
        <w:rPr>
          <w:rFonts w:hint="eastAsia"/>
          <w:color w:val="auto"/>
          <w:highlight w:val="none"/>
          <w:lang w:bidi="ar"/>
        </w:rPr>
        <w:t>及</w:t>
      </w:r>
      <w:r>
        <w:rPr>
          <w:color w:val="auto"/>
          <w:highlight w:val="none"/>
          <w:lang w:bidi="ar"/>
        </w:rPr>
        <w:t>背景斑块，</w:t>
      </w:r>
      <w:r>
        <w:rPr>
          <w:rFonts w:hint="eastAsia"/>
          <w:color w:val="auto"/>
          <w:highlight w:val="none"/>
          <w:lang w:bidi="ar"/>
        </w:rPr>
        <w:t>相较于区域整体土地利用</w:t>
      </w:r>
      <w:r>
        <w:rPr>
          <w:rFonts w:hint="eastAsia"/>
          <w:color w:val="auto"/>
          <w:highlight w:val="none"/>
          <w:shd w:val="clear" w:fill="FFFFFF"/>
          <w:lang w:bidi="ar"/>
        </w:rPr>
        <w:t>形式来看</w:t>
      </w:r>
      <w:r>
        <w:rPr>
          <w:rFonts w:hint="eastAsia"/>
          <w:color w:val="auto"/>
          <w:highlight w:val="none"/>
          <w:lang w:bidi="ar"/>
        </w:rPr>
        <w:t>，</w:t>
      </w:r>
      <w:r>
        <w:rPr>
          <w:color w:val="auto"/>
          <w:highlight w:val="none"/>
          <w:lang w:bidi="ar"/>
        </w:rPr>
        <w:t>项目临时占地面积较小，</w:t>
      </w:r>
      <w:r>
        <w:rPr>
          <w:rFonts w:hint="eastAsia"/>
          <w:color w:val="auto"/>
          <w:highlight w:val="none"/>
          <w:lang w:bidi="ar"/>
        </w:rPr>
        <w:t>不会对</w:t>
      </w:r>
      <w:r>
        <w:rPr>
          <w:color w:val="auto"/>
          <w:highlight w:val="none"/>
          <w:lang w:bidi="ar"/>
        </w:rPr>
        <w:t>区域土地利用现状格局造成较大改变</w:t>
      </w:r>
      <w:r>
        <w:rPr>
          <w:rFonts w:hint="eastAsia"/>
          <w:color w:val="auto"/>
          <w:highlight w:val="none"/>
          <w:lang w:eastAsia="zh-CN" w:bidi="ar"/>
        </w:rPr>
        <w:t>。</w:t>
      </w:r>
      <w:r>
        <w:rPr>
          <w:rFonts w:hint="eastAsia"/>
          <w:color w:val="auto"/>
          <w:highlight w:val="none"/>
          <w:lang w:bidi="ar"/>
        </w:rPr>
        <w:t>且项目</w:t>
      </w:r>
      <w:r>
        <w:rPr>
          <w:rFonts w:hint="eastAsia"/>
          <w:color w:val="auto"/>
          <w:highlight w:val="none"/>
          <w:lang w:eastAsia="zh-CN" w:bidi="ar"/>
        </w:rPr>
        <w:t>施工完成后，将会对施工场地、弃渣</w:t>
      </w:r>
      <w:r>
        <w:rPr>
          <w:rFonts w:hint="eastAsia"/>
          <w:color w:val="auto"/>
          <w:highlight w:val="none"/>
          <w:shd w:val="clear" w:fill="FFFFFF"/>
          <w:lang w:eastAsia="zh-CN" w:bidi="ar"/>
        </w:rPr>
        <w:t>场及</w:t>
      </w:r>
      <w:r>
        <w:rPr>
          <w:rFonts w:hint="eastAsia"/>
          <w:color w:val="auto"/>
          <w:highlight w:val="none"/>
          <w:shd w:val="clear" w:fill="FFFFFF"/>
          <w:lang w:val="en-US" w:eastAsia="zh-CN" w:bidi="ar"/>
        </w:rPr>
        <w:t>=</w:t>
      </w:r>
      <w:r>
        <w:rPr>
          <w:color w:val="auto"/>
          <w:szCs w:val="26"/>
          <w:highlight w:val="none"/>
        </w:rPr>
        <w:t>进行生态恢复</w:t>
      </w:r>
      <w:r>
        <w:rPr>
          <w:rFonts w:hint="eastAsia"/>
          <w:color w:val="auto"/>
          <w:szCs w:val="26"/>
          <w:highlight w:val="none"/>
        </w:rPr>
        <w:t>，</w:t>
      </w:r>
      <w:r>
        <w:rPr>
          <w:color w:val="auto"/>
          <w:highlight w:val="none"/>
          <w:lang w:bidi="ar"/>
        </w:rPr>
        <w:t>不会对该区域的土地利用结构造成较大改变</w:t>
      </w:r>
      <w:r>
        <w:rPr>
          <w:rFonts w:hint="eastAsia"/>
          <w:color w:val="auto"/>
          <w:highlight w:val="none"/>
          <w:lang w:eastAsia="zh-CN" w:bidi="ar"/>
        </w:rPr>
        <w:t>，随着生态修复的不断进行，临时占地</w:t>
      </w:r>
      <w:r>
        <w:rPr>
          <w:color w:val="auto"/>
          <w:highlight w:val="none"/>
          <w:lang w:bidi="ar"/>
        </w:rPr>
        <w:t>对土地利用的影响也会逐渐消失。</w:t>
      </w:r>
    </w:p>
    <w:p>
      <w:pPr>
        <w:adjustRightInd w:val="0"/>
        <w:snapToGrid w:val="0"/>
        <w:ind w:firstLine="536"/>
        <w:rPr>
          <w:bCs/>
          <w:color w:val="auto"/>
          <w:spacing w:val="4"/>
          <w:szCs w:val="26"/>
          <w:highlight w:val="none"/>
        </w:rPr>
      </w:pPr>
      <w:r>
        <w:rPr>
          <w:rFonts w:hint="eastAsia"/>
          <w:bCs/>
          <w:color w:val="auto"/>
          <w:spacing w:val="4"/>
          <w:szCs w:val="26"/>
          <w:highlight w:val="none"/>
        </w:rPr>
        <w:t>（</w:t>
      </w:r>
      <w:r>
        <w:rPr>
          <w:rFonts w:hint="eastAsia"/>
          <w:bCs/>
          <w:color w:val="auto"/>
          <w:spacing w:val="4"/>
          <w:szCs w:val="26"/>
          <w:highlight w:val="none"/>
          <w:lang w:val="en-US" w:eastAsia="zh-CN"/>
        </w:rPr>
        <w:t>2</w:t>
      </w:r>
      <w:r>
        <w:rPr>
          <w:rFonts w:hint="eastAsia"/>
          <w:bCs/>
          <w:color w:val="auto"/>
          <w:spacing w:val="4"/>
          <w:szCs w:val="26"/>
          <w:highlight w:val="none"/>
        </w:rPr>
        <w:t>）对农业</w:t>
      </w:r>
      <w:r>
        <w:rPr>
          <w:rFonts w:hint="eastAsia"/>
          <w:bCs/>
          <w:color w:val="auto"/>
          <w:spacing w:val="4"/>
          <w:szCs w:val="26"/>
          <w:highlight w:val="none"/>
          <w:lang w:eastAsia="zh-CN"/>
        </w:rPr>
        <w:t>生产</w:t>
      </w:r>
      <w:r>
        <w:rPr>
          <w:rFonts w:hint="eastAsia"/>
          <w:bCs/>
          <w:color w:val="auto"/>
          <w:spacing w:val="4"/>
          <w:szCs w:val="26"/>
          <w:highlight w:val="none"/>
        </w:rPr>
        <w:t>的影响</w:t>
      </w:r>
    </w:p>
    <w:p>
      <w:pPr>
        <w:adjustRightInd w:val="0"/>
        <w:snapToGrid w:val="0"/>
        <w:ind w:firstLine="520"/>
        <w:rPr>
          <w:bCs/>
          <w:color w:val="auto"/>
          <w:szCs w:val="26"/>
          <w:highlight w:val="none"/>
        </w:rPr>
      </w:pPr>
      <w:r>
        <w:rPr>
          <w:rFonts w:hint="eastAsia"/>
          <w:bCs/>
          <w:color w:val="auto"/>
          <w:szCs w:val="26"/>
          <w:highlight w:val="none"/>
        </w:rPr>
        <w:t>①对永久基本农田的影响</w:t>
      </w:r>
    </w:p>
    <w:p>
      <w:pPr>
        <w:adjustRightInd w:val="0"/>
        <w:snapToGrid w:val="0"/>
        <w:ind w:firstLine="520"/>
        <w:rPr>
          <w:rFonts w:hint="eastAsia" w:eastAsia="宋体"/>
          <w:color w:val="auto"/>
          <w:szCs w:val="26"/>
          <w:highlight w:val="none"/>
          <w:shd w:val="clear" w:color="auto" w:fill="FFFFFF"/>
          <w:lang w:eastAsia="zh-CN"/>
        </w:rPr>
      </w:pPr>
      <w:r>
        <w:rPr>
          <w:rFonts w:hint="eastAsia"/>
          <w:color w:val="auto"/>
          <w:szCs w:val="26"/>
          <w:highlight w:val="none"/>
        </w:rPr>
        <w:t>项目对</w:t>
      </w:r>
      <w:r>
        <w:rPr>
          <w:rFonts w:hint="eastAsia"/>
          <w:bCs/>
          <w:color w:val="auto"/>
          <w:szCs w:val="26"/>
          <w:highlight w:val="none"/>
        </w:rPr>
        <w:t>永久</w:t>
      </w:r>
      <w:r>
        <w:rPr>
          <w:rFonts w:hint="eastAsia"/>
          <w:color w:val="auto"/>
          <w:szCs w:val="26"/>
          <w:highlight w:val="none"/>
        </w:rPr>
        <w:t>基本农田的影响主要体现在施工过程中的开挖活动使被开挖地段的耕作层发生破坏，导致永久基本农田质量下降。根据项目占地与</w:t>
      </w:r>
      <w:r>
        <w:rPr>
          <w:rFonts w:hint="eastAsia"/>
          <w:color w:val="auto"/>
          <w:szCs w:val="26"/>
          <w:highlight w:val="none"/>
          <w:lang w:eastAsia="zh-CN"/>
        </w:rPr>
        <w:t>合川区</w:t>
      </w:r>
      <w:r>
        <w:rPr>
          <w:rFonts w:hint="eastAsia"/>
          <w:color w:val="auto"/>
          <w:szCs w:val="26"/>
          <w:highlight w:val="none"/>
        </w:rPr>
        <w:t>永久基本农田划定情况叠图对比分析，本项目涉及占用永久基本农田</w:t>
      </w:r>
      <w:r>
        <w:rPr>
          <w:rFonts w:hint="eastAsia"/>
          <w:color w:val="auto"/>
          <w:szCs w:val="26"/>
          <w:highlight w:val="none"/>
          <w:lang w:val="en-US" w:eastAsia="zh-CN"/>
        </w:rPr>
        <w:t>7.97</w:t>
      </w:r>
      <w:r>
        <w:rPr>
          <w:rFonts w:hint="eastAsia"/>
          <w:color w:val="auto"/>
          <w:szCs w:val="26"/>
          <w:highlight w:val="none"/>
        </w:rPr>
        <w:t>hm</w:t>
      </w:r>
      <w:r>
        <w:rPr>
          <w:rFonts w:hint="eastAsia"/>
          <w:color w:val="auto"/>
          <w:szCs w:val="26"/>
          <w:highlight w:val="none"/>
          <w:vertAlign w:val="superscript"/>
        </w:rPr>
        <w:t>2</w:t>
      </w:r>
      <w:r>
        <w:rPr>
          <w:rFonts w:hint="eastAsia"/>
          <w:color w:val="auto"/>
          <w:szCs w:val="26"/>
          <w:highlight w:val="none"/>
        </w:rPr>
        <w:t>，其中永久占用</w:t>
      </w:r>
      <w:r>
        <w:rPr>
          <w:rFonts w:hint="eastAsia"/>
          <w:color w:val="auto"/>
          <w:szCs w:val="26"/>
          <w:highlight w:val="none"/>
          <w:lang w:val="en-US" w:eastAsia="zh-CN"/>
        </w:rPr>
        <w:t>0.91</w:t>
      </w:r>
      <w:r>
        <w:rPr>
          <w:rFonts w:hint="eastAsia"/>
          <w:color w:val="auto"/>
          <w:szCs w:val="26"/>
          <w:highlight w:val="none"/>
        </w:rPr>
        <w:t>hm</w:t>
      </w:r>
      <w:r>
        <w:rPr>
          <w:rFonts w:hint="eastAsia"/>
          <w:color w:val="auto"/>
          <w:szCs w:val="26"/>
          <w:highlight w:val="none"/>
          <w:vertAlign w:val="superscript"/>
        </w:rPr>
        <w:t>2</w:t>
      </w:r>
      <w:r>
        <w:rPr>
          <w:rFonts w:hint="eastAsia"/>
          <w:color w:val="auto"/>
          <w:szCs w:val="26"/>
          <w:highlight w:val="none"/>
        </w:rPr>
        <w:t>，主要</w:t>
      </w:r>
      <w:r>
        <w:rPr>
          <w:color w:val="auto"/>
          <w:szCs w:val="26"/>
          <w:highlight w:val="none"/>
        </w:rPr>
        <w:t>为</w:t>
      </w:r>
      <w:r>
        <w:rPr>
          <w:rFonts w:hint="eastAsia"/>
          <w:color w:val="auto"/>
          <w:szCs w:val="26"/>
          <w:highlight w:val="none"/>
          <w:lang w:eastAsia="zh-CN"/>
        </w:rPr>
        <w:t>船闸引航道及边坡占用</w:t>
      </w:r>
      <w:r>
        <w:rPr>
          <w:color w:val="auto"/>
          <w:szCs w:val="26"/>
          <w:highlight w:val="none"/>
        </w:rPr>
        <w:t>，</w:t>
      </w:r>
      <w:r>
        <w:rPr>
          <w:rFonts w:hint="eastAsia"/>
          <w:color w:val="auto"/>
          <w:szCs w:val="26"/>
          <w:highlight w:val="none"/>
        </w:rPr>
        <w:t>临时占用</w:t>
      </w:r>
      <w:r>
        <w:rPr>
          <w:rFonts w:hint="eastAsia"/>
          <w:color w:val="auto"/>
          <w:szCs w:val="26"/>
          <w:highlight w:val="none"/>
          <w:lang w:val="en-US" w:eastAsia="zh-CN"/>
        </w:rPr>
        <w:t>6.96</w:t>
      </w:r>
      <w:r>
        <w:rPr>
          <w:rFonts w:hint="eastAsia"/>
          <w:color w:val="auto"/>
          <w:szCs w:val="26"/>
          <w:highlight w:val="none"/>
        </w:rPr>
        <w:t>hm</w:t>
      </w:r>
      <w:r>
        <w:rPr>
          <w:rFonts w:hint="eastAsia"/>
          <w:color w:val="auto"/>
          <w:szCs w:val="26"/>
          <w:highlight w:val="none"/>
          <w:vertAlign w:val="superscript"/>
        </w:rPr>
        <w:t>2</w:t>
      </w:r>
      <w:r>
        <w:rPr>
          <w:rFonts w:hint="eastAsia"/>
          <w:color w:val="auto"/>
          <w:szCs w:val="26"/>
          <w:highlight w:val="none"/>
          <w:lang w:eastAsia="zh-CN"/>
        </w:rPr>
        <w:t>，</w:t>
      </w:r>
      <w:r>
        <w:rPr>
          <w:rFonts w:hint="eastAsia"/>
          <w:color w:val="auto"/>
          <w:szCs w:val="26"/>
          <w:highlight w:val="none"/>
        </w:rPr>
        <w:t>主要为</w:t>
      </w:r>
      <w:r>
        <w:rPr>
          <w:rFonts w:hint="eastAsia"/>
          <w:color w:val="auto"/>
          <w:szCs w:val="26"/>
          <w:highlight w:val="none"/>
          <w:lang w:eastAsia="zh-CN"/>
        </w:rPr>
        <w:t>临时弃渣场</w:t>
      </w:r>
      <w:r>
        <w:rPr>
          <w:color w:val="auto"/>
          <w:szCs w:val="26"/>
          <w:highlight w:val="none"/>
        </w:rPr>
        <w:t>占用</w:t>
      </w:r>
      <w:r>
        <w:rPr>
          <w:rFonts w:hint="eastAsia" w:asciiTheme="minorEastAsia" w:hAnsiTheme="minorEastAsia" w:eastAsiaTheme="minorEastAsia"/>
          <w:color w:val="auto"/>
          <w:szCs w:val="26"/>
          <w:highlight w:val="none"/>
        </w:rPr>
        <w:t>。</w:t>
      </w:r>
    </w:p>
    <w:p>
      <w:pPr>
        <w:adjustRightInd w:val="0"/>
        <w:snapToGrid w:val="0"/>
        <w:ind w:firstLine="520" w:firstLineChars="0"/>
        <w:rPr>
          <w:color w:val="auto"/>
          <w:szCs w:val="26"/>
          <w:highlight w:val="none"/>
        </w:rPr>
      </w:pPr>
      <w:r>
        <w:rPr>
          <w:rFonts w:hint="eastAsia"/>
          <w:color w:val="auto"/>
          <w:szCs w:val="26"/>
          <w:highlight w:val="none"/>
        </w:rPr>
        <w:t>A</w:t>
      </w:r>
      <w:r>
        <w:rPr>
          <w:rFonts w:hint="eastAsia"/>
          <w:color w:val="auto"/>
          <w:szCs w:val="26"/>
          <w:highlight w:val="none"/>
          <w:shd w:val="clear" w:fill="FFFFFF"/>
        </w:rPr>
        <w:t>、</w:t>
      </w:r>
      <w:r>
        <w:rPr>
          <w:rFonts w:hint="eastAsia"/>
          <w:color w:val="auto"/>
          <w:szCs w:val="26"/>
          <w:highlight w:val="none"/>
        </w:rPr>
        <w:t>永久</w:t>
      </w:r>
      <w:r>
        <w:rPr>
          <w:color w:val="auto"/>
          <w:szCs w:val="26"/>
          <w:highlight w:val="none"/>
        </w:rPr>
        <w:t>占用对</w:t>
      </w:r>
      <w:r>
        <w:rPr>
          <w:rFonts w:hint="eastAsia"/>
          <w:color w:val="auto"/>
          <w:szCs w:val="26"/>
          <w:highlight w:val="none"/>
        </w:rPr>
        <w:t>基本</w:t>
      </w:r>
      <w:r>
        <w:rPr>
          <w:color w:val="auto"/>
          <w:szCs w:val="26"/>
          <w:highlight w:val="none"/>
        </w:rPr>
        <w:t>农田的</w:t>
      </w:r>
      <w:r>
        <w:rPr>
          <w:rFonts w:hint="eastAsia"/>
          <w:color w:val="auto"/>
          <w:szCs w:val="26"/>
          <w:highlight w:val="none"/>
        </w:rPr>
        <w:t>影响分析</w:t>
      </w:r>
    </w:p>
    <w:p>
      <w:pPr>
        <w:adjustRightInd w:val="0"/>
        <w:snapToGrid w:val="0"/>
        <w:ind w:firstLine="520" w:firstLineChars="0"/>
        <w:rPr>
          <w:color w:val="auto"/>
          <w:szCs w:val="26"/>
          <w:highlight w:val="none"/>
        </w:rPr>
      </w:pPr>
      <w:r>
        <w:rPr>
          <w:rFonts w:hint="eastAsia"/>
          <w:bCs/>
          <w:color w:val="auto"/>
          <w:szCs w:val="26"/>
          <w:highlight w:val="none"/>
          <w:lang w:eastAsia="zh-CN"/>
        </w:rPr>
        <w:t>项目永久</w:t>
      </w:r>
      <w:r>
        <w:rPr>
          <w:rFonts w:hint="eastAsia"/>
          <w:bCs/>
          <w:color w:val="auto"/>
          <w:szCs w:val="26"/>
          <w:highlight w:val="none"/>
        </w:rPr>
        <w:t>占用部分耕地及永久基本农田，</w:t>
      </w:r>
      <w:r>
        <w:rPr>
          <w:rFonts w:hint="eastAsia"/>
          <w:bCs/>
          <w:color w:val="auto"/>
          <w:szCs w:val="26"/>
          <w:highlight w:val="none"/>
          <w:lang w:eastAsia="zh-CN"/>
        </w:rPr>
        <w:t>其中耕地</w:t>
      </w:r>
      <w:r>
        <w:rPr>
          <w:rFonts w:hint="eastAsia"/>
          <w:bCs/>
          <w:color w:val="auto"/>
          <w:szCs w:val="26"/>
          <w:highlight w:val="none"/>
          <w:lang w:val="en-US" w:eastAsia="zh-CN"/>
        </w:rPr>
        <w:t>1.87hm</w:t>
      </w:r>
      <w:r>
        <w:rPr>
          <w:rFonts w:hint="eastAsia"/>
          <w:bCs/>
          <w:color w:val="auto"/>
          <w:szCs w:val="26"/>
          <w:highlight w:val="none"/>
          <w:vertAlign w:val="superscript"/>
          <w:lang w:val="en-US" w:eastAsia="zh-CN"/>
        </w:rPr>
        <w:t>2</w:t>
      </w:r>
      <w:r>
        <w:rPr>
          <w:rFonts w:hint="eastAsia"/>
          <w:bCs/>
          <w:color w:val="auto"/>
          <w:szCs w:val="26"/>
          <w:highlight w:val="none"/>
          <w:vertAlign w:val="baseline"/>
          <w:lang w:val="en-US" w:eastAsia="zh-CN"/>
        </w:rPr>
        <w:t>，永久基本农田0.91</w:t>
      </w:r>
      <w:r>
        <w:rPr>
          <w:rFonts w:hint="eastAsia"/>
          <w:bCs/>
          <w:color w:val="auto"/>
          <w:szCs w:val="26"/>
          <w:highlight w:val="none"/>
          <w:lang w:val="en-US" w:eastAsia="zh-CN"/>
        </w:rPr>
        <w:t>hm</w:t>
      </w:r>
      <w:r>
        <w:rPr>
          <w:rFonts w:hint="eastAsia"/>
          <w:bCs/>
          <w:color w:val="auto"/>
          <w:szCs w:val="26"/>
          <w:highlight w:val="none"/>
          <w:vertAlign w:val="superscript"/>
          <w:lang w:val="en-US" w:eastAsia="zh-CN"/>
        </w:rPr>
        <w:t>2</w:t>
      </w:r>
      <w:r>
        <w:rPr>
          <w:rFonts w:hint="eastAsia"/>
          <w:bCs/>
          <w:color w:val="auto"/>
          <w:szCs w:val="26"/>
          <w:highlight w:val="none"/>
          <w:vertAlign w:val="baseline"/>
          <w:lang w:val="en-US" w:eastAsia="zh-CN"/>
        </w:rPr>
        <w:t>，项目已纳入《全国港口与航道布局规划》《水运“十四五”发展规划》，用地符合规定要求，已取得自然资源部用地与预审意见</w:t>
      </w:r>
      <w:r>
        <w:rPr>
          <w:rFonts w:hint="eastAsia"/>
          <w:bCs/>
          <w:color w:val="auto"/>
          <w:szCs w:val="26"/>
          <w:highlight w:val="none"/>
        </w:rPr>
        <w:t>，</w:t>
      </w:r>
      <w:r>
        <w:rPr>
          <w:bCs/>
          <w:color w:val="auto"/>
          <w:szCs w:val="26"/>
          <w:highlight w:val="none"/>
        </w:rPr>
        <w:t>符合</w:t>
      </w:r>
      <w:r>
        <w:rPr>
          <w:rFonts w:hint="eastAsia" w:eastAsiaTheme="minorEastAsia"/>
          <w:bCs/>
          <w:color w:val="auto"/>
          <w:kern w:val="2"/>
          <w:highlight w:val="none"/>
          <w:lang w:eastAsia="zh-CN"/>
        </w:rPr>
        <w:t>《基本农田保护条例</w:t>
      </w:r>
      <w:r>
        <w:rPr>
          <w:rFonts w:hint="eastAsia" w:eastAsiaTheme="minorEastAsia"/>
          <w:bCs/>
          <w:color w:val="auto"/>
          <w:kern w:val="2"/>
          <w:highlight w:val="none"/>
          <w:shd w:val="clear" w:fill="FFFFFF"/>
          <w:lang w:eastAsia="zh-CN"/>
        </w:rPr>
        <w:t>》、《</w:t>
      </w:r>
      <w:r>
        <w:rPr>
          <w:rFonts w:hint="eastAsia" w:eastAsiaTheme="minorEastAsia"/>
          <w:bCs/>
          <w:color w:val="auto"/>
          <w:kern w:val="2"/>
          <w:highlight w:val="none"/>
          <w:lang w:eastAsia="zh-CN"/>
        </w:rPr>
        <w:t>永久基本农田保护红线管理办法》等有关</w:t>
      </w:r>
      <w:r>
        <w:rPr>
          <w:bCs/>
          <w:color w:val="auto"/>
          <w:szCs w:val="26"/>
          <w:highlight w:val="none"/>
        </w:rPr>
        <w:t>文件中相关要求</w:t>
      </w:r>
      <w:r>
        <w:rPr>
          <w:rFonts w:hint="eastAsia"/>
          <w:bCs/>
          <w:color w:val="auto"/>
          <w:highlight w:val="none"/>
        </w:rPr>
        <w:t>。</w:t>
      </w:r>
    </w:p>
    <w:p>
      <w:pPr>
        <w:adjustRightInd w:val="0"/>
        <w:snapToGrid w:val="0"/>
        <w:ind w:firstLine="520" w:firstLineChars="0"/>
        <w:rPr>
          <w:color w:val="auto"/>
          <w:szCs w:val="26"/>
          <w:highlight w:val="none"/>
        </w:rPr>
      </w:pPr>
      <w:r>
        <w:rPr>
          <w:rFonts w:hint="eastAsia"/>
          <w:color w:val="auto"/>
          <w:szCs w:val="26"/>
          <w:highlight w:val="none"/>
        </w:rPr>
        <w:t>对于永久基本农田的永久占用，建设单位在施工前期需严格按照《中华人民共和国土地管理法</w:t>
      </w:r>
      <w:r>
        <w:rPr>
          <w:rFonts w:hint="eastAsia"/>
          <w:color w:val="auto"/>
          <w:szCs w:val="26"/>
          <w:highlight w:val="none"/>
          <w:shd w:val="clear" w:fill="FFFFFF"/>
        </w:rPr>
        <w:t>》、《</w:t>
      </w:r>
      <w:r>
        <w:rPr>
          <w:rFonts w:hint="eastAsia"/>
          <w:color w:val="auto"/>
          <w:szCs w:val="26"/>
          <w:highlight w:val="none"/>
        </w:rPr>
        <w:t>基本农田保护条例</w:t>
      </w:r>
      <w:r>
        <w:rPr>
          <w:rFonts w:hint="eastAsia"/>
          <w:color w:val="auto"/>
          <w:szCs w:val="26"/>
          <w:highlight w:val="none"/>
          <w:shd w:val="clear" w:fill="FFFFFF"/>
        </w:rPr>
        <w:t>》</w:t>
      </w:r>
      <w:r>
        <w:rPr>
          <w:rFonts w:hint="eastAsia"/>
          <w:color w:val="auto"/>
          <w:szCs w:val="26"/>
          <w:highlight w:val="none"/>
          <w:shd w:val="clear" w:fill="FFFFFF"/>
          <w:lang w:eastAsia="zh-CN"/>
        </w:rPr>
        <w:t>、《</w:t>
      </w:r>
      <w:r>
        <w:rPr>
          <w:rFonts w:hint="eastAsia"/>
          <w:color w:val="auto"/>
          <w:szCs w:val="26"/>
          <w:highlight w:val="none"/>
          <w:lang w:eastAsia="zh-CN"/>
        </w:rPr>
        <w:t>永久基本农田保护红线管理办法</w:t>
      </w:r>
      <w:r>
        <w:rPr>
          <w:rFonts w:hint="eastAsia"/>
          <w:color w:val="auto"/>
          <w:szCs w:val="26"/>
          <w:highlight w:val="none"/>
          <w:shd w:val="clear" w:fill="FFFFFF"/>
          <w:lang w:eastAsia="zh-CN"/>
        </w:rPr>
        <w:t>》、《</w:t>
      </w:r>
      <w:r>
        <w:rPr>
          <w:rFonts w:hint="eastAsia"/>
          <w:color w:val="auto"/>
          <w:szCs w:val="26"/>
          <w:highlight w:val="none"/>
          <w:lang w:eastAsia="zh-CN"/>
        </w:rPr>
        <w:t>重庆市土地管理条例》</w:t>
      </w:r>
      <w:r>
        <w:rPr>
          <w:rFonts w:hint="eastAsia"/>
          <w:color w:val="auto"/>
          <w:szCs w:val="26"/>
          <w:highlight w:val="none"/>
        </w:rPr>
        <w:t>等相关要求，完善占用手续，缴纳耕地开垦费</w:t>
      </w:r>
      <w:r>
        <w:rPr>
          <w:rFonts w:hint="eastAsia"/>
          <w:color w:val="auto"/>
          <w:szCs w:val="26"/>
          <w:highlight w:val="none"/>
          <w:lang w:eastAsia="zh-CN"/>
        </w:rPr>
        <w:t>，</w:t>
      </w:r>
      <w:r>
        <w:rPr>
          <w:rFonts w:hint="eastAsia"/>
          <w:color w:val="auto"/>
          <w:szCs w:val="26"/>
          <w:highlight w:val="none"/>
        </w:rPr>
        <w:t>在采取占补平衡等措施后，项目永久占地对基本农田的影响较小。</w:t>
      </w:r>
    </w:p>
    <w:p>
      <w:pPr>
        <w:adjustRightInd w:val="0"/>
        <w:snapToGrid w:val="0"/>
        <w:ind w:firstLine="520" w:firstLineChars="0"/>
        <w:rPr>
          <w:color w:val="auto"/>
          <w:szCs w:val="26"/>
          <w:highlight w:val="none"/>
        </w:rPr>
      </w:pPr>
      <w:r>
        <w:rPr>
          <w:rFonts w:hint="eastAsia"/>
          <w:color w:val="auto"/>
          <w:szCs w:val="26"/>
          <w:highlight w:val="none"/>
        </w:rPr>
        <w:t>B</w:t>
      </w:r>
      <w:r>
        <w:rPr>
          <w:rFonts w:hint="eastAsia"/>
          <w:color w:val="auto"/>
          <w:szCs w:val="26"/>
          <w:highlight w:val="none"/>
          <w:shd w:val="clear" w:fill="FFFFFF"/>
        </w:rPr>
        <w:t>、</w:t>
      </w:r>
      <w:r>
        <w:rPr>
          <w:color w:val="auto"/>
          <w:szCs w:val="26"/>
          <w:highlight w:val="none"/>
        </w:rPr>
        <w:t>临时占用对</w:t>
      </w:r>
      <w:r>
        <w:rPr>
          <w:rFonts w:hint="eastAsia"/>
          <w:color w:val="auto"/>
          <w:szCs w:val="26"/>
          <w:highlight w:val="none"/>
          <w:lang w:eastAsia="zh-CN"/>
        </w:rPr>
        <w:t>永久</w:t>
      </w:r>
      <w:r>
        <w:rPr>
          <w:color w:val="auto"/>
          <w:szCs w:val="26"/>
          <w:highlight w:val="none"/>
        </w:rPr>
        <w:t>基本农田的</w:t>
      </w:r>
      <w:r>
        <w:rPr>
          <w:rFonts w:hint="eastAsia"/>
          <w:color w:val="auto"/>
          <w:szCs w:val="26"/>
          <w:highlight w:val="none"/>
        </w:rPr>
        <w:t>影响</w:t>
      </w:r>
      <w:r>
        <w:rPr>
          <w:color w:val="auto"/>
          <w:szCs w:val="26"/>
          <w:highlight w:val="none"/>
        </w:rPr>
        <w:t>分析</w:t>
      </w:r>
    </w:p>
    <w:p>
      <w:pPr>
        <w:adjustRightInd w:val="0"/>
        <w:snapToGrid w:val="0"/>
        <w:ind w:firstLine="520"/>
        <w:rPr>
          <w:bCs/>
          <w:color w:val="auto"/>
          <w:szCs w:val="26"/>
          <w:highlight w:val="none"/>
        </w:rPr>
      </w:pPr>
      <w:r>
        <w:rPr>
          <w:rFonts w:hint="eastAsia"/>
          <w:bCs/>
          <w:color w:val="auto"/>
          <w:szCs w:val="26"/>
          <w:highlight w:val="none"/>
        </w:rPr>
        <w:t>施工期</w:t>
      </w:r>
      <w:r>
        <w:rPr>
          <w:rFonts w:hint="eastAsia"/>
          <w:bCs/>
          <w:color w:val="auto"/>
          <w:szCs w:val="26"/>
          <w:highlight w:val="none"/>
          <w:lang w:eastAsia="zh-CN"/>
        </w:rPr>
        <w:t>临时占用对永久基本农田的影响</w:t>
      </w:r>
      <w:r>
        <w:rPr>
          <w:rFonts w:hint="eastAsia"/>
          <w:bCs/>
          <w:color w:val="auto"/>
          <w:szCs w:val="26"/>
          <w:highlight w:val="none"/>
        </w:rPr>
        <w:t>主要表现为施工</w:t>
      </w:r>
      <w:r>
        <w:rPr>
          <w:bCs/>
          <w:color w:val="auto"/>
          <w:szCs w:val="26"/>
          <w:highlight w:val="none"/>
        </w:rPr>
        <w:t>活动</w:t>
      </w:r>
      <w:r>
        <w:rPr>
          <w:rFonts w:hint="eastAsia"/>
          <w:bCs/>
          <w:color w:val="auto"/>
          <w:szCs w:val="26"/>
          <w:highlight w:val="none"/>
        </w:rPr>
        <w:t>改变了土壤容重，压占改变了土壤的孔隙度，使土壤更加密实，不利于农作物生长，导致耕地质量下降，因此，本环评要求施工时首先应保存开挖处的表层土，并将表层熟土和生土应分开堆放，保护好表层耕植土，使其肥力不降低。临时用地期满后，临时用地单位应当拆除临时建（构）筑物，使用耕地的应当复垦为耕地，确保耕地面积不减少、质量不降低；使用耕地以外的其他农用地的应当恢复为农用地。</w:t>
      </w:r>
    </w:p>
    <w:p>
      <w:pPr>
        <w:adjustRightInd w:val="0"/>
        <w:snapToGrid w:val="0"/>
        <w:ind w:firstLine="520"/>
        <w:rPr>
          <w:rFonts w:hint="eastAsia" w:eastAsia="宋体"/>
          <w:bCs/>
          <w:color w:val="auto"/>
          <w:szCs w:val="26"/>
          <w:highlight w:val="none"/>
          <w:lang w:eastAsia="zh-CN"/>
        </w:rPr>
      </w:pPr>
      <w:r>
        <w:rPr>
          <w:rFonts w:hint="eastAsia"/>
          <w:bCs/>
          <w:color w:val="auto"/>
          <w:szCs w:val="26"/>
          <w:highlight w:val="none"/>
          <w:lang w:eastAsia="zh-CN"/>
        </w:rPr>
        <w:t>此外，</w:t>
      </w:r>
      <w:r>
        <w:rPr>
          <w:rFonts w:hint="eastAsia"/>
          <w:bCs/>
          <w:color w:val="auto"/>
          <w:szCs w:val="26"/>
          <w:highlight w:val="none"/>
        </w:rPr>
        <w:t>施工机械运行及放置期间可能存在渗油，但这种影响是可以避免的。在施工期施工单位在加强施工机械的养护，并对施工机械放置场地采取隔垫措施防止渗油污染土壤后，项目对永久基本农田的污染影响极小</w:t>
      </w:r>
      <w:r>
        <w:rPr>
          <w:rFonts w:hint="eastAsia"/>
          <w:bCs/>
          <w:color w:val="auto"/>
          <w:szCs w:val="26"/>
          <w:highlight w:val="none"/>
          <w:lang w:eastAsia="zh-CN"/>
        </w:rPr>
        <w:t>。</w:t>
      </w:r>
    </w:p>
    <w:p>
      <w:pPr>
        <w:adjustRightInd w:val="0"/>
        <w:snapToGrid w:val="0"/>
        <w:ind w:firstLine="520"/>
        <w:rPr>
          <w:bCs/>
          <w:color w:val="auto"/>
          <w:szCs w:val="26"/>
          <w:highlight w:val="none"/>
        </w:rPr>
      </w:pPr>
      <w:bookmarkStart w:id="114" w:name="_Hlk83137535"/>
      <w:r>
        <w:rPr>
          <w:rFonts w:hint="eastAsia"/>
          <w:bCs/>
          <w:color w:val="auto"/>
          <w:szCs w:val="26"/>
          <w:highlight w:val="none"/>
        </w:rPr>
        <w:t>综上，本环评要求建设单位应在施工过程中坚持节约集约原则</w:t>
      </w:r>
      <w:r>
        <w:rPr>
          <w:rFonts w:hint="eastAsia"/>
          <w:bCs/>
          <w:color w:val="auto"/>
          <w:szCs w:val="26"/>
          <w:highlight w:val="none"/>
          <w:lang w:eastAsia="zh-CN"/>
        </w:rPr>
        <w:t>，</w:t>
      </w:r>
      <w:r>
        <w:rPr>
          <w:rFonts w:hint="eastAsia"/>
          <w:bCs/>
          <w:color w:val="auto"/>
          <w:szCs w:val="26"/>
          <w:highlight w:val="none"/>
        </w:rPr>
        <w:t>严格控制施工范围，减少对永久基本农田的破坏，做好表层耕作土保护措施，尽量不降低其肥力</w:t>
      </w:r>
      <w:r>
        <w:rPr>
          <w:rFonts w:hint="eastAsia"/>
          <w:bCs/>
          <w:color w:val="auto"/>
          <w:szCs w:val="26"/>
          <w:highlight w:val="none"/>
          <w:lang w:eastAsia="zh-CN"/>
        </w:rPr>
        <w:t>，施工完成后，及时对临时占用的永久基本农田采取复垦措施</w:t>
      </w:r>
      <w:r>
        <w:rPr>
          <w:rFonts w:hint="eastAsia"/>
          <w:bCs/>
          <w:color w:val="auto"/>
          <w:szCs w:val="26"/>
          <w:highlight w:val="none"/>
        </w:rPr>
        <w:t>。</w:t>
      </w:r>
      <w:bookmarkEnd w:id="114"/>
      <w:r>
        <w:rPr>
          <w:rFonts w:hint="eastAsia"/>
          <w:bCs/>
          <w:color w:val="auto"/>
          <w:szCs w:val="26"/>
          <w:highlight w:val="none"/>
        </w:rPr>
        <w:t>在恢复期，应对土壤进行熟化和培肥，落实耕地质量调查及监测工作，及时掌握耕地质量变化状况，直至恢复到原来的生产力水平。</w:t>
      </w:r>
      <w:r>
        <w:rPr>
          <w:bCs/>
          <w:color w:val="auto"/>
          <w:szCs w:val="26"/>
          <w:highlight w:val="none"/>
        </w:rPr>
        <w:t>本项目临时</w:t>
      </w:r>
      <w:r>
        <w:rPr>
          <w:rFonts w:hint="eastAsia"/>
          <w:bCs/>
          <w:color w:val="auto"/>
          <w:szCs w:val="26"/>
          <w:highlight w:val="none"/>
        </w:rPr>
        <w:t>占用永久</w:t>
      </w:r>
      <w:r>
        <w:rPr>
          <w:bCs/>
          <w:color w:val="auto"/>
          <w:szCs w:val="26"/>
          <w:highlight w:val="none"/>
        </w:rPr>
        <w:t>基本农田，建设单位</w:t>
      </w:r>
      <w:r>
        <w:rPr>
          <w:rFonts w:hint="eastAsia"/>
          <w:bCs/>
          <w:color w:val="auto"/>
          <w:szCs w:val="26"/>
          <w:highlight w:val="none"/>
        </w:rPr>
        <w:t>应</w:t>
      </w:r>
      <w:r>
        <w:rPr>
          <w:bCs/>
          <w:color w:val="auto"/>
          <w:szCs w:val="26"/>
          <w:highlight w:val="none"/>
        </w:rPr>
        <w:t>按法定程序编制土地复垦方案，经县级自然资源主管部门批准后才可临时占用，并在市级自然资源主管部门备案。同时，建设单位应通过耕地耕作层土壤剥离再利用等工程技术措施，减少对耕作层的破坏，并在临时用地到期后及时复垦恢复原种植条件。</w:t>
      </w:r>
    </w:p>
    <w:p>
      <w:pPr>
        <w:adjustRightInd w:val="0"/>
        <w:snapToGrid w:val="0"/>
        <w:ind w:firstLine="520"/>
        <w:rPr>
          <w:bCs/>
          <w:color w:val="auto"/>
          <w:szCs w:val="26"/>
          <w:highlight w:val="none"/>
        </w:rPr>
      </w:pPr>
      <w:r>
        <w:rPr>
          <w:rFonts w:hint="eastAsia"/>
          <w:bCs/>
          <w:color w:val="auto"/>
          <w:szCs w:val="26"/>
          <w:highlight w:val="none"/>
        </w:rPr>
        <w:fldChar w:fldCharType="begin"/>
      </w:r>
      <w:r>
        <w:rPr>
          <w:rFonts w:hint="eastAsia"/>
          <w:bCs/>
          <w:color w:val="auto"/>
          <w:szCs w:val="26"/>
          <w:highlight w:val="none"/>
        </w:rPr>
        <w:instrText xml:space="preserve"> = 2 \* GB3 \* MERGEFORMAT </w:instrText>
      </w:r>
      <w:r>
        <w:rPr>
          <w:rFonts w:hint="eastAsia"/>
          <w:bCs/>
          <w:color w:val="auto"/>
          <w:szCs w:val="26"/>
          <w:highlight w:val="none"/>
        </w:rPr>
        <w:fldChar w:fldCharType="separate"/>
      </w:r>
      <w:r>
        <w:rPr>
          <w:rFonts w:hint="eastAsia" w:ascii="宋体" w:hAnsi="宋体" w:cs="宋体"/>
          <w:color w:val="auto"/>
          <w:highlight w:val="none"/>
        </w:rPr>
        <w:t>②</w:t>
      </w:r>
      <w:r>
        <w:rPr>
          <w:rFonts w:hint="eastAsia"/>
          <w:bCs/>
          <w:color w:val="auto"/>
          <w:szCs w:val="26"/>
          <w:highlight w:val="none"/>
        </w:rPr>
        <w:fldChar w:fldCharType="end"/>
      </w:r>
      <w:r>
        <w:rPr>
          <w:rFonts w:hint="eastAsia"/>
          <w:bCs/>
          <w:color w:val="auto"/>
          <w:szCs w:val="26"/>
          <w:highlight w:val="none"/>
        </w:rPr>
        <w:t>对农作物的影响</w:t>
      </w:r>
    </w:p>
    <w:p>
      <w:pPr>
        <w:adjustRightInd w:val="0"/>
        <w:snapToGrid w:val="0"/>
        <w:ind w:firstLine="520"/>
        <w:rPr>
          <w:bCs/>
          <w:color w:val="auto"/>
          <w:szCs w:val="26"/>
          <w:highlight w:val="none"/>
        </w:rPr>
      </w:pPr>
      <w:r>
        <w:rPr>
          <w:rFonts w:hint="eastAsia"/>
          <w:bCs/>
          <w:color w:val="auto"/>
          <w:szCs w:val="26"/>
          <w:highlight w:val="none"/>
          <w:lang w:eastAsia="zh-CN"/>
        </w:rPr>
        <w:t>项目</w:t>
      </w:r>
      <w:r>
        <w:rPr>
          <w:rFonts w:hint="eastAsia"/>
          <w:bCs/>
          <w:color w:val="auto"/>
          <w:szCs w:val="26"/>
          <w:highlight w:val="none"/>
          <w:shd w:val="clear" w:fill="FFFFFF"/>
          <w:lang w:eastAsia="zh-CN"/>
        </w:rPr>
        <w:t>施工会</w:t>
      </w:r>
      <w:r>
        <w:rPr>
          <w:rFonts w:hint="eastAsia"/>
          <w:bCs/>
          <w:color w:val="auto"/>
          <w:szCs w:val="26"/>
          <w:highlight w:val="none"/>
          <w:lang w:eastAsia="zh-CN"/>
        </w:rPr>
        <w:t>对</w:t>
      </w:r>
      <w:r>
        <w:rPr>
          <w:rFonts w:hint="eastAsia"/>
          <w:bCs/>
          <w:color w:val="auto"/>
          <w:szCs w:val="26"/>
          <w:highlight w:val="none"/>
        </w:rPr>
        <w:t>作业范围内及周边种植的农作物最直接的影响是造成植株死亡、生物量丧失、地表裸露。同时，施工尘土附着在农作物叶片表面，影响植物光合作用，尤其是会对作物幼苗生理特性产生影响；施工人员和施工机械设备的践踏、碾压也会对周边农作物产生不利影响。</w:t>
      </w:r>
    </w:p>
    <w:p>
      <w:pPr>
        <w:adjustRightInd w:val="0"/>
        <w:snapToGrid w:val="0"/>
        <w:ind w:firstLine="520"/>
        <w:rPr>
          <w:bCs/>
          <w:color w:val="auto"/>
          <w:szCs w:val="26"/>
          <w:highlight w:val="none"/>
        </w:rPr>
      </w:pPr>
      <w:r>
        <w:rPr>
          <w:rFonts w:hint="eastAsia"/>
          <w:bCs/>
          <w:color w:val="auto"/>
          <w:szCs w:val="26"/>
          <w:highlight w:val="none"/>
        </w:rPr>
        <w:t>根据现场调查，项目工程直接影响区（永久性、临时性占地）的水田以水稻为主，旱地以种植玉米、土豆等为主。工程施工对农业带来的损失是暂时的，在施工结束后，对临时占用耕地立即覆土复原，经过一段时间即可恢复其原有功能</w:t>
      </w:r>
      <w:r>
        <w:rPr>
          <w:rFonts w:hint="eastAsia"/>
          <w:bCs/>
          <w:color w:val="auto"/>
          <w:szCs w:val="26"/>
          <w:highlight w:val="none"/>
          <w:lang w:eastAsia="zh-CN"/>
        </w:rPr>
        <w:t>，对农作物的影响为短期影响</w:t>
      </w:r>
      <w:r>
        <w:rPr>
          <w:rFonts w:hint="eastAsia"/>
          <w:bCs/>
          <w:color w:val="auto"/>
          <w:szCs w:val="26"/>
          <w:highlight w:val="none"/>
        </w:rPr>
        <w:t>。对于临时、永久占用耕地造成了当地农民的经济损失，建设单位应严格按照国家和地方相关赔偿政策对受影响的农户进行赔偿。工程施工期间施工单位应加快施工进度，严格控制施工作业范围，禁止随意扩大施工范围并随意损坏农作物。</w:t>
      </w:r>
    </w:p>
    <w:p>
      <w:pPr>
        <w:adjustRightInd w:val="0"/>
        <w:snapToGrid w:val="0"/>
        <w:ind w:firstLine="520"/>
        <w:rPr>
          <w:bCs/>
          <w:color w:val="auto"/>
          <w:spacing w:val="4"/>
          <w:szCs w:val="26"/>
          <w:highlight w:val="none"/>
        </w:rPr>
      </w:pPr>
      <w:r>
        <w:rPr>
          <w:rFonts w:hint="eastAsia"/>
          <w:bCs/>
          <w:color w:val="auto"/>
          <w:szCs w:val="26"/>
          <w:highlight w:val="none"/>
        </w:rPr>
        <w:t>综上所述，在采取积极的赔偿措施、施工管理、耕地恢复措施后，工程施工对农作物的影响可接受。</w:t>
      </w:r>
    </w:p>
    <w:p>
      <w:pPr>
        <w:adjustRightInd w:val="0"/>
        <w:snapToGrid w:val="0"/>
        <w:ind w:firstLine="520" w:firstLineChars="0"/>
        <w:rPr>
          <w:bCs/>
          <w:color w:val="auto"/>
          <w:spacing w:val="4"/>
          <w:szCs w:val="26"/>
          <w:highlight w:val="none"/>
        </w:rPr>
      </w:pPr>
      <w:r>
        <w:rPr>
          <w:rFonts w:hint="eastAsia"/>
          <w:bCs/>
          <w:color w:val="auto"/>
          <w:spacing w:val="4"/>
          <w:szCs w:val="26"/>
          <w:highlight w:val="none"/>
        </w:rPr>
        <w:t>（3）对植被的影响</w:t>
      </w:r>
    </w:p>
    <w:p>
      <w:pPr>
        <w:adjustRightInd w:val="0"/>
        <w:snapToGrid w:val="0"/>
        <w:ind w:firstLine="520"/>
        <w:rPr>
          <w:bCs/>
          <w:color w:val="auto"/>
          <w:spacing w:val="4"/>
          <w:szCs w:val="26"/>
          <w:highlight w:val="none"/>
        </w:rPr>
      </w:pPr>
      <w:r>
        <w:rPr>
          <w:rFonts w:hint="eastAsia"/>
          <w:bCs/>
          <w:color w:val="auto"/>
          <w:szCs w:val="26"/>
          <w:highlight w:val="none"/>
        </w:rPr>
        <w:t>①永久占地对植被的影响</w:t>
      </w:r>
    </w:p>
    <w:p>
      <w:pPr>
        <w:adjustRightInd w:val="0"/>
        <w:snapToGrid w:val="0"/>
        <w:ind w:firstLine="520"/>
        <w:rPr>
          <w:rFonts w:hint="eastAsia" w:eastAsia="宋体"/>
          <w:bCs/>
          <w:color w:val="auto"/>
          <w:spacing w:val="4"/>
          <w:szCs w:val="26"/>
          <w:highlight w:val="none"/>
          <w:lang w:eastAsia="zh-CN"/>
        </w:rPr>
      </w:pPr>
      <w:r>
        <w:rPr>
          <w:rFonts w:hint="eastAsia"/>
          <w:color w:val="auto"/>
          <w:szCs w:val="24"/>
          <w:highlight w:val="none"/>
          <w:lang w:eastAsia="zh-CN"/>
        </w:rPr>
        <w:t>工程</w:t>
      </w:r>
      <w:r>
        <w:rPr>
          <w:rFonts w:hint="eastAsia"/>
          <w:color w:val="auto"/>
          <w:szCs w:val="24"/>
          <w:highlight w:val="none"/>
        </w:rPr>
        <w:t>永久占地包括船闸、</w:t>
      </w:r>
      <w:r>
        <w:rPr>
          <w:rFonts w:hint="eastAsia"/>
          <w:color w:val="auto"/>
          <w:szCs w:val="24"/>
          <w:highlight w:val="none"/>
          <w:lang w:eastAsia="zh-CN"/>
        </w:rPr>
        <w:t>管理区及护坡等附属设施</w:t>
      </w:r>
      <w:r>
        <w:rPr>
          <w:rFonts w:hint="eastAsia"/>
          <w:color w:val="auto"/>
          <w:szCs w:val="24"/>
          <w:highlight w:val="none"/>
        </w:rPr>
        <w:t>等工程永久性建筑物占地区，</w:t>
      </w:r>
      <w:r>
        <w:rPr>
          <w:rFonts w:hint="eastAsia"/>
          <w:color w:val="auto"/>
          <w:highlight w:val="none"/>
        </w:rPr>
        <w:t>占地面积为</w:t>
      </w:r>
      <w:r>
        <w:rPr>
          <w:rFonts w:hint="eastAsia"/>
          <w:color w:val="auto"/>
          <w:highlight w:val="none"/>
          <w:lang w:val="en-US" w:eastAsia="zh-CN"/>
        </w:rPr>
        <w:t>14.93</w:t>
      </w:r>
      <w:r>
        <w:rPr>
          <w:rFonts w:hint="eastAsia"/>
          <w:color w:val="auto"/>
          <w:highlight w:val="none"/>
        </w:rPr>
        <w:t>hm</w:t>
      </w:r>
      <w:r>
        <w:rPr>
          <w:color w:val="auto"/>
          <w:highlight w:val="none"/>
          <w:vertAlign w:val="superscript"/>
        </w:rPr>
        <w:t>2</w:t>
      </w:r>
      <w:r>
        <w:rPr>
          <w:rFonts w:hint="eastAsia"/>
          <w:color w:val="auto"/>
          <w:highlight w:val="none"/>
        </w:rPr>
        <w:t>，</w:t>
      </w:r>
      <w:r>
        <w:rPr>
          <w:rFonts w:hint="eastAsia"/>
          <w:color w:val="auto"/>
          <w:highlight w:val="none"/>
          <w:lang w:eastAsia="zh-CN"/>
        </w:rPr>
        <w:t>主要占地类型为公共设施用地（</w:t>
      </w:r>
      <w:r>
        <w:rPr>
          <w:rFonts w:hint="eastAsia"/>
          <w:color w:val="auto"/>
          <w:highlight w:val="none"/>
          <w:lang w:val="en-US" w:eastAsia="zh-CN"/>
        </w:rPr>
        <w:t>37.74%</w:t>
      </w:r>
      <w:r>
        <w:rPr>
          <w:rFonts w:hint="eastAsia"/>
          <w:color w:val="auto"/>
          <w:highlight w:val="none"/>
          <w:lang w:eastAsia="zh-CN"/>
        </w:rPr>
        <w:t>）</w:t>
      </w:r>
      <w:r>
        <w:rPr>
          <w:rFonts w:hint="eastAsia"/>
          <w:color w:val="auto"/>
          <w:highlight w:val="none"/>
        </w:rPr>
        <w:t>，</w:t>
      </w:r>
      <w:r>
        <w:rPr>
          <w:rFonts w:hint="eastAsia"/>
          <w:color w:val="auto"/>
          <w:highlight w:val="none"/>
          <w:lang w:eastAsia="zh-CN"/>
        </w:rPr>
        <w:t>即现状枢纽管理区，项目永久占用林地、草地等面积较小，主要以枫杨、慈竹、女贞、斑茅草丛等常见植被为主，</w:t>
      </w:r>
      <w:r>
        <w:rPr>
          <w:rFonts w:hint="eastAsia"/>
          <w:color w:val="auto"/>
          <w:highlight w:val="none"/>
        </w:rPr>
        <w:t>永久占地对植被的破坏是长期的、不可恢复的，工程永久占地将直接破坏原有的植被，使植物的个体数量和植物生物量减少，但受影响的植物物种及植被均为项目区域内的常见广泛种，不会导致枢纽工程区物种多样性的减少，且工程的永久占地区域</w:t>
      </w:r>
      <w:r>
        <w:rPr>
          <w:rFonts w:hint="eastAsia"/>
          <w:color w:val="auto"/>
          <w:highlight w:val="none"/>
          <w:lang w:eastAsia="zh-CN"/>
        </w:rPr>
        <w:t>无</w:t>
      </w:r>
      <w:r>
        <w:rPr>
          <w:rFonts w:hint="eastAsia"/>
          <w:color w:val="auto"/>
          <w:highlight w:val="none"/>
        </w:rPr>
        <w:t>珍稀保护野生植物和古树名木分布，永久占地对植物影响较小。</w:t>
      </w:r>
      <w:r>
        <w:rPr>
          <w:rFonts w:hint="eastAsia"/>
          <w:color w:val="auto"/>
          <w:highlight w:val="none"/>
          <w:lang w:eastAsia="zh-CN"/>
        </w:rPr>
        <w:t>且后期通过加强船闸管理区的绿化，一定程度上可弥补项目永久占地造成的植被损失。</w:t>
      </w:r>
    </w:p>
    <w:p>
      <w:pPr>
        <w:adjustRightInd w:val="0"/>
        <w:snapToGrid w:val="0"/>
        <w:ind w:firstLine="520"/>
        <w:rPr>
          <w:bCs/>
          <w:color w:val="auto"/>
          <w:szCs w:val="26"/>
          <w:highlight w:val="none"/>
        </w:rPr>
      </w:pPr>
      <w:r>
        <w:rPr>
          <w:rFonts w:hint="eastAsia"/>
          <w:bCs/>
          <w:color w:val="auto"/>
          <w:szCs w:val="26"/>
          <w:highlight w:val="none"/>
        </w:rPr>
        <w:t>②临时占地对植被的影响</w:t>
      </w:r>
    </w:p>
    <w:p>
      <w:pPr>
        <w:ind w:firstLine="520"/>
        <w:rPr>
          <w:color w:val="auto"/>
          <w:highlight w:val="none"/>
        </w:rPr>
      </w:pPr>
      <w:r>
        <w:rPr>
          <w:rFonts w:hint="eastAsia"/>
          <w:color w:val="auto"/>
          <w:szCs w:val="24"/>
          <w:highlight w:val="none"/>
        </w:rPr>
        <w:t>临时占地</w:t>
      </w:r>
      <w:r>
        <w:rPr>
          <w:rFonts w:hint="eastAsia"/>
          <w:color w:val="auto"/>
          <w:szCs w:val="24"/>
          <w:highlight w:val="none"/>
          <w:lang w:eastAsia="zh-CN"/>
        </w:rPr>
        <w:t>包括施工场地、弃渣场、施工围堰、疏浚工程</w:t>
      </w:r>
      <w:r>
        <w:rPr>
          <w:rFonts w:hint="eastAsia"/>
          <w:color w:val="auto"/>
          <w:szCs w:val="24"/>
          <w:highlight w:val="none"/>
        </w:rPr>
        <w:t>等。</w:t>
      </w:r>
      <w:r>
        <w:rPr>
          <w:rFonts w:hint="eastAsia"/>
          <w:color w:val="auto"/>
          <w:szCs w:val="24"/>
          <w:highlight w:val="none"/>
          <w:lang w:eastAsia="zh-CN"/>
        </w:rPr>
        <w:t>其中施工围堰、疏浚工程主要占用水域，不会对陆域植被造成较大损坏。对于弃渣场及施工场地，</w:t>
      </w:r>
      <w:r>
        <w:rPr>
          <w:rFonts w:hint="eastAsia"/>
          <w:color w:val="auto"/>
          <w:szCs w:val="24"/>
          <w:highlight w:val="none"/>
        </w:rPr>
        <w:t>经现场实地调查，工程区临时占地区植被以</w:t>
      </w:r>
      <w:r>
        <w:rPr>
          <w:rFonts w:hint="eastAsia"/>
          <w:color w:val="auto"/>
          <w:szCs w:val="24"/>
          <w:highlight w:val="none"/>
          <w:lang w:eastAsia="zh-CN"/>
        </w:rPr>
        <w:t>林地、</w:t>
      </w:r>
      <w:r>
        <w:rPr>
          <w:rFonts w:hint="eastAsia"/>
          <w:color w:val="auto"/>
          <w:szCs w:val="24"/>
          <w:highlight w:val="none"/>
        </w:rPr>
        <w:t>耕地为主，占地面积分别为</w:t>
      </w:r>
      <w:r>
        <w:rPr>
          <w:rFonts w:hint="eastAsia"/>
          <w:color w:val="auto"/>
          <w:szCs w:val="24"/>
          <w:highlight w:val="none"/>
          <w:lang w:val="en-US" w:eastAsia="zh-CN"/>
        </w:rPr>
        <w:t>12.22</w:t>
      </w:r>
      <w:r>
        <w:rPr>
          <w:rFonts w:hint="eastAsia"/>
          <w:color w:val="auto"/>
          <w:szCs w:val="24"/>
          <w:highlight w:val="none"/>
        </w:rPr>
        <w:t>hm</w:t>
      </w:r>
      <w:r>
        <w:rPr>
          <w:color w:val="auto"/>
          <w:szCs w:val="24"/>
          <w:highlight w:val="none"/>
          <w:vertAlign w:val="superscript"/>
        </w:rPr>
        <w:t>2</w:t>
      </w:r>
      <w:r>
        <w:rPr>
          <w:rFonts w:hint="eastAsia"/>
          <w:color w:val="auto"/>
          <w:szCs w:val="24"/>
          <w:highlight w:val="none"/>
        </w:rPr>
        <w:t>和</w:t>
      </w:r>
      <w:r>
        <w:rPr>
          <w:rFonts w:hint="eastAsia"/>
          <w:color w:val="auto"/>
          <w:szCs w:val="24"/>
          <w:highlight w:val="none"/>
          <w:lang w:val="en-US" w:eastAsia="zh-CN"/>
        </w:rPr>
        <w:t>9.67</w:t>
      </w:r>
      <w:r>
        <w:rPr>
          <w:rFonts w:hint="eastAsia"/>
          <w:color w:val="auto"/>
          <w:szCs w:val="24"/>
          <w:highlight w:val="none"/>
        </w:rPr>
        <w:t>hm</w:t>
      </w:r>
      <w:r>
        <w:rPr>
          <w:color w:val="auto"/>
          <w:szCs w:val="24"/>
          <w:highlight w:val="none"/>
          <w:vertAlign w:val="superscript"/>
        </w:rPr>
        <w:t>2</w:t>
      </w:r>
      <w:r>
        <w:rPr>
          <w:rFonts w:hint="eastAsia"/>
          <w:color w:val="auto"/>
          <w:szCs w:val="24"/>
          <w:highlight w:val="none"/>
        </w:rPr>
        <w:t>，</w:t>
      </w:r>
      <w:r>
        <w:rPr>
          <w:rFonts w:hint="eastAsia"/>
          <w:color w:val="auto"/>
          <w:szCs w:val="24"/>
          <w:highlight w:val="none"/>
          <w:lang w:eastAsia="zh-CN"/>
        </w:rPr>
        <w:t>植被主要有柏木林、构树灌丛、</w:t>
      </w:r>
      <w:r>
        <w:rPr>
          <w:rFonts w:hint="eastAsia"/>
          <w:color w:val="auto"/>
          <w:kern w:val="0"/>
          <w:highlight w:val="none"/>
        </w:rPr>
        <w:t>斑茅</w:t>
      </w:r>
      <w:r>
        <w:rPr>
          <w:color w:val="auto"/>
          <w:kern w:val="0"/>
          <w:highlight w:val="none"/>
        </w:rPr>
        <w:t>草丛</w:t>
      </w:r>
      <w:r>
        <w:rPr>
          <w:rFonts w:hint="eastAsia"/>
          <w:color w:val="auto"/>
          <w:szCs w:val="24"/>
          <w:highlight w:val="none"/>
        </w:rPr>
        <w:t>和农作物(玉米、豆类、蔬菜等)。临时用地对植被的破坏是短期的、可恢复的。受临时占地影响的植物及植被在评价区均具有广泛分布，不存在因局部植物物种损失而导致工程区内植物物种多样性减少或种群消失或灭绝。此外，工程结束后，临时占地区会进行植被恢复，</w:t>
      </w:r>
      <w:r>
        <w:rPr>
          <w:rFonts w:hint="eastAsia"/>
          <w:color w:val="auto"/>
          <w:szCs w:val="24"/>
          <w:highlight w:val="none"/>
          <w:shd w:val="clear" w:fill="FFFFFF"/>
          <w:lang w:eastAsia="zh-CN"/>
        </w:rPr>
        <w:t>可以有效地</w:t>
      </w:r>
      <w:r>
        <w:rPr>
          <w:rFonts w:hint="eastAsia"/>
          <w:color w:val="auto"/>
          <w:szCs w:val="24"/>
          <w:highlight w:val="none"/>
        </w:rPr>
        <w:t>弥补临时占地对工程区植物的影响</w:t>
      </w:r>
      <w:r>
        <w:rPr>
          <w:snapToGrid w:val="0"/>
          <w:color w:val="auto"/>
          <w:szCs w:val="24"/>
          <w:highlight w:val="none"/>
        </w:rPr>
        <w:t>。</w:t>
      </w:r>
      <w:r>
        <w:rPr>
          <w:color w:val="auto"/>
          <w:highlight w:val="none"/>
          <w:lang w:bidi="ar"/>
        </w:rPr>
        <w:t>根据生态学次生演替理论，</w:t>
      </w:r>
      <w:r>
        <w:rPr>
          <w:rFonts w:hint="eastAsia"/>
          <w:color w:val="auto"/>
          <w:highlight w:val="none"/>
          <w:lang w:bidi="ar"/>
        </w:rPr>
        <w:t>项目施工临时</w:t>
      </w:r>
      <w:r>
        <w:rPr>
          <w:color w:val="auto"/>
          <w:highlight w:val="none"/>
          <w:lang w:bidi="ar"/>
        </w:rPr>
        <w:t>占地是对植被及其生态系统的扰动是暂时性的，这种扰动一旦结束，则由施工形成的次生裸地便开始向顶级植物群落方向演替。根据</w:t>
      </w:r>
      <w:r>
        <w:rPr>
          <w:rFonts w:hint="eastAsia"/>
          <w:color w:val="auto"/>
          <w:highlight w:val="none"/>
          <w:lang w:eastAsia="zh-CN" w:bidi="ar"/>
        </w:rPr>
        <w:t>区域</w:t>
      </w:r>
      <w:r>
        <w:rPr>
          <w:color w:val="auto"/>
          <w:highlight w:val="none"/>
          <w:lang w:bidi="ar"/>
        </w:rPr>
        <w:t>所经地区的土壤、气候等自然条件分析，施工结束后，周围植物渐次侵入，开始恢复演替过程。要恢复植被覆盖，草本最先进入，至少需要</w:t>
      </w:r>
      <w:r>
        <w:rPr>
          <w:rFonts w:eastAsia="Times New Roman"/>
          <w:color w:val="auto"/>
          <w:highlight w:val="none"/>
          <w:lang w:bidi="ar"/>
        </w:rPr>
        <w:t>1</w:t>
      </w:r>
      <w:r>
        <w:rPr>
          <w:color w:val="auto"/>
          <w:highlight w:val="none"/>
          <w:lang w:bidi="ar"/>
        </w:rPr>
        <w:t>～</w:t>
      </w:r>
      <w:r>
        <w:rPr>
          <w:rFonts w:eastAsia="Times New Roman"/>
          <w:color w:val="auto"/>
          <w:highlight w:val="none"/>
          <w:lang w:bidi="ar"/>
        </w:rPr>
        <w:t>2</w:t>
      </w:r>
      <w:r>
        <w:rPr>
          <w:color w:val="auto"/>
          <w:highlight w:val="none"/>
          <w:lang w:bidi="ar"/>
        </w:rPr>
        <w:t>年，灌木侵入需要</w:t>
      </w:r>
      <w:r>
        <w:rPr>
          <w:rFonts w:eastAsia="Times New Roman"/>
          <w:color w:val="auto"/>
          <w:highlight w:val="none"/>
          <w:lang w:bidi="ar"/>
        </w:rPr>
        <w:t>5</w:t>
      </w:r>
      <w:r>
        <w:rPr>
          <w:color w:val="auto"/>
          <w:highlight w:val="none"/>
          <w:lang w:bidi="ar"/>
        </w:rPr>
        <w:t>～</w:t>
      </w:r>
      <w:r>
        <w:rPr>
          <w:rFonts w:eastAsia="Times New Roman"/>
          <w:color w:val="auto"/>
          <w:highlight w:val="none"/>
          <w:lang w:bidi="ar"/>
        </w:rPr>
        <w:t>10</w:t>
      </w:r>
      <w:r>
        <w:rPr>
          <w:color w:val="auto"/>
          <w:highlight w:val="none"/>
          <w:lang w:bidi="ar"/>
        </w:rPr>
        <w:t>年，森林的自然恢复时间更久远。采用人工植树种草的措施，可以加快恢复进程，</w:t>
      </w:r>
      <w:r>
        <w:rPr>
          <w:rFonts w:eastAsia="Times New Roman"/>
          <w:color w:val="auto"/>
          <w:highlight w:val="none"/>
          <w:lang w:bidi="ar"/>
        </w:rPr>
        <w:t>2</w:t>
      </w:r>
      <w:r>
        <w:rPr>
          <w:color w:val="auto"/>
          <w:highlight w:val="none"/>
          <w:lang w:bidi="ar"/>
        </w:rPr>
        <w:t>～</w:t>
      </w:r>
      <w:r>
        <w:rPr>
          <w:rFonts w:eastAsia="Times New Roman"/>
          <w:color w:val="auto"/>
          <w:highlight w:val="none"/>
          <w:lang w:bidi="ar"/>
        </w:rPr>
        <w:t>3</w:t>
      </w:r>
      <w:r>
        <w:rPr>
          <w:color w:val="auto"/>
          <w:highlight w:val="none"/>
          <w:lang w:bidi="ar"/>
        </w:rPr>
        <w:t>年即可同步恢复草本植被和灌木植被，</w:t>
      </w:r>
      <w:r>
        <w:rPr>
          <w:rFonts w:eastAsia="Times New Roman"/>
          <w:color w:val="auto"/>
          <w:highlight w:val="none"/>
          <w:lang w:bidi="ar"/>
        </w:rPr>
        <w:t>3</w:t>
      </w:r>
      <w:r>
        <w:rPr>
          <w:color w:val="auto"/>
          <w:highlight w:val="none"/>
          <w:lang w:bidi="ar"/>
        </w:rPr>
        <w:t>～</w:t>
      </w:r>
      <w:r>
        <w:rPr>
          <w:rFonts w:eastAsia="Times New Roman"/>
          <w:color w:val="auto"/>
          <w:highlight w:val="none"/>
          <w:lang w:bidi="ar"/>
        </w:rPr>
        <w:t>5</w:t>
      </w:r>
      <w:r>
        <w:rPr>
          <w:color w:val="auto"/>
          <w:highlight w:val="none"/>
          <w:lang w:bidi="ar"/>
        </w:rPr>
        <w:t>年恢复森林植被，</w:t>
      </w:r>
      <w:r>
        <w:rPr>
          <w:rFonts w:eastAsia="Times New Roman"/>
          <w:color w:val="auto"/>
          <w:highlight w:val="none"/>
          <w:lang w:bidi="ar"/>
        </w:rPr>
        <w:t>10</w:t>
      </w:r>
      <w:r>
        <w:rPr>
          <w:color w:val="auto"/>
          <w:highlight w:val="none"/>
          <w:lang w:bidi="ar"/>
        </w:rPr>
        <w:t>～</w:t>
      </w:r>
      <w:r>
        <w:rPr>
          <w:rFonts w:eastAsia="Times New Roman"/>
          <w:color w:val="auto"/>
          <w:highlight w:val="none"/>
          <w:lang w:bidi="ar"/>
        </w:rPr>
        <w:t>15</w:t>
      </w:r>
      <w:r>
        <w:rPr>
          <w:color w:val="auto"/>
          <w:highlight w:val="none"/>
          <w:lang w:bidi="ar"/>
        </w:rPr>
        <w:t>年恢复</w:t>
      </w:r>
      <w:r>
        <w:rPr>
          <w:color w:val="auto"/>
          <w:highlight w:val="none"/>
          <w:shd w:val="clear" w:fill="FFFFFF"/>
          <w:lang w:bidi="ar"/>
        </w:rPr>
        <w:t>成成熟</w:t>
      </w:r>
      <w:r>
        <w:rPr>
          <w:color w:val="auto"/>
          <w:highlight w:val="none"/>
          <w:lang w:bidi="ar"/>
        </w:rPr>
        <w:t>的森林植被</w:t>
      </w:r>
      <w:r>
        <w:rPr>
          <w:rFonts w:hint="eastAsia"/>
          <w:color w:val="auto"/>
          <w:highlight w:val="none"/>
          <w:lang w:bidi="ar"/>
        </w:rPr>
        <w:t>，</w:t>
      </w:r>
      <w:r>
        <w:rPr>
          <w:color w:val="auto"/>
          <w:highlight w:val="none"/>
          <w:lang w:bidi="ar"/>
        </w:rPr>
        <w:t>恢复至种类组成近似，物种多样性指数值近似的状态。</w:t>
      </w:r>
    </w:p>
    <w:p>
      <w:pPr>
        <w:snapToGrid w:val="0"/>
        <w:spacing w:line="460" w:lineRule="exact"/>
        <w:ind w:firstLine="520"/>
        <w:rPr>
          <w:rFonts w:eastAsia="Times New Roman"/>
          <w:color w:val="auto"/>
          <w:highlight w:val="none"/>
          <w:lang w:bidi="ar"/>
        </w:rPr>
      </w:pPr>
      <w:r>
        <w:rPr>
          <w:color w:val="auto"/>
          <w:highlight w:val="none"/>
          <w:lang w:bidi="ar"/>
        </w:rPr>
        <w:t>总体来说，</w:t>
      </w:r>
      <w:r>
        <w:rPr>
          <w:rFonts w:hint="eastAsia"/>
          <w:color w:val="auto"/>
          <w:highlight w:val="none"/>
          <w:lang w:bidi="ar"/>
        </w:rPr>
        <w:t>项目施工期</w:t>
      </w:r>
      <w:r>
        <w:rPr>
          <w:color w:val="auto"/>
          <w:highlight w:val="none"/>
          <w:lang w:bidi="ar"/>
        </w:rPr>
        <w:t>中会对该区域植被造成一定的影响，</w:t>
      </w:r>
      <w:r>
        <w:rPr>
          <w:rFonts w:hint="eastAsia"/>
          <w:color w:val="auto"/>
          <w:highlight w:val="none"/>
          <w:lang w:bidi="ar"/>
        </w:rPr>
        <w:t>造成</w:t>
      </w:r>
      <w:r>
        <w:rPr>
          <w:color w:val="auto"/>
          <w:highlight w:val="none"/>
          <w:lang w:bidi="ar"/>
        </w:rPr>
        <w:t>植物个体数量</w:t>
      </w:r>
      <w:r>
        <w:rPr>
          <w:rFonts w:hint="eastAsia"/>
          <w:color w:val="auto"/>
          <w:highlight w:val="none"/>
          <w:lang w:bidi="ar"/>
        </w:rPr>
        <w:t>减少，</w:t>
      </w:r>
      <w:r>
        <w:rPr>
          <w:color w:val="auto"/>
          <w:highlight w:val="none"/>
          <w:lang w:bidi="ar"/>
        </w:rPr>
        <w:t>但由于植被均为当地常见物种，不会导致评价区内植物群落的种类</w:t>
      </w:r>
      <w:r>
        <w:rPr>
          <w:rFonts w:hint="eastAsia"/>
          <w:color w:val="auto"/>
          <w:highlight w:val="none"/>
          <w:lang w:bidi="ar"/>
        </w:rPr>
        <w:t>、</w:t>
      </w:r>
      <w:r>
        <w:rPr>
          <w:color w:val="auto"/>
          <w:highlight w:val="none"/>
          <w:lang w:bidi="ar"/>
        </w:rPr>
        <w:t>数量发生变化，也不会造成植物物种的消失，对区域植被稳定性的破坏较弱。项目施工周期短，施工结束后，通过复垦、恢复植被、补偿等措施，</w:t>
      </w:r>
      <w:r>
        <w:rPr>
          <w:rFonts w:hint="eastAsia"/>
          <w:color w:val="auto"/>
          <w:highlight w:val="none"/>
          <w:lang w:bidi="ar"/>
        </w:rPr>
        <w:t>项目影响范围</w:t>
      </w:r>
      <w:r>
        <w:rPr>
          <w:color w:val="auto"/>
          <w:highlight w:val="none"/>
          <w:lang w:bidi="ar"/>
        </w:rPr>
        <w:t>内被破坏的植被可以得到</w:t>
      </w:r>
      <w:r>
        <w:rPr>
          <w:color w:val="auto"/>
          <w:highlight w:val="none"/>
          <w:shd w:val="clear" w:fill="FFFFFF"/>
          <w:lang w:bidi="ar"/>
        </w:rPr>
        <w:t>有效</w:t>
      </w:r>
      <w:r>
        <w:rPr>
          <w:rFonts w:hint="eastAsia"/>
          <w:color w:val="auto"/>
          <w:highlight w:val="none"/>
          <w:shd w:val="clear" w:fill="FFFFFF"/>
          <w:lang w:eastAsia="zh-CN" w:bidi="ar"/>
        </w:rPr>
        <w:t>地</w:t>
      </w:r>
      <w:r>
        <w:rPr>
          <w:color w:val="auto"/>
          <w:highlight w:val="none"/>
          <w:lang w:bidi="ar"/>
        </w:rPr>
        <w:t>恢复。</w:t>
      </w:r>
      <w:r>
        <w:rPr>
          <w:rFonts w:eastAsia="Times New Roman"/>
          <w:color w:val="auto"/>
          <w:highlight w:val="none"/>
          <w:lang w:bidi="ar"/>
        </w:rPr>
        <w:t xml:space="preserve"> </w:t>
      </w:r>
    </w:p>
    <w:p>
      <w:pPr>
        <w:adjustRightInd w:val="0"/>
        <w:snapToGrid w:val="0"/>
        <w:ind w:firstLine="520"/>
        <w:rPr>
          <w:bCs/>
          <w:color w:val="auto"/>
          <w:spacing w:val="4"/>
          <w:szCs w:val="26"/>
          <w:highlight w:val="none"/>
        </w:rPr>
      </w:pPr>
      <w:r>
        <w:rPr>
          <w:rFonts w:hint="eastAsia"/>
          <w:bCs/>
          <w:color w:val="auto"/>
          <w:spacing w:val="4"/>
          <w:szCs w:val="26"/>
          <w:highlight w:val="none"/>
        </w:rPr>
        <w:fldChar w:fldCharType="begin"/>
      </w:r>
      <w:r>
        <w:rPr>
          <w:rFonts w:hint="eastAsia"/>
          <w:bCs/>
          <w:color w:val="auto"/>
          <w:spacing w:val="4"/>
          <w:szCs w:val="26"/>
          <w:highlight w:val="none"/>
        </w:rPr>
        <w:instrText xml:space="preserve"> = 3 \* GB3 \* MERGEFORMAT </w:instrText>
      </w:r>
      <w:r>
        <w:rPr>
          <w:rFonts w:hint="eastAsia"/>
          <w:bCs/>
          <w:color w:val="auto"/>
          <w:spacing w:val="4"/>
          <w:szCs w:val="26"/>
          <w:highlight w:val="none"/>
        </w:rPr>
        <w:fldChar w:fldCharType="separate"/>
      </w:r>
      <w:r>
        <w:rPr>
          <w:rFonts w:hint="eastAsia" w:ascii="宋体" w:hAnsi="宋体" w:cs="宋体"/>
          <w:color w:val="auto"/>
          <w:highlight w:val="none"/>
        </w:rPr>
        <w:t>③</w:t>
      </w:r>
      <w:r>
        <w:rPr>
          <w:rFonts w:hint="eastAsia"/>
          <w:bCs/>
          <w:color w:val="auto"/>
          <w:spacing w:val="4"/>
          <w:szCs w:val="26"/>
          <w:highlight w:val="none"/>
        </w:rPr>
        <w:fldChar w:fldCharType="end"/>
      </w:r>
      <w:r>
        <w:rPr>
          <w:rFonts w:hint="eastAsia"/>
          <w:bCs/>
          <w:color w:val="auto"/>
          <w:spacing w:val="4"/>
          <w:szCs w:val="26"/>
          <w:highlight w:val="none"/>
        </w:rPr>
        <w:t>施工</w:t>
      </w:r>
      <w:r>
        <w:rPr>
          <w:rFonts w:hint="eastAsia"/>
          <w:bCs/>
          <w:color w:val="auto"/>
          <w:szCs w:val="26"/>
          <w:highlight w:val="none"/>
        </w:rPr>
        <w:t>扬尘对植被的影响</w:t>
      </w:r>
    </w:p>
    <w:p>
      <w:pPr>
        <w:adjustRightInd w:val="0"/>
        <w:snapToGrid w:val="0"/>
        <w:ind w:firstLine="520"/>
        <w:rPr>
          <w:bCs/>
          <w:color w:val="auto"/>
          <w:szCs w:val="26"/>
          <w:highlight w:val="none"/>
        </w:rPr>
      </w:pPr>
      <w:r>
        <w:rPr>
          <w:rFonts w:hint="eastAsia"/>
          <w:bCs/>
          <w:color w:val="auto"/>
          <w:szCs w:val="26"/>
          <w:highlight w:val="none"/>
        </w:rPr>
        <w:t>工程开发建设中的扬尘是对植被生长产生影响的因素之一，扬尘产生的颗粒物质在植物地上器官（叶、茎、花和果实）沉降将对植物产生直接影响。沉降物在植物表面的扬尘以干粉尘、泥膜等形式累积，植物表面上的沉降物覆盖层阻塞气孔，导致气体交换减少，叶片温度升高，光合作用下降，叶片黄化干缩，植物的干物质生产受到影响。一般情况下，大范围内极低浓度的颗粒物慢性沉降不会对自然生态系统产生不利影响，只有当颗粒物的沉降速率很高时才会造成生态问题。此外，对植物的伤害程度还取决于周围的环境及地形。</w:t>
      </w:r>
    </w:p>
    <w:p>
      <w:pPr>
        <w:adjustRightInd w:val="0"/>
        <w:snapToGrid w:val="0"/>
        <w:ind w:firstLine="520"/>
        <w:rPr>
          <w:bCs/>
          <w:color w:val="auto"/>
          <w:szCs w:val="26"/>
          <w:highlight w:val="none"/>
        </w:rPr>
      </w:pPr>
      <w:r>
        <w:rPr>
          <w:rFonts w:hint="eastAsia"/>
          <w:bCs/>
          <w:color w:val="auto"/>
          <w:szCs w:val="26"/>
          <w:highlight w:val="none"/>
        </w:rPr>
        <w:t>本项目工程区域多风、雨量充沛、地形开阔的自然条件使得大气中扬尘易扩散，且易被冲刷，加之工程施工阶段污染源分散、施工周期短，沿线植被主要以农作物为主，施工扬尘对植被影响很小。</w:t>
      </w:r>
    </w:p>
    <w:p>
      <w:pPr>
        <w:ind w:firstLine="520"/>
        <w:rPr>
          <w:color w:val="auto"/>
          <w:highlight w:val="none"/>
          <w:lang w:bidi="ar"/>
        </w:rPr>
      </w:pPr>
      <w:r>
        <w:rPr>
          <w:color w:val="auto"/>
          <w:highlight w:val="none"/>
          <w:lang w:bidi="ar"/>
        </w:rPr>
        <w:fldChar w:fldCharType="begin"/>
      </w:r>
      <w:r>
        <w:rPr>
          <w:color w:val="auto"/>
          <w:highlight w:val="none"/>
          <w:lang w:bidi="ar"/>
        </w:rPr>
        <w:instrText xml:space="preserve"> </w:instrText>
      </w:r>
      <w:r>
        <w:rPr>
          <w:rFonts w:hint="eastAsia"/>
          <w:color w:val="auto"/>
          <w:highlight w:val="none"/>
          <w:lang w:bidi="ar"/>
        </w:rPr>
        <w:instrText xml:space="preserve">= 4 \* GB3</w:instrText>
      </w:r>
      <w:r>
        <w:rPr>
          <w:color w:val="auto"/>
          <w:highlight w:val="none"/>
          <w:lang w:bidi="ar"/>
        </w:rPr>
        <w:instrText xml:space="preserve"> </w:instrText>
      </w:r>
      <w:r>
        <w:rPr>
          <w:color w:val="auto"/>
          <w:highlight w:val="none"/>
          <w:lang w:bidi="ar"/>
        </w:rPr>
        <w:fldChar w:fldCharType="separate"/>
      </w:r>
      <w:r>
        <w:rPr>
          <w:rFonts w:hint="eastAsia"/>
          <w:color w:val="auto"/>
          <w:highlight w:val="none"/>
          <w:lang w:bidi="ar"/>
        </w:rPr>
        <w:t>④</w:t>
      </w:r>
      <w:r>
        <w:rPr>
          <w:color w:val="auto"/>
          <w:highlight w:val="none"/>
          <w:lang w:bidi="ar"/>
        </w:rPr>
        <w:fldChar w:fldCharType="end"/>
      </w:r>
      <w:r>
        <w:rPr>
          <w:color w:val="auto"/>
          <w:highlight w:val="none"/>
          <w:lang w:bidi="ar"/>
        </w:rPr>
        <w:t>对重点保护野生植物</w:t>
      </w:r>
    </w:p>
    <w:p>
      <w:pPr>
        <w:ind w:firstLine="520"/>
        <w:rPr>
          <w:color w:val="auto"/>
          <w:highlight w:val="none"/>
          <w:lang w:bidi="ar"/>
        </w:rPr>
      </w:pPr>
      <w:r>
        <w:rPr>
          <w:color w:val="auto"/>
          <w:highlight w:val="none"/>
          <w:lang w:bidi="ar"/>
        </w:rPr>
        <w:t>根据现场调查</w:t>
      </w:r>
      <w:r>
        <w:rPr>
          <w:rFonts w:hint="eastAsia"/>
          <w:color w:val="auto"/>
          <w:highlight w:val="none"/>
          <w:lang w:bidi="ar"/>
        </w:rPr>
        <w:t>访问</w:t>
      </w:r>
      <w:r>
        <w:rPr>
          <w:color w:val="auto"/>
          <w:highlight w:val="none"/>
          <w:lang w:bidi="ar"/>
        </w:rPr>
        <w:t>及林业局相关资料查阅，</w:t>
      </w:r>
      <w:r>
        <w:rPr>
          <w:rFonts w:hint="eastAsia"/>
          <w:color w:val="auto"/>
          <w:highlight w:val="none"/>
          <w:lang w:bidi="ar"/>
        </w:rPr>
        <w:t>项目</w:t>
      </w:r>
      <w:r>
        <w:rPr>
          <w:color w:val="auto"/>
          <w:highlight w:val="none"/>
          <w:lang w:bidi="ar"/>
        </w:rPr>
        <w:t>施工占地范围内未见</w:t>
      </w:r>
      <w:r>
        <w:rPr>
          <w:rFonts w:hint="eastAsia"/>
          <w:color w:val="auto"/>
          <w:highlight w:val="none"/>
          <w:lang w:bidi="ar"/>
        </w:rPr>
        <w:t>重点保护野生植物</w:t>
      </w:r>
      <w:r>
        <w:rPr>
          <w:color w:val="auto"/>
          <w:highlight w:val="none"/>
          <w:lang w:bidi="ar"/>
        </w:rPr>
        <w:t>分布</w:t>
      </w:r>
      <w:r>
        <w:rPr>
          <w:rFonts w:hint="eastAsia"/>
          <w:color w:val="auto"/>
          <w:highlight w:val="none"/>
          <w:lang w:eastAsia="zh-CN" w:bidi="ar"/>
        </w:rPr>
        <w:t>及古树名木分布</w:t>
      </w:r>
      <w:r>
        <w:rPr>
          <w:color w:val="auto"/>
          <w:highlight w:val="none"/>
          <w:lang w:bidi="ar"/>
        </w:rPr>
        <w:t>，施工期</w:t>
      </w:r>
      <w:r>
        <w:rPr>
          <w:rFonts w:hint="eastAsia"/>
          <w:color w:val="auto"/>
          <w:highlight w:val="none"/>
          <w:shd w:val="clear" w:fill="FFFFFF"/>
          <w:lang w:eastAsia="zh-CN" w:bidi="ar"/>
        </w:rPr>
        <w:t>不会对</w:t>
      </w:r>
      <w:r>
        <w:rPr>
          <w:color w:val="auto"/>
          <w:highlight w:val="none"/>
          <w:lang w:bidi="ar"/>
        </w:rPr>
        <w:t>重点保护野生植物</w:t>
      </w:r>
      <w:r>
        <w:rPr>
          <w:rFonts w:hint="eastAsia"/>
          <w:color w:val="auto"/>
          <w:highlight w:val="none"/>
          <w:lang w:eastAsia="zh-CN" w:bidi="ar"/>
        </w:rPr>
        <w:t>及古树名木等重要物种造成影响</w:t>
      </w:r>
      <w:r>
        <w:rPr>
          <w:color w:val="auto"/>
          <w:highlight w:val="none"/>
          <w:lang w:bidi="ar"/>
        </w:rPr>
        <w:t>。</w:t>
      </w:r>
      <w:r>
        <w:rPr>
          <w:rFonts w:hint="eastAsia" w:cs="宋体"/>
          <w:color w:val="auto"/>
          <w:highlight w:val="none"/>
          <w:lang w:bidi="ar"/>
        </w:rPr>
        <w:t>工程施工过程中必须严格控制</w:t>
      </w:r>
      <w:r>
        <w:rPr>
          <w:rFonts w:hint="eastAsia" w:cs="宋体"/>
          <w:color w:val="auto"/>
          <w:highlight w:val="none"/>
          <w:shd w:val="clear" w:fill="FFFFFF"/>
          <w:lang w:bidi="ar"/>
        </w:rPr>
        <w:t>施工</w:t>
      </w:r>
      <w:r>
        <w:rPr>
          <w:rFonts w:hint="eastAsia" w:cs="宋体"/>
          <w:color w:val="auto"/>
          <w:highlight w:val="none"/>
          <w:lang w:eastAsia="zh-CN" w:bidi="ar"/>
        </w:rPr>
        <w:t>占地范围</w:t>
      </w:r>
      <w:r>
        <w:rPr>
          <w:rFonts w:hint="eastAsia" w:cs="宋体"/>
          <w:color w:val="auto"/>
          <w:highlight w:val="none"/>
          <w:lang w:bidi="ar"/>
        </w:rPr>
        <w:t>，减小扰动范围，施工过程中一旦发现保护植物，需立即告知当地林业部门，并在林业部门的指导下采取合理的保护措施</w:t>
      </w:r>
      <w:r>
        <w:rPr>
          <w:rFonts w:hint="eastAsia"/>
          <w:color w:val="auto"/>
          <w:szCs w:val="26"/>
          <w:highlight w:val="none"/>
          <w:lang w:bidi="ar"/>
        </w:rPr>
        <w:t>。</w:t>
      </w:r>
    </w:p>
    <w:p>
      <w:pPr>
        <w:adjustRightInd w:val="0"/>
        <w:snapToGrid w:val="0"/>
        <w:ind w:firstLine="520"/>
        <w:rPr>
          <w:color w:val="auto"/>
          <w:highlight w:val="none"/>
          <w:lang w:bidi="ar"/>
        </w:rPr>
      </w:pPr>
      <w:r>
        <w:rPr>
          <w:rFonts w:hint="eastAsia"/>
          <w:color w:val="auto"/>
          <w:highlight w:val="none"/>
        </w:rPr>
        <w:t>总体来说</w:t>
      </w:r>
      <w:r>
        <w:rPr>
          <w:color w:val="auto"/>
          <w:highlight w:val="none"/>
        </w:rPr>
        <w:t>，项目施工期由于施工占地</w:t>
      </w:r>
      <w:r>
        <w:rPr>
          <w:rFonts w:hint="eastAsia"/>
          <w:color w:val="auto"/>
          <w:highlight w:val="none"/>
        </w:rPr>
        <w:t>导致</w:t>
      </w:r>
      <w:r>
        <w:rPr>
          <w:color w:val="auto"/>
          <w:highlight w:val="none"/>
        </w:rPr>
        <w:t>占地范围内植物</w:t>
      </w:r>
      <w:r>
        <w:rPr>
          <w:rFonts w:hint="eastAsia"/>
          <w:color w:val="auto"/>
          <w:highlight w:val="none"/>
        </w:rPr>
        <w:t>个体减少</w:t>
      </w:r>
      <w:r>
        <w:rPr>
          <w:color w:val="auto"/>
          <w:highlight w:val="none"/>
        </w:rPr>
        <w:t>，</w:t>
      </w:r>
      <w:r>
        <w:rPr>
          <w:rFonts w:hint="eastAsia"/>
          <w:color w:val="auto"/>
          <w:highlight w:val="none"/>
        </w:rPr>
        <w:t>生物量</w:t>
      </w:r>
      <w:r>
        <w:rPr>
          <w:color w:val="auto"/>
          <w:highlight w:val="none"/>
        </w:rPr>
        <w:t>造成损失，其中永久占地范围内的植物永久损失。但由于项目占地面积较小，且</w:t>
      </w:r>
      <w:r>
        <w:rPr>
          <w:rFonts w:hint="eastAsia"/>
          <w:color w:val="auto"/>
          <w:highlight w:val="none"/>
        </w:rPr>
        <w:t>占地范围</w:t>
      </w:r>
      <w:r>
        <w:rPr>
          <w:color w:val="auto"/>
          <w:highlight w:val="none"/>
        </w:rPr>
        <w:t>内用地形式大部分</w:t>
      </w:r>
      <w:r>
        <w:rPr>
          <w:rFonts w:hint="eastAsia"/>
          <w:color w:val="auto"/>
          <w:highlight w:val="none"/>
        </w:rPr>
        <w:t>为</w:t>
      </w:r>
      <w:r>
        <w:rPr>
          <w:color w:val="auto"/>
          <w:highlight w:val="none"/>
        </w:rPr>
        <w:t>耕地等生物量较少</w:t>
      </w:r>
      <w:r>
        <w:rPr>
          <w:rFonts w:hint="eastAsia"/>
          <w:color w:val="auto"/>
          <w:highlight w:val="none"/>
        </w:rPr>
        <w:t>、</w:t>
      </w:r>
      <w:r>
        <w:rPr>
          <w:color w:val="auto"/>
          <w:highlight w:val="none"/>
        </w:rPr>
        <w:t>植物种类较为常见的区域，占地范围内无重点野生保护动物及名木古树分布，项目建设不</w:t>
      </w:r>
      <w:r>
        <w:rPr>
          <w:color w:val="auto"/>
          <w:highlight w:val="none"/>
          <w:lang w:bidi="ar"/>
        </w:rPr>
        <w:t>会造成区域植被类型</w:t>
      </w:r>
      <w:r>
        <w:rPr>
          <w:rFonts w:hint="eastAsia"/>
          <w:color w:val="auto"/>
          <w:highlight w:val="none"/>
          <w:lang w:bidi="ar"/>
        </w:rPr>
        <w:t>及</w:t>
      </w:r>
      <w:r>
        <w:rPr>
          <w:color w:val="auto"/>
          <w:highlight w:val="none"/>
          <w:lang w:bidi="ar"/>
        </w:rPr>
        <w:t>植物区系的改变，不会</w:t>
      </w:r>
      <w:r>
        <w:rPr>
          <w:rFonts w:hint="eastAsia"/>
          <w:color w:val="auto"/>
          <w:highlight w:val="none"/>
          <w:lang w:bidi="ar"/>
        </w:rPr>
        <w:t>造成</w:t>
      </w:r>
      <w:r>
        <w:rPr>
          <w:color w:val="auto"/>
          <w:highlight w:val="none"/>
          <w:lang w:bidi="ar"/>
        </w:rPr>
        <w:t>生物量的大规模损失。</w:t>
      </w:r>
    </w:p>
    <w:p>
      <w:pPr>
        <w:adjustRightInd w:val="0"/>
        <w:snapToGrid w:val="0"/>
        <w:ind w:firstLine="520"/>
        <w:rPr>
          <w:rFonts w:hint="eastAsia"/>
          <w:color w:val="auto"/>
          <w:highlight w:val="none"/>
          <w:lang w:eastAsia="zh-CN" w:bidi="ar"/>
        </w:rPr>
      </w:pPr>
      <w:r>
        <w:rPr>
          <w:rFonts w:hint="eastAsia"/>
          <w:color w:val="auto"/>
          <w:highlight w:val="none"/>
          <w:lang w:eastAsia="zh-CN" w:bidi="ar"/>
        </w:rPr>
        <w:fldChar w:fldCharType="begin"/>
      </w:r>
      <w:r>
        <w:rPr>
          <w:rFonts w:hint="eastAsia"/>
          <w:color w:val="auto"/>
          <w:highlight w:val="none"/>
          <w:lang w:eastAsia="zh-CN" w:bidi="ar"/>
        </w:rPr>
        <w:instrText xml:space="preserve"> = 5 \* GB3 \* MERGEFORMAT </w:instrText>
      </w:r>
      <w:r>
        <w:rPr>
          <w:rFonts w:hint="eastAsia"/>
          <w:color w:val="auto"/>
          <w:highlight w:val="none"/>
          <w:lang w:eastAsia="zh-CN" w:bidi="ar"/>
        </w:rPr>
        <w:fldChar w:fldCharType="separate"/>
      </w:r>
      <w:r>
        <w:rPr>
          <w:color w:val="auto"/>
          <w:highlight w:val="none"/>
        </w:rPr>
        <w:t>⑤</w:t>
      </w:r>
      <w:r>
        <w:rPr>
          <w:rFonts w:hint="eastAsia"/>
          <w:color w:val="auto"/>
          <w:highlight w:val="none"/>
          <w:lang w:eastAsia="zh-CN" w:bidi="ar"/>
        </w:rPr>
        <w:fldChar w:fldCharType="end"/>
      </w:r>
      <w:r>
        <w:rPr>
          <w:rFonts w:hint="eastAsia"/>
          <w:color w:val="auto"/>
          <w:highlight w:val="none"/>
          <w:lang w:eastAsia="zh-CN" w:bidi="ar"/>
        </w:rPr>
        <w:t>对天然林的影响</w:t>
      </w:r>
    </w:p>
    <w:p>
      <w:pPr>
        <w:adjustRightInd w:val="0"/>
        <w:snapToGrid w:val="0"/>
        <w:ind w:firstLine="520"/>
        <w:rPr>
          <w:rFonts w:hint="eastAsia" w:eastAsia="宋体"/>
          <w:bCs/>
          <w:color w:val="auto"/>
          <w:szCs w:val="26"/>
          <w:highlight w:val="none"/>
          <w:lang w:eastAsia="zh-CN"/>
        </w:rPr>
      </w:pPr>
      <w:r>
        <w:rPr>
          <w:color w:val="auto"/>
          <w:highlight w:val="none"/>
        </w:rPr>
        <w:t>项目</w:t>
      </w:r>
      <w:r>
        <w:rPr>
          <w:rFonts w:hint="eastAsia"/>
          <w:color w:val="auto"/>
          <w:highlight w:val="none"/>
          <w:lang w:eastAsia="zh-CN"/>
        </w:rPr>
        <w:t>占用天然林面积约</w:t>
      </w:r>
      <w:r>
        <w:rPr>
          <w:rFonts w:hint="eastAsia"/>
          <w:color w:val="auto"/>
          <w:highlight w:val="none"/>
          <w:lang w:val="en-US" w:eastAsia="zh-CN"/>
        </w:rPr>
        <w:t>2.42hm</w:t>
      </w:r>
      <w:r>
        <w:rPr>
          <w:rFonts w:hint="eastAsia"/>
          <w:color w:val="auto"/>
          <w:highlight w:val="none"/>
          <w:vertAlign w:val="superscript"/>
          <w:lang w:val="en-US" w:eastAsia="zh-CN"/>
        </w:rPr>
        <w:t>2</w:t>
      </w:r>
      <w:r>
        <w:rPr>
          <w:rFonts w:hint="eastAsia"/>
          <w:color w:val="auto"/>
          <w:highlight w:val="none"/>
          <w:vertAlign w:val="baseline"/>
          <w:lang w:val="en-US" w:eastAsia="zh-CN"/>
        </w:rPr>
        <w:t>，主要为锚地、岸边清礁区域及1#弃渣场占用，植被类型为青冈林、慈竹林和灌木林地</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eastAsia="zh-CN"/>
        </w:rPr>
        <w:t>施工期间会对</w:t>
      </w:r>
      <w:r>
        <w:rPr>
          <w:rFonts w:hint="eastAsia" w:cs="Times New Roman"/>
          <w:color w:val="auto"/>
          <w:highlight w:val="none"/>
          <w:lang w:eastAsia="zh-CN"/>
        </w:rPr>
        <w:t>占地范围内</w:t>
      </w:r>
      <w:r>
        <w:rPr>
          <w:rFonts w:hint="eastAsia" w:ascii="Times New Roman" w:hAnsi="Times New Roman" w:cs="Times New Roman"/>
          <w:color w:val="auto"/>
          <w:highlight w:val="none"/>
          <w:lang w:eastAsia="zh-CN"/>
        </w:rPr>
        <w:t>植被进行清除，但</w:t>
      </w:r>
      <w:r>
        <w:rPr>
          <w:rFonts w:hint="eastAsia" w:cs="Times New Roman"/>
          <w:color w:val="auto"/>
          <w:highlight w:val="none"/>
          <w:lang w:eastAsia="zh-CN"/>
        </w:rPr>
        <w:t>天然林占用</w:t>
      </w:r>
      <w:r>
        <w:rPr>
          <w:rFonts w:hint="eastAsia" w:ascii="Times New Roman" w:hAnsi="Times New Roman" w:cs="Times New Roman"/>
          <w:color w:val="auto"/>
          <w:highlight w:val="none"/>
          <w:lang w:eastAsia="zh-CN"/>
        </w:rPr>
        <w:t>面积极小，且</w:t>
      </w:r>
      <w:r>
        <w:rPr>
          <w:rFonts w:hint="eastAsia" w:cs="Times New Roman"/>
          <w:color w:val="auto"/>
          <w:highlight w:val="none"/>
          <w:lang w:eastAsia="zh-CN"/>
        </w:rPr>
        <w:t>占用区域</w:t>
      </w:r>
      <w:r>
        <w:rPr>
          <w:rFonts w:hint="eastAsia" w:ascii="Times New Roman" w:hAnsi="Times New Roman" w:cs="Times New Roman"/>
          <w:color w:val="auto"/>
          <w:highlight w:val="none"/>
          <w:lang w:eastAsia="zh-CN"/>
        </w:rPr>
        <w:t>主要为</w:t>
      </w:r>
      <w:r>
        <w:rPr>
          <w:rFonts w:hint="eastAsia" w:cs="Times New Roman"/>
          <w:color w:val="auto"/>
          <w:highlight w:val="none"/>
          <w:lang w:eastAsia="zh-CN"/>
        </w:rPr>
        <w:t>青冈林、</w:t>
      </w:r>
      <w:r>
        <w:rPr>
          <w:rFonts w:hint="eastAsia" w:ascii="Times New Roman" w:hAnsi="Times New Roman" w:cs="Times New Roman"/>
          <w:color w:val="auto"/>
          <w:highlight w:val="none"/>
          <w:lang w:eastAsia="zh-CN"/>
        </w:rPr>
        <w:t>慈竹林等常见植被，无重要野生植物分布</w:t>
      </w:r>
      <w:r>
        <w:rPr>
          <w:rFonts w:hint="eastAsia"/>
          <w:color w:val="auto"/>
          <w:highlight w:val="none"/>
          <w:lang w:eastAsia="zh-CN" w:bidi="ar"/>
        </w:rPr>
        <w:t>，通过严格控制施工占地范围，项目施工期不会对区域天然林造成较大破坏。</w:t>
      </w:r>
    </w:p>
    <w:p>
      <w:pPr>
        <w:bidi w:val="0"/>
        <w:rPr>
          <w:color w:val="auto"/>
          <w:highlight w:val="none"/>
        </w:rPr>
      </w:pPr>
      <w:r>
        <w:rPr>
          <w:rFonts w:hint="eastAsia"/>
          <w:color w:val="auto"/>
          <w:highlight w:val="none"/>
        </w:rPr>
        <w:t>（</w:t>
      </w:r>
      <w:r>
        <w:rPr>
          <w:color w:val="auto"/>
          <w:highlight w:val="none"/>
        </w:rPr>
        <w:t>4</w:t>
      </w:r>
      <w:r>
        <w:rPr>
          <w:rFonts w:hint="eastAsia"/>
          <w:color w:val="auto"/>
          <w:highlight w:val="none"/>
        </w:rPr>
        <w:t>）对野生动物的影响</w:t>
      </w:r>
    </w:p>
    <w:p>
      <w:pPr>
        <w:bidi w:val="0"/>
        <w:rPr>
          <w:color w:val="auto"/>
          <w:highlight w:val="none"/>
        </w:rPr>
      </w:pPr>
      <w:r>
        <w:rPr>
          <w:rFonts w:hint="eastAsia"/>
          <w:color w:val="auto"/>
          <w:highlight w:val="none"/>
          <w:lang w:eastAsia="zh-CN"/>
        </w:rPr>
        <w:t>项目</w:t>
      </w:r>
      <w:r>
        <w:rPr>
          <w:color w:val="auto"/>
          <w:highlight w:val="none"/>
        </w:rPr>
        <w:t>施工期对陆生动物的影响主要包括施工占地对动物生境的占用，开挖破土等引起水土流失对动物生境的破坏，施工废水、废气、固体废物等对动物生境的破坏、污染，施工噪声对动物的惊扰、驱赶以及人为干扰的影响。</w:t>
      </w:r>
    </w:p>
    <w:p>
      <w:pPr>
        <w:bidi w:val="0"/>
        <w:rPr>
          <w:color w:val="auto"/>
          <w:highlight w:val="none"/>
        </w:rPr>
      </w:pPr>
      <w:r>
        <w:rPr>
          <w:rFonts w:hint="eastAsia"/>
          <w:color w:val="auto"/>
          <w:highlight w:val="none"/>
          <w:lang w:val="en-US" w:eastAsia="zh-CN"/>
        </w:rPr>
        <w:t>A</w:t>
      </w:r>
      <w:r>
        <w:rPr>
          <w:rFonts w:hint="eastAsia"/>
          <w:color w:val="auto"/>
          <w:highlight w:val="none"/>
          <w:shd w:val="clear" w:fill="FFFFFF"/>
          <w:lang w:val="en-US" w:eastAsia="zh-CN"/>
        </w:rPr>
        <w:t>、</w:t>
      </w:r>
      <w:r>
        <w:rPr>
          <w:color w:val="auto"/>
          <w:highlight w:val="none"/>
        </w:rPr>
        <w:t>对两栖类和爬行类的影响</w:t>
      </w:r>
    </w:p>
    <w:p>
      <w:pPr>
        <w:bidi w:val="0"/>
        <w:rPr>
          <w:color w:val="auto"/>
          <w:highlight w:val="none"/>
        </w:rPr>
      </w:pPr>
      <w:r>
        <w:rPr>
          <w:color w:val="auto"/>
          <w:highlight w:val="none"/>
        </w:rPr>
        <w:t>两栖类对水的依赖性较大，不论是哪一种生态类型的两栖类，其都无法完全脱离水环境而生存；爬行类对水也有一定的依赖性，尤其是水栖型和林栖傍水型的种类。工程施工期对两栖类和爬行类的影响方式主要包括废水、固体废弃物排入水体对其生境的影响，工程占地对其生境的占用和破坏，以及人类活动对其干扰。</w:t>
      </w:r>
    </w:p>
    <w:p>
      <w:pPr>
        <w:bidi w:val="0"/>
        <w:rPr>
          <w:color w:val="auto"/>
          <w:highlight w:val="none"/>
        </w:rPr>
      </w:pPr>
      <w:r>
        <w:rPr>
          <w:rFonts w:hint="eastAsia"/>
          <w:color w:val="auto"/>
          <w:highlight w:val="none"/>
          <w:lang w:val="en-US" w:eastAsia="zh-CN"/>
        </w:rPr>
        <w:t>a-</w:t>
      </w:r>
      <w:r>
        <w:rPr>
          <w:color w:val="auto"/>
          <w:highlight w:val="none"/>
        </w:rPr>
        <w:t>生境污染的影响</w:t>
      </w:r>
    </w:p>
    <w:p>
      <w:pPr>
        <w:bidi w:val="0"/>
        <w:rPr>
          <w:color w:val="auto"/>
          <w:highlight w:val="none"/>
        </w:rPr>
      </w:pPr>
      <w:r>
        <w:rPr>
          <w:color w:val="auto"/>
          <w:highlight w:val="none"/>
        </w:rPr>
        <w:t>评价区内的两栖类，水栖型的爬行动物龟、鳖，林栖傍水型种类如乌梢蛇对水的依赖性较大。废水、固体废弃物对水体的污染会影响两栖类和爬行类的生活环境，从而间接地对两栖类和爬行类产生影响。废水、固体废弃物若不经处理直接排入评价区内涪江等水体中，将劣化水质，污染两栖类和部分爬行类的生境，造成工程影响区内两栖类数量减少或向工程影响区外迁移。但这些污染影响是暂时的，施工结束后，由于水体的自净能力，水质净化后，两栖类和爬行类可以继续回到原栖息生境。</w:t>
      </w:r>
    </w:p>
    <w:p>
      <w:pPr>
        <w:bidi w:val="0"/>
        <w:rPr>
          <w:color w:val="auto"/>
          <w:highlight w:val="none"/>
        </w:rPr>
      </w:pPr>
      <w:r>
        <w:rPr>
          <w:rFonts w:hint="eastAsia"/>
          <w:color w:val="auto"/>
          <w:highlight w:val="none"/>
          <w:lang w:val="en-US" w:eastAsia="zh-CN"/>
        </w:rPr>
        <w:t>b-</w:t>
      </w:r>
      <w:r>
        <w:rPr>
          <w:color w:val="auto"/>
          <w:highlight w:val="none"/>
        </w:rPr>
        <w:t>生境占用的影响</w:t>
      </w:r>
    </w:p>
    <w:p>
      <w:pPr>
        <w:bidi w:val="0"/>
        <w:rPr>
          <w:color w:val="auto"/>
          <w:highlight w:val="none"/>
        </w:rPr>
      </w:pPr>
      <w:r>
        <w:rPr>
          <w:rFonts w:hint="eastAsia"/>
          <w:color w:val="auto"/>
          <w:highlight w:val="none"/>
          <w:lang w:eastAsia="zh-CN"/>
        </w:rPr>
        <w:t>项目船闸、锚地等占地多临近涪江水域，适宜两栖类、爬行类动物生存，</w:t>
      </w:r>
      <w:r>
        <w:rPr>
          <w:color w:val="auto"/>
          <w:highlight w:val="none"/>
        </w:rPr>
        <w:t>施工期间工程永久及临时占地将占用部分两栖类和爬行类的生境，其中占用灌丛及灌草丛、滩涂、洲滩等将占用陆栖型两栖类、灌丛石隙型爬行类的生境；占用水域及水田将占用静水型两栖类和水栖型爬行类的生境；占用旱地、阔叶林将占用林栖傍水型爬行类的生境。本工程永久占地面积较小，</w:t>
      </w:r>
      <w:r>
        <w:rPr>
          <w:rFonts w:hint="eastAsia"/>
          <w:color w:val="auto"/>
          <w:highlight w:val="none"/>
          <w:lang w:eastAsia="zh-CN"/>
        </w:rPr>
        <w:t>多集中在现有枢纽管理区内，人为活动干扰较大，</w:t>
      </w:r>
      <w:r>
        <w:rPr>
          <w:color w:val="auto"/>
          <w:highlight w:val="none"/>
        </w:rPr>
        <w:t>不涉及重要动物栖息生境，评价区内相似栖息生境较多，</w:t>
      </w:r>
      <w:r>
        <w:rPr>
          <w:rFonts w:hint="eastAsia"/>
          <w:color w:val="auto"/>
          <w:highlight w:val="none"/>
          <w:lang w:eastAsia="zh-CN"/>
        </w:rPr>
        <w:t>施工前通过对动物进行驱赶后，</w:t>
      </w:r>
      <w:r>
        <w:rPr>
          <w:color w:val="auto"/>
          <w:highlight w:val="none"/>
        </w:rPr>
        <w:t>永久占地影响不大</w:t>
      </w:r>
      <w:r>
        <w:rPr>
          <w:rFonts w:hint="eastAsia"/>
          <w:color w:val="auto"/>
          <w:highlight w:val="none"/>
          <w:lang w:eastAsia="zh-CN"/>
        </w:rPr>
        <w:t>，且施工完成后绿化措施的开展，会对损失的生境造成一定的弥补作用</w:t>
      </w:r>
      <w:r>
        <w:rPr>
          <w:color w:val="auto"/>
          <w:highlight w:val="none"/>
        </w:rPr>
        <w:t>。临时占地影响随着工程的结束，临时占地处的植被恢复措施的落实，</w:t>
      </w:r>
      <w:r>
        <w:rPr>
          <w:rFonts w:hint="eastAsia"/>
          <w:color w:val="auto"/>
          <w:highlight w:val="none"/>
          <w:lang w:eastAsia="zh-CN"/>
        </w:rPr>
        <w:t>占用的生境得到恢复，</w:t>
      </w:r>
      <w:r>
        <w:rPr>
          <w:color w:val="auto"/>
          <w:highlight w:val="none"/>
        </w:rPr>
        <w:t>受影响而迁移的两栖类和爬行类可以逐渐回到原生境生活。</w:t>
      </w:r>
    </w:p>
    <w:p>
      <w:pPr>
        <w:bidi w:val="0"/>
        <w:rPr>
          <w:color w:val="auto"/>
          <w:highlight w:val="none"/>
        </w:rPr>
      </w:pPr>
      <w:r>
        <w:rPr>
          <w:rFonts w:hint="eastAsia"/>
          <w:color w:val="auto"/>
          <w:highlight w:val="none"/>
          <w:lang w:val="en-US" w:eastAsia="zh-CN"/>
        </w:rPr>
        <w:t>c-</w:t>
      </w:r>
      <w:r>
        <w:rPr>
          <w:color w:val="auto"/>
          <w:highlight w:val="none"/>
        </w:rPr>
        <w:t>人为活动的影响</w:t>
      </w:r>
    </w:p>
    <w:p>
      <w:pPr>
        <w:bidi w:val="0"/>
        <w:rPr>
          <w:color w:val="auto"/>
          <w:highlight w:val="none"/>
        </w:rPr>
      </w:pPr>
      <w:r>
        <w:rPr>
          <w:color w:val="auto"/>
          <w:highlight w:val="none"/>
        </w:rPr>
        <w:t>施工期间施工人数较多，若不加以合理的管理，这些种类可能会遭到施工人员捕杀而直接导致个体死亡，通过宣传和合理的管理措施加以控制</w:t>
      </w:r>
      <w:r>
        <w:rPr>
          <w:rFonts w:hint="eastAsia"/>
          <w:color w:val="auto"/>
          <w:highlight w:val="none"/>
          <w:lang w:eastAsia="zh-CN"/>
        </w:rPr>
        <w:t>，人为活动对动物的影响较小</w:t>
      </w:r>
      <w:r>
        <w:rPr>
          <w:color w:val="auto"/>
          <w:highlight w:val="none"/>
        </w:rPr>
        <w:t>。</w:t>
      </w:r>
    </w:p>
    <w:p>
      <w:pPr>
        <w:bidi w:val="0"/>
        <w:rPr>
          <w:color w:val="auto"/>
          <w:highlight w:val="none"/>
        </w:rPr>
      </w:pPr>
      <w:r>
        <w:rPr>
          <w:rFonts w:hint="eastAsia"/>
          <w:color w:val="auto"/>
          <w:highlight w:val="none"/>
          <w:lang w:val="en-US" w:eastAsia="zh-CN"/>
        </w:rPr>
        <w:t>B</w:t>
      </w:r>
      <w:r>
        <w:rPr>
          <w:rFonts w:hint="eastAsia"/>
          <w:color w:val="auto"/>
          <w:highlight w:val="none"/>
          <w:shd w:val="clear" w:fill="FFFFFF"/>
          <w:lang w:val="en-US" w:eastAsia="zh-CN"/>
        </w:rPr>
        <w:t>、</w:t>
      </w:r>
      <w:r>
        <w:rPr>
          <w:color w:val="auto"/>
          <w:highlight w:val="none"/>
        </w:rPr>
        <w:t>对鸟类的影响</w:t>
      </w:r>
    </w:p>
    <w:p>
      <w:pPr>
        <w:bidi w:val="0"/>
        <w:rPr>
          <w:color w:val="auto"/>
          <w:highlight w:val="none"/>
        </w:rPr>
      </w:pPr>
      <w:r>
        <w:rPr>
          <w:color w:val="auto"/>
          <w:highlight w:val="none"/>
        </w:rPr>
        <w:t>工程施工期对鸟类的影响主要体现在：</w:t>
      </w:r>
      <w:r>
        <w:rPr>
          <w:rFonts w:hint="eastAsia"/>
          <w:color w:val="auto"/>
          <w:highlight w:val="none"/>
          <w:lang w:val="en-US" w:eastAsia="zh-CN"/>
        </w:rPr>
        <w:t>1、</w:t>
      </w:r>
      <w:r>
        <w:rPr>
          <w:color w:val="auto"/>
          <w:highlight w:val="none"/>
        </w:rPr>
        <w:t>施工产生的废水、固体废弃对水体的污染，影响游禽、涉禽和傍水型鸟类的生境；</w:t>
      </w:r>
      <w:r>
        <w:rPr>
          <w:rFonts w:hint="eastAsia"/>
          <w:color w:val="auto"/>
          <w:highlight w:val="none"/>
          <w:lang w:val="en-US" w:eastAsia="zh-CN"/>
        </w:rPr>
        <w:t>2、</w:t>
      </w:r>
      <w:r>
        <w:rPr>
          <w:color w:val="auto"/>
          <w:highlight w:val="none"/>
        </w:rPr>
        <w:t>施工噪声对鸟类的惊扰以及施工产生的扬尘对鸟类生境的影响；</w:t>
      </w:r>
      <w:r>
        <w:rPr>
          <w:rFonts w:hint="eastAsia"/>
          <w:color w:val="auto"/>
          <w:highlight w:val="none"/>
          <w:lang w:val="en-US" w:eastAsia="zh-CN"/>
        </w:rPr>
        <w:t>3、</w:t>
      </w:r>
      <w:r>
        <w:rPr>
          <w:color w:val="auto"/>
          <w:highlight w:val="none"/>
        </w:rPr>
        <w:t>人类活动对鸟类的惊扰；</w:t>
      </w:r>
      <w:r>
        <w:rPr>
          <w:rFonts w:hint="eastAsia"/>
          <w:color w:val="auto"/>
          <w:highlight w:val="none"/>
          <w:lang w:val="en-US" w:eastAsia="zh-CN"/>
        </w:rPr>
        <w:t>4、</w:t>
      </w:r>
      <w:r>
        <w:rPr>
          <w:color w:val="auto"/>
          <w:highlight w:val="none"/>
        </w:rPr>
        <w:t>永久和临时占地占用鸟类生境等。</w:t>
      </w:r>
    </w:p>
    <w:p>
      <w:pPr>
        <w:bidi w:val="0"/>
        <w:rPr>
          <w:color w:val="auto"/>
          <w:highlight w:val="none"/>
        </w:rPr>
      </w:pPr>
      <w:r>
        <w:rPr>
          <w:rFonts w:hint="eastAsia"/>
          <w:color w:val="auto"/>
          <w:highlight w:val="none"/>
          <w:lang w:val="en-US" w:eastAsia="zh-CN"/>
        </w:rPr>
        <w:t>a-</w:t>
      </w:r>
      <w:r>
        <w:rPr>
          <w:color w:val="auto"/>
          <w:highlight w:val="none"/>
        </w:rPr>
        <w:t>生境污染的影响</w:t>
      </w:r>
    </w:p>
    <w:p>
      <w:pPr>
        <w:bidi w:val="0"/>
        <w:rPr>
          <w:color w:val="auto"/>
          <w:highlight w:val="none"/>
        </w:rPr>
      </w:pPr>
      <w:r>
        <w:rPr>
          <w:color w:val="auto"/>
          <w:highlight w:val="none"/>
        </w:rPr>
        <w:t>湿地鸟类即游禽(如雁形目鸭科种类)和涉禽(鸻鹬类)依赖水域而生存，林栖傍水型鸟类(如普通翠鸟)对水也有一定依赖性。前述各种废水和固体废弃物若不经处理排入水中，将劣化水质，污染这些鸟类的栖息生境，或导致饵料食物减少，导致其无法在原生境中生存从而迁移他处。</w:t>
      </w:r>
    </w:p>
    <w:p>
      <w:pPr>
        <w:bidi w:val="0"/>
        <w:rPr>
          <w:color w:val="auto"/>
          <w:highlight w:val="none"/>
        </w:rPr>
      </w:pPr>
      <w:r>
        <w:rPr>
          <w:color w:val="auto"/>
          <w:highlight w:val="none"/>
        </w:rPr>
        <w:t>土石方开挖、砂石料加工系统和混凝土拌系统产生的粉尘、运输车辆在运输过程中产生的扬尘、汽车尾气等将对工程影响</w:t>
      </w:r>
      <w:r>
        <w:rPr>
          <w:rFonts w:hint="eastAsia"/>
          <w:color w:val="auto"/>
          <w:highlight w:val="none"/>
          <w:shd w:val="clear" w:fill="FFFFFF"/>
          <w:lang w:eastAsia="zh-CN"/>
        </w:rPr>
        <w:t>区域</w:t>
      </w:r>
      <w:r>
        <w:rPr>
          <w:color w:val="auto"/>
          <w:highlight w:val="none"/>
        </w:rPr>
        <w:t>大气环境造成一定的污染，对鸟类的栖息生境存在不利影响，但上述影响主要发生在施工期且影响范围有限，鸟类会主动避开这些有扬尘污染的施工区域，并就近寻找</w:t>
      </w:r>
      <w:r>
        <w:rPr>
          <w:rFonts w:hint="eastAsia"/>
          <w:color w:val="auto"/>
          <w:highlight w:val="none"/>
          <w:shd w:val="clear" w:fill="FFFFFF"/>
          <w:lang w:eastAsia="zh-CN"/>
        </w:rPr>
        <w:t>到其他</w:t>
      </w:r>
      <w:r>
        <w:rPr>
          <w:color w:val="auto"/>
          <w:highlight w:val="none"/>
        </w:rPr>
        <w:t>不受影响的适于栖息和生活的地方。</w:t>
      </w:r>
    </w:p>
    <w:p>
      <w:pPr>
        <w:bidi w:val="0"/>
        <w:rPr>
          <w:color w:val="auto"/>
          <w:highlight w:val="none"/>
        </w:rPr>
      </w:pPr>
      <w:r>
        <w:rPr>
          <w:rFonts w:hint="eastAsia"/>
          <w:color w:val="auto"/>
          <w:highlight w:val="none"/>
          <w:lang w:val="en-US" w:eastAsia="zh-CN"/>
        </w:rPr>
        <w:t>b-</w:t>
      </w:r>
      <w:r>
        <w:rPr>
          <w:color w:val="auto"/>
          <w:highlight w:val="none"/>
        </w:rPr>
        <w:t>施工噪声的影响</w:t>
      </w:r>
    </w:p>
    <w:p>
      <w:pPr>
        <w:bidi w:val="0"/>
        <w:rPr>
          <w:color w:val="auto"/>
          <w:highlight w:val="none"/>
        </w:rPr>
      </w:pPr>
      <w:r>
        <w:rPr>
          <w:color w:val="auto"/>
          <w:highlight w:val="none"/>
        </w:rPr>
        <w:t>鸟类的听觉灵敏，对噪声反应较敏感。施工期间挖掘机、推土机等产生的机械噪声；装卸汽车、载重汽车在运输和装卸过程中产生的噪声；</w:t>
      </w:r>
      <w:r>
        <w:rPr>
          <w:rFonts w:hint="eastAsia"/>
          <w:color w:val="auto"/>
          <w:highlight w:val="none"/>
          <w:lang w:eastAsia="zh-CN"/>
        </w:rPr>
        <w:t>土</w:t>
      </w:r>
      <w:r>
        <w:rPr>
          <w:color w:val="auto"/>
          <w:highlight w:val="none"/>
        </w:rPr>
        <w:t>石方开挖噪声将对鸟类产生一定影响。其中施工机械和运输车辆产生的噪声持续时间较长，将使得声源附近栖息的鸟类迁移到影响范围以外生活；爆破噪声持续时间短，但有突然性，且声源强，声级大，除对鸟类有驱赶作用以外，可能会对处于繁殖期及迁徙期间的鸟类产生过度惊吓而影响其正常的生理状态，如影响其繁殖率等。由于鸟类的迁移能力强，评价区内鸟类适宜生境较多，且噪声影响</w:t>
      </w:r>
      <w:r>
        <w:rPr>
          <w:rFonts w:hint="eastAsia"/>
          <w:color w:val="auto"/>
          <w:highlight w:val="none"/>
          <w:shd w:val="clear" w:fill="FFFFFF"/>
          <w:lang w:eastAsia="zh-CN"/>
        </w:rPr>
        <w:t>主要</w:t>
      </w:r>
      <w:r>
        <w:rPr>
          <w:color w:val="auto"/>
          <w:highlight w:val="none"/>
        </w:rPr>
        <w:t>集中在施工期，因此，在做好科学合理的施工进度安排的前提下，采取适当的保护措施，可减缓噪声对鸟类的影响。</w:t>
      </w:r>
    </w:p>
    <w:p>
      <w:pPr>
        <w:bidi w:val="0"/>
        <w:rPr>
          <w:color w:val="auto"/>
          <w:highlight w:val="none"/>
        </w:rPr>
      </w:pPr>
      <w:r>
        <w:rPr>
          <w:rFonts w:hint="eastAsia"/>
          <w:color w:val="auto"/>
          <w:highlight w:val="none"/>
          <w:lang w:val="en-US" w:eastAsia="zh-CN"/>
        </w:rPr>
        <w:t>c-</w:t>
      </w:r>
      <w:r>
        <w:rPr>
          <w:color w:val="auto"/>
          <w:highlight w:val="none"/>
        </w:rPr>
        <w:t>生境占用的影响</w:t>
      </w:r>
    </w:p>
    <w:p>
      <w:pPr>
        <w:bidi w:val="0"/>
        <w:rPr>
          <w:color w:val="auto"/>
          <w:highlight w:val="none"/>
        </w:rPr>
      </w:pPr>
      <w:r>
        <w:rPr>
          <w:color w:val="auto"/>
          <w:highlight w:val="none"/>
        </w:rPr>
        <w:t>本工程永久占地和临时占地以</w:t>
      </w:r>
      <w:r>
        <w:rPr>
          <w:rFonts w:hint="eastAsia"/>
          <w:color w:val="auto"/>
          <w:highlight w:val="none"/>
          <w:lang w:eastAsia="zh-CN"/>
        </w:rPr>
        <w:t>水域、耕地、林地</w:t>
      </w:r>
      <w:r>
        <w:rPr>
          <w:color w:val="auto"/>
          <w:highlight w:val="none"/>
        </w:rPr>
        <w:t>为主，</w:t>
      </w:r>
      <w:r>
        <w:rPr>
          <w:rFonts w:hint="eastAsia"/>
          <w:color w:val="auto"/>
          <w:highlight w:val="none"/>
          <w:lang w:eastAsia="zh-CN"/>
        </w:rPr>
        <w:t>同时占用少量灌草丛</w:t>
      </w:r>
      <w:r>
        <w:rPr>
          <w:color w:val="auto"/>
          <w:highlight w:val="none"/>
        </w:rPr>
        <w:t>。施工期间工程永久及临时占地将占用部分鸟类生境，其中占用灌丛及灌草丛将占用部分鸣禽的生境；占用滩涂及耕地将占用涉禽和部分傍水型鸟类；占用水域将占用游禽的生境；占用阔叶林将占用部分鸣禽、攀禽和陆禽的生境。根据</w:t>
      </w:r>
      <w:r>
        <w:rPr>
          <w:rFonts w:hint="eastAsia"/>
          <w:color w:val="auto"/>
          <w:highlight w:val="none"/>
          <w:lang w:eastAsia="zh-CN"/>
        </w:rPr>
        <w:t>工程占地统计</w:t>
      </w:r>
      <w:r>
        <w:rPr>
          <w:color w:val="auto"/>
          <w:highlight w:val="none"/>
        </w:rPr>
        <w:t>，永久占地</w:t>
      </w:r>
      <w:r>
        <w:rPr>
          <w:rFonts w:hint="eastAsia"/>
          <w:color w:val="auto"/>
          <w:highlight w:val="none"/>
          <w:lang w:eastAsia="zh-CN"/>
        </w:rPr>
        <w:t>主要占用现状枢纽管理区</w:t>
      </w:r>
      <w:r>
        <w:rPr>
          <w:color w:val="auto"/>
          <w:highlight w:val="none"/>
        </w:rPr>
        <w:t>，</w:t>
      </w:r>
      <w:r>
        <w:rPr>
          <w:rFonts w:hint="eastAsia"/>
          <w:color w:val="auto"/>
          <w:highlight w:val="none"/>
          <w:lang w:eastAsia="zh-CN"/>
        </w:rPr>
        <w:t>此外占用少量耕地和林地，</w:t>
      </w:r>
      <w:r>
        <w:rPr>
          <w:color w:val="auto"/>
          <w:highlight w:val="none"/>
        </w:rPr>
        <w:t>将占用鸣禽、攀禽、陆禽的生境，迫使其向占地区域以外迁移；对于临时占地处，随着工程的结束，临时占地处的植被恢复，受占地影响而迁移的这些鸟类可以重新回到原生境生活。</w:t>
      </w:r>
    </w:p>
    <w:p>
      <w:pPr>
        <w:bidi w:val="0"/>
        <w:rPr>
          <w:color w:val="auto"/>
          <w:highlight w:val="none"/>
        </w:rPr>
      </w:pPr>
      <w:r>
        <w:rPr>
          <w:rFonts w:hint="eastAsia"/>
          <w:color w:val="auto"/>
          <w:highlight w:val="none"/>
          <w:lang w:val="en-US" w:eastAsia="zh-CN"/>
        </w:rPr>
        <w:t>d-</w:t>
      </w:r>
      <w:r>
        <w:rPr>
          <w:color w:val="auto"/>
          <w:highlight w:val="none"/>
        </w:rPr>
        <w:t>人为活动的影响</w:t>
      </w:r>
    </w:p>
    <w:p>
      <w:pPr>
        <w:bidi w:val="0"/>
        <w:rPr>
          <w:color w:val="auto"/>
          <w:highlight w:val="none"/>
        </w:rPr>
      </w:pPr>
      <w:r>
        <w:rPr>
          <w:color w:val="auto"/>
          <w:highlight w:val="none"/>
        </w:rPr>
        <w:t>鸟类的视觉极敏锐，施工</w:t>
      </w:r>
      <w:r>
        <w:rPr>
          <w:color w:val="auto"/>
          <w:highlight w:val="none"/>
          <w:shd w:val="clear" w:fill="FFFFFF"/>
        </w:rPr>
        <w:t>期</w:t>
      </w:r>
      <w:r>
        <w:rPr>
          <w:color w:val="auto"/>
          <w:highlight w:val="none"/>
        </w:rPr>
        <w:t>由于</w:t>
      </w:r>
      <w:r>
        <w:rPr>
          <w:rFonts w:hint="eastAsia"/>
          <w:color w:val="auto"/>
          <w:highlight w:val="none"/>
          <w:lang w:eastAsia="zh-CN"/>
        </w:rPr>
        <w:t>施工区域</w:t>
      </w:r>
      <w:r>
        <w:rPr>
          <w:color w:val="auto"/>
          <w:highlight w:val="none"/>
        </w:rPr>
        <w:t>进驻的施工人员人数较多，施工人员的活动将对鸟类造成一定驱赶作用，但与噪声的影响类似，这类影响是暂时的，且评价区内鸟类适宜生境较多，影响不大。另外，通过加强施工人员管理和宣传教育等措施</w:t>
      </w:r>
      <w:r>
        <w:rPr>
          <w:rFonts w:hint="eastAsia"/>
          <w:color w:val="auto"/>
          <w:highlight w:val="none"/>
          <w:lang w:eastAsia="zh-CN"/>
        </w:rPr>
        <w:t>，</w:t>
      </w:r>
      <w:r>
        <w:rPr>
          <w:rFonts w:hint="eastAsia"/>
          <w:color w:val="auto"/>
          <w:highlight w:val="none"/>
          <w:shd w:val="clear" w:fill="FFFFFF"/>
          <w:lang w:eastAsia="zh-CN"/>
        </w:rPr>
        <w:t>可</w:t>
      </w:r>
      <w:r>
        <w:rPr>
          <w:rFonts w:hint="eastAsia"/>
          <w:color w:val="auto"/>
          <w:highlight w:val="none"/>
          <w:lang w:eastAsia="zh-CN"/>
        </w:rPr>
        <w:t>避免施工人员产生捕杀鸟类等行为</w:t>
      </w:r>
      <w:r>
        <w:rPr>
          <w:color w:val="auto"/>
          <w:highlight w:val="none"/>
        </w:rPr>
        <w:t>。</w:t>
      </w:r>
    </w:p>
    <w:p>
      <w:pPr>
        <w:bidi w:val="0"/>
        <w:rPr>
          <w:color w:val="auto"/>
          <w:highlight w:val="none"/>
        </w:rPr>
      </w:pPr>
      <w:r>
        <w:rPr>
          <w:rFonts w:hint="eastAsia"/>
          <w:color w:val="auto"/>
          <w:highlight w:val="none"/>
          <w:lang w:val="en-US" w:eastAsia="zh-CN"/>
        </w:rPr>
        <w:t>C</w:t>
      </w:r>
      <w:r>
        <w:rPr>
          <w:rFonts w:hint="eastAsia"/>
          <w:color w:val="auto"/>
          <w:highlight w:val="none"/>
          <w:shd w:val="clear" w:fill="FFFFFF"/>
          <w:lang w:val="en-US" w:eastAsia="zh-CN"/>
        </w:rPr>
        <w:t>、</w:t>
      </w:r>
      <w:r>
        <w:rPr>
          <w:color w:val="auto"/>
          <w:highlight w:val="none"/>
        </w:rPr>
        <w:t>对兽类的影响</w:t>
      </w:r>
    </w:p>
    <w:p>
      <w:pPr>
        <w:bidi w:val="0"/>
        <w:rPr>
          <w:color w:val="auto"/>
          <w:highlight w:val="none"/>
        </w:rPr>
      </w:pPr>
      <w:r>
        <w:rPr>
          <w:color w:val="auto"/>
          <w:highlight w:val="none"/>
        </w:rPr>
        <w:t>施工期工程对兽类的影响主要包括噪声驱赶、固体废弃物对兽类生境的污染及对数量和种类组成的影响、人类活动对兽类的影响、临时和永久占地对兽类生境的占用和破坏等。</w:t>
      </w:r>
    </w:p>
    <w:p>
      <w:pPr>
        <w:bidi w:val="0"/>
        <w:rPr>
          <w:color w:val="auto"/>
          <w:highlight w:val="none"/>
        </w:rPr>
      </w:pPr>
      <w:r>
        <w:rPr>
          <w:rFonts w:hint="eastAsia"/>
          <w:color w:val="auto"/>
          <w:highlight w:val="none"/>
          <w:lang w:val="en-US" w:eastAsia="zh-CN"/>
        </w:rPr>
        <w:t>a-</w:t>
      </w:r>
      <w:r>
        <w:rPr>
          <w:color w:val="auto"/>
          <w:highlight w:val="none"/>
        </w:rPr>
        <w:t>施工噪声的影响</w:t>
      </w:r>
    </w:p>
    <w:p>
      <w:pPr>
        <w:bidi w:val="0"/>
        <w:rPr>
          <w:color w:val="auto"/>
          <w:highlight w:val="none"/>
        </w:rPr>
      </w:pPr>
      <w:r>
        <w:rPr>
          <w:color w:val="auto"/>
          <w:highlight w:val="none"/>
        </w:rPr>
        <w:t>兽类听觉敏锐，对噪声较为敏感，但由于除鼠类外，大多数种类栖息地远离人类。噪声对其影响主要为限制其日间活动范围，使部分种类觅食时不敢靠近施工区域，且评价区内兽类多数为夜行性种类，其影响较鸟类小。工程避免夜间施工，施工结束后，这些影响将消失。</w:t>
      </w:r>
    </w:p>
    <w:p>
      <w:pPr>
        <w:bidi w:val="0"/>
        <w:rPr>
          <w:color w:val="auto"/>
          <w:highlight w:val="none"/>
        </w:rPr>
      </w:pPr>
      <w:r>
        <w:rPr>
          <w:rFonts w:hint="eastAsia"/>
          <w:color w:val="auto"/>
          <w:highlight w:val="none"/>
          <w:lang w:val="en-US" w:eastAsia="zh-CN"/>
        </w:rPr>
        <w:t>b-</w:t>
      </w:r>
      <w:r>
        <w:rPr>
          <w:color w:val="auto"/>
          <w:highlight w:val="none"/>
        </w:rPr>
        <w:t>生境污染的影响</w:t>
      </w:r>
    </w:p>
    <w:p>
      <w:pPr>
        <w:bidi w:val="0"/>
        <w:rPr>
          <w:color w:val="auto"/>
          <w:highlight w:val="none"/>
        </w:rPr>
      </w:pPr>
      <w:r>
        <w:rPr>
          <w:color w:val="auto"/>
          <w:highlight w:val="none"/>
        </w:rPr>
        <w:t>生产废水和生活污水等若直接排放则直接破坏动物栖息生境和饮用水源。而固体废弃物对兽类的影响主要分为生境污染和改变局部区域的兽类分布格局两个方面。一方面，固体废弃物如随意堆放会污染部分兽类(主要是在灌丛中生存的鼠科、鼬科)的生境，使其迁移。另一方面，固体废弃物中包括施工人员的生活垃圾，其中包括部分食物残渣等，若不经处理随意堆放或丢弃，易吸引鼠类的到来，致使局部区域鼠类集中、数量增多，从而最终影响这些区域兽类的数量和种类组成同时，某个区域内鼠类密度的增加会增加传染性疾病的发生和传播</w:t>
      </w:r>
      <w:r>
        <w:rPr>
          <w:color w:val="auto"/>
          <w:highlight w:val="none"/>
          <w:shd w:val="clear" w:fill="FFFFFF"/>
        </w:rPr>
        <w:t>几率</w:t>
      </w:r>
      <w:r>
        <w:rPr>
          <w:color w:val="auto"/>
          <w:highlight w:val="none"/>
        </w:rPr>
        <w:t>，对区域内的人群健康存在威胁，但这些影响是暂时的，施工结束后，这些影响将消失。</w:t>
      </w:r>
    </w:p>
    <w:p>
      <w:pPr>
        <w:bidi w:val="0"/>
        <w:rPr>
          <w:color w:val="auto"/>
          <w:highlight w:val="none"/>
        </w:rPr>
      </w:pPr>
      <w:r>
        <w:rPr>
          <w:rFonts w:hint="eastAsia"/>
          <w:color w:val="auto"/>
          <w:highlight w:val="none"/>
          <w:lang w:val="en-US" w:eastAsia="zh-CN"/>
        </w:rPr>
        <w:t>c-</w:t>
      </w:r>
      <w:r>
        <w:rPr>
          <w:color w:val="auto"/>
          <w:highlight w:val="none"/>
        </w:rPr>
        <w:t>人为活动的影响</w:t>
      </w:r>
    </w:p>
    <w:p>
      <w:pPr>
        <w:bidi w:val="0"/>
        <w:rPr>
          <w:color w:val="auto"/>
          <w:highlight w:val="none"/>
        </w:rPr>
      </w:pPr>
      <w:r>
        <w:rPr>
          <w:color w:val="auto"/>
          <w:highlight w:val="none"/>
        </w:rPr>
        <w:t>多数兽类的听觉、视觉或嗅觉较为敏锐，对人类的活动较为敏感，施工期施工人员大量进驻将对区域内兽类的数量和种类组成造成一定影响，对傍人生活的兽类，如鼠科、蝙蝠科和部分鼬科兽类等，提供了食物来源和庇护所，使这些兽类数量增多。这些因素综合起来将改变施工区域及其周边兽类数量和分布格局。另外，评价区中分布部分兽类食用价值或经济价值较高，若不进行有效管理可能遭到施工人员的捕杀，但这类主观因素</w:t>
      </w:r>
      <w:r>
        <w:rPr>
          <w:color w:val="auto"/>
          <w:highlight w:val="none"/>
          <w:shd w:val="clear" w:fill="FFFFFF"/>
        </w:rPr>
        <w:t>可</w:t>
      </w:r>
      <w:r>
        <w:rPr>
          <w:color w:val="auto"/>
          <w:highlight w:val="none"/>
        </w:rPr>
        <w:t>通过加强环保教育和施工监管而得到有效控制。</w:t>
      </w:r>
    </w:p>
    <w:p>
      <w:pPr>
        <w:bidi w:val="0"/>
        <w:rPr>
          <w:color w:val="auto"/>
          <w:highlight w:val="none"/>
        </w:rPr>
      </w:pPr>
      <w:r>
        <w:rPr>
          <w:rFonts w:hint="eastAsia"/>
          <w:color w:val="auto"/>
          <w:highlight w:val="none"/>
          <w:lang w:val="en-US" w:eastAsia="zh-CN"/>
        </w:rPr>
        <w:t>d-</w:t>
      </w:r>
      <w:r>
        <w:rPr>
          <w:color w:val="auto"/>
          <w:highlight w:val="none"/>
        </w:rPr>
        <w:t>施工占地的影响</w:t>
      </w:r>
    </w:p>
    <w:p>
      <w:pPr>
        <w:bidi w:val="0"/>
        <w:rPr>
          <w:color w:val="auto"/>
          <w:highlight w:val="none"/>
        </w:rPr>
      </w:pPr>
      <w:r>
        <w:rPr>
          <w:color w:val="auto"/>
          <w:highlight w:val="none"/>
        </w:rPr>
        <w:t>施工期间工程永久及临时占地将占用部分兽类的生境，其中占用灌丛及灌草丛和耕地将占用半地下生活型兽类的生境。</w:t>
      </w:r>
      <w:r>
        <w:rPr>
          <w:rFonts w:hint="eastAsia"/>
          <w:color w:val="auto"/>
          <w:highlight w:val="none"/>
          <w:lang w:eastAsia="zh-CN"/>
        </w:rPr>
        <w:t>项目</w:t>
      </w:r>
      <w:r>
        <w:rPr>
          <w:color w:val="auto"/>
          <w:highlight w:val="none"/>
        </w:rPr>
        <w:t>永久占地</w:t>
      </w:r>
      <w:r>
        <w:rPr>
          <w:rFonts w:hint="eastAsia"/>
          <w:color w:val="auto"/>
          <w:highlight w:val="none"/>
          <w:lang w:eastAsia="zh-CN"/>
        </w:rPr>
        <w:t>主要占用现状枢纽管理区</w:t>
      </w:r>
      <w:r>
        <w:rPr>
          <w:color w:val="auto"/>
          <w:highlight w:val="none"/>
        </w:rPr>
        <w:t>，</w:t>
      </w:r>
      <w:r>
        <w:rPr>
          <w:rFonts w:hint="eastAsia"/>
          <w:color w:val="auto"/>
          <w:highlight w:val="none"/>
          <w:lang w:eastAsia="zh-CN"/>
        </w:rPr>
        <w:t>此外占用少量耕地和林地</w:t>
      </w:r>
      <w:r>
        <w:rPr>
          <w:color w:val="auto"/>
          <w:highlight w:val="none"/>
        </w:rPr>
        <w:t>，将占用半地下生活型兽类的部分生境，迫使其向占地区域以外迁移，由于永久占地处人为干扰较大，原本分布的这些兽类数量较少且周边存在大量相似生境，因此这种影响不大；对于临时占地处，随着工程的结束，临时占地处的植被恢复，受占地影响而迁移的这些兽类可以重新回到原生境生活。</w:t>
      </w:r>
    </w:p>
    <w:p>
      <w:pPr>
        <w:bidi w:val="0"/>
        <w:rPr>
          <w:rFonts w:hint="eastAsia" w:eastAsia="宋体"/>
          <w:color w:val="auto"/>
          <w:highlight w:val="none"/>
          <w:lang w:val="en-US" w:eastAsia="zh-CN"/>
        </w:rPr>
      </w:pPr>
      <w:r>
        <w:rPr>
          <w:rFonts w:hint="eastAsia"/>
          <w:color w:val="auto"/>
          <w:highlight w:val="none"/>
          <w:lang w:val="en-US" w:eastAsia="zh-CN"/>
        </w:rPr>
        <w:t>D</w:t>
      </w:r>
      <w:r>
        <w:rPr>
          <w:rFonts w:hint="eastAsia"/>
          <w:color w:val="auto"/>
          <w:highlight w:val="none"/>
          <w:shd w:val="clear" w:fill="FFFFFF"/>
          <w:lang w:val="en-US" w:eastAsia="zh-CN"/>
        </w:rPr>
        <w:t>、</w:t>
      </w:r>
      <w:r>
        <w:rPr>
          <w:rFonts w:hint="eastAsia"/>
          <w:color w:val="auto"/>
          <w:highlight w:val="none"/>
          <w:lang w:val="en-US" w:eastAsia="zh-CN"/>
        </w:rPr>
        <w:t>对重点保护野生动物的影响</w:t>
      </w:r>
    </w:p>
    <w:p>
      <w:pPr>
        <w:bidi w:val="0"/>
        <w:rPr>
          <w:rFonts w:hint="eastAsia"/>
          <w:color w:val="auto"/>
          <w:highlight w:val="none"/>
        </w:rPr>
      </w:pPr>
      <w:r>
        <w:rPr>
          <w:rFonts w:hint="eastAsia"/>
          <w:color w:val="auto"/>
          <w:highlight w:val="none"/>
        </w:rPr>
        <w:t>评价区范围内陆生脊椎动物中，未发现国家Ⅰ级重点保护野生动物，国家Ⅱ级重点保护野生动物</w:t>
      </w:r>
      <w:r>
        <w:rPr>
          <w:rFonts w:hint="eastAsia"/>
          <w:color w:val="auto"/>
          <w:highlight w:val="none"/>
          <w:lang w:val="en-US" w:eastAsia="zh-CN"/>
        </w:rPr>
        <w:t>2</w:t>
      </w:r>
      <w:r>
        <w:rPr>
          <w:rFonts w:hint="eastAsia"/>
          <w:color w:val="auto"/>
          <w:highlight w:val="none"/>
        </w:rPr>
        <w:t>种，均为猛禽。</w:t>
      </w:r>
      <w:r>
        <w:rPr>
          <w:rFonts w:hint="eastAsia"/>
          <w:color w:val="auto"/>
          <w:highlight w:val="none"/>
          <w:lang w:eastAsia="zh-CN"/>
        </w:rPr>
        <w:t>工程建设会占用</w:t>
      </w:r>
      <w:r>
        <w:rPr>
          <w:rFonts w:hint="eastAsia"/>
          <w:color w:val="auto"/>
          <w:highlight w:val="none"/>
        </w:rPr>
        <w:t>部分</w:t>
      </w:r>
      <w:r>
        <w:rPr>
          <w:rFonts w:hint="eastAsia"/>
          <w:color w:val="auto"/>
          <w:highlight w:val="none"/>
          <w:lang w:eastAsia="zh-CN"/>
        </w:rPr>
        <w:t>林地、</w:t>
      </w:r>
      <w:r>
        <w:rPr>
          <w:rFonts w:hint="eastAsia"/>
          <w:color w:val="auto"/>
          <w:highlight w:val="none"/>
        </w:rPr>
        <w:t>耕地和河滩地，导致区域内动物活动范围缩小，但区域内相似的生境在评价区内较连续且面积较大，它们会向周围相似生境转移。评价区分布的国家重点保护动物均为猛禽，主要分布于涪江两岸的次生林、疏林地、林缘灌丛以及农田等生境，上述种类活动能力较强，领域范围较广，</w:t>
      </w:r>
      <w:r>
        <w:rPr>
          <w:rFonts w:hint="eastAsia"/>
          <w:color w:val="auto"/>
          <w:highlight w:val="none"/>
          <w:lang w:eastAsia="zh-CN"/>
        </w:rPr>
        <w:t>根据调查，</w:t>
      </w:r>
      <w:r>
        <w:rPr>
          <w:rFonts w:hint="eastAsia"/>
          <w:color w:val="auto"/>
          <w:highlight w:val="none"/>
        </w:rPr>
        <w:t>工程</w:t>
      </w:r>
      <w:r>
        <w:rPr>
          <w:rFonts w:hint="eastAsia"/>
          <w:color w:val="auto"/>
          <w:highlight w:val="none"/>
          <w:lang w:eastAsia="zh-CN"/>
        </w:rPr>
        <w:t>占地范围</w:t>
      </w:r>
      <w:r>
        <w:rPr>
          <w:rFonts w:hint="eastAsia"/>
          <w:color w:val="auto"/>
          <w:highlight w:val="none"/>
        </w:rPr>
        <w:t>并未占用其主要生境</w:t>
      </w:r>
      <w:r>
        <w:rPr>
          <w:rFonts w:hint="eastAsia"/>
          <w:color w:val="auto"/>
          <w:highlight w:val="none"/>
          <w:lang w:eastAsia="zh-CN"/>
        </w:rPr>
        <w:t>，</w:t>
      </w:r>
      <w:r>
        <w:rPr>
          <w:rFonts w:hint="eastAsia"/>
          <w:color w:val="auto"/>
          <w:highlight w:val="none"/>
        </w:rPr>
        <w:t>工程建设和运行不会对保护动物产生影响。</w:t>
      </w:r>
    </w:p>
    <w:p>
      <w:pPr>
        <w:bidi w:val="0"/>
        <w:rPr>
          <w:rFonts w:hint="eastAsia"/>
          <w:color w:val="auto"/>
          <w:highlight w:val="none"/>
        </w:rPr>
      </w:pPr>
      <w:r>
        <w:rPr>
          <w:rFonts w:hint="eastAsia"/>
          <w:color w:val="auto"/>
          <w:highlight w:val="none"/>
          <w:lang w:eastAsia="zh-CN"/>
        </w:rPr>
        <w:t>根据调查资料显示，评价范围内分布</w:t>
      </w:r>
      <w:r>
        <w:rPr>
          <w:rFonts w:hint="eastAsia"/>
          <w:color w:val="auto"/>
          <w:highlight w:val="none"/>
        </w:rPr>
        <w:t>有重庆市级重点保护动物</w:t>
      </w:r>
      <w:r>
        <w:rPr>
          <w:rFonts w:hint="eastAsia"/>
          <w:color w:val="auto"/>
          <w:highlight w:val="none"/>
          <w:lang w:val="en-US" w:eastAsia="zh-CN"/>
        </w:rPr>
        <w:t>7</w:t>
      </w:r>
      <w:r>
        <w:rPr>
          <w:rFonts w:hint="eastAsia"/>
          <w:color w:val="auto"/>
          <w:highlight w:val="none"/>
        </w:rPr>
        <w:t>种，</w:t>
      </w:r>
      <w:r>
        <w:rPr>
          <w:rFonts w:hint="eastAsia"/>
          <w:color w:val="auto"/>
          <w:highlight w:val="none"/>
          <w:lang w:eastAsia="zh-CN"/>
        </w:rPr>
        <w:t>分别为乌梢蛇、黑眉锦蛇</w:t>
      </w:r>
      <w:r>
        <w:rPr>
          <w:rFonts w:hint="eastAsia"/>
          <w:color w:val="auto"/>
          <w:highlight w:val="none"/>
        </w:rPr>
        <w:t>、灰胸竹鸡、小、</w:t>
      </w:r>
      <w:r>
        <w:rPr>
          <w:rFonts w:hint="eastAsia"/>
          <w:color w:val="auto"/>
          <w:highlight w:val="none"/>
          <w:lang w:eastAsia="zh-CN"/>
        </w:rPr>
        <w:t>普通鸬鹚、四声杜鹃、</w:t>
      </w:r>
      <w:r>
        <w:rPr>
          <w:rFonts w:hint="eastAsia"/>
          <w:color w:val="auto"/>
          <w:highlight w:val="none"/>
        </w:rPr>
        <w:t>黄鼬</w:t>
      </w:r>
      <w:r>
        <w:rPr>
          <w:rFonts w:hint="eastAsia"/>
          <w:color w:val="auto"/>
          <w:highlight w:val="none"/>
          <w:lang w:eastAsia="zh-CN"/>
        </w:rPr>
        <w:t>，</w:t>
      </w:r>
      <w:r>
        <w:rPr>
          <w:rFonts w:hint="eastAsia"/>
          <w:color w:val="auto"/>
          <w:highlight w:val="none"/>
        </w:rPr>
        <w:t>多为当地常见物种。对保护动物的影响主要是施工期的施工噪声和人为干扰使得这些种类远离施工区，工程占地破坏其栖息生境，迫使其向</w:t>
      </w:r>
      <w:r>
        <w:rPr>
          <w:rFonts w:hint="eastAsia"/>
          <w:color w:val="auto"/>
          <w:highlight w:val="none"/>
          <w:lang w:eastAsia="zh-CN"/>
        </w:rPr>
        <w:t>周边</w:t>
      </w:r>
      <w:r>
        <w:rPr>
          <w:rFonts w:hint="eastAsia"/>
          <w:color w:val="auto"/>
          <w:highlight w:val="none"/>
        </w:rPr>
        <w:t>区域迁移。上述影响对行动能力较弱、对水体依赖性较强的两栖类动物较为显著，鸟类和兽类因迁移能力较强，影响程度相对较小。</w:t>
      </w:r>
    </w:p>
    <w:p>
      <w:pPr>
        <w:bidi w:val="0"/>
        <w:rPr>
          <w:color w:val="auto"/>
          <w:highlight w:val="none"/>
        </w:rPr>
      </w:pPr>
      <w:r>
        <w:rPr>
          <w:rFonts w:hint="eastAsia"/>
          <w:color w:val="auto"/>
          <w:highlight w:val="none"/>
        </w:rPr>
        <w:t>施工噪声和人为干扰影响主要发生在施工期，随着施工结束而消失，因此工程施工对保护动物的影响有限。而工程永久占地的影响是长期的，由于工程占地面积较小，区域适宜生境较多，影响不大</w:t>
      </w:r>
      <w:r>
        <w:rPr>
          <w:rFonts w:hint="eastAsia"/>
          <w:color w:val="auto"/>
          <w:highlight w:val="none"/>
          <w:lang w:eastAsia="zh-CN"/>
        </w:rPr>
        <w:t>，</w:t>
      </w:r>
      <w:r>
        <w:rPr>
          <w:rFonts w:hint="eastAsia"/>
          <w:color w:val="auto"/>
          <w:highlight w:val="none"/>
        </w:rPr>
        <w:t>随着施工结束、植被</w:t>
      </w:r>
      <w:r>
        <w:rPr>
          <w:rFonts w:hint="eastAsia"/>
          <w:color w:val="auto"/>
          <w:highlight w:val="none"/>
          <w:lang w:eastAsia="zh-CN"/>
        </w:rPr>
        <w:t>恢复、绿化等</w:t>
      </w:r>
      <w:r>
        <w:rPr>
          <w:rFonts w:hint="eastAsia"/>
          <w:color w:val="auto"/>
          <w:highlight w:val="none"/>
        </w:rPr>
        <w:t>措施的落实，工程建设和运营对保护动物的影响有限。</w:t>
      </w:r>
    </w:p>
    <w:p>
      <w:pPr>
        <w:bidi w:val="0"/>
        <w:rPr>
          <w:rFonts w:hint="eastAsia" w:eastAsia="宋体"/>
          <w:color w:val="auto"/>
          <w:highlight w:val="none"/>
          <w:lang w:val="en-US" w:eastAsia="zh-CN"/>
        </w:rPr>
      </w:pPr>
      <w:r>
        <w:rPr>
          <w:rFonts w:hint="eastAsia"/>
          <w:color w:val="auto"/>
          <w:highlight w:val="none"/>
          <w:lang w:val="en-US" w:eastAsia="zh-CN"/>
        </w:rPr>
        <w:t>F</w:t>
      </w:r>
      <w:r>
        <w:rPr>
          <w:rFonts w:hint="eastAsia"/>
          <w:color w:val="auto"/>
          <w:highlight w:val="none"/>
          <w:shd w:val="clear" w:fill="FFFFFF"/>
          <w:lang w:val="en-US" w:eastAsia="zh-CN"/>
        </w:rPr>
        <w:t>、</w:t>
      </w:r>
      <w:r>
        <w:rPr>
          <w:rFonts w:hint="eastAsia"/>
          <w:color w:val="auto"/>
          <w:highlight w:val="none"/>
          <w:lang w:val="en-US" w:eastAsia="zh-CN"/>
        </w:rPr>
        <w:t>小结</w:t>
      </w:r>
    </w:p>
    <w:p>
      <w:pPr>
        <w:bidi w:val="0"/>
        <w:rPr>
          <w:color w:val="auto"/>
          <w:highlight w:val="none"/>
        </w:rPr>
      </w:pPr>
      <w:r>
        <w:rPr>
          <w:color w:val="auto"/>
          <w:highlight w:val="none"/>
        </w:rPr>
        <w:t>综上分析，</w:t>
      </w:r>
      <w:r>
        <w:rPr>
          <w:rFonts w:hint="eastAsia"/>
          <w:color w:val="auto"/>
          <w:highlight w:val="none"/>
        </w:rPr>
        <w:t>项目</w:t>
      </w:r>
      <w:r>
        <w:rPr>
          <w:color w:val="auto"/>
          <w:highlight w:val="none"/>
        </w:rPr>
        <w:t>占地范围较小，施工活动影响范围有限，</w:t>
      </w:r>
      <w:r>
        <w:rPr>
          <w:rFonts w:hint="eastAsia"/>
          <w:color w:val="auto"/>
          <w:highlight w:val="none"/>
          <w:lang w:eastAsia="zh-CN"/>
        </w:rPr>
        <w:t>永久</w:t>
      </w:r>
      <w:r>
        <w:rPr>
          <w:color w:val="auto"/>
          <w:highlight w:val="none"/>
        </w:rPr>
        <w:t>占地范围内未发现</w:t>
      </w:r>
      <w:r>
        <w:rPr>
          <w:rFonts w:hint="eastAsia"/>
          <w:color w:val="auto"/>
          <w:highlight w:val="none"/>
          <w:lang w:eastAsia="zh-CN"/>
        </w:rPr>
        <w:t>重要</w:t>
      </w:r>
      <w:r>
        <w:rPr>
          <w:color w:val="auto"/>
          <w:highlight w:val="none"/>
        </w:rPr>
        <w:t>保护</w:t>
      </w:r>
      <w:r>
        <w:rPr>
          <w:rFonts w:hint="eastAsia"/>
          <w:color w:val="auto"/>
          <w:highlight w:val="none"/>
        </w:rPr>
        <w:t>动物</w:t>
      </w:r>
      <w:r>
        <w:rPr>
          <w:color w:val="auto"/>
          <w:highlight w:val="none"/>
        </w:rPr>
        <w:t>及其栖息地</w:t>
      </w:r>
      <w:r>
        <w:rPr>
          <w:rFonts w:hint="eastAsia"/>
          <w:color w:val="auto"/>
          <w:highlight w:val="none"/>
        </w:rPr>
        <w:t>分布</w:t>
      </w:r>
      <w:r>
        <w:rPr>
          <w:color w:val="auto"/>
          <w:highlight w:val="none"/>
        </w:rPr>
        <w:t>，</w:t>
      </w:r>
      <w:r>
        <w:rPr>
          <w:rFonts w:hint="eastAsia"/>
          <w:color w:val="auto"/>
          <w:highlight w:val="none"/>
        </w:rPr>
        <w:t>在落实</w:t>
      </w:r>
      <w:r>
        <w:rPr>
          <w:color w:val="auto"/>
          <w:highlight w:val="none"/>
        </w:rPr>
        <w:t>加强施工管理</w:t>
      </w:r>
      <w:r>
        <w:rPr>
          <w:rFonts w:hint="eastAsia"/>
          <w:color w:val="auto"/>
          <w:highlight w:val="none"/>
        </w:rPr>
        <w:t>、严格</w:t>
      </w:r>
      <w:r>
        <w:rPr>
          <w:color w:val="auto"/>
          <w:highlight w:val="none"/>
        </w:rPr>
        <w:t>控制施工占地等措施的基础上，项目施工期对</w:t>
      </w:r>
      <w:r>
        <w:rPr>
          <w:rFonts w:hint="eastAsia"/>
          <w:color w:val="auto"/>
          <w:highlight w:val="none"/>
        </w:rPr>
        <w:t>野生动物</w:t>
      </w:r>
      <w:r>
        <w:rPr>
          <w:color w:val="auto"/>
          <w:highlight w:val="none"/>
        </w:rPr>
        <w:t>物种及种群数量影响较小。</w:t>
      </w:r>
    </w:p>
    <w:p>
      <w:pPr>
        <w:pStyle w:val="6"/>
        <w:bidi w:val="0"/>
        <w:rPr>
          <w:bCs/>
          <w:color w:val="auto"/>
          <w:szCs w:val="26"/>
          <w:highlight w:val="none"/>
        </w:rPr>
      </w:pPr>
      <w:r>
        <w:rPr>
          <w:rFonts w:hint="eastAsia"/>
          <w:bCs/>
          <w:color w:val="auto"/>
          <w:szCs w:val="26"/>
          <w:highlight w:val="none"/>
          <w:lang w:eastAsia="zh-CN"/>
        </w:rPr>
        <w:t>水生生态影响</w:t>
      </w:r>
    </w:p>
    <w:p>
      <w:pPr>
        <w:numPr>
          <w:ilvl w:val="0"/>
          <w:numId w:val="0"/>
        </w:numPr>
        <w:adjustRightInd w:val="0"/>
        <w:snapToGrid w:val="0"/>
        <w:ind w:firstLine="520" w:firstLineChars="200"/>
        <w:rPr>
          <w:rFonts w:hint="eastAsia"/>
          <w:bCs/>
          <w:color w:val="auto"/>
          <w:szCs w:val="26"/>
          <w:highlight w:val="none"/>
        </w:rPr>
      </w:pPr>
      <w:r>
        <w:rPr>
          <w:rFonts w:hint="eastAsia"/>
          <w:bCs/>
          <w:color w:val="auto"/>
          <w:szCs w:val="26"/>
          <w:highlight w:val="none"/>
        </w:rPr>
        <w:t>施工期水域施工活动主要包括</w:t>
      </w:r>
      <w:r>
        <w:rPr>
          <w:rFonts w:hint="eastAsia"/>
          <w:bCs/>
          <w:color w:val="auto"/>
          <w:szCs w:val="26"/>
          <w:highlight w:val="none"/>
          <w:lang w:val="en-US" w:eastAsia="zh-CN"/>
        </w:rPr>
        <w:t>主体工程的船闸工程、疏浚工程和鱼道工程</w:t>
      </w:r>
      <w:r>
        <w:rPr>
          <w:rFonts w:hint="eastAsia"/>
          <w:bCs/>
          <w:color w:val="auto"/>
          <w:szCs w:val="26"/>
          <w:highlight w:val="none"/>
        </w:rPr>
        <w:t>等</w:t>
      </w:r>
      <w:r>
        <w:rPr>
          <w:rFonts w:hint="eastAsia"/>
          <w:bCs/>
          <w:color w:val="auto"/>
          <w:szCs w:val="26"/>
          <w:highlight w:val="none"/>
          <w:lang w:eastAsia="zh-CN"/>
        </w:rPr>
        <w:t>的</w:t>
      </w:r>
      <w:r>
        <w:rPr>
          <w:rFonts w:hint="eastAsia"/>
          <w:bCs/>
          <w:color w:val="auto"/>
          <w:szCs w:val="26"/>
          <w:highlight w:val="none"/>
          <w:lang w:val="en-US" w:eastAsia="zh-CN"/>
        </w:rPr>
        <w:t>建设</w:t>
      </w:r>
      <w:r>
        <w:rPr>
          <w:rFonts w:hint="eastAsia"/>
          <w:bCs/>
          <w:color w:val="auto"/>
          <w:szCs w:val="26"/>
          <w:highlight w:val="none"/>
        </w:rPr>
        <w:t>，</w:t>
      </w:r>
      <w:r>
        <w:rPr>
          <w:rFonts w:hint="eastAsia"/>
          <w:bCs/>
          <w:color w:val="auto"/>
          <w:szCs w:val="26"/>
          <w:highlight w:val="none"/>
          <w:lang w:val="en-US" w:eastAsia="zh-CN"/>
        </w:rPr>
        <w:t>以及辅助工程和临时工程等的建设。其中，根据初步设计，为减少涉水施工工程量，工程将建设围堰，围堰建设后，船闸主体工程包括上下闸首、闸室、上游导航墙、过闸桥梁、航道右岸高边坡、靠船设施及下游导航墙等工程均可实现干地施工；上下游锚地和下游疏浚将于枯水期进行施工，可尽量减少涉水施工工程量。因此，</w:t>
      </w:r>
      <w:r>
        <w:rPr>
          <w:rFonts w:hint="eastAsia"/>
          <w:bCs/>
          <w:color w:val="auto"/>
          <w:szCs w:val="26"/>
          <w:highlight w:val="none"/>
        </w:rPr>
        <w:t>施工期间</w:t>
      </w:r>
      <w:r>
        <w:rPr>
          <w:rFonts w:hint="eastAsia"/>
          <w:bCs/>
          <w:color w:val="auto"/>
          <w:szCs w:val="26"/>
          <w:highlight w:val="none"/>
          <w:lang w:val="en-US" w:eastAsia="zh-CN"/>
        </w:rPr>
        <w:t>对水生生态的影响主要</w:t>
      </w:r>
      <w:r>
        <w:rPr>
          <w:rFonts w:hint="eastAsia"/>
          <w:bCs/>
          <w:color w:val="auto"/>
          <w:szCs w:val="26"/>
          <w:highlight w:val="none"/>
          <w:shd w:val="clear" w:fill="FFFFFF"/>
          <w:lang w:val="en-US" w:eastAsia="zh-CN"/>
        </w:rPr>
        <w:t>来自于</w:t>
      </w:r>
      <w:r>
        <w:rPr>
          <w:rFonts w:hint="eastAsia"/>
          <w:bCs/>
          <w:color w:val="auto"/>
          <w:szCs w:val="26"/>
          <w:highlight w:val="none"/>
          <w:lang w:val="en-US" w:eastAsia="zh-CN"/>
        </w:rPr>
        <w:t>切咀、疏浚、鱼道、围堰等涉水工程对水域的影响</w:t>
      </w:r>
      <w:r>
        <w:rPr>
          <w:rFonts w:hint="eastAsia"/>
          <w:bCs/>
          <w:color w:val="auto"/>
          <w:szCs w:val="26"/>
          <w:highlight w:val="none"/>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520" w:firstLineChars="200"/>
        <w:textAlignment w:val="auto"/>
        <w:outlineLvl w:val="4"/>
        <w:rPr>
          <w:rFonts w:hint="eastAsia"/>
          <w:bCs/>
          <w:color w:val="auto"/>
          <w:szCs w:val="26"/>
          <w:highlight w:val="none"/>
          <w:lang w:val="en-US" w:eastAsia="zh-CN"/>
        </w:rPr>
      </w:pPr>
      <w:r>
        <w:rPr>
          <w:rFonts w:hint="eastAsia"/>
          <w:bCs/>
          <w:color w:val="auto"/>
          <w:szCs w:val="26"/>
          <w:highlight w:val="none"/>
          <w:lang w:val="en-US" w:eastAsia="zh-CN"/>
        </w:rPr>
        <w:t>（1）对浮游生物的影响</w:t>
      </w:r>
    </w:p>
    <w:p>
      <w:pPr>
        <w:numPr>
          <w:ilvl w:val="0"/>
          <w:numId w:val="0"/>
        </w:numPr>
        <w:adjustRightInd w:val="0"/>
        <w:snapToGrid w:val="0"/>
        <w:ind w:firstLine="520" w:firstLineChars="200"/>
        <w:rPr>
          <w:rFonts w:hint="eastAsia"/>
          <w:bCs/>
          <w:color w:val="auto"/>
          <w:szCs w:val="26"/>
          <w:highlight w:val="none"/>
        </w:rPr>
      </w:pPr>
      <w:r>
        <w:rPr>
          <w:rFonts w:hint="eastAsia"/>
          <w:bCs/>
          <w:color w:val="auto"/>
          <w:szCs w:val="26"/>
          <w:highlight w:val="none"/>
        </w:rPr>
        <w:t>工程</w:t>
      </w:r>
      <w:r>
        <w:rPr>
          <w:rFonts w:hint="eastAsia"/>
          <w:bCs/>
          <w:color w:val="auto"/>
          <w:szCs w:val="26"/>
          <w:highlight w:val="none"/>
          <w:lang w:val="en-US" w:eastAsia="zh-CN"/>
        </w:rPr>
        <w:t>涉水施工</w:t>
      </w:r>
      <w:r>
        <w:rPr>
          <w:rFonts w:hint="eastAsia"/>
          <w:bCs/>
          <w:color w:val="auto"/>
          <w:szCs w:val="26"/>
          <w:highlight w:val="none"/>
        </w:rPr>
        <w:t>产生的悬浮物将直接或间接导致该水域悬浮物浓度上升，悬浮物在重力、风力等因素作用下扩散、运动，在其扩散范围内将不同程度地影响水域的浮游生物的生存环境，造成水域透明度降低，导致浮游植物光合作用强度下降，影响浮游植物和浮游动物的生长率、繁殖率及摄食率等，从而直接或间接</w:t>
      </w:r>
      <w:r>
        <w:rPr>
          <w:rFonts w:hint="eastAsia"/>
          <w:bCs/>
          <w:color w:val="auto"/>
          <w:szCs w:val="26"/>
          <w:highlight w:val="none"/>
          <w:shd w:val="clear" w:fill="FFFFFF"/>
          <w:lang w:eastAsia="zh-CN"/>
        </w:rPr>
        <w:t>地</w:t>
      </w:r>
      <w:r>
        <w:rPr>
          <w:rFonts w:hint="eastAsia"/>
          <w:bCs/>
          <w:color w:val="auto"/>
          <w:szCs w:val="26"/>
          <w:highlight w:val="none"/>
        </w:rPr>
        <w:t>影响其生物量。此外，高浓度的悬浮物对浮游生物也有一定的毒害作用，使水域浮游生物的生存环境恶化，同时造成水体的初级生产力减少。因此，工程</w:t>
      </w:r>
      <w:r>
        <w:rPr>
          <w:rFonts w:hint="eastAsia"/>
          <w:bCs/>
          <w:color w:val="auto"/>
          <w:szCs w:val="26"/>
          <w:highlight w:val="none"/>
          <w:lang w:val="en-US" w:eastAsia="zh-CN"/>
        </w:rPr>
        <w:t>涉水施工</w:t>
      </w:r>
      <w:r>
        <w:rPr>
          <w:rFonts w:hint="eastAsia"/>
          <w:bCs/>
          <w:color w:val="auto"/>
          <w:szCs w:val="26"/>
          <w:highlight w:val="none"/>
        </w:rPr>
        <w:t>将导致区域内浮游生物种类组成发生短暂变化，影响浮游生物的区系组成。</w:t>
      </w:r>
    </w:p>
    <w:p>
      <w:pPr>
        <w:adjustRightInd w:val="0"/>
        <w:snapToGrid w:val="0"/>
        <w:spacing w:beforeLines="0" w:afterLines="0" w:line="480" w:lineRule="exact"/>
        <w:ind w:firstLine="520"/>
        <w:rPr>
          <w:rFonts w:hint="default"/>
          <w:color w:val="auto"/>
          <w:sz w:val="26"/>
          <w:szCs w:val="24"/>
          <w:highlight w:val="none"/>
        </w:rPr>
      </w:pPr>
      <w:r>
        <w:rPr>
          <w:rFonts w:hint="eastAsia"/>
          <w:color w:val="auto"/>
          <w:sz w:val="26"/>
          <w:szCs w:val="24"/>
          <w:highlight w:val="none"/>
        </w:rPr>
        <w:t>根据长江干流港池清淤施工的现场环境监测，悬浮物浓度增加值大于10mg/L影响范围一般可控制在</w:t>
      </w:r>
      <w:r>
        <w:rPr>
          <w:rFonts w:hint="eastAsia"/>
          <w:color w:val="auto"/>
          <w:sz w:val="26"/>
          <w:szCs w:val="24"/>
          <w:highlight w:val="none"/>
          <w:shd w:val="clear" w:fill="FFFFFF"/>
          <w:lang w:eastAsia="zh-CN"/>
        </w:rPr>
        <w:t>施工</w:t>
      </w:r>
      <w:r>
        <w:rPr>
          <w:rFonts w:hint="eastAsia"/>
          <w:color w:val="auto"/>
          <w:sz w:val="26"/>
          <w:szCs w:val="24"/>
          <w:highlight w:val="none"/>
        </w:rPr>
        <w:t>区域100-500m以内。悬浮物影响水域按SS浓度增加值超过10mg/L的水域计算，类比分析（《长江航道疏浚悬浮物扩散数值模拟研究》</w:t>
      </w:r>
      <w:r>
        <w:rPr>
          <w:rFonts w:hint="eastAsia"/>
          <w:color w:val="auto"/>
          <w:sz w:val="26"/>
          <w:szCs w:val="24"/>
          <w:highlight w:val="none"/>
          <w:shd w:val="clear" w:fill="FFFFFF"/>
        </w:rPr>
        <w:t>（</w:t>
      </w:r>
      <w:r>
        <w:rPr>
          <w:rFonts w:hint="eastAsia"/>
          <w:color w:val="auto"/>
          <w:sz w:val="26"/>
          <w:szCs w:val="24"/>
          <w:highlight w:val="none"/>
        </w:rPr>
        <w:t>冯桃辉，2</w:t>
      </w:r>
      <w:r>
        <w:rPr>
          <w:rFonts w:hint="default"/>
          <w:color w:val="auto"/>
          <w:sz w:val="26"/>
          <w:szCs w:val="24"/>
          <w:highlight w:val="none"/>
        </w:rPr>
        <w:t>017</w:t>
      </w:r>
      <w:r>
        <w:rPr>
          <w:rFonts w:hint="eastAsia"/>
          <w:color w:val="auto"/>
          <w:sz w:val="26"/>
          <w:szCs w:val="24"/>
          <w:highlight w:val="none"/>
          <w:shd w:val="clear" w:fill="FFFFFF"/>
        </w:rPr>
        <w:t>）</w:t>
      </w:r>
      <w:r>
        <w:rPr>
          <w:rFonts w:hint="eastAsia"/>
          <w:color w:val="auto"/>
          <w:sz w:val="26"/>
          <w:szCs w:val="24"/>
          <w:highlight w:val="none"/>
        </w:rPr>
        <w:t>、《长江上游涪陵至丰都河段航道整治工程对长江重庆段四大家鱼国家级水产种质资源保护区影响专题论证报告》</w:t>
      </w:r>
      <w:r>
        <w:rPr>
          <w:rFonts w:hint="eastAsia"/>
          <w:color w:val="auto"/>
          <w:sz w:val="26"/>
          <w:szCs w:val="24"/>
          <w:highlight w:val="none"/>
          <w:shd w:val="clear" w:fill="FFFFFF"/>
        </w:rPr>
        <w:t>（</w:t>
      </w:r>
      <w:r>
        <w:rPr>
          <w:rFonts w:hint="eastAsia"/>
          <w:color w:val="auto"/>
          <w:sz w:val="26"/>
          <w:szCs w:val="24"/>
          <w:highlight w:val="none"/>
        </w:rPr>
        <w:t>重庆交通大学，2</w:t>
      </w:r>
      <w:r>
        <w:rPr>
          <w:rFonts w:hint="default"/>
          <w:color w:val="auto"/>
          <w:sz w:val="26"/>
          <w:szCs w:val="24"/>
          <w:highlight w:val="none"/>
        </w:rPr>
        <w:t>020</w:t>
      </w:r>
      <w:r>
        <w:rPr>
          <w:rFonts w:hint="eastAsia"/>
          <w:color w:val="auto"/>
          <w:sz w:val="26"/>
          <w:szCs w:val="24"/>
          <w:highlight w:val="none"/>
        </w:rPr>
        <w:t>年1</w:t>
      </w:r>
      <w:r>
        <w:rPr>
          <w:rFonts w:hint="default"/>
          <w:color w:val="auto"/>
          <w:sz w:val="26"/>
          <w:szCs w:val="24"/>
          <w:highlight w:val="none"/>
        </w:rPr>
        <w:t>2</w:t>
      </w:r>
      <w:r>
        <w:rPr>
          <w:rFonts w:hint="eastAsia"/>
          <w:color w:val="auto"/>
          <w:sz w:val="26"/>
          <w:szCs w:val="24"/>
          <w:highlight w:val="none"/>
        </w:rPr>
        <w:t>月</w:t>
      </w:r>
      <w:r>
        <w:rPr>
          <w:rFonts w:hint="eastAsia"/>
          <w:color w:val="auto"/>
          <w:sz w:val="26"/>
          <w:szCs w:val="24"/>
          <w:highlight w:val="none"/>
          <w:shd w:val="clear" w:fill="FFFFFF"/>
        </w:rPr>
        <w:t>）</w:t>
      </w:r>
      <w:r>
        <w:rPr>
          <w:rFonts w:hint="eastAsia"/>
          <w:color w:val="auto"/>
          <w:sz w:val="26"/>
          <w:szCs w:val="24"/>
          <w:highlight w:val="none"/>
        </w:rPr>
        <w:t>）。本工程悬浮物对浮游生物的影响长度范围累计约为</w:t>
      </w:r>
      <w:r>
        <w:rPr>
          <w:rFonts w:hint="eastAsia"/>
          <w:color w:val="auto"/>
          <w:sz w:val="26"/>
          <w:szCs w:val="24"/>
          <w:highlight w:val="none"/>
          <w:lang w:val="en-US" w:eastAsia="zh-CN"/>
        </w:rPr>
        <w:t>4.3k</w:t>
      </w:r>
      <w:r>
        <w:rPr>
          <w:rFonts w:hint="default"/>
          <w:color w:val="auto"/>
          <w:sz w:val="26"/>
          <w:szCs w:val="24"/>
          <w:highlight w:val="none"/>
        </w:rPr>
        <w:t>m</w:t>
      </w:r>
      <w:r>
        <w:rPr>
          <w:rFonts w:hint="eastAsia"/>
          <w:color w:val="auto"/>
          <w:sz w:val="26"/>
          <w:szCs w:val="24"/>
          <w:highlight w:val="none"/>
        </w:rPr>
        <w:t>（</w:t>
      </w:r>
      <w:r>
        <w:rPr>
          <w:rFonts w:hint="eastAsia"/>
          <w:color w:val="auto"/>
          <w:sz w:val="26"/>
          <w:szCs w:val="24"/>
          <w:highlight w:val="none"/>
          <w:lang w:val="en-US" w:eastAsia="zh-CN"/>
        </w:rPr>
        <w:t>从</w:t>
      </w:r>
      <w:r>
        <w:rPr>
          <w:rFonts w:hint="eastAsia"/>
          <w:color w:val="auto"/>
          <w:sz w:val="26"/>
          <w:szCs w:val="24"/>
          <w:highlight w:val="none"/>
        </w:rPr>
        <w:t>上游</w:t>
      </w:r>
      <w:r>
        <w:rPr>
          <w:rFonts w:hint="eastAsia"/>
          <w:color w:val="auto"/>
          <w:sz w:val="26"/>
          <w:szCs w:val="24"/>
          <w:highlight w:val="none"/>
          <w:lang w:val="en-US" w:eastAsia="zh-CN"/>
        </w:rPr>
        <w:t>锚地至下游锚地下游</w:t>
      </w:r>
      <w:r>
        <w:rPr>
          <w:rFonts w:hint="eastAsia"/>
          <w:color w:val="auto"/>
          <w:sz w:val="26"/>
          <w:szCs w:val="24"/>
          <w:highlight w:val="none"/>
        </w:rPr>
        <w:t>5</w:t>
      </w:r>
      <w:r>
        <w:rPr>
          <w:rFonts w:hint="default"/>
          <w:color w:val="auto"/>
          <w:sz w:val="26"/>
          <w:szCs w:val="24"/>
          <w:highlight w:val="none"/>
        </w:rPr>
        <w:t>00</w:t>
      </w:r>
      <w:r>
        <w:rPr>
          <w:rFonts w:hint="eastAsia"/>
          <w:color w:val="auto"/>
          <w:sz w:val="26"/>
          <w:szCs w:val="24"/>
          <w:highlight w:val="none"/>
        </w:rPr>
        <w:t>m），涪江航道河段河面宽度大部分在18</w:t>
      </w:r>
      <w:r>
        <w:rPr>
          <w:rFonts w:hint="default"/>
          <w:color w:val="auto"/>
          <w:sz w:val="26"/>
          <w:szCs w:val="24"/>
          <w:highlight w:val="none"/>
        </w:rPr>
        <w:t>0-</w:t>
      </w:r>
      <w:r>
        <w:rPr>
          <w:rFonts w:hint="eastAsia"/>
          <w:color w:val="auto"/>
          <w:sz w:val="26"/>
          <w:szCs w:val="24"/>
          <w:highlight w:val="none"/>
        </w:rPr>
        <w:t>30</w:t>
      </w:r>
      <w:r>
        <w:rPr>
          <w:rFonts w:hint="default"/>
          <w:color w:val="auto"/>
          <w:sz w:val="26"/>
          <w:szCs w:val="24"/>
          <w:highlight w:val="none"/>
        </w:rPr>
        <w:t>0m</w:t>
      </w:r>
      <w:r>
        <w:rPr>
          <w:rFonts w:hint="eastAsia"/>
          <w:color w:val="auto"/>
          <w:sz w:val="26"/>
          <w:szCs w:val="24"/>
          <w:highlight w:val="none"/>
        </w:rPr>
        <w:t>之间，影响宽度按最宽</w:t>
      </w:r>
      <w:r>
        <w:rPr>
          <w:rFonts w:hint="default"/>
          <w:color w:val="auto"/>
          <w:sz w:val="26"/>
          <w:szCs w:val="24"/>
          <w:highlight w:val="none"/>
        </w:rPr>
        <w:t>300m</w:t>
      </w:r>
      <w:r>
        <w:rPr>
          <w:rFonts w:hint="eastAsia"/>
          <w:color w:val="auto"/>
          <w:sz w:val="26"/>
          <w:szCs w:val="24"/>
          <w:highlight w:val="none"/>
        </w:rPr>
        <w:t>计，考虑到浮游生物的生长空间特性及河道水深（低于2</w:t>
      </w:r>
      <w:r>
        <w:rPr>
          <w:rFonts w:hint="default"/>
          <w:color w:val="auto"/>
          <w:sz w:val="26"/>
          <w:szCs w:val="24"/>
          <w:highlight w:val="none"/>
        </w:rPr>
        <w:t>.8</w:t>
      </w:r>
      <w:r>
        <w:rPr>
          <w:rFonts w:hint="eastAsia"/>
          <w:color w:val="auto"/>
          <w:sz w:val="26"/>
          <w:szCs w:val="24"/>
          <w:highlight w:val="none"/>
        </w:rPr>
        <w:t>m），较深水层浮游生物生长较少，因此影响水域深度选取按平均3m，影响水域约</w:t>
      </w:r>
      <w:r>
        <w:rPr>
          <w:rFonts w:hint="eastAsia"/>
          <w:color w:val="auto"/>
          <w:sz w:val="26"/>
          <w:szCs w:val="24"/>
          <w:highlight w:val="none"/>
          <w:lang w:val="en-US" w:eastAsia="zh-CN"/>
        </w:rPr>
        <w:t>387</w:t>
      </w:r>
      <w:r>
        <w:rPr>
          <w:rFonts w:hint="eastAsia"/>
          <w:color w:val="auto"/>
          <w:sz w:val="26"/>
          <w:szCs w:val="24"/>
          <w:highlight w:val="none"/>
        </w:rPr>
        <w:t>万m</w:t>
      </w:r>
      <w:r>
        <w:rPr>
          <w:rFonts w:hint="default"/>
          <w:color w:val="auto"/>
          <w:sz w:val="26"/>
          <w:szCs w:val="24"/>
          <w:highlight w:val="none"/>
          <w:vertAlign w:val="superscript"/>
        </w:rPr>
        <w:t>3</w:t>
      </w:r>
      <w:r>
        <w:rPr>
          <w:rFonts w:hint="eastAsia"/>
          <w:color w:val="auto"/>
          <w:sz w:val="26"/>
          <w:szCs w:val="24"/>
          <w:highlight w:val="none"/>
        </w:rPr>
        <w:t>。浮游生物的损失率按10%计算（姜作发等，</w:t>
      </w:r>
      <w:r>
        <w:rPr>
          <w:rFonts w:hint="default"/>
          <w:color w:val="auto"/>
          <w:sz w:val="26"/>
          <w:szCs w:val="24"/>
          <w:highlight w:val="none"/>
        </w:rPr>
        <w:t>2005</w:t>
      </w:r>
      <w:r>
        <w:rPr>
          <w:rFonts w:hint="eastAsia"/>
          <w:color w:val="auto"/>
          <w:sz w:val="26"/>
          <w:szCs w:val="24"/>
          <w:highlight w:val="none"/>
        </w:rPr>
        <w:t>）。根据现状调查，评价江段浮游植物的总平均生物量约为0.1755</w:t>
      </w:r>
      <w:r>
        <w:rPr>
          <w:rFonts w:hint="default"/>
          <w:color w:val="auto"/>
          <w:sz w:val="26"/>
          <w:szCs w:val="24"/>
          <w:highlight w:val="none"/>
        </w:rPr>
        <w:t>mg/L</w:t>
      </w:r>
      <w:r>
        <w:rPr>
          <w:rFonts w:hint="eastAsia"/>
          <w:color w:val="auto"/>
          <w:sz w:val="26"/>
          <w:szCs w:val="24"/>
          <w:highlight w:val="none"/>
        </w:rPr>
        <w:t>，浮游动物的总平均生物量为0.205</w:t>
      </w:r>
      <w:r>
        <w:rPr>
          <w:rFonts w:hint="default"/>
          <w:color w:val="auto"/>
          <w:sz w:val="26"/>
          <w:szCs w:val="24"/>
          <w:highlight w:val="none"/>
        </w:rPr>
        <w:t>mg/L</w:t>
      </w:r>
      <w:r>
        <w:rPr>
          <w:rFonts w:hint="eastAsia"/>
          <w:color w:val="auto"/>
          <w:sz w:val="26"/>
          <w:szCs w:val="24"/>
          <w:highlight w:val="none"/>
        </w:rPr>
        <w:t>。浮游植物年繁殖按400代计算，浮游动物按30代计算，</w:t>
      </w:r>
      <w:r>
        <w:rPr>
          <w:rFonts w:hint="eastAsia"/>
          <w:color w:val="auto"/>
          <w:sz w:val="26"/>
          <w:szCs w:val="24"/>
          <w:highlight w:val="none"/>
          <w:lang w:val="en-US" w:eastAsia="zh-CN"/>
        </w:rPr>
        <w:t>根据施工进度计划，项目施工</w:t>
      </w:r>
      <w:r>
        <w:rPr>
          <w:rFonts w:hint="eastAsia"/>
          <w:color w:val="auto"/>
          <w:sz w:val="26"/>
          <w:szCs w:val="24"/>
          <w:highlight w:val="none"/>
        </w:rPr>
        <w:t>工期约</w:t>
      </w:r>
      <w:r>
        <w:rPr>
          <w:rFonts w:hint="eastAsia"/>
          <w:color w:val="auto"/>
          <w:sz w:val="26"/>
          <w:szCs w:val="24"/>
          <w:highlight w:val="none"/>
          <w:lang w:val="en-US" w:eastAsia="zh-CN"/>
        </w:rPr>
        <w:t>4</w:t>
      </w:r>
      <w:r>
        <w:rPr>
          <w:rFonts w:hint="default"/>
          <w:color w:val="auto"/>
          <w:sz w:val="26"/>
          <w:szCs w:val="24"/>
          <w:highlight w:val="none"/>
        </w:rPr>
        <w:t>2</w:t>
      </w:r>
      <w:r>
        <w:rPr>
          <w:rFonts w:hint="eastAsia"/>
          <w:color w:val="auto"/>
          <w:sz w:val="26"/>
          <w:szCs w:val="24"/>
          <w:highlight w:val="none"/>
        </w:rPr>
        <w:t>个月，实际</w:t>
      </w:r>
      <w:r>
        <w:rPr>
          <w:rFonts w:hint="eastAsia"/>
          <w:color w:val="auto"/>
          <w:sz w:val="26"/>
          <w:szCs w:val="24"/>
          <w:highlight w:val="none"/>
          <w:lang w:val="en-US" w:eastAsia="zh-CN"/>
        </w:rPr>
        <w:t>涉水</w:t>
      </w:r>
      <w:r>
        <w:rPr>
          <w:rFonts w:hint="eastAsia"/>
          <w:color w:val="auto"/>
          <w:sz w:val="26"/>
          <w:szCs w:val="24"/>
          <w:highlight w:val="none"/>
        </w:rPr>
        <w:t>影响周期</w:t>
      </w:r>
      <w:r>
        <w:rPr>
          <w:rFonts w:hint="eastAsia"/>
          <w:color w:val="auto"/>
          <w:sz w:val="26"/>
          <w:szCs w:val="24"/>
          <w:highlight w:val="none"/>
          <w:lang w:val="en-US" w:eastAsia="zh-CN"/>
        </w:rPr>
        <w:t>约20个月（约600天），</w:t>
      </w:r>
      <w:r>
        <w:rPr>
          <w:rFonts w:hint="eastAsia"/>
          <w:color w:val="auto"/>
          <w:sz w:val="26"/>
          <w:szCs w:val="24"/>
          <w:highlight w:val="none"/>
        </w:rPr>
        <w:t>（项目完工后，水体中悬浮物含量会很快恢复到施工前的本底水平，对浮游生物的影响忽略不计）。测算可知：</w:t>
      </w:r>
    </w:p>
    <w:p>
      <w:pPr>
        <w:adjustRightInd w:val="0"/>
        <w:snapToGrid w:val="0"/>
        <w:spacing w:beforeLines="0" w:afterLines="0" w:line="480" w:lineRule="exact"/>
        <w:ind w:firstLine="520"/>
        <w:rPr>
          <w:rFonts w:hint="default"/>
          <w:color w:val="auto"/>
          <w:sz w:val="26"/>
          <w:szCs w:val="24"/>
          <w:highlight w:val="none"/>
        </w:rPr>
      </w:pPr>
      <w:r>
        <w:rPr>
          <w:rFonts w:hint="eastAsia"/>
          <w:color w:val="auto"/>
          <w:sz w:val="26"/>
          <w:szCs w:val="24"/>
          <w:highlight w:val="none"/>
        </w:rPr>
        <w:t>浮游植物损失为：</w:t>
      </w:r>
      <w:r>
        <w:rPr>
          <w:rFonts w:hint="eastAsia"/>
          <w:color w:val="auto"/>
          <w:sz w:val="26"/>
          <w:szCs w:val="24"/>
          <w:highlight w:val="none"/>
          <w:lang w:val="en-US" w:eastAsia="zh-CN"/>
        </w:rPr>
        <w:t>387</w:t>
      </w:r>
      <w:r>
        <w:rPr>
          <w:rFonts w:hint="eastAsia"/>
          <w:color w:val="auto"/>
          <w:sz w:val="26"/>
          <w:szCs w:val="24"/>
          <w:highlight w:val="none"/>
        </w:rPr>
        <w:t>万m</w:t>
      </w:r>
      <w:r>
        <w:rPr>
          <w:rFonts w:hint="default"/>
          <w:color w:val="auto"/>
          <w:sz w:val="26"/>
          <w:szCs w:val="24"/>
          <w:highlight w:val="none"/>
          <w:vertAlign w:val="superscript"/>
        </w:rPr>
        <w:t>3</w:t>
      </w:r>
      <w:r>
        <w:rPr>
          <w:rFonts w:hint="default"/>
          <w:color w:val="auto"/>
          <w:sz w:val="26"/>
          <w:szCs w:val="24"/>
          <w:highlight w:val="none"/>
        </w:rPr>
        <w:t>×0.1755mg/L×10%×</w:t>
      </w:r>
      <w:r>
        <w:rPr>
          <w:rFonts w:hint="eastAsia"/>
          <w:color w:val="auto"/>
          <w:sz w:val="26"/>
          <w:szCs w:val="24"/>
          <w:highlight w:val="none"/>
          <w:lang w:val="en-US" w:eastAsia="zh-CN"/>
        </w:rPr>
        <w:t>4</w:t>
      </w:r>
      <w:r>
        <w:rPr>
          <w:rFonts w:hint="default"/>
          <w:color w:val="auto"/>
          <w:sz w:val="26"/>
          <w:szCs w:val="24"/>
          <w:highlight w:val="none"/>
        </w:rPr>
        <w:t>00</w:t>
      </w:r>
      <w:r>
        <w:rPr>
          <w:rFonts w:hint="eastAsia"/>
          <w:color w:val="auto"/>
          <w:sz w:val="26"/>
          <w:szCs w:val="24"/>
          <w:highlight w:val="none"/>
        </w:rPr>
        <w:t>/</w:t>
      </w:r>
      <w:r>
        <w:rPr>
          <w:rFonts w:hint="default"/>
          <w:color w:val="auto"/>
          <w:sz w:val="26"/>
          <w:szCs w:val="24"/>
          <w:highlight w:val="none"/>
        </w:rPr>
        <w:t>365×</w:t>
      </w:r>
      <w:r>
        <w:rPr>
          <w:rFonts w:hint="eastAsia"/>
          <w:color w:val="auto"/>
          <w:sz w:val="26"/>
          <w:szCs w:val="24"/>
          <w:highlight w:val="none"/>
          <w:lang w:val="en-US" w:eastAsia="zh-CN"/>
        </w:rPr>
        <w:t>600</w:t>
      </w:r>
      <w:r>
        <w:rPr>
          <w:rFonts w:hint="eastAsia"/>
          <w:color w:val="auto"/>
          <w:sz w:val="26"/>
          <w:szCs w:val="24"/>
          <w:highlight w:val="none"/>
        </w:rPr>
        <w:t>天=</w:t>
      </w:r>
      <w:r>
        <w:rPr>
          <w:rFonts w:hint="default"/>
          <w:color w:val="auto"/>
          <w:sz w:val="26"/>
          <w:szCs w:val="24"/>
          <w:highlight w:val="none"/>
        </w:rPr>
        <w:t>44658.74kg</w:t>
      </w:r>
    </w:p>
    <w:p>
      <w:pPr>
        <w:adjustRightInd w:val="0"/>
        <w:snapToGrid w:val="0"/>
        <w:spacing w:beforeLines="0" w:afterLines="0" w:line="480" w:lineRule="exact"/>
        <w:ind w:firstLine="520"/>
        <w:rPr>
          <w:rFonts w:hint="default"/>
          <w:color w:val="auto"/>
          <w:sz w:val="26"/>
          <w:szCs w:val="24"/>
          <w:highlight w:val="none"/>
        </w:rPr>
      </w:pPr>
      <w:r>
        <w:rPr>
          <w:rFonts w:hint="eastAsia"/>
          <w:color w:val="auto"/>
          <w:sz w:val="26"/>
          <w:szCs w:val="24"/>
          <w:highlight w:val="none"/>
        </w:rPr>
        <w:t>浮游动物损失为：</w:t>
      </w:r>
      <w:r>
        <w:rPr>
          <w:rFonts w:hint="default"/>
          <w:color w:val="auto"/>
          <w:sz w:val="26"/>
          <w:szCs w:val="24"/>
          <w:highlight w:val="none"/>
          <w:lang w:val="en-US" w:eastAsia="zh-CN"/>
        </w:rPr>
        <w:t>387</w:t>
      </w:r>
      <w:r>
        <w:rPr>
          <w:rFonts w:hint="eastAsia"/>
          <w:color w:val="auto"/>
          <w:sz w:val="26"/>
          <w:szCs w:val="24"/>
          <w:highlight w:val="none"/>
        </w:rPr>
        <w:t>万m</w:t>
      </w:r>
      <w:r>
        <w:rPr>
          <w:rFonts w:hint="default"/>
          <w:color w:val="auto"/>
          <w:sz w:val="26"/>
          <w:szCs w:val="24"/>
          <w:highlight w:val="none"/>
          <w:vertAlign w:val="superscript"/>
        </w:rPr>
        <w:t>3</w:t>
      </w:r>
      <w:r>
        <w:rPr>
          <w:rFonts w:hint="default"/>
          <w:color w:val="auto"/>
          <w:sz w:val="26"/>
          <w:szCs w:val="24"/>
          <w:highlight w:val="none"/>
        </w:rPr>
        <w:t>×0.205mg/L×10%×30</w:t>
      </w:r>
      <w:r>
        <w:rPr>
          <w:rFonts w:hint="eastAsia"/>
          <w:color w:val="auto"/>
          <w:sz w:val="26"/>
          <w:szCs w:val="24"/>
          <w:highlight w:val="none"/>
        </w:rPr>
        <w:t>/</w:t>
      </w:r>
      <w:r>
        <w:rPr>
          <w:rFonts w:hint="default"/>
          <w:color w:val="auto"/>
          <w:sz w:val="26"/>
          <w:szCs w:val="24"/>
          <w:highlight w:val="none"/>
        </w:rPr>
        <w:t>365×</w:t>
      </w:r>
      <w:r>
        <w:rPr>
          <w:rFonts w:hint="eastAsia"/>
          <w:color w:val="auto"/>
          <w:sz w:val="26"/>
          <w:szCs w:val="24"/>
          <w:highlight w:val="none"/>
          <w:lang w:val="en-US" w:eastAsia="zh-CN"/>
        </w:rPr>
        <w:t>600</w:t>
      </w:r>
      <w:r>
        <w:rPr>
          <w:rFonts w:hint="eastAsia"/>
          <w:color w:val="auto"/>
          <w:sz w:val="26"/>
          <w:szCs w:val="24"/>
          <w:highlight w:val="none"/>
        </w:rPr>
        <w:t>天=</w:t>
      </w:r>
      <w:r>
        <w:rPr>
          <w:rFonts w:hint="default"/>
          <w:color w:val="auto"/>
          <w:sz w:val="26"/>
          <w:szCs w:val="24"/>
          <w:highlight w:val="none"/>
        </w:rPr>
        <w:t>3912.41 kg</w:t>
      </w:r>
    </w:p>
    <w:p>
      <w:pPr>
        <w:adjustRightInd w:val="0"/>
        <w:snapToGrid w:val="0"/>
        <w:spacing w:beforeLines="0" w:afterLines="0" w:line="480" w:lineRule="exact"/>
        <w:ind w:firstLine="520"/>
        <w:rPr>
          <w:rFonts w:hint="default"/>
          <w:color w:val="auto"/>
          <w:sz w:val="26"/>
          <w:szCs w:val="24"/>
          <w:highlight w:val="none"/>
        </w:rPr>
      </w:pPr>
      <w:r>
        <w:rPr>
          <w:rFonts w:hint="eastAsia"/>
          <w:snapToGrid w:val="0"/>
          <w:color w:val="auto"/>
          <w:kern w:val="0"/>
          <w:sz w:val="26"/>
          <w:szCs w:val="26"/>
          <w:highlight w:val="none"/>
          <w:shd w:val="clear" w:fill="FFFFFF"/>
          <w:lang w:val="en-US" w:eastAsia="zh-CN"/>
        </w:rPr>
        <w:t>涉水</w:t>
      </w:r>
      <w:r>
        <w:rPr>
          <w:rFonts w:hint="eastAsia"/>
          <w:snapToGrid w:val="0"/>
          <w:color w:val="auto"/>
          <w:kern w:val="0"/>
          <w:sz w:val="26"/>
          <w:szCs w:val="26"/>
          <w:highlight w:val="none"/>
          <w:shd w:val="clear" w:fill="FFFFFF"/>
        </w:rPr>
        <w:t>工程</w:t>
      </w:r>
      <w:r>
        <w:rPr>
          <w:rFonts w:hint="eastAsia"/>
          <w:snapToGrid w:val="0"/>
          <w:color w:val="auto"/>
          <w:kern w:val="0"/>
          <w:sz w:val="26"/>
          <w:szCs w:val="26"/>
          <w:highlight w:val="none"/>
        </w:rPr>
        <w:t>实施虽然改变了</w:t>
      </w:r>
      <w:r>
        <w:rPr>
          <w:rFonts w:hint="eastAsia"/>
          <w:snapToGrid w:val="0"/>
          <w:color w:val="auto"/>
          <w:kern w:val="0"/>
          <w:sz w:val="26"/>
          <w:szCs w:val="26"/>
          <w:highlight w:val="none"/>
          <w:lang w:val="en-US" w:eastAsia="zh-CN"/>
        </w:rPr>
        <w:t>工程</w:t>
      </w:r>
      <w:r>
        <w:rPr>
          <w:rFonts w:hint="eastAsia"/>
          <w:snapToGrid w:val="0"/>
          <w:color w:val="auto"/>
          <w:kern w:val="0"/>
          <w:sz w:val="26"/>
          <w:szCs w:val="26"/>
          <w:highlight w:val="none"/>
        </w:rPr>
        <w:t>附近的</w:t>
      </w:r>
      <w:r>
        <w:rPr>
          <w:rFonts w:hint="eastAsia"/>
          <w:snapToGrid w:val="0"/>
          <w:color w:val="auto"/>
          <w:kern w:val="0"/>
          <w:sz w:val="26"/>
          <w:szCs w:val="26"/>
          <w:highlight w:val="none"/>
          <w:lang w:val="en-US" w:eastAsia="zh-CN"/>
        </w:rPr>
        <w:t>水生</w:t>
      </w:r>
      <w:r>
        <w:rPr>
          <w:rFonts w:hint="eastAsia"/>
          <w:snapToGrid w:val="0"/>
          <w:color w:val="auto"/>
          <w:kern w:val="0"/>
          <w:sz w:val="26"/>
          <w:szCs w:val="26"/>
          <w:highlight w:val="none"/>
        </w:rPr>
        <w:t>生态环境，但</w:t>
      </w:r>
      <w:r>
        <w:rPr>
          <w:rFonts w:hint="eastAsia"/>
          <w:color w:val="auto"/>
          <w:sz w:val="26"/>
          <w:szCs w:val="24"/>
          <w:highlight w:val="none"/>
          <w:lang w:val="en-US" w:eastAsia="zh-CN"/>
        </w:rPr>
        <w:t>施工</w:t>
      </w:r>
      <w:r>
        <w:rPr>
          <w:rFonts w:hint="eastAsia"/>
          <w:color w:val="auto"/>
          <w:sz w:val="26"/>
          <w:szCs w:val="24"/>
          <w:highlight w:val="none"/>
        </w:rPr>
        <w:t>结束后，悬浮物的影响也逐渐消失，</w:t>
      </w:r>
      <w:r>
        <w:rPr>
          <w:rFonts w:hint="eastAsia"/>
          <w:snapToGrid w:val="0"/>
          <w:color w:val="auto"/>
          <w:kern w:val="0"/>
          <w:sz w:val="26"/>
          <w:szCs w:val="26"/>
          <w:highlight w:val="none"/>
        </w:rPr>
        <w:t>工程河段水文情势不会有显著变化，河段整体仍然保存原有流水生境及河流相特征，</w:t>
      </w:r>
      <w:r>
        <w:rPr>
          <w:rFonts w:hint="eastAsia"/>
          <w:color w:val="auto"/>
          <w:sz w:val="26"/>
          <w:szCs w:val="24"/>
          <w:highlight w:val="none"/>
        </w:rPr>
        <w:t>浮游生物因其具有种类多、数量大、普生性，分布广及强适应性特点，一段时间后能有效恢复至原有水平，</w:t>
      </w:r>
      <w:r>
        <w:rPr>
          <w:rFonts w:hint="eastAsia"/>
          <w:snapToGrid w:val="0"/>
          <w:color w:val="auto"/>
          <w:kern w:val="0"/>
          <w:sz w:val="26"/>
          <w:szCs w:val="26"/>
          <w:highlight w:val="none"/>
        </w:rPr>
        <w:t>总体保持原有状态</w:t>
      </w:r>
      <w:r>
        <w:rPr>
          <w:rFonts w:hint="eastAsia"/>
          <w:color w:val="auto"/>
          <w:sz w:val="26"/>
          <w:szCs w:val="24"/>
          <w:highlight w:val="none"/>
        </w:rPr>
        <w:t>。</w:t>
      </w:r>
    </w:p>
    <w:p>
      <w:pPr>
        <w:adjustRightInd w:val="0"/>
        <w:snapToGrid w:val="0"/>
        <w:spacing w:beforeLines="0" w:afterLines="0" w:line="480" w:lineRule="exact"/>
        <w:ind w:firstLine="520"/>
        <w:rPr>
          <w:rFonts w:hint="default"/>
          <w:color w:val="auto"/>
          <w:sz w:val="26"/>
          <w:szCs w:val="26"/>
          <w:highlight w:val="none"/>
        </w:rPr>
      </w:pPr>
      <w:r>
        <w:rPr>
          <w:rFonts w:hint="eastAsia"/>
          <w:color w:val="auto"/>
          <w:sz w:val="26"/>
          <w:szCs w:val="26"/>
          <w:highlight w:val="none"/>
        </w:rPr>
        <w:t>综上，本项目施工对浮游动物影响较小。</w:t>
      </w:r>
    </w:p>
    <w:p>
      <w:pPr>
        <w:keepNext w:val="0"/>
        <w:keepLines w:val="0"/>
        <w:pageBreakBefore w:val="0"/>
        <w:widowControl w:val="0"/>
        <w:numPr>
          <w:ilvl w:val="0"/>
          <w:numId w:val="0"/>
        </w:numPr>
        <w:kinsoku/>
        <w:wordWrap/>
        <w:overflowPunct/>
        <w:topLinePunct w:val="0"/>
        <w:autoSpaceDE/>
        <w:autoSpaceDN/>
        <w:bidi w:val="0"/>
        <w:adjustRightInd w:val="0"/>
        <w:snapToGrid w:val="0"/>
        <w:ind w:firstLine="520" w:firstLineChars="200"/>
        <w:textAlignment w:val="auto"/>
        <w:outlineLvl w:val="4"/>
        <w:rPr>
          <w:rFonts w:hint="default"/>
          <w:bCs/>
          <w:color w:val="auto"/>
          <w:szCs w:val="26"/>
          <w:highlight w:val="none"/>
          <w:lang w:val="en-US" w:eastAsia="zh-CN"/>
        </w:rPr>
      </w:pPr>
      <w:r>
        <w:rPr>
          <w:rFonts w:hint="eastAsia"/>
          <w:bCs/>
          <w:color w:val="auto"/>
          <w:szCs w:val="26"/>
          <w:highlight w:val="none"/>
          <w:lang w:val="en-US" w:eastAsia="zh-CN"/>
        </w:rPr>
        <w:t>（2）对底栖动物的影响</w:t>
      </w:r>
    </w:p>
    <w:p>
      <w:pPr>
        <w:adjustRightInd w:val="0"/>
        <w:snapToGrid w:val="0"/>
        <w:spacing w:beforeLines="0" w:afterLines="0" w:line="480" w:lineRule="exact"/>
        <w:ind w:firstLine="520"/>
        <w:rPr>
          <w:rFonts w:hint="default"/>
          <w:color w:val="auto"/>
          <w:sz w:val="26"/>
          <w:szCs w:val="24"/>
          <w:highlight w:val="none"/>
        </w:rPr>
      </w:pPr>
      <w:r>
        <w:rPr>
          <w:rFonts w:hint="eastAsia"/>
          <w:color w:val="auto"/>
          <w:sz w:val="26"/>
          <w:szCs w:val="24"/>
          <w:highlight w:val="none"/>
        </w:rPr>
        <w:t>河床区域栖息着部分底栖动物。由于底栖动物活动能力通常较弱，</w:t>
      </w:r>
      <w:r>
        <w:rPr>
          <w:rFonts w:hint="eastAsia"/>
          <w:color w:val="auto"/>
          <w:sz w:val="26"/>
          <w:szCs w:val="24"/>
          <w:highlight w:val="none"/>
          <w:lang w:val="en-US" w:eastAsia="zh-CN"/>
        </w:rPr>
        <w:t>水下施工</w:t>
      </w:r>
      <w:r>
        <w:rPr>
          <w:rFonts w:hint="eastAsia"/>
          <w:color w:val="auto"/>
          <w:sz w:val="26"/>
          <w:szCs w:val="24"/>
          <w:highlight w:val="none"/>
        </w:rPr>
        <w:t>将直接造成区域内部分底栖动物生物量的永久丧失。此外，</w:t>
      </w:r>
      <w:r>
        <w:rPr>
          <w:rFonts w:hint="eastAsia"/>
          <w:color w:val="auto"/>
          <w:sz w:val="26"/>
          <w:szCs w:val="24"/>
          <w:highlight w:val="none"/>
          <w:lang w:val="en-US" w:eastAsia="zh-CN"/>
        </w:rPr>
        <w:t>施工完成后</w:t>
      </w:r>
      <w:r>
        <w:rPr>
          <w:rFonts w:hint="eastAsia"/>
          <w:color w:val="auto"/>
          <w:sz w:val="26"/>
          <w:szCs w:val="24"/>
          <w:highlight w:val="none"/>
        </w:rPr>
        <w:t>，将改变河床原有生境，会影响区域内底栖动物的多样性和生物量。</w:t>
      </w:r>
    </w:p>
    <w:p>
      <w:pPr>
        <w:adjustRightInd w:val="0"/>
        <w:snapToGrid w:val="0"/>
        <w:spacing w:beforeLines="0" w:afterLines="0" w:line="480" w:lineRule="exact"/>
        <w:ind w:firstLine="520"/>
        <w:rPr>
          <w:rFonts w:hint="eastAsia" w:eastAsia="宋体"/>
          <w:color w:val="auto"/>
          <w:sz w:val="26"/>
          <w:szCs w:val="24"/>
          <w:highlight w:val="none"/>
          <w:lang w:eastAsia="zh-CN"/>
        </w:rPr>
      </w:pPr>
      <w:r>
        <w:rPr>
          <w:rFonts w:hint="eastAsia"/>
          <w:color w:val="auto"/>
          <w:sz w:val="26"/>
          <w:szCs w:val="24"/>
          <w:highlight w:val="none"/>
        </w:rPr>
        <w:t>本</w:t>
      </w:r>
      <w:r>
        <w:rPr>
          <w:rFonts w:hint="eastAsia"/>
          <w:color w:val="auto"/>
          <w:sz w:val="26"/>
          <w:szCs w:val="24"/>
          <w:highlight w:val="none"/>
          <w:lang w:val="en-US" w:eastAsia="zh-CN"/>
        </w:rPr>
        <w:t>项目</w:t>
      </w:r>
      <w:r>
        <w:rPr>
          <w:rFonts w:hint="eastAsia"/>
          <w:color w:val="auto"/>
          <w:sz w:val="26"/>
          <w:szCs w:val="24"/>
          <w:highlight w:val="none"/>
        </w:rPr>
        <w:t>河床扰动开挖</w:t>
      </w:r>
      <w:r>
        <w:rPr>
          <w:rFonts w:hint="eastAsia"/>
          <w:color w:val="auto"/>
          <w:sz w:val="26"/>
          <w:szCs w:val="24"/>
          <w:highlight w:val="none"/>
          <w:lang w:val="en-US" w:eastAsia="zh-CN"/>
        </w:rPr>
        <w:t>主要为水域疏浚和施工围堰等区域，扰动</w:t>
      </w:r>
      <w:r>
        <w:rPr>
          <w:rFonts w:hint="eastAsia"/>
          <w:color w:val="auto"/>
          <w:sz w:val="26"/>
          <w:szCs w:val="24"/>
          <w:highlight w:val="none"/>
        </w:rPr>
        <w:t>面积约为</w:t>
      </w:r>
      <w:r>
        <w:rPr>
          <w:rFonts w:hint="eastAsia"/>
          <w:color w:val="auto"/>
          <w:sz w:val="26"/>
          <w:szCs w:val="24"/>
          <w:highlight w:val="none"/>
          <w:lang w:val="en-US" w:eastAsia="zh-CN"/>
        </w:rPr>
        <w:t>14.7377h</w:t>
      </w:r>
      <w:r>
        <w:rPr>
          <w:rFonts w:hint="eastAsia"/>
          <w:color w:val="auto"/>
          <w:sz w:val="26"/>
          <w:szCs w:val="24"/>
          <w:highlight w:val="none"/>
        </w:rPr>
        <w:t>m</w:t>
      </w:r>
      <w:r>
        <w:rPr>
          <w:rFonts w:hint="eastAsia"/>
          <w:color w:val="auto"/>
          <w:sz w:val="26"/>
          <w:szCs w:val="24"/>
          <w:highlight w:val="none"/>
          <w:vertAlign w:val="superscript"/>
        </w:rPr>
        <w:t>2</w:t>
      </w:r>
      <w:r>
        <w:rPr>
          <w:rFonts w:hint="eastAsia"/>
          <w:color w:val="auto"/>
          <w:sz w:val="26"/>
          <w:szCs w:val="24"/>
          <w:highlight w:val="none"/>
        </w:rPr>
        <w:t>，底栖动物总平均生物量为</w:t>
      </w:r>
      <w:r>
        <w:rPr>
          <w:rFonts w:hint="eastAsia"/>
          <w:color w:val="auto"/>
          <w:sz w:val="26"/>
          <w:szCs w:val="24"/>
          <w:highlight w:val="none"/>
          <w:lang w:val="en-US" w:eastAsia="zh-CN"/>
        </w:rPr>
        <w:t>1.89</w:t>
      </w:r>
      <w:r>
        <w:rPr>
          <w:rFonts w:hint="eastAsia"/>
          <w:color w:val="auto"/>
          <w:sz w:val="26"/>
          <w:szCs w:val="24"/>
          <w:highlight w:val="none"/>
        </w:rPr>
        <w:t>g/m</w:t>
      </w:r>
      <w:r>
        <w:rPr>
          <w:rFonts w:hint="default"/>
          <w:color w:val="auto"/>
          <w:sz w:val="26"/>
          <w:szCs w:val="24"/>
          <w:highlight w:val="none"/>
          <w:vertAlign w:val="superscript"/>
        </w:rPr>
        <w:t>2</w:t>
      </w:r>
      <w:r>
        <w:rPr>
          <w:rFonts w:hint="eastAsia"/>
          <w:color w:val="auto"/>
          <w:sz w:val="26"/>
          <w:szCs w:val="24"/>
          <w:highlight w:val="none"/>
        </w:rPr>
        <w:t>，工程导致底栖动物损失约为</w:t>
      </w:r>
      <w:r>
        <w:rPr>
          <w:rFonts w:hint="eastAsia"/>
          <w:color w:val="auto"/>
          <w:sz w:val="26"/>
          <w:szCs w:val="24"/>
          <w:highlight w:val="none"/>
          <w:lang w:eastAsia="zh-CN"/>
        </w:rPr>
        <w:t>：</w:t>
      </w:r>
      <w:r>
        <w:rPr>
          <w:rFonts w:hint="eastAsia" w:eastAsia="宋体"/>
          <w:color w:val="auto"/>
          <w:sz w:val="26"/>
          <w:szCs w:val="24"/>
          <w:highlight w:val="none"/>
          <w:lang w:val="en-US" w:eastAsia="zh-CN"/>
        </w:rPr>
        <w:t>14.7377</w:t>
      </w:r>
      <w:r>
        <w:rPr>
          <w:rFonts w:hint="eastAsia" w:eastAsia="宋体"/>
          <w:color w:val="auto"/>
          <w:sz w:val="26"/>
          <w:szCs w:val="24"/>
          <w:highlight w:val="none"/>
        </w:rPr>
        <w:t>hm</w:t>
      </w:r>
      <w:r>
        <w:rPr>
          <w:rFonts w:hint="eastAsia" w:eastAsia="宋体"/>
          <w:color w:val="auto"/>
          <w:sz w:val="26"/>
          <w:szCs w:val="24"/>
          <w:highlight w:val="none"/>
          <w:vertAlign w:val="superscript"/>
        </w:rPr>
        <w:t>2</w:t>
      </w:r>
      <w:r>
        <w:rPr>
          <w:rFonts w:hint="eastAsia"/>
          <w:color w:val="auto"/>
          <w:sz w:val="26"/>
          <w:szCs w:val="24"/>
          <w:highlight w:val="none"/>
          <w:lang w:val="en-US" w:eastAsia="zh-CN"/>
        </w:rPr>
        <w:t>×</w:t>
      </w:r>
      <w:r>
        <w:rPr>
          <w:rFonts w:hint="eastAsia" w:eastAsia="宋体"/>
          <w:color w:val="auto"/>
          <w:sz w:val="26"/>
          <w:szCs w:val="24"/>
          <w:highlight w:val="none"/>
        </w:rPr>
        <w:t>1.89g/m</w:t>
      </w:r>
      <w:r>
        <w:rPr>
          <w:rFonts w:hint="eastAsia"/>
          <w:color w:val="auto"/>
          <w:sz w:val="26"/>
          <w:szCs w:val="24"/>
          <w:highlight w:val="none"/>
          <w:vertAlign w:val="superscript"/>
        </w:rPr>
        <w:t>2</w:t>
      </w:r>
      <w:r>
        <w:rPr>
          <w:rFonts w:hint="eastAsia"/>
          <w:color w:val="auto"/>
          <w:sz w:val="26"/>
          <w:szCs w:val="24"/>
          <w:highlight w:val="none"/>
          <w:lang w:val="en-US" w:eastAsia="zh-CN"/>
        </w:rPr>
        <w:t>=278.54</w:t>
      </w:r>
      <w:r>
        <w:rPr>
          <w:rFonts w:hint="default"/>
          <w:color w:val="auto"/>
          <w:sz w:val="26"/>
          <w:szCs w:val="24"/>
          <w:highlight w:val="none"/>
        </w:rPr>
        <w:t>kg</w:t>
      </w:r>
      <w:r>
        <w:rPr>
          <w:rFonts w:hint="eastAsia"/>
          <w:color w:val="auto"/>
          <w:sz w:val="26"/>
          <w:szCs w:val="24"/>
          <w:highlight w:val="none"/>
          <w:lang w:eastAsia="zh-CN"/>
        </w:rPr>
        <w:t>。</w:t>
      </w:r>
    </w:p>
    <w:p>
      <w:pPr>
        <w:adjustRightInd w:val="0"/>
        <w:snapToGrid w:val="0"/>
        <w:spacing w:beforeLines="0" w:afterLines="0" w:line="480" w:lineRule="exact"/>
        <w:ind w:firstLine="520"/>
        <w:rPr>
          <w:rFonts w:hint="default"/>
          <w:color w:val="auto"/>
          <w:sz w:val="26"/>
          <w:szCs w:val="24"/>
          <w:highlight w:val="none"/>
        </w:rPr>
      </w:pPr>
      <w:r>
        <w:rPr>
          <w:rFonts w:hint="eastAsia"/>
          <w:color w:val="auto"/>
          <w:sz w:val="26"/>
          <w:szCs w:val="24"/>
          <w:highlight w:val="none"/>
          <w:shd w:val="clear" w:fill="FFFFFF"/>
          <w:lang w:val="en-US" w:eastAsia="zh-CN"/>
        </w:rPr>
        <w:t>涉水</w:t>
      </w:r>
      <w:r>
        <w:rPr>
          <w:rFonts w:hint="eastAsia"/>
          <w:color w:val="auto"/>
          <w:sz w:val="26"/>
          <w:szCs w:val="24"/>
          <w:highlight w:val="none"/>
          <w:shd w:val="clear" w:fill="FFFFFF"/>
        </w:rPr>
        <w:t>工程</w:t>
      </w:r>
      <w:r>
        <w:rPr>
          <w:rFonts w:hint="eastAsia"/>
          <w:color w:val="auto"/>
          <w:sz w:val="26"/>
          <w:szCs w:val="24"/>
          <w:highlight w:val="none"/>
        </w:rPr>
        <w:t>的实施虽然改变了</w:t>
      </w:r>
      <w:r>
        <w:rPr>
          <w:rFonts w:hint="eastAsia"/>
          <w:color w:val="auto"/>
          <w:sz w:val="26"/>
          <w:szCs w:val="24"/>
          <w:highlight w:val="none"/>
          <w:lang w:val="en-US" w:eastAsia="zh-CN"/>
        </w:rPr>
        <w:t>工程</w:t>
      </w:r>
      <w:r>
        <w:rPr>
          <w:rFonts w:hint="eastAsia"/>
          <w:color w:val="auto"/>
          <w:sz w:val="26"/>
          <w:szCs w:val="24"/>
          <w:highlight w:val="none"/>
        </w:rPr>
        <w:t>附近的生态环境，但是工程河段水文情势不会有显著变化，河段整体仍然保存原有流水生境及河流相特征。工程在施工过</w:t>
      </w:r>
      <w:r>
        <w:rPr>
          <w:rFonts w:hint="eastAsia"/>
          <w:color w:val="auto"/>
          <w:sz w:val="26"/>
          <w:szCs w:val="24"/>
          <w:highlight w:val="none"/>
          <w:shd w:val="clear" w:fill="FFFFFF"/>
          <w:lang w:eastAsia="zh-CN"/>
        </w:rPr>
        <w:t>程中</w:t>
      </w:r>
      <w:r>
        <w:rPr>
          <w:rFonts w:hint="eastAsia"/>
          <w:color w:val="auto"/>
          <w:sz w:val="26"/>
          <w:szCs w:val="24"/>
          <w:highlight w:val="none"/>
        </w:rPr>
        <w:t>短期影响、损坏了底栖生物生境和生物量，但潜坝等建设内容使底质中硬基质成分增加，长期来看为底栖生物提供了附着基质，有可能利于其资源恢复。</w:t>
      </w:r>
    </w:p>
    <w:p>
      <w:pPr>
        <w:keepNext w:val="0"/>
        <w:keepLines w:val="0"/>
        <w:pageBreakBefore w:val="0"/>
        <w:widowControl w:val="0"/>
        <w:numPr>
          <w:ilvl w:val="0"/>
          <w:numId w:val="0"/>
        </w:numPr>
        <w:kinsoku/>
        <w:wordWrap/>
        <w:overflowPunct/>
        <w:topLinePunct w:val="0"/>
        <w:autoSpaceDE/>
        <w:autoSpaceDN/>
        <w:bidi w:val="0"/>
        <w:adjustRightInd w:val="0"/>
        <w:snapToGrid w:val="0"/>
        <w:ind w:firstLine="520" w:firstLineChars="200"/>
        <w:textAlignment w:val="auto"/>
        <w:outlineLvl w:val="4"/>
        <w:rPr>
          <w:rFonts w:hint="default"/>
          <w:bCs/>
          <w:color w:val="auto"/>
          <w:szCs w:val="26"/>
          <w:highlight w:val="none"/>
          <w:lang w:val="en-US" w:eastAsia="zh-CN"/>
        </w:rPr>
      </w:pPr>
      <w:r>
        <w:rPr>
          <w:rFonts w:hint="eastAsia"/>
          <w:bCs/>
          <w:color w:val="auto"/>
          <w:szCs w:val="26"/>
          <w:highlight w:val="none"/>
          <w:lang w:val="en-US" w:eastAsia="zh-CN"/>
        </w:rPr>
        <w:t>（3）对河岸带植被的影响</w:t>
      </w:r>
    </w:p>
    <w:p>
      <w:pPr>
        <w:numPr>
          <w:ilvl w:val="0"/>
          <w:numId w:val="0"/>
        </w:numPr>
        <w:adjustRightInd w:val="0"/>
        <w:snapToGrid w:val="0"/>
        <w:ind w:firstLine="520" w:firstLineChars="200"/>
        <w:rPr>
          <w:rFonts w:hint="eastAsia"/>
          <w:bCs/>
          <w:color w:val="auto"/>
          <w:szCs w:val="26"/>
          <w:highlight w:val="none"/>
        </w:rPr>
      </w:pPr>
      <w:r>
        <w:rPr>
          <w:rFonts w:hint="eastAsia"/>
          <w:bCs/>
          <w:color w:val="auto"/>
          <w:szCs w:val="26"/>
          <w:highlight w:val="none"/>
        </w:rPr>
        <w:t>工程沿岸有较多的宽阔的河滩和阶地。经过长期的开发利用，阶地和缓坡地大多开发成耕地。自然河岸带</w:t>
      </w:r>
      <w:r>
        <w:rPr>
          <w:rFonts w:hint="eastAsia"/>
          <w:bCs/>
          <w:color w:val="auto"/>
          <w:szCs w:val="26"/>
          <w:highlight w:val="none"/>
          <w:lang w:val="en-US" w:eastAsia="zh-CN"/>
        </w:rPr>
        <w:t>植物</w:t>
      </w:r>
      <w:r>
        <w:rPr>
          <w:rFonts w:hint="eastAsia"/>
          <w:bCs/>
          <w:color w:val="auto"/>
          <w:szCs w:val="26"/>
          <w:highlight w:val="none"/>
        </w:rPr>
        <w:t>种类较少，主要优势种为</w:t>
      </w:r>
      <w:r>
        <w:rPr>
          <w:rFonts w:hint="eastAsia"/>
          <w:bCs/>
          <w:color w:val="auto"/>
          <w:szCs w:val="26"/>
          <w:highlight w:val="none"/>
          <w:lang w:val="en-US" w:eastAsia="zh-CN"/>
        </w:rPr>
        <w:t>斑茅、白茅和葎草等，是区域内常见物种</w:t>
      </w:r>
      <w:r>
        <w:rPr>
          <w:rFonts w:hint="eastAsia"/>
          <w:bCs/>
          <w:color w:val="auto"/>
          <w:szCs w:val="26"/>
          <w:highlight w:val="none"/>
        </w:rPr>
        <w:t>。</w:t>
      </w:r>
      <w:r>
        <w:rPr>
          <w:rFonts w:hint="eastAsia"/>
          <w:bCs/>
          <w:color w:val="auto"/>
          <w:szCs w:val="26"/>
          <w:highlight w:val="none"/>
          <w:lang w:val="en-US" w:eastAsia="zh-CN"/>
        </w:rPr>
        <w:t>本工程对</w:t>
      </w:r>
      <w:r>
        <w:rPr>
          <w:rFonts w:hint="eastAsia"/>
          <w:bCs/>
          <w:color w:val="auto"/>
          <w:szCs w:val="26"/>
          <w:highlight w:val="none"/>
        </w:rPr>
        <w:t>河岸带植被</w:t>
      </w:r>
      <w:r>
        <w:rPr>
          <w:rFonts w:hint="eastAsia"/>
          <w:bCs/>
          <w:color w:val="auto"/>
          <w:szCs w:val="26"/>
          <w:highlight w:val="none"/>
          <w:lang w:eastAsia="zh-CN"/>
        </w:rPr>
        <w:t>的</w:t>
      </w:r>
      <w:r>
        <w:rPr>
          <w:rFonts w:hint="eastAsia"/>
          <w:bCs/>
          <w:color w:val="auto"/>
          <w:szCs w:val="26"/>
          <w:highlight w:val="none"/>
          <w:lang w:val="en-US" w:eastAsia="zh-CN"/>
        </w:rPr>
        <w:t>影响主要</w:t>
      </w:r>
      <w:r>
        <w:rPr>
          <w:rFonts w:hint="eastAsia"/>
          <w:bCs/>
          <w:color w:val="auto"/>
          <w:szCs w:val="26"/>
          <w:highlight w:val="none"/>
          <w:shd w:val="clear" w:fill="FFFFFF"/>
          <w:lang w:val="en-US" w:eastAsia="zh-CN"/>
        </w:rPr>
        <w:t>来自于</w:t>
      </w:r>
      <w:r>
        <w:rPr>
          <w:rFonts w:hint="eastAsia"/>
          <w:bCs/>
          <w:color w:val="auto"/>
          <w:szCs w:val="26"/>
          <w:highlight w:val="none"/>
          <w:lang w:val="en-US" w:eastAsia="zh-CN"/>
        </w:rPr>
        <w:t>船闸主体工程、疏浚工程、辅助和临时等工程的占用，但占用面积有限</w:t>
      </w:r>
      <w:r>
        <w:rPr>
          <w:rFonts w:hint="eastAsia"/>
          <w:bCs/>
          <w:color w:val="auto"/>
          <w:szCs w:val="26"/>
          <w:highlight w:val="none"/>
          <w:lang w:eastAsia="zh-CN"/>
        </w:rPr>
        <w:t>；</w:t>
      </w:r>
      <w:r>
        <w:rPr>
          <w:rFonts w:hint="eastAsia"/>
          <w:bCs/>
          <w:color w:val="auto"/>
          <w:szCs w:val="26"/>
          <w:highlight w:val="none"/>
          <w:lang w:val="en-US" w:eastAsia="zh-CN"/>
        </w:rPr>
        <w:t>施工临时占地将在施工完成后进行生态恢复，</w:t>
      </w:r>
      <w:r>
        <w:rPr>
          <w:rFonts w:hint="eastAsia"/>
          <w:bCs/>
          <w:color w:val="auto"/>
          <w:szCs w:val="26"/>
          <w:highlight w:val="none"/>
        </w:rPr>
        <w:t>不会对</w:t>
      </w:r>
      <w:r>
        <w:rPr>
          <w:rFonts w:hint="eastAsia"/>
          <w:bCs/>
          <w:color w:val="auto"/>
          <w:szCs w:val="26"/>
          <w:highlight w:val="none"/>
          <w:lang w:val="en-US" w:eastAsia="zh-CN"/>
        </w:rPr>
        <w:t>区域植被</w:t>
      </w:r>
      <w:r>
        <w:rPr>
          <w:rFonts w:hint="eastAsia"/>
          <w:bCs/>
          <w:color w:val="auto"/>
          <w:szCs w:val="26"/>
          <w:highlight w:val="none"/>
        </w:rPr>
        <w:t>等造成</w:t>
      </w:r>
      <w:r>
        <w:rPr>
          <w:rFonts w:hint="eastAsia"/>
          <w:bCs/>
          <w:color w:val="auto"/>
          <w:szCs w:val="26"/>
          <w:highlight w:val="none"/>
          <w:lang w:val="en-US" w:eastAsia="zh-CN"/>
        </w:rPr>
        <w:t>明显影响</w:t>
      </w:r>
      <w:r>
        <w:rPr>
          <w:rFonts w:hint="eastAsia"/>
          <w:bCs/>
          <w:color w:val="auto"/>
          <w:szCs w:val="26"/>
          <w:highlight w:val="none"/>
        </w:rPr>
        <w:t>，也不会改变评价江段水生植物的整体组成。</w:t>
      </w:r>
    </w:p>
    <w:p>
      <w:pPr>
        <w:keepNext w:val="0"/>
        <w:keepLines w:val="0"/>
        <w:pageBreakBefore w:val="0"/>
        <w:widowControl w:val="0"/>
        <w:numPr>
          <w:ilvl w:val="0"/>
          <w:numId w:val="0"/>
        </w:numPr>
        <w:kinsoku/>
        <w:wordWrap/>
        <w:overflowPunct/>
        <w:topLinePunct w:val="0"/>
        <w:autoSpaceDE/>
        <w:autoSpaceDN/>
        <w:bidi w:val="0"/>
        <w:adjustRightInd w:val="0"/>
        <w:snapToGrid w:val="0"/>
        <w:ind w:firstLine="520" w:firstLineChars="200"/>
        <w:textAlignment w:val="auto"/>
        <w:outlineLvl w:val="4"/>
        <w:rPr>
          <w:rFonts w:hint="eastAsia"/>
          <w:bCs/>
          <w:color w:val="auto"/>
          <w:szCs w:val="26"/>
          <w:highlight w:val="none"/>
          <w:lang w:val="en-US" w:eastAsia="zh-CN"/>
        </w:rPr>
      </w:pPr>
      <w:r>
        <w:rPr>
          <w:rFonts w:hint="eastAsia"/>
          <w:bCs/>
          <w:color w:val="auto"/>
          <w:szCs w:val="26"/>
          <w:highlight w:val="none"/>
          <w:lang w:val="en-US" w:eastAsia="zh-CN"/>
        </w:rPr>
        <w:t>（4）对鱼类的影响</w:t>
      </w:r>
    </w:p>
    <w:p>
      <w:pPr>
        <w:numPr>
          <w:ilvl w:val="0"/>
          <w:numId w:val="0"/>
        </w:numPr>
        <w:adjustRightInd w:val="0"/>
        <w:snapToGrid w:val="0"/>
        <w:ind w:firstLine="520" w:firstLineChars="200"/>
        <w:rPr>
          <w:rFonts w:hint="default"/>
          <w:bCs/>
          <w:color w:val="auto"/>
          <w:szCs w:val="26"/>
          <w:highlight w:val="none"/>
          <w:lang w:val="en-US" w:eastAsia="zh-CN"/>
        </w:rPr>
      </w:pPr>
      <w:r>
        <w:rPr>
          <w:rFonts w:hint="default"/>
          <w:bCs/>
          <w:color w:val="auto"/>
          <w:szCs w:val="26"/>
          <w:highlight w:val="none"/>
          <w:lang w:val="en-US" w:eastAsia="zh-CN"/>
        </w:rPr>
        <w:t>本工程施工阶段对鱼类的影响</w:t>
      </w:r>
      <w:r>
        <w:rPr>
          <w:rFonts w:hint="eastAsia"/>
          <w:bCs/>
          <w:color w:val="auto"/>
          <w:szCs w:val="26"/>
          <w:highlight w:val="none"/>
          <w:lang w:val="en-US" w:eastAsia="zh-CN"/>
        </w:rPr>
        <w:t>包括炸礁、疏浚引起的水域扰动和围堰施工占地等引起</w:t>
      </w:r>
      <w:r>
        <w:rPr>
          <w:rFonts w:hint="default"/>
          <w:bCs/>
          <w:color w:val="auto"/>
          <w:szCs w:val="26"/>
          <w:highlight w:val="none"/>
          <w:lang w:val="en-US" w:eastAsia="zh-CN"/>
        </w:rPr>
        <w:t>河床底质改变、悬浮物浓度上升、施工噪声干扰和饵料</w:t>
      </w:r>
      <w:r>
        <w:rPr>
          <w:rFonts w:hint="default"/>
          <w:bCs/>
          <w:color w:val="auto"/>
          <w:szCs w:val="26"/>
          <w:highlight w:val="none"/>
          <w:shd w:val="clear" w:fill="FFFFFF"/>
          <w:lang w:val="en-US" w:eastAsia="zh-CN"/>
        </w:rPr>
        <w:t>生物降低</w:t>
      </w:r>
      <w:r>
        <w:rPr>
          <w:rFonts w:hint="default"/>
          <w:bCs/>
          <w:color w:val="auto"/>
          <w:szCs w:val="26"/>
          <w:highlight w:val="none"/>
          <w:lang w:val="en-US" w:eastAsia="zh-CN"/>
        </w:rPr>
        <w:t>带来的影响。</w:t>
      </w:r>
    </w:p>
    <w:p>
      <w:pPr>
        <w:keepNext w:val="0"/>
        <w:keepLines w:val="0"/>
        <w:pageBreakBefore w:val="0"/>
        <w:widowControl w:val="0"/>
        <w:numPr>
          <w:ilvl w:val="0"/>
          <w:numId w:val="0"/>
        </w:numPr>
        <w:kinsoku/>
        <w:wordWrap/>
        <w:overflowPunct/>
        <w:topLinePunct w:val="0"/>
        <w:autoSpaceDE/>
        <w:autoSpaceDN/>
        <w:bidi w:val="0"/>
        <w:adjustRightInd w:val="0"/>
        <w:snapToGrid w:val="0"/>
        <w:ind w:firstLine="520" w:firstLineChars="200"/>
        <w:textAlignment w:val="auto"/>
        <w:outlineLvl w:val="5"/>
        <w:rPr>
          <w:rFonts w:hint="eastAsia"/>
          <w:bCs/>
          <w:color w:val="auto"/>
          <w:szCs w:val="26"/>
          <w:highlight w:val="none"/>
          <w:lang w:val="en-US" w:eastAsia="zh-CN"/>
        </w:rPr>
      </w:pPr>
      <w:r>
        <w:rPr>
          <w:rFonts w:hint="eastAsia"/>
          <w:bCs/>
          <w:color w:val="auto"/>
          <w:szCs w:val="26"/>
          <w:highlight w:val="none"/>
          <w:lang w:val="en-US" w:eastAsia="zh-CN"/>
        </w:rPr>
        <w:t>① 炸礁对鱼类的影响</w:t>
      </w:r>
    </w:p>
    <w:p>
      <w:pPr>
        <w:pStyle w:val="23"/>
        <w:keepNext w:val="0"/>
        <w:keepLines w:val="0"/>
        <w:widowControl w:val="0"/>
        <w:suppressLineNumbers w:val="0"/>
        <w:spacing w:before="0" w:beforeAutospacing="0" w:after="0" w:afterAutospacing="0" w:line="480" w:lineRule="exact"/>
        <w:ind w:left="0" w:right="0" w:firstLine="520" w:firstLineChars="200"/>
        <w:jc w:val="both"/>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A 概述</w:t>
      </w:r>
    </w:p>
    <w:p>
      <w:pPr>
        <w:keepNext w:val="0"/>
        <w:keepLines w:val="0"/>
        <w:widowControl w:val="0"/>
        <w:suppressLineNumbers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0"/>
          <w:sz w:val="26"/>
          <w:szCs w:val="26"/>
          <w:highlight w:val="none"/>
        </w:rPr>
      </w:pPr>
      <w:r>
        <w:rPr>
          <w:rFonts w:hint="default" w:ascii="Times New Roman" w:hAnsi="Times New Roman" w:eastAsia="宋体" w:cs="Times New Roman"/>
          <w:color w:val="auto"/>
          <w:kern w:val="0"/>
          <w:sz w:val="26"/>
          <w:szCs w:val="26"/>
          <w:highlight w:val="none"/>
          <w:lang w:val="en-US" w:eastAsia="zh-CN" w:bidi="ar"/>
        </w:rPr>
        <w:t>爆炸冲击波会使周围产生瞬间的高压，这种高压以波动的形式向外传播，从而对</w:t>
      </w:r>
      <w:r>
        <w:rPr>
          <w:rFonts w:hint="default" w:ascii="Times New Roman" w:hAnsi="Times New Roman" w:eastAsia="宋体" w:cs="Times New Roman"/>
          <w:color w:val="auto"/>
          <w:kern w:val="0"/>
          <w:sz w:val="26"/>
          <w:szCs w:val="26"/>
          <w:highlight w:val="none"/>
          <w:shd w:val="clear" w:fill="FFFFFF"/>
          <w:lang w:val="en-US" w:eastAsia="zh-CN" w:bidi="ar"/>
        </w:rPr>
        <w:t>波及到的</w:t>
      </w:r>
      <w:r>
        <w:rPr>
          <w:rFonts w:hint="default" w:ascii="Times New Roman" w:hAnsi="Times New Roman" w:eastAsia="宋体" w:cs="Times New Roman"/>
          <w:color w:val="auto"/>
          <w:kern w:val="0"/>
          <w:sz w:val="26"/>
          <w:szCs w:val="26"/>
          <w:highlight w:val="none"/>
          <w:lang w:val="en-US" w:eastAsia="zh-CN" w:bidi="ar"/>
        </w:rPr>
        <w:t>生物产生影响。工程水下爆破的冲击波及振动对安全距离以外的鱼类有驱离作用，将导致工程建设期间邻近小范围水域鱼类资源量减少。如果不控制爆破安全距离将导致鱼类及漂流经过的卵苗受伤或死亡。</w:t>
      </w:r>
    </w:p>
    <w:p>
      <w:pPr>
        <w:keepNext w:val="0"/>
        <w:keepLines w:val="0"/>
        <w:widowControl w:val="0"/>
        <w:suppressLineNumbers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0"/>
          <w:sz w:val="26"/>
          <w:szCs w:val="26"/>
          <w:highlight w:val="none"/>
        </w:rPr>
      </w:pPr>
      <w:r>
        <w:rPr>
          <w:rFonts w:hint="default" w:ascii="Times New Roman" w:hAnsi="Times New Roman" w:eastAsia="宋体" w:cs="Times New Roman"/>
          <w:color w:val="auto"/>
          <w:kern w:val="0"/>
          <w:sz w:val="26"/>
          <w:szCs w:val="26"/>
          <w:highlight w:val="none"/>
          <w:lang w:val="en-US" w:eastAsia="zh-CN" w:bidi="ar"/>
        </w:rPr>
        <w:t>水下爆破可损伤鱼类的</w:t>
      </w:r>
      <w:r>
        <w:rPr>
          <w:rFonts w:hint="eastAsia" w:cs="Times New Roman"/>
          <w:color w:val="auto"/>
          <w:kern w:val="0"/>
          <w:sz w:val="26"/>
          <w:szCs w:val="26"/>
          <w:highlight w:val="none"/>
          <w:shd w:val="clear" w:fill="FFFFFF"/>
          <w:lang w:val="en-US" w:eastAsia="zh-CN" w:bidi="ar"/>
        </w:rPr>
        <w:t>组织和</w:t>
      </w:r>
      <w:r>
        <w:rPr>
          <w:rFonts w:hint="default" w:ascii="Times New Roman" w:hAnsi="Times New Roman" w:eastAsia="宋体" w:cs="Times New Roman"/>
          <w:color w:val="auto"/>
          <w:kern w:val="0"/>
          <w:sz w:val="26"/>
          <w:szCs w:val="26"/>
          <w:highlight w:val="none"/>
          <w:lang w:val="en-US" w:eastAsia="zh-CN" w:bidi="ar"/>
        </w:rPr>
        <w:t>器官。在对黄姑鱼的研究中发现，水下爆破使其腔壁出血，对其耳石、鳃、鳔、肝、胆、肾等产生不同程度的损伤。一般认为，爆炸时所产生的过高压和超低压交替变换所产生的振动，是爆炸中导致鱼类死亡的主要原因，而鱼体中最容易受到伤害的器官就是充满空气的鱼鳔。因此，无鳔鱼类和有较小鱼鳔的鱼类有较强的抵抗爆炸冲击的能力。对于无鳔鱼类来说，同样条件下存活的机会要大得多。</w:t>
      </w:r>
    </w:p>
    <w:p>
      <w:pPr>
        <w:keepNext w:val="0"/>
        <w:keepLines w:val="0"/>
        <w:widowControl w:val="0"/>
        <w:suppressLineNumbers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0"/>
          <w:sz w:val="26"/>
          <w:szCs w:val="26"/>
          <w:highlight w:val="none"/>
        </w:rPr>
      </w:pPr>
      <w:r>
        <w:rPr>
          <w:rFonts w:hint="default" w:ascii="Times New Roman" w:hAnsi="Times New Roman" w:eastAsia="宋体" w:cs="Times New Roman"/>
          <w:color w:val="auto"/>
          <w:kern w:val="0"/>
          <w:sz w:val="26"/>
          <w:szCs w:val="26"/>
          <w:highlight w:val="none"/>
          <w:lang w:val="en-US" w:eastAsia="zh-CN" w:bidi="ar"/>
        </w:rPr>
        <w:t>水下爆破也会对鱼类的行为产生一定影响。水下爆破冲击波会大大降低鱼类的游动能力，使其行动缓慢麻木，有些鱼会失去平衡，腹部向上或侧向在水面游动。巨大的爆破</w:t>
      </w:r>
      <w:r>
        <w:rPr>
          <w:rFonts w:hint="default" w:ascii="Times New Roman" w:hAnsi="Times New Roman" w:eastAsia="宋体" w:cs="Times New Roman"/>
          <w:color w:val="auto"/>
          <w:kern w:val="0"/>
          <w:sz w:val="26"/>
          <w:szCs w:val="26"/>
          <w:highlight w:val="none"/>
          <w:shd w:val="clear" w:fill="FFFFFF"/>
          <w:lang w:val="en-US" w:eastAsia="zh-CN" w:bidi="ar"/>
        </w:rPr>
        <w:t>噪音</w:t>
      </w:r>
      <w:r>
        <w:rPr>
          <w:rFonts w:hint="default" w:ascii="Times New Roman" w:hAnsi="Times New Roman" w:eastAsia="宋体" w:cs="Times New Roman"/>
          <w:color w:val="auto"/>
          <w:kern w:val="0"/>
          <w:sz w:val="26"/>
          <w:szCs w:val="26"/>
          <w:highlight w:val="none"/>
          <w:lang w:val="en-US" w:eastAsia="zh-CN" w:bidi="ar"/>
        </w:rPr>
        <w:t>会使水环境变得十分嘈杂，导致鱼类无法辨别声音信号，甚至破坏鱼类的听力系统。一旦它们的听力丧失或者被破坏，与此相关的觅食、攻击、保卫领域、防卫、生殖等行为活动都会受到影响。虽然许多种类的成鱼和幼鱼在听到爆炸声后能迅速游离爆炸水域，但仔鱼和鱼卵因游泳能力弱或没有游泳能力，更容易受到爆破的影响。</w:t>
      </w:r>
    </w:p>
    <w:p>
      <w:pPr>
        <w:keepNext w:val="0"/>
        <w:keepLines w:val="0"/>
        <w:widowControl w:val="0"/>
        <w:suppressLineNumbers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0"/>
          <w:sz w:val="26"/>
          <w:szCs w:val="26"/>
          <w:highlight w:val="none"/>
        </w:rPr>
      </w:pPr>
      <w:r>
        <w:rPr>
          <w:rFonts w:hint="default" w:ascii="Times New Roman" w:hAnsi="Times New Roman" w:eastAsia="宋体" w:cs="Times New Roman"/>
          <w:color w:val="auto"/>
          <w:kern w:val="0"/>
          <w:sz w:val="26"/>
          <w:szCs w:val="26"/>
          <w:highlight w:val="none"/>
          <w:lang w:val="en-US" w:eastAsia="zh-CN" w:bidi="ar"/>
        </w:rPr>
        <w:t>此外，水下爆破也会使水体中的重金属、悬浮物、浑浊度等指标发生变化，从而影响鱼类的呼吸、摄食以及卵苗的孵化率和成活率。当水中悬浮物质含量过高时，悬浮颗粒会随着鱼类的呼吸进入鳃部，沉积在鳃瓣、鳃丝及鳃小片上，不仅损伤鳃组织，而且影响鱼类的滤水和呼吸功能，甚至造成呼吸困难和窒息现象。悬浮泥沙沉降后对鱼卵的覆盖作用可使孵化率大幅度下降，泥沙沉降还会掩埋水底的石砾、碎石及水底其他不规则的类似物，从而阻碍了仔鱼与水流间溶解氧和CO</w:t>
      </w:r>
      <w:r>
        <w:rPr>
          <w:rFonts w:hint="default" w:ascii="Times New Roman" w:hAnsi="Times New Roman" w:eastAsia="宋体" w:cs="Times New Roman"/>
          <w:color w:val="auto"/>
          <w:kern w:val="0"/>
          <w:sz w:val="26"/>
          <w:szCs w:val="26"/>
          <w:highlight w:val="none"/>
          <w:vertAlign w:val="subscript"/>
          <w:lang w:val="en-US" w:eastAsia="zh-CN" w:bidi="ar"/>
        </w:rPr>
        <w:t>2</w:t>
      </w:r>
      <w:r>
        <w:rPr>
          <w:rFonts w:hint="default" w:ascii="Times New Roman" w:hAnsi="Times New Roman" w:eastAsia="宋体" w:cs="Times New Roman"/>
          <w:color w:val="auto"/>
          <w:kern w:val="0"/>
          <w:sz w:val="26"/>
          <w:szCs w:val="26"/>
          <w:highlight w:val="none"/>
          <w:lang w:val="en-US" w:eastAsia="zh-CN" w:bidi="ar"/>
        </w:rPr>
        <w:t>的充分交换，破坏了仔鱼借以躲避敌害、提高成活率的天然庇护场所。</w:t>
      </w:r>
    </w:p>
    <w:p>
      <w:pPr>
        <w:keepNext w:val="0"/>
        <w:keepLines w:val="0"/>
        <w:widowControl w:val="0"/>
        <w:suppressLineNumbers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0"/>
          <w:sz w:val="26"/>
          <w:szCs w:val="26"/>
          <w:highlight w:val="none"/>
        </w:rPr>
      </w:pPr>
      <w:r>
        <w:rPr>
          <w:rFonts w:hint="default" w:ascii="Times New Roman" w:hAnsi="Times New Roman" w:eastAsia="宋体" w:cs="Times New Roman"/>
          <w:color w:val="auto"/>
          <w:kern w:val="0"/>
          <w:sz w:val="26"/>
          <w:szCs w:val="26"/>
          <w:highlight w:val="none"/>
          <w:lang w:val="en-US" w:eastAsia="zh-CN" w:bidi="ar"/>
        </w:rPr>
        <w:t>爆破对不同种类和不同个体大小生物的影响不同。鱼、虾、蟹和贝类，其形态和结构存在多种差异，因此，它们对爆破产生的振动也有不同的抗御性。鱼生活于水层中，鳔对爆破产生的</w:t>
      </w:r>
      <w:r>
        <w:rPr>
          <w:rFonts w:hint="default" w:ascii="Times New Roman" w:hAnsi="Times New Roman" w:eastAsia="宋体" w:cs="Times New Roman"/>
          <w:color w:val="auto"/>
          <w:kern w:val="0"/>
          <w:sz w:val="26"/>
          <w:szCs w:val="26"/>
          <w:highlight w:val="none"/>
          <w:shd w:val="clear" w:fill="FFFFFF"/>
          <w:lang w:val="en-US" w:eastAsia="zh-CN" w:bidi="ar"/>
        </w:rPr>
        <w:t>水击波</w:t>
      </w:r>
      <w:r>
        <w:rPr>
          <w:rFonts w:hint="default" w:ascii="Times New Roman" w:hAnsi="Times New Roman" w:eastAsia="宋体" w:cs="Times New Roman"/>
          <w:color w:val="auto"/>
          <w:kern w:val="0"/>
          <w:sz w:val="26"/>
          <w:szCs w:val="26"/>
          <w:highlight w:val="none"/>
          <w:lang w:val="en-US" w:eastAsia="zh-CN" w:bidi="ar"/>
        </w:rPr>
        <w:t>非常敏感，极易震破或发生畸变，导致鱼体损伤。虾、蟹和贝类的体壳坚硬，对冲击波的抗震性相对较强。不同种类的渔业生物其致死率明显不同，鱼类对爆破适应能力弱，抗震性差，致死率高；蟹类和贝类适应能力强，抗震性好，致死率低。此外，不同个体大小对爆破冲击波的耐受性也不同，个体小的渔业生物致死率相对同种个体大的生物要高。以脊尾白虾为例，50～70mm与71～90mm两种大小的群体中，前者受损害更严重（蒋玫等，2005，水下爆破对渔业生物影响的研究，海洋渔业，27:150-153）。因此，幼体受爆破所产生的冲击波损害较大。</w:t>
      </w:r>
    </w:p>
    <w:p>
      <w:pPr>
        <w:keepNext w:val="0"/>
        <w:keepLines w:val="0"/>
        <w:widowControl w:val="0"/>
        <w:suppressLineNumbers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0"/>
          <w:sz w:val="26"/>
          <w:szCs w:val="26"/>
          <w:highlight w:val="none"/>
        </w:rPr>
      </w:pPr>
      <w:r>
        <w:rPr>
          <w:rFonts w:hint="default" w:ascii="Times New Roman" w:hAnsi="Times New Roman" w:eastAsia="宋体" w:cs="Times New Roman"/>
          <w:color w:val="auto"/>
          <w:kern w:val="0"/>
          <w:sz w:val="26"/>
          <w:szCs w:val="26"/>
          <w:highlight w:val="none"/>
          <w:lang w:val="en-US" w:eastAsia="zh-CN" w:bidi="ar"/>
        </w:rPr>
        <w:t>B 水下爆破鱼类安全距离分析</w:t>
      </w:r>
    </w:p>
    <w:p>
      <w:pPr>
        <w:keepNext w:val="0"/>
        <w:keepLines w:val="0"/>
        <w:widowControl w:val="0"/>
        <w:suppressLineNumbers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0"/>
          <w:sz w:val="26"/>
          <w:szCs w:val="26"/>
          <w:highlight w:val="none"/>
        </w:rPr>
      </w:pPr>
      <w:r>
        <w:rPr>
          <w:rFonts w:hint="default" w:ascii="Times New Roman" w:hAnsi="Times New Roman" w:eastAsia="宋体" w:cs="Times New Roman"/>
          <w:color w:val="auto"/>
          <w:kern w:val="0"/>
          <w:sz w:val="26"/>
          <w:szCs w:val="26"/>
          <w:highlight w:val="none"/>
          <w:lang w:val="en-US" w:eastAsia="zh-CN" w:bidi="ar"/>
        </w:rPr>
        <w:t>韩雪慧等对2008年长江铜锣峡航道整治工程爆破现场进行了监测及鱼卵损伤实验</w:t>
      </w:r>
      <w:r>
        <w:rPr>
          <w:rFonts w:hint="default" w:ascii="Times New Roman" w:hAnsi="Times New Roman" w:eastAsia="宋体" w:cs="Times New Roman"/>
          <w:color w:val="auto"/>
          <w:kern w:val="0"/>
          <w:sz w:val="26"/>
          <w:szCs w:val="26"/>
          <w:highlight w:val="none"/>
          <w:shd w:val="clear" w:fill="FFFFFF"/>
          <w:lang w:val="en-US" w:eastAsia="zh-CN" w:bidi="ar"/>
        </w:rPr>
        <w:t>（</w:t>
      </w:r>
      <w:r>
        <w:rPr>
          <w:rFonts w:hint="default" w:ascii="Times New Roman" w:hAnsi="Times New Roman" w:eastAsia="宋体" w:cs="Times New Roman"/>
          <w:color w:val="auto"/>
          <w:kern w:val="0"/>
          <w:sz w:val="26"/>
          <w:szCs w:val="26"/>
          <w:highlight w:val="none"/>
          <w:lang w:val="en-US" w:eastAsia="zh-CN" w:bidi="ar"/>
        </w:rPr>
        <w:t>韩雪慧,刘建虎,郑永华等.航道炸礁对长江铜锣峡江段渔业资源影响初步研究.水生态学杂志.2010,3(4</w:t>
      </w:r>
      <w:r>
        <w:rPr>
          <w:rFonts w:hint="default" w:ascii="Times New Roman" w:hAnsi="Times New Roman" w:eastAsia="宋体" w:cs="Times New Roman"/>
          <w:color w:val="auto"/>
          <w:kern w:val="0"/>
          <w:sz w:val="26"/>
          <w:szCs w:val="26"/>
          <w:highlight w:val="none"/>
          <w:shd w:val="clear" w:fill="FFFFFF"/>
          <w:lang w:val="en-US" w:eastAsia="zh-CN" w:bidi="ar"/>
        </w:rPr>
        <w:t>)</w:t>
      </w:r>
      <w:r>
        <w:rPr>
          <w:rFonts w:hint="default" w:ascii="Times New Roman" w:hAnsi="Times New Roman" w:eastAsia="宋体" w:cs="Times New Roman"/>
          <w:color w:val="auto"/>
          <w:kern w:val="0"/>
          <w:sz w:val="26"/>
          <w:szCs w:val="26"/>
          <w:highlight w:val="none"/>
          <w:lang w:val="en-US" w:eastAsia="zh-CN" w:bidi="ar"/>
        </w:rPr>
        <w:t>:75-80.</w:t>
      </w:r>
      <w:r>
        <w:rPr>
          <w:rFonts w:hint="default" w:ascii="Times New Roman" w:hAnsi="Times New Roman" w:eastAsia="宋体" w:cs="Times New Roman"/>
          <w:color w:val="auto"/>
          <w:kern w:val="0"/>
          <w:sz w:val="26"/>
          <w:szCs w:val="26"/>
          <w:highlight w:val="none"/>
          <w:shd w:val="clear" w:fill="FFFFFF"/>
          <w:lang w:val="en-US" w:eastAsia="zh-CN" w:bidi="ar"/>
        </w:rPr>
        <w:t>）</w:t>
      </w:r>
      <w:r>
        <w:rPr>
          <w:rFonts w:hint="default" w:ascii="Times New Roman" w:hAnsi="Times New Roman" w:eastAsia="宋体" w:cs="Times New Roman"/>
          <w:color w:val="auto"/>
          <w:kern w:val="0"/>
          <w:sz w:val="26"/>
          <w:szCs w:val="26"/>
          <w:highlight w:val="none"/>
          <w:lang w:val="en-US" w:eastAsia="zh-CN" w:bidi="ar"/>
        </w:rPr>
        <w:t>，鱼卵损伤试验时采用的是水下钻孔爆破，钻孔深度1m~1.5m，起药量为120kg的35％硝化甘油炸药。试验表明，在离爆点150m距离以内，爆破冲击波使100%的鱼卵外壳破损。此后，距离越</w:t>
      </w:r>
      <w:r>
        <w:rPr>
          <w:rFonts w:hint="default" w:ascii="Times New Roman" w:hAnsi="Times New Roman" w:eastAsia="宋体" w:cs="Times New Roman"/>
          <w:color w:val="auto"/>
          <w:kern w:val="0"/>
          <w:sz w:val="26"/>
          <w:szCs w:val="26"/>
          <w:highlight w:val="none"/>
          <w:shd w:val="clear" w:fill="FFFFFF"/>
          <w:lang w:val="en-US" w:eastAsia="zh-CN" w:bidi="ar"/>
        </w:rPr>
        <w:t>远损伤</w:t>
      </w:r>
      <w:r>
        <w:rPr>
          <w:rFonts w:hint="default" w:ascii="Times New Roman" w:hAnsi="Times New Roman" w:eastAsia="宋体" w:cs="Times New Roman"/>
          <w:color w:val="auto"/>
          <w:kern w:val="0"/>
          <w:sz w:val="26"/>
          <w:szCs w:val="26"/>
          <w:highlight w:val="none"/>
          <w:lang w:val="en-US" w:eastAsia="zh-CN" w:bidi="ar"/>
        </w:rPr>
        <w:t>率逐渐减小，但在350m距离上破损率仍高达51.6%。爆破处理后未破损鱼卵的孵化率也极低，距爆点200~300m的鱼卵全部未正常孵化，距爆点350m的鱼卵的孵化率只有15.41%，仅为对照组的27.37%。试验表明，距水下爆点300m内鱼卵全部不能存活，350m内鱼卵存活率也较低，这说明水下爆破对一定范围内的鱼卵存在明显的损伤作用。</w:t>
      </w:r>
    </w:p>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6"/>
          <w:szCs w:val="26"/>
          <w:highlight w:val="none"/>
        </w:rPr>
      </w:pPr>
      <w:r>
        <w:rPr>
          <w:rFonts w:hint="eastAsia" w:ascii="宋体" w:hAnsi="宋体" w:eastAsia="宋体" w:cs="宋体"/>
          <w:color w:val="auto"/>
          <w:kern w:val="0"/>
          <w:sz w:val="26"/>
          <w:szCs w:val="26"/>
          <w:highlight w:val="none"/>
          <w:lang w:val="en-US" w:eastAsia="zh-CN" w:bidi="ar"/>
        </w:rPr>
        <w:t>表</w:t>
      </w:r>
      <w:r>
        <w:rPr>
          <w:rFonts w:hint="eastAsia" w:ascii="Times New Roman" w:hAnsi="Times New Roman" w:eastAsia="宋体" w:cs="Times New Roman"/>
          <w:color w:val="auto"/>
          <w:kern w:val="0"/>
          <w:sz w:val="26"/>
          <w:szCs w:val="26"/>
          <w:highlight w:val="none"/>
          <w:lang w:val="en-US" w:eastAsia="zh-CN" w:bidi="ar"/>
        </w:rPr>
        <w:t xml:space="preserve">4.1.1.2-1  </w:t>
      </w:r>
      <w:r>
        <w:rPr>
          <w:rFonts w:hint="eastAsia" w:ascii="宋体" w:hAnsi="宋体" w:eastAsia="宋体" w:cs="宋体"/>
          <w:color w:val="auto"/>
          <w:kern w:val="0"/>
          <w:sz w:val="26"/>
          <w:szCs w:val="26"/>
          <w:highlight w:val="none"/>
          <w:lang w:val="en-US" w:eastAsia="zh-CN" w:bidi="ar"/>
        </w:rPr>
        <w:t>爆破冲击波对不同距离鱼卵的影响</w:t>
      </w:r>
    </w:p>
    <w:tbl>
      <w:tblPr>
        <w:tblStyle w:val="28"/>
        <w:tblW w:w="48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396"/>
        <w:gridCol w:w="1426"/>
        <w:gridCol w:w="1426"/>
        <w:gridCol w:w="1182"/>
        <w:gridCol w:w="2046"/>
        <w:gridCol w:w="10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39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eastAsia" w:ascii="宋体" w:hAnsi="宋体" w:eastAsia="宋体" w:cs="宋体"/>
                <w:color w:val="auto"/>
                <w:kern w:val="2"/>
                <w:sz w:val="22"/>
                <w:szCs w:val="22"/>
                <w:highlight w:val="none"/>
                <w:lang w:val="en-US" w:eastAsia="zh-CN" w:bidi="ar"/>
              </w:rPr>
              <w:t>距离（</w:t>
            </w:r>
            <w:r>
              <w:rPr>
                <w:rFonts w:hint="default" w:ascii="Times New Roman" w:hAnsi="Times New Roman" w:eastAsia="宋体" w:cs="Times New Roman"/>
                <w:color w:val="auto"/>
                <w:kern w:val="2"/>
                <w:sz w:val="22"/>
                <w:szCs w:val="22"/>
                <w:highlight w:val="none"/>
                <w:lang w:val="en-US" w:eastAsia="zh-CN" w:bidi="ar"/>
              </w:rPr>
              <w:t>m</w:t>
            </w:r>
            <w:r>
              <w:rPr>
                <w:rFonts w:hint="eastAsia" w:ascii="宋体" w:hAnsi="宋体" w:eastAsia="宋体" w:cs="宋体"/>
                <w:color w:val="auto"/>
                <w:kern w:val="2"/>
                <w:sz w:val="22"/>
                <w:szCs w:val="22"/>
                <w:highlight w:val="none"/>
                <w:lang w:val="en-US" w:eastAsia="zh-CN" w:bidi="ar"/>
              </w:rPr>
              <w:t>）</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eastAsia" w:ascii="宋体" w:hAnsi="宋体" w:eastAsia="宋体" w:cs="宋体"/>
                <w:color w:val="auto"/>
                <w:kern w:val="2"/>
                <w:sz w:val="22"/>
                <w:szCs w:val="22"/>
                <w:highlight w:val="none"/>
                <w:lang w:val="en-US" w:eastAsia="zh-CN" w:bidi="ar"/>
              </w:rPr>
              <w:t>鲢胚胎数（枚）</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eastAsia" w:ascii="宋体" w:hAnsi="宋体" w:eastAsia="宋体" w:cs="宋体"/>
                <w:color w:val="auto"/>
                <w:kern w:val="2"/>
                <w:sz w:val="22"/>
                <w:szCs w:val="22"/>
                <w:highlight w:val="none"/>
                <w:lang w:val="en-US" w:eastAsia="zh-CN" w:bidi="ar"/>
              </w:rPr>
              <w:t>破裂数量（枚）</w:t>
            </w:r>
          </w:p>
        </w:tc>
        <w:tc>
          <w:tcPr>
            <w:tcW w:w="118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eastAsia" w:ascii="宋体" w:hAnsi="宋体" w:eastAsia="宋体" w:cs="宋体"/>
                <w:color w:val="auto"/>
                <w:kern w:val="2"/>
                <w:sz w:val="22"/>
                <w:szCs w:val="22"/>
                <w:highlight w:val="none"/>
                <w:lang w:val="en-US" w:eastAsia="zh-CN" w:bidi="ar"/>
              </w:rPr>
              <w:t>破裂率</w:t>
            </w:r>
            <w:r>
              <w:rPr>
                <w:rFonts w:hint="default" w:ascii="Times New Roman" w:hAnsi="Times New Roman" w:eastAsia="宋体" w:cs="Times New Roman"/>
                <w:color w:val="auto"/>
                <w:kern w:val="2"/>
                <w:sz w:val="22"/>
                <w:szCs w:val="22"/>
                <w:highlight w:val="none"/>
                <w:lang w:val="en-US" w:eastAsia="zh-CN" w:bidi="ar"/>
              </w:rPr>
              <w:t>%</w:t>
            </w:r>
          </w:p>
        </w:tc>
        <w:tc>
          <w:tcPr>
            <w:tcW w:w="204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eastAsia" w:ascii="宋体" w:hAnsi="宋体" w:eastAsia="宋体" w:cs="宋体"/>
                <w:color w:val="auto"/>
                <w:kern w:val="2"/>
                <w:sz w:val="22"/>
                <w:szCs w:val="22"/>
                <w:highlight w:val="none"/>
                <w:lang w:val="en-US" w:eastAsia="zh-CN" w:bidi="ar"/>
              </w:rPr>
              <w:t>未破胚胎孵化数（枚）</w:t>
            </w:r>
          </w:p>
        </w:tc>
        <w:tc>
          <w:tcPr>
            <w:tcW w:w="1047"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eastAsia" w:ascii="宋体" w:hAnsi="宋体" w:eastAsia="宋体" w:cs="宋体"/>
                <w:color w:val="auto"/>
                <w:kern w:val="2"/>
                <w:sz w:val="22"/>
                <w:szCs w:val="22"/>
                <w:highlight w:val="none"/>
                <w:lang w:val="en-US" w:eastAsia="zh-CN" w:bidi="ar"/>
              </w:rPr>
              <w:t>孵化率</w:t>
            </w:r>
            <w:r>
              <w:rPr>
                <w:rFonts w:hint="default" w:ascii="Times New Roman" w:hAnsi="Times New Roman" w:eastAsia="宋体" w:cs="Times New Roman"/>
                <w:color w:val="auto"/>
                <w:kern w:val="2"/>
                <w:sz w:val="22"/>
                <w:szCs w:val="22"/>
                <w:highlight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50</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10000</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10000</w:t>
            </w:r>
          </w:p>
        </w:tc>
        <w:tc>
          <w:tcPr>
            <w:tcW w:w="118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w:t>
            </w:r>
          </w:p>
        </w:tc>
        <w:tc>
          <w:tcPr>
            <w:tcW w:w="204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w:t>
            </w:r>
          </w:p>
        </w:tc>
        <w:tc>
          <w:tcPr>
            <w:tcW w:w="1047"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10000</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10000</w:t>
            </w:r>
          </w:p>
        </w:tc>
        <w:tc>
          <w:tcPr>
            <w:tcW w:w="118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w:t>
            </w:r>
          </w:p>
        </w:tc>
        <w:tc>
          <w:tcPr>
            <w:tcW w:w="204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w:t>
            </w:r>
          </w:p>
        </w:tc>
        <w:tc>
          <w:tcPr>
            <w:tcW w:w="1047"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150</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10000</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10000</w:t>
            </w:r>
          </w:p>
        </w:tc>
        <w:tc>
          <w:tcPr>
            <w:tcW w:w="118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w:t>
            </w:r>
          </w:p>
        </w:tc>
        <w:tc>
          <w:tcPr>
            <w:tcW w:w="204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w:t>
            </w:r>
          </w:p>
        </w:tc>
        <w:tc>
          <w:tcPr>
            <w:tcW w:w="1047"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200</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10000</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7860</w:t>
            </w:r>
          </w:p>
        </w:tc>
        <w:tc>
          <w:tcPr>
            <w:tcW w:w="118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78.6</w:t>
            </w:r>
          </w:p>
        </w:tc>
        <w:tc>
          <w:tcPr>
            <w:tcW w:w="204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w:t>
            </w:r>
          </w:p>
        </w:tc>
        <w:tc>
          <w:tcPr>
            <w:tcW w:w="1047"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250</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10000</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5416</w:t>
            </w:r>
          </w:p>
        </w:tc>
        <w:tc>
          <w:tcPr>
            <w:tcW w:w="118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54.16</w:t>
            </w:r>
          </w:p>
        </w:tc>
        <w:tc>
          <w:tcPr>
            <w:tcW w:w="204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w:t>
            </w:r>
          </w:p>
        </w:tc>
        <w:tc>
          <w:tcPr>
            <w:tcW w:w="1047"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300</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10000</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5628</w:t>
            </w:r>
          </w:p>
        </w:tc>
        <w:tc>
          <w:tcPr>
            <w:tcW w:w="118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56.28</w:t>
            </w:r>
          </w:p>
        </w:tc>
        <w:tc>
          <w:tcPr>
            <w:tcW w:w="204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w:t>
            </w:r>
          </w:p>
        </w:tc>
        <w:tc>
          <w:tcPr>
            <w:tcW w:w="1047"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350</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10000</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5106</w:t>
            </w:r>
          </w:p>
        </w:tc>
        <w:tc>
          <w:tcPr>
            <w:tcW w:w="118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51.06</w:t>
            </w:r>
          </w:p>
        </w:tc>
        <w:tc>
          <w:tcPr>
            <w:tcW w:w="204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1541</w:t>
            </w:r>
          </w:p>
        </w:tc>
        <w:tc>
          <w:tcPr>
            <w:tcW w:w="1047"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eastAsia" w:ascii="宋体" w:hAnsi="宋体" w:eastAsia="宋体" w:cs="宋体"/>
                <w:color w:val="auto"/>
                <w:kern w:val="2"/>
                <w:sz w:val="22"/>
                <w:szCs w:val="22"/>
                <w:highlight w:val="none"/>
                <w:lang w:val="en-US" w:eastAsia="zh-CN" w:bidi="ar"/>
              </w:rPr>
              <w:t>对照</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10000</w:t>
            </w:r>
          </w:p>
        </w:tc>
        <w:tc>
          <w:tcPr>
            <w:tcW w:w="142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2383</w:t>
            </w:r>
          </w:p>
        </w:tc>
        <w:tc>
          <w:tcPr>
            <w:tcW w:w="118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23.83</w:t>
            </w:r>
          </w:p>
        </w:tc>
        <w:tc>
          <w:tcPr>
            <w:tcW w:w="204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5630</w:t>
            </w:r>
          </w:p>
        </w:tc>
        <w:tc>
          <w:tcPr>
            <w:tcW w:w="1047"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pPr>
              <w:keepNext w:val="0"/>
              <w:keepLines w:val="0"/>
              <w:widowControl w:val="0"/>
              <w:suppressLineNumbers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auto"/>
                <w:kern w:val="2"/>
                <w:sz w:val="22"/>
                <w:szCs w:val="22"/>
                <w:highlight w:val="none"/>
              </w:rPr>
            </w:pPr>
            <w:r>
              <w:rPr>
                <w:rFonts w:hint="default" w:ascii="Times New Roman" w:hAnsi="Times New Roman" w:eastAsia="宋体" w:cs="Times New Roman"/>
                <w:color w:val="auto"/>
                <w:kern w:val="2"/>
                <w:sz w:val="22"/>
                <w:szCs w:val="22"/>
                <w:highlight w:val="none"/>
                <w:lang w:val="en-US" w:eastAsia="zh-CN" w:bidi="ar"/>
              </w:rPr>
              <w:t>56.30</w:t>
            </w:r>
          </w:p>
        </w:tc>
      </w:tr>
    </w:tbl>
    <w:p>
      <w:pPr>
        <w:keepNext w:val="0"/>
        <w:keepLines w:val="0"/>
        <w:widowControl w:val="0"/>
        <w:suppressLineNumbers w:val="0"/>
        <w:adjustRightInd w:val="0"/>
        <w:snapToGrid w:val="0"/>
        <w:spacing w:before="0" w:beforeAutospacing="0" w:after="0" w:afterAutospacing="0" w:line="240" w:lineRule="auto"/>
        <w:ind w:left="0" w:right="0" w:firstLine="520" w:firstLineChars="200"/>
        <w:jc w:val="center"/>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 xml:space="preserve"> </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0"/>
          <w:sz w:val="26"/>
          <w:szCs w:val="26"/>
          <w:highlight w:val="none"/>
        </w:rPr>
      </w:pPr>
      <w:r>
        <w:rPr>
          <w:rFonts w:hint="eastAsia" w:ascii="宋体" w:hAnsi="宋体" w:eastAsia="宋体" w:cs="宋体"/>
          <w:color w:val="auto"/>
          <w:kern w:val="0"/>
          <w:sz w:val="26"/>
          <w:szCs w:val="26"/>
          <w:highlight w:val="none"/>
          <w:lang w:val="en-US" w:eastAsia="zh-CN" w:bidi="ar"/>
        </w:rPr>
        <w:t>虽然爆破冲击波效应场可通过水体传递，根据上表可知，爆破点</w:t>
      </w:r>
      <w:r>
        <w:rPr>
          <w:rFonts w:hint="default" w:ascii="Times New Roman" w:hAnsi="Times New Roman" w:eastAsia="宋体" w:cs="Times New Roman"/>
          <w:color w:val="auto"/>
          <w:kern w:val="0"/>
          <w:sz w:val="26"/>
          <w:szCs w:val="26"/>
          <w:highlight w:val="none"/>
          <w:lang w:val="en-US" w:eastAsia="zh-CN" w:bidi="ar"/>
        </w:rPr>
        <w:t xml:space="preserve">350m </w:t>
      </w:r>
      <w:r>
        <w:rPr>
          <w:rFonts w:hint="eastAsia" w:ascii="宋体" w:hAnsi="宋体" w:eastAsia="宋体" w:cs="宋体"/>
          <w:color w:val="auto"/>
          <w:kern w:val="0"/>
          <w:sz w:val="26"/>
          <w:szCs w:val="26"/>
          <w:highlight w:val="none"/>
          <w:lang w:val="en-US" w:eastAsia="zh-CN" w:bidi="ar"/>
        </w:rPr>
        <w:t>距离以外对鱼卵影响已经有所降低。但是，由于卵苗不像成鱼具有主动游泳回避能力，爆破点上下游各</w:t>
      </w:r>
      <w:r>
        <w:rPr>
          <w:rFonts w:hint="default" w:ascii="Times New Roman" w:hAnsi="Times New Roman" w:eastAsia="宋体" w:cs="Times New Roman"/>
          <w:color w:val="auto"/>
          <w:kern w:val="0"/>
          <w:sz w:val="26"/>
          <w:szCs w:val="26"/>
          <w:highlight w:val="none"/>
          <w:lang w:val="en-US" w:eastAsia="zh-CN" w:bidi="ar"/>
        </w:rPr>
        <w:t>350m</w:t>
      </w:r>
      <w:r>
        <w:rPr>
          <w:rFonts w:hint="eastAsia" w:ascii="宋体" w:hAnsi="宋体" w:eastAsia="宋体" w:cs="宋体"/>
          <w:color w:val="auto"/>
          <w:kern w:val="0"/>
          <w:sz w:val="26"/>
          <w:szCs w:val="26"/>
          <w:highlight w:val="none"/>
          <w:lang w:val="en-US" w:eastAsia="zh-CN" w:bidi="ar"/>
        </w:rPr>
        <w:t>范围内水域断面分布的鱼卵均将受到爆破振动的不利影响。因此水下爆破避开鱼类主要繁殖期可将对鱼卵的影响降至最低。</w:t>
      </w:r>
    </w:p>
    <w:p>
      <w:pPr>
        <w:keepNext w:val="0"/>
        <w:keepLines w:val="0"/>
        <w:widowControl w:val="0"/>
        <w:suppressLineNumbers w:val="0"/>
        <w:autoSpaceDE w:val="0"/>
        <w:autoSpaceDN w:val="0"/>
        <w:adjustRightInd w:val="0"/>
        <w:snapToGrid w:val="0"/>
        <w:spacing w:before="0" w:beforeLines="0" w:beforeAutospacing="0" w:after="0" w:afterLines="0" w:afterAutospacing="0" w:line="480" w:lineRule="exact"/>
        <w:ind w:left="0" w:right="0" w:firstLine="520" w:firstLineChars="200"/>
        <w:jc w:val="both"/>
        <w:textAlignment w:val="baseline"/>
        <w:rPr>
          <w:rFonts w:hint="default" w:ascii="Times New Roman" w:hAnsi="Times New Roman" w:eastAsia="宋体" w:cs="Times New Roman"/>
          <w:color w:val="auto"/>
          <w:kern w:val="0"/>
          <w:sz w:val="26"/>
          <w:szCs w:val="26"/>
          <w:highlight w:val="none"/>
          <w:vertAlign w:val="baseline"/>
        </w:rPr>
      </w:pPr>
      <w:r>
        <w:rPr>
          <w:rFonts w:hint="eastAsia" w:ascii="宋体" w:hAnsi="宋体" w:eastAsia="宋体" w:cs="宋体"/>
          <w:color w:val="auto"/>
          <w:kern w:val="0"/>
          <w:sz w:val="26"/>
          <w:szCs w:val="26"/>
          <w:highlight w:val="none"/>
          <w:vertAlign w:val="baseline"/>
          <w:lang w:val="en-US" w:eastAsia="zh-CN" w:bidi="ar"/>
        </w:rPr>
        <w:t>目前，可用模型对水中爆炸的杀伤半径进行估算，预测模型建立在一些实验数据的基础上，并且考虑到了鱼类的受伤与鱼鳔内气体受到直接或反射冲击波的影响。根据《水下爆破作业对水生生物资源及生态环境损害评估方法》（</w:t>
      </w:r>
      <w:r>
        <w:rPr>
          <w:rFonts w:hint="default" w:ascii="Times New Roman" w:hAnsi="Times New Roman" w:eastAsia="宋体" w:cs="Times New Roman"/>
          <w:color w:val="auto"/>
          <w:kern w:val="0"/>
          <w:sz w:val="26"/>
          <w:szCs w:val="26"/>
          <w:highlight w:val="none"/>
          <w:vertAlign w:val="baseline"/>
          <w:lang w:val="en-US" w:eastAsia="zh-CN" w:bidi="ar"/>
        </w:rPr>
        <w:t>SC/T9404</w:t>
      </w:r>
      <w:r>
        <w:rPr>
          <w:rFonts w:hint="eastAsia" w:ascii="宋体" w:hAnsi="宋体" w:eastAsia="宋体" w:cs="宋体"/>
          <w:color w:val="auto"/>
          <w:kern w:val="0"/>
          <w:sz w:val="26"/>
          <w:szCs w:val="26"/>
          <w:highlight w:val="none"/>
          <w:vertAlign w:val="baseline"/>
          <w:lang w:val="en-US" w:eastAsia="zh-CN" w:bidi="ar"/>
        </w:rPr>
        <w:t>—</w:t>
      </w:r>
      <w:r>
        <w:rPr>
          <w:rFonts w:hint="default" w:ascii="Times New Roman" w:hAnsi="Times New Roman" w:eastAsia="宋体" w:cs="Times New Roman"/>
          <w:color w:val="auto"/>
          <w:kern w:val="0"/>
          <w:sz w:val="26"/>
          <w:szCs w:val="26"/>
          <w:highlight w:val="none"/>
          <w:vertAlign w:val="baseline"/>
          <w:lang w:val="en-US" w:eastAsia="zh-CN" w:bidi="ar"/>
        </w:rPr>
        <w:t>2012</w:t>
      </w:r>
      <w:r>
        <w:rPr>
          <w:rFonts w:hint="eastAsia" w:ascii="宋体" w:hAnsi="宋体" w:eastAsia="宋体" w:cs="宋体"/>
          <w:color w:val="auto"/>
          <w:kern w:val="0"/>
          <w:sz w:val="26"/>
          <w:szCs w:val="26"/>
          <w:highlight w:val="none"/>
          <w:vertAlign w:val="baseline"/>
          <w:lang w:val="en-US" w:eastAsia="zh-CN" w:bidi="ar"/>
        </w:rPr>
        <w:t>），有鳔鱼类的安全距离估算公式为：</w:t>
      </w:r>
    </w:p>
    <w:p>
      <w:pPr>
        <w:keepNext w:val="0"/>
        <w:keepLines w:val="0"/>
        <w:widowControl w:val="0"/>
        <w:suppressLineNumbers w:val="0"/>
        <w:adjustRightInd w:val="0"/>
        <w:snapToGrid w:val="0"/>
        <w:spacing w:before="0" w:beforeLines="0" w:beforeAutospacing="0" w:after="0" w:afterLines="0" w:afterAutospacing="0" w:line="480" w:lineRule="exact"/>
        <w:ind w:left="0" w:right="0" w:firstLine="0" w:firstLineChars="0"/>
        <w:jc w:val="center"/>
        <w:rPr>
          <w:rFonts w:hint="default" w:ascii="Times New Roman" w:hAnsi="Times New Roman" w:eastAsia="宋体" w:cs="Times New Roman"/>
          <w:color w:val="auto"/>
          <w:kern w:val="2"/>
          <w:sz w:val="28"/>
          <w:szCs w:val="28"/>
          <w:highlight w:val="none"/>
        </w:rPr>
      </w:pPr>
      <w:r>
        <w:rPr>
          <w:rFonts w:hint="default" w:ascii="Times New Roman" w:hAnsi="Times New Roman" w:eastAsia="宋体" w:cs="Times New Roman"/>
          <w:color w:val="auto"/>
          <w:kern w:val="2"/>
          <w:sz w:val="28"/>
          <w:szCs w:val="28"/>
          <w:highlight w:val="none"/>
          <w:lang w:val="en-US" w:eastAsia="zh-CN" w:bidi="ar"/>
        </w:rPr>
        <w:t>R=42.3W</w:t>
      </w:r>
      <w:r>
        <w:rPr>
          <w:rFonts w:hint="default" w:ascii="Times New Roman" w:hAnsi="Times New Roman" w:eastAsia="宋体" w:cs="Times New Roman"/>
          <w:color w:val="auto"/>
          <w:kern w:val="2"/>
          <w:sz w:val="28"/>
          <w:szCs w:val="28"/>
          <w:highlight w:val="none"/>
          <w:vertAlign w:val="subscript"/>
          <w:lang w:val="en-US" w:eastAsia="zh-CN" w:bidi="ar"/>
        </w:rPr>
        <w:t>f</w:t>
      </w:r>
      <w:r>
        <w:rPr>
          <w:rFonts w:hint="default" w:ascii="Times New Roman" w:hAnsi="Times New Roman" w:eastAsia="宋体" w:cs="Times New Roman"/>
          <w:color w:val="auto"/>
          <w:kern w:val="2"/>
          <w:sz w:val="28"/>
          <w:szCs w:val="28"/>
          <w:highlight w:val="none"/>
          <w:vertAlign w:val="superscript"/>
          <w:lang w:val="en-US" w:eastAsia="zh-CN" w:bidi="ar"/>
        </w:rPr>
        <w:t>-0.13</w:t>
      </w:r>
      <w:r>
        <w:rPr>
          <w:rFonts w:hint="default" w:ascii="Times New Roman" w:hAnsi="Times New Roman" w:eastAsia="宋体" w:cs="Times New Roman"/>
          <w:color w:val="auto"/>
          <w:kern w:val="2"/>
          <w:sz w:val="28"/>
          <w:szCs w:val="28"/>
          <w:highlight w:val="none"/>
          <w:lang w:val="en-US" w:eastAsia="zh-CN" w:bidi="ar"/>
        </w:rPr>
        <w:t>W</w:t>
      </w:r>
      <w:r>
        <w:rPr>
          <w:rFonts w:hint="default" w:ascii="Times New Roman" w:hAnsi="Times New Roman" w:eastAsia="宋体" w:cs="Times New Roman"/>
          <w:color w:val="auto"/>
          <w:kern w:val="2"/>
          <w:sz w:val="28"/>
          <w:szCs w:val="28"/>
          <w:highlight w:val="none"/>
          <w:vertAlign w:val="superscript"/>
          <w:lang w:val="en-US" w:eastAsia="zh-CN" w:bidi="ar"/>
        </w:rPr>
        <w:t>0.28</w:t>
      </w:r>
      <w:r>
        <w:rPr>
          <w:rFonts w:hint="default" w:ascii="Times New Roman" w:hAnsi="Times New Roman" w:eastAsia="宋体" w:cs="Times New Roman"/>
          <w:color w:val="auto"/>
          <w:kern w:val="2"/>
          <w:sz w:val="28"/>
          <w:szCs w:val="28"/>
          <w:highlight w:val="none"/>
          <w:lang w:val="en-US" w:eastAsia="zh-CN" w:bidi="ar"/>
        </w:rPr>
        <w:t>h</w:t>
      </w:r>
      <w:r>
        <w:rPr>
          <w:rFonts w:hint="default" w:ascii="Times New Roman" w:hAnsi="Times New Roman" w:eastAsia="宋体" w:cs="Times New Roman"/>
          <w:color w:val="auto"/>
          <w:kern w:val="2"/>
          <w:sz w:val="28"/>
          <w:szCs w:val="28"/>
          <w:highlight w:val="none"/>
          <w:vertAlign w:val="superscript"/>
          <w:lang w:val="en-US" w:eastAsia="zh-CN" w:bidi="ar"/>
        </w:rPr>
        <w:t>0.22</w:t>
      </w:r>
    </w:p>
    <w:p>
      <w:pPr>
        <w:keepNext w:val="0"/>
        <w:keepLines w:val="0"/>
        <w:widowControl w:val="0"/>
        <w:suppressLineNumbers w:val="0"/>
        <w:autoSpaceDE w:val="0"/>
        <w:autoSpaceDN w:val="0"/>
        <w:adjustRightInd w:val="0"/>
        <w:snapToGrid w:val="0"/>
        <w:spacing w:before="0" w:beforeLines="0" w:beforeAutospacing="0" w:after="0" w:afterLines="0" w:afterAutospacing="0" w:line="480" w:lineRule="exact"/>
        <w:ind w:left="0" w:right="0" w:firstLine="520" w:firstLineChars="200"/>
        <w:jc w:val="left"/>
        <w:textAlignment w:val="baseline"/>
        <w:rPr>
          <w:rFonts w:hint="default" w:ascii="Times New Roman" w:hAnsi="Times New Roman" w:eastAsia="宋体" w:cs="Times New Roman"/>
          <w:color w:val="auto"/>
          <w:kern w:val="2"/>
          <w:sz w:val="26"/>
          <w:szCs w:val="26"/>
          <w:highlight w:val="none"/>
          <w:vertAlign w:val="baseline"/>
        </w:rPr>
      </w:pPr>
      <w:r>
        <w:rPr>
          <w:rFonts w:hint="eastAsia" w:ascii="宋体" w:hAnsi="宋体" w:eastAsia="宋体" w:cs="宋体"/>
          <w:color w:val="auto"/>
          <w:kern w:val="2"/>
          <w:sz w:val="26"/>
          <w:szCs w:val="26"/>
          <w:highlight w:val="none"/>
          <w:vertAlign w:val="baseline"/>
          <w:lang w:val="en-US" w:eastAsia="zh-CN" w:bidi="ar"/>
        </w:rPr>
        <w:t>式中：</w:t>
      </w:r>
      <w:r>
        <w:rPr>
          <w:rFonts w:hint="default" w:ascii="Times New Roman" w:hAnsi="Times New Roman" w:eastAsia="宋体" w:cs="Times New Roman"/>
          <w:color w:val="auto"/>
          <w:kern w:val="2"/>
          <w:sz w:val="26"/>
          <w:szCs w:val="26"/>
          <w:highlight w:val="none"/>
          <w:vertAlign w:val="baseline"/>
          <w:lang w:val="en-US" w:eastAsia="zh-CN" w:bidi="ar"/>
        </w:rPr>
        <w:t>R</w:t>
      </w:r>
      <w:r>
        <w:rPr>
          <w:rFonts w:hint="eastAsia" w:ascii="宋体" w:hAnsi="宋体" w:eastAsia="宋体" w:cs="宋体"/>
          <w:color w:val="auto"/>
          <w:kern w:val="2"/>
          <w:sz w:val="26"/>
          <w:szCs w:val="26"/>
          <w:highlight w:val="none"/>
          <w:vertAlign w:val="baseline"/>
          <w:lang w:val="en-US" w:eastAsia="zh-CN" w:bidi="ar"/>
        </w:rPr>
        <w:t>为安全距离</w:t>
      </w:r>
      <w:r>
        <w:rPr>
          <w:rFonts w:hint="default" w:ascii="Times New Roman" w:hAnsi="Times New Roman" w:eastAsia="宋体" w:cs="Times New Roman"/>
          <w:color w:val="auto"/>
          <w:kern w:val="2"/>
          <w:sz w:val="26"/>
          <w:szCs w:val="26"/>
          <w:highlight w:val="none"/>
          <w:vertAlign w:val="baseline"/>
          <w:lang w:val="en-US" w:eastAsia="zh-CN" w:bidi="ar"/>
        </w:rPr>
        <w:t>( m )</w:t>
      </w:r>
      <w:r>
        <w:rPr>
          <w:rFonts w:hint="eastAsia" w:ascii="宋体" w:hAnsi="宋体" w:eastAsia="宋体" w:cs="宋体"/>
          <w:color w:val="auto"/>
          <w:kern w:val="2"/>
          <w:sz w:val="26"/>
          <w:szCs w:val="26"/>
          <w:highlight w:val="none"/>
          <w:vertAlign w:val="baseline"/>
          <w:lang w:val="en-US" w:eastAsia="zh-CN" w:bidi="ar"/>
        </w:rPr>
        <w:t>；</w:t>
      </w:r>
      <w:r>
        <w:rPr>
          <w:rFonts w:hint="default" w:ascii="Times New Roman" w:hAnsi="Times New Roman" w:eastAsia="宋体" w:cs="Times New Roman"/>
          <w:color w:val="auto"/>
          <w:kern w:val="2"/>
          <w:sz w:val="26"/>
          <w:szCs w:val="26"/>
          <w:highlight w:val="none"/>
          <w:vertAlign w:val="baseline"/>
          <w:lang w:val="en-US" w:eastAsia="zh-CN" w:bidi="ar"/>
        </w:rPr>
        <w:t xml:space="preserve"> </w:t>
      </w:r>
    </w:p>
    <w:p>
      <w:pPr>
        <w:keepNext w:val="0"/>
        <w:keepLines w:val="0"/>
        <w:widowControl w:val="0"/>
        <w:suppressLineNumbers w:val="0"/>
        <w:autoSpaceDE w:val="0"/>
        <w:autoSpaceDN w:val="0"/>
        <w:adjustRightInd w:val="0"/>
        <w:snapToGrid w:val="0"/>
        <w:spacing w:before="0" w:beforeAutospacing="0" w:after="0" w:afterAutospacing="0" w:line="480" w:lineRule="exact"/>
        <w:ind w:left="0" w:right="0" w:firstLine="1274" w:firstLineChars="490"/>
        <w:jc w:val="both"/>
        <w:textAlignment w:val="baseline"/>
        <w:rPr>
          <w:rFonts w:hint="default" w:ascii="Times New Roman" w:hAnsi="Times New Roman" w:eastAsia="宋体" w:cs="Times New Roman"/>
          <w:color w:val="auto"/>
          <w:kern w:val="2"/>
          <w:sz w:val="26"/>
          <w:szCs w:val="26"/>
          <w:highlight w:val="none"/>
          <w:vertAlign w:val="baseline"/>
        </w:rPr>
      </w:pPr>
      <w:r>
        <w:rPr>
          <w:rFonts w:hint="default" w:ascii="Times New Roman" w:hAnsi="Times New Roman" w:eastAsia="宋体" w:cs="Times New Roman"/>
          <w:color w:val="auto"/>
          <w:kern w:val="2"/>
          <w:sz w:val="26"/>
          <w:szCs w:val="26"/>
          <w:highlight w:val="none"/>
          <w:vertAlign w:val="baseline"/>
          <w:lang w:val="en-US" w:eastAsia="zh-CN" w:bidi="ar"/>
        </w:rPr>
        <w:t>W</w:t>
      </w:r>
      <w:r>
        <w:rPr>
          <w:rFonts w:hint="eastAsia" w:ascii="宋体" w:hAnsi="宋体" w:eastAsia="宋体" w:cs="宋体"/>
          <w:color w:val="auto"/>
          <w:kern w:val="2"/>
          <w:sz w:val="26"/>
          <w:szCs w:val="26"/>
          <w:highlight w:val="none"/>
          <w:vertAlign w:val="baseline"/>
          <w:lang w:val="en-US" w:eastAsia="zh-CN" w:bidi="ar"/>
        </w:rPr>
        <w:t>为炸药的重量</w:t>
      </w:r>
      <w:r>
        <w:rPr>
          <w:rFonts w:hint="default" w:ascii="Times New Roman" w:hAnsi="Times New Roman" w:eastAsia="宋体" w:cs="Times New Roman"/>
          <w:color w:val="auto"/>
          <w:kern w:val="2"/>
          <w:sz w:val="26"/>
          <w:szCs w:val="26"/>
          <w:highlight w:val="none"/>
          <w:vertAlign w:val="baseline"/>
          <w:lang w:val="en-US" w:eastAsia="zh-CN" w:bidi="ar"/>
        </w:rPr>
        <w:t xml:space="preserve">( kg) </w:t>
      </w:r>
      <w:r>
        <w:rPr>
          <w:rFonts w:hint="eastAsia" w:ascii="宋体" w:hAnsi="宋体" w:eastAsia="宋体" w:cs="宋体"/>
          <w:color w:val="auto"/>
          <w:kern w:val="2"/>
          <w:sz w:val="26"/>
          <w:szCs w:val="26"/>
          <w:highlight w:val="none"/>
          <w:vertAlign w:val="baseline"/>
          <w:lang w:val="en-US" w:eastAsia="zh-CN" w:bidi="ar"/>
        </w:rPr>
        <w:t>；</w:t>
      </w:r>
    </w:p>
    <w:p>
      <w:pPr>
        <w:keepNext w:val="0"/>
        <w:keepLines w:val="0"/>
        <w:widowControl w:val="0"/>
        <w:suppressLineNumbers w:val="0"/>
        <w:autoSpaceDE w:val="0"/>
        <w:autoSpaceDN w:val="0"/>
        <w:adjustRightInd w:val="0"/>
        <w:snapToGrid w:val="0"/>
        <w:spacing w:before="0" w:beforeAutospacing="0" w:after="0" w:afterAutospacing="0" w:line="480" w:lineRule="exact"/>
        <w:ind w:left="0" w:right="0" w:firstLine="1274" w:firstLineChars="490"/>
        <w:jc w:val="both"/>
        <w:textAlignment w:val="baseline"/>
        <w:rPr>
          <w:rFonts w:hint="default" w:ascii="Times New Roman" w:hAnsi="Times New Roman" w:eastAsia="宋体" w:cs="Times New Roman"/>
          <w:color w:val="auto"/>
          <w:kern w:val="2"/>
          <w:sz w:val="26"/>
          <w:szCs w:val="26"/>
          <w:highlight w:val="none"/>
          <w:vertAlign w:val="baseline"/>
        </w:rPr>
      </w:pPr>
      <w:r>
        <w:rPr>
          <w:rFonts w:hint="default" w:ascii="Times New Roman" w:hAnsi="Times New Roman" w:eastAsia="宋体" w:cs="Times New Roman"/>
          <w:color w:val="auto"/>
          <w:kern w:val="2"/>
          <w:sz w:val="26"/>
          <w:szCs w:val="26"/>
          <w:highlight w:val="none"/>
          <w:vertAlign w:val="baseline"/>
          <w:lang w:val="en-US" w:eastAsia="zh-CN" w:bidi="ar"/>
        </w:rPr>
        <w:t>W</w:t>
      </w:r>
      <w:r>
        <w:rPr>
          <w:rFonts w:hint="default" w:ascii="Times New Roman" w:hAnsi="Times New Roman" w:eastAsia="宋体" w:cs="Times New Roman"/>
          <w:color w:val="auto"/>
          <w:kern w:val="2"/>
          <w:sz w:val="26"/>
          <w:szCs w:val="26"/>
          <w:highlight w:val="none"/>
          <w:vertAlign w:val="subscript"/>
          <w:lang w:val="en-US" w:eastAsia="zh-CN" w:bidi="ar"/>
        </w:rPr>
        <w:t>f</w:t>
      </w:r>
      <w:r>
        <w:rPr>
          <w:rFonts w:hint="eastAsia" w:ascii="宋体" w:hAnsi="宋体" w:eastAsia="宋体" w:cs="宋体"/>
          <w:color w:val="auto"/>
          <w:kern w:val="2"/>
          <w:sz w:val="26"/>
          <w:szCs w:val="26"/>
          <w:highlight w:val="none"/>
          <w:vertAlign w:val="baseline"/>
          <w:lang w:val="en-US" w:eastAsia="zh-CN" w:bidi="ar"/>
        </w:rPr>
        <w:t>为鱼的重量</w:t>
      </w:r>
      <w:r>
        <w:rPr>
          <w:rFonts w:hint="default" w:ascii="Times New Roman" w:hAnsi="Times New Roman" w:eastAsia="宋体" w:cs="Times New Roman"/>
          <w:color w:val="auto"/>
          <w:kern w:val="2"/>
          <w:sz w:val="26"/>
          <w:szCs w:val="26"/>
          <w:highlight w:val="none"/>
          <w:vertAlign w:val="baseline"/>
          <w:lang w:val="en-US" w:eastAsia="zh-CN" w:bidi="ar"/>
        </w:rPr>
        <w:t xml:space="preserve">( kg ) </w:t>
      </w:r>
      <w:r>
        <w:rPr>
          <w:rFonts w:hint="eastAsia" w:ascii="宋体" w:hAnsi="宋体" w:eastAsia="宋体" w:cs="宋体"/>
          <w:color w:val="auto"/>
          <w:kern w:val="2"/>
          <w:sz w:val="26"/>
          <w:szCs w:val="26"/>
          <w:highlight w:val="none"/>
          <w:vertAlign w:val="baseline"/>
          <w:lang w:val="en-US" w:eastAsia="zh-CN" w:bidi="ar"/>
        </w:rPr>
        <w:t>；</w:t>
      </w:r>
      <w:r>
        <w:rPr>
          <w:rFonts w:hint="default" w:ascii="Times New Roman" w:hAnsi="Times New Roman" w:eastAsia="宋体" w:cs="Times New Roman"/>
          <w:color w:val="auto"/>
          <w:kern w:val="2"/>
          <w:sz w:val="26"/>
          <w:szCs w:val="26"/>
          <w:highlight w:val="none"/>
          <w:vertAlign w:val="baseline"/>
          <w:lang w:val="en-US" w:eastAsia="zh-CN" w:bidi="ar"/>
        </w:rPr>
        <w:t xml:space="preserve"> </w:t>
      </w:r>
    </w:p>
    <w:p>
      <w:pPr>
        <w:keepNext w:val="0"/>
        <w:keepLines w:val="0"/>
        <w:widowControl w:val="0"/>
        <w:suppressLineNumbers w:val="0"/>
        <w:autoSpaceDE w:val="0"/>
        <w:autoSpaceDN w:val="0"/>
        <w:adjustRightInd w:val="0"/>
        <w:snapToGrid w:val="0"/>
        <w:spacing w:before="0" w:beforeAutospacing="0" w:after="0" w:afterAutospacing="0" w:line="480" w:lineRule="exact"/>
        <w:ind w:left="0" w:right="0" w:firstLine="1274" w:firstLineChars="490"/>
        <w:jc w:val="both"/>
        <w:textAlignment w:val="baseline"/>
        <w:rPr>
          <w:rFonts w:hint="default" w:ascii="Times New Roman" w:hAnsi="Times New Roman" w:eastAsia="宋体" w:cs="Times New Roman"/>
          <w:color w:val="auto"/>
          <w:kern w:val="2"/>
          <w:sz w:val="26"/>
          <w:szCs w:val="26"/>
          <w:highlight w:val="none"/>
          <w:vertAlign w:val="baseline"/>
        </w:rPr>
      </w:pPr>
      <w:r>
        <w:rPr>
          <w:rFonts w:hint="default" w:ascii="Times New Roman" w:hAnsi="Times New Roman" w:eastAsia="宋体" w:cs="Times New Roman"/>
          <w:color w:val="auto"/>
          <w:kern w:val="2"/>
          <w:sz w:val="26"/>
          <w:szCs w:val="26"/>
          <w:highlight w:val="none"/>
          <w:vertAlign w:val="baseline"/>
          <w:lang w:val="en-US" w:eastAsia="zh-CN" w:bidi="ar"/>
        </w:rPr>
        <w:t>h</w:t>
      </w:r>
      <w:r>
        <w:rPr>
          <w:rFonts w:hint="eastAsia" w:ascii="宋体" w:hAnsi="宋体" w:eastAsia="宋体" w:cs="宋体"/>
          <w:color w:val="auto"/>
          <w:kern w:val="2"/>
          <w:sz w:val="26"/>
          <w:szCs w:val="26"/>
          <w:highlight w:val="none"/>
          <w:vertAlign w:val="baseline"/>
          <w:lang w:val="en-US" w:eastAsia="zh-CN" w:bidi="ar"/>
        </w:rPr>
        <w:t>为爆炸发生处的深度</w:t>
      </w:r>
      <w:r>
        <w:rPr>
          <w:rFonts w:hint="default" w:ascii="Times New Roman" w:hAnsi="Times New Roman" w:eastAsia="宋体" w:cs="Times New Roman"/>
          <w:color w:val="auto"/>
          <w:kern w:val="2"/>
          <w:sz w:val="26"/>
          <w:szCs w:val="26"/>
          <w:highlight w:val="none"/>
          <w:vertAlign w:val="baseline"/>
          <w:lang w:val="en-US" w:eastAsia="zh-CN" w:bidi="ar"/>
        </w:rPr>
        <w:t xml:space="preserve">( m ) </w:t>
      </w:r>
      <w:r>
        <w:rPr>
          <w:rFonts w:hint="eastAsia" w:ascii="宋体" w:hAnsi="宋体" w:eastAsia="宋体" w:cs="宋体"/>
          <w:color w:val="auto"/>
          <w:kern w:val="2"/>
          <w:sz w:val="26"/>
          <w:szCs w:val="26"/>
          <w:highlight w:val="none"/>
          <w:vertAlign w:val="baseline"/>
          <w:lang w:val="en-US" w:eastAsia="zh-CN" w:bidi="ar"/>
        </w:rPr>
        <w:t>。</w:t>
      </w:r>
    </w:p>
    <w:p>
      <w:pPr>
        <w:keepNext w:val="0"/>
        <w:keepLines w:val="0"/>
        <w:widowControl w:val="0"/>
        <w:suppressLineNumbers w:val="0"/>
        <w:autoSpaceDE w:val="0"/>
        <w:autoSpaceDN w:val="0"/>
        <w:adjustRightInd w:val="0"/>
        <w:snapToGrid w:val="0"/>
        <w:spacing w:before="0" w:beforeAutospacing="0" w:after="0" w:afterAutospacing="0" w:line="480" w:lineRule="exact"/>
        <w:ind w:left="0" w:right="0" w:firstLine="520" w:firstLineChars="200"/>
        <w:jc w:val="both"/>
        <w:textAlignment w:val="baseline"/>
        <w:rPr>
          <w:rFonts w:hint="default" w:ascii="Times New Roman" w:hAnsi="Times New Roman" w:eastAsia="宋体" w:cs="Times New Roman"/>
          <w:color w:val="auto"/>
          <w:kern w:val="2"/>
          <w:sz w:val="24"/>
          <w:szCs w:val="24"/>
          <w:highlight w:val="none"/>
          <w:vertAlign w:val="baseline"/>
        </w:rPr>
      </w:pPr>
      <w:r>
        <w:rPr>
          <w:rFonts w:hint="eastAsia" w:ascii="宋体" w:hAnsi="宋体" w:eastAsia="宋体" w:cs="宋体"/>
          <w:color w:val="auto"/>
          <w:kern w:val="2"/>
          <w:sz w:val="26"/>
          <w:szCs w:val="26"/>
          <w:highlight w:val="none"/>
          <w:vertAlign w:val="baseline"/>
          <w:lang w:val="en-US" w:eastAsia="zh-CN" w:bidi="ar"/>
        </w:rPr>
        <w:t>以上用于估算鱼类在爆炸中的安全距离的公式</w:t>
      </w:r>
      <w:r>
        <w:rPr>
          <w:rFonts w:hint="eastAsia" w:ascii="宋体" w:hAnsi="宋体" w:cs="宋体"/>
          <w:color w:val="auto"/>
          <w:kern w:val="2"/>
          <w:sz w:val="26"/>
          <w:szCs w:val="26"/>
          <w:highlight w:val="none"/>
          <w:shd w:val="clear" w:fill="FFFFFF"/>
          <w:vertAlign w:val="baseline"/>
          <w:lang w:val="en-US" w:eastAsia="zh-CN" w:bidi="ar"/>
        </w:rPr>
        <w:t>适用</w:t>
      </w:r>
      <w:r>
        <w:rPr>
          <w:rFonts w:hint="eastAsia" w:ascii="宋体" w:hAnsi="宋体" w:eastAsia="宋体" w:cs="宋体"/>
          <w:color w:val="auto"/>
          <w:kern w:val="2"/>
          <w:sz w:val="26"/>
          <w:szCs w:val="26"/>
          <w:highlight w:val="none"/>
          <w:vertAlign w:val="baseline"/>
          <w:lang w:val="en-US" w:eastAsia="zh-CN" w:bidi="ar"/>
        </w:rPr>
        <w:t>于在水中发生爆炸的情况。当疏浚工程施工中进行爆破作业时，往往是在江底岩石上钻孔，将炸药装填在孔中进行引爆，这时发生爆炸对鱼类的影响往往小于在水中爆炸的情形。因此，用以上公式进行计算得到的安全距离应用于岩石江底爆破施工是有效的。经计算，不同炸药用量、不同鱼体重、不同水深度条件下鱼类安全距离见下表：</w:t>
      </w:r>
    </w:p>
    <w:p>
      <w:pPr>
        <w:keepNext w:val="0"/>
        <w:keepLines w:val="0"/>
        <w:widowControl w:val="0"/>
        <w:suppressLineNumbers w:val="0"/>
        <w:autoSpaceDE w:val="0"/>
        <w:autoSpaceDN w:val="0"/>
        <w:adjustRightInd w:val="0"/>
        <w:snapToGrid w:val="0"/>
        <w:spacing w:before="0" w:beforeAutospacing="0" w:after="0" w:afterAutospacing="0" w:line="460" w:lineRule="exact"/>
        <w:ind w:left="0" w:right="0" w:firstLine="480" w:firstLineChars="200"/>
        <w:jc w:val="both"/>
        <w:textAlignment w:val="baseline"/>
        <w:rPr>
          <w:rFonts w:hint="default" w:ascii="Times New Roman" w:hAnsi="Times New Roman" w:eastAsia="宋体" w:cs="Times New Roman"/>
          <w:color w:val="auto"/>
          <w:kern w:val="2"/>
          <w:sz w:val="24"/>
          <w:szCs w:val="24"/>
          <w:highlight w:val="none"/>
          <w:vertAlign w:val="baseline"/>
        </w:rPr>
      </w:pPr>
      <w:r>
        <w:rPr>
          <w:rFonts w:hint="default" w:ascii="Times New Roman" w:hAnsi="Times New Roman" w:eastAsia="宋体" w:cs="Times New Roman"/>
          <w:color w:val="auto"/>
          <w:kern w:val="2"/>
          <w:sz w:val="24"/>
          <w:szCs w:val="24"/>
          <w:highlight w:val="none"/>
          <w:vertAlign w:val="baseline"/>
          <w:lang w:val="en-US" w:eastAsia="zh-CN" w:bidi="ar"/>
        </w:rPr>
        <w:t xml:space="preserve"> </w:t>
      </w:r>
    </w:p>
    <w:p>
      <w:pPr>
        <w:keepNext w:val="0"/>
        <w:keepLines w:val="0"/>
        <w:widowControl w:val="0"/>
        <w:suppressLineNumbers w:val="0"/>
        <w:adjustRightInd w:val="0"/>
        <w:snapToGrid w:val="0"/>
        <w:spacing w:before="0" w:beforeAutospacing="0" w:after="0" w:afterAutospacing="0" w:line="480" w:lineRule="exact"/>
        <w:ind w:left="0" w:right="0" w:firstLine="0" w:firstLineChars="0"/>
        <w:jc w:val="center"/>
        <w:rPr>
          <w:rFonts w:hint="eastAsia" w:ascii="宋体" w:hAnsi="宋体" w:eastAsia="宋体" w:cs="宋体"/>
          <w:color w:val="auto"/>
          <w:kern w:val="0"/>
          <w:sz w:val="26"/>
          <w:szCs w:val="26"/>
          <w:highlight w:val="none"/>
          <w:lang w:val="en-US" w:eastAsia="zh-CN" w:bidi="ar"/>
        </w:rPr>
      </w:pPr>
    </w:p>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6"/>
          <w:szCs w:val="26"/>
          <w:highlight w:val="none"/>
        </w:rPr>
      </w:pPr>
      <w:r>
        <w:rPr>
          <w:rFonts w:hint="eastAsia" w:ascii="宋体" w:hAnsi="宋体" w:eastAsia="宋体" w:cs="宋体"/>
          <w:color w:val="auto"/>
          <w:kern w:val="0"/>
          <w:sz w:val="26"/>
          <w:szCs w:val="26"/>
          <w:highlight w:val="none"/>
          <w:lang w:val="en-US" w:eastAsia="zh-CN" w:bidi="ar"/>
        </w:rPr>
        <w:t>表</w:t>
      </w:r>
      <w:r>
        <w:rPr>
          <w:rFonts w:hint="eastAsia" w:ascii="Times New Roman" w:hAnsi="Times New Roman" w:eastAsia="宋体" w:cs="Times New Roman"/>
          <w:color w:val="auto"/>
          <w:kern w:val="0"/>
          <w:sz w:val="26"/>
          <w:szCs w:val="26"/>
          <w:highlight w:val="none"/>
          <w:lang w:val="en-US" w:eastAsia="zh-CN" w:bidi="ar"/>
        </w:rPr>
        <w:t>4.1.1.2</w:t>
      </w:r>
      <w:r>
        <w:rPr>
          <w:rFonts w:hint="default" w:ascii="Times New Roman" w:hAnsi="Times New Roman" w:eastAsia="宋体" w:cs="Times New Roman"/>
          <w:color w:val="auto"/>
          <w:kern w:val="0"/>
          <w:sz w:val="26"/>
          <w:szCs w:val="26"/>
          <w:highlight w:val="none"/>
          <w:lang w:val="en-US" w:eastAsia="zh-CN" w:bidi="ar"/>
        </w:rPr>
        <w:t>-2</w:t>
      </w:r>
      <w:r>
        <w:rPr>
          <w:rFonts w:hint="eastAsia" w:ascii="Times New Roman" w:hAnsi="Times New Roman" w:eastAsia="宋体" w:cs="Times New Roman"/>
          <w:color w:val="auto"/>
          <w:kern w:val="0"/>
          <w:sz w:val="26"/>
          <w:szCs w:val="26"/>
          <w:highlight w:val="none"/>
          <w:lang w:val="en-US" w:eastAsia="zh-CN" w:bidi="ar"/>
        </w:rPr>
        <w:t xml:space="preserve">  </w:t>
      </w:r>
      <w:r>
        <w:rPr>
          <w:rFonts w:hint="eastAsia" w:ascii="宋体" w:hAnsi="宋体" w:eastAsia="宋体" w:cs="宋体"/>
          <w:color w:val="auto"/>
          <w:kern w:val="0"/>
          <w:sz w:val="26"/>
          <w:szCs w:val="26"/>
          <w:highlight w:val="none"/>
          <w:lang w:val="en-US" w:eastAsia="zh-CN" w:bidi="ar"/>
        </w:rPr>
        <w:t>鱼类安全距离</w:t>
      </w:r>
    </w:p>
    <w:tbl>
      <w:tblPr>
        <w:tblStyle w:val="244"/>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939"/>
        <w:gridCol w:w="1125"/>
        <w:gridCol w:w="1323"/>
        <w:gridCol w:w="1325"/>
        <w:gridCol w:w="1323"/>
        <w:gridCol w:w="1323"/>
        <w:gridCol w:w="13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54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爆破装药量</w:t>
            </w:r>
          </w:p>
        </w:tc>
        <w:tc>
          <w:tcPr>
            <w:tcW w:w="4458" w:type="pct"/>
            <w:gridSpan w:val="6"/>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鱼类安全距离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541"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2"/>
                <w:szCs w:val="22"/>
                <w:highlight w:val="none"/>
              </w:rPr>
            </w:pPr>
          </w:p>
        </w:tc>
        <w:tc>
          <w:tcPr>
            <w:tcW w:w="2173" w:type="pct"/>
            <w:gridSpan w:val="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爆炸发生处的深度</w:t>
            </w:r>
            <w:r>
              <w:rPr>
                <w:rFonts w:hint="default" w:ascii="Times New Roman" w:hAnsi="Times New Roman" w:eastAsia="宋体" w:cs="Times New Roman"/>
                <w:i/>
                <w:iCs w:val="0"/>
                <w:color w:val="auto"/>
                <w:kern w:val="0"/>
                <w:sz w:val="22"/>
                <w:szCs w:val="22"/>
                <w:highlight w:val="none"/>
                <w:lang w:val="en-US" w:eastAsia="zh-CN" w:bidi="ar"/>
              </w:rPr>
              <w:t>D</w:t>
            </w:r>
            <w:r>
              <w:rPr>
                <w:rFonts w:hint="default" w:ascii="Times New Roman" w:hAnsi="Times New Roman" w:eastAsia="宋体" w:cs="Times New Roman"/>
                <w:color w:val="auto"/>
                <w:kern w:val="0"/>
                <w:sz w:val="22"/>
                <w:szCs w:val="22"/>
                <w:highlight w:val="none"/>
                <w:lang w:val="en-US" w:eastAsia="zh-CN" w:bidi="ar"/>
              </w:rPr>
              <w:t>＝2m</w:t>
            </w:r>
          </w:p>
        </w:tc>
        <w:tc>
          <w:tcPr>
            <w:tcW w:w="2285" w:type="pct"/>
            <w:gridSpan w:val="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爆炸发生处的深度</w:t>
            </w:r>
            <w:r>
              <w:rPr>
                <w:rFonts w:hint="default" w:ascii="Times New Roman" w:hAnsi="Times New Roman" w:eastAsia="宋体" w:cs="Times New Roman"/>
                <w:i/>
                <w:iCs w:val="0"/>
                <w:color w:val="auto"/>
                <w:kern w:val="0"/>
                <w:sz w:val="22"/>
                <w:szCs w:val="22"/>
                <w:highlight w:val="none"/>
                <w:lang w:val="en-US" w:eastAsia="zh-CN" w:bidi="ar"/>
              </w:rPr>
              <w:t>D</w:t>
            </w:r>
            <w:r>
              <w:rPr>
                <w:rFonts w:hint="default" w:ascii="Times New Roman" w:hAnsi="Times New Roman" w:eastAsia="宋体" w:cs="Times New Roman"/>
                <w:color w:val="auto"/>
                <w:kern w:val="0"/>
                <w:sz w:val="22"/>
                <w:szCs w:val="22"/>
                <w:highlight w:val="none"/>
                <w:lang w:val="en-US" w:eastAsia="zh-CN" w:bidi="ar"/>
              </w:rPr>
              <w:t>＝5m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541"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2"/>
                <w:szCs w:val="22"/>
                <w:highlight w:val="none"/>
              </w:rPr>
            </w:pPr>
          </w:p>
        </w:tc>
        <w:tc>
          <w:tcPr>
            <w:tcW w:w="64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i/>
                <w:iCs w:val="0"/>
                <w:color w:val="auto"/>
                <w:kern w:val="0"/>
                <w:sz w:val="22"/>
                <w:szCs w:val="22"/>
                <w:highlight w:val="none"/>
                <w:lang w:val="en-US" w:eastAsia="zh-CN" w:bidi="ar"/>
              </w:rPr>
              <w:t>W</w:t>
            </w:r>
            <w:r>
              <w:rPr>
                <w:rFonts w:hint="default" w:ascii="Times New Roman" w:hAnsi="Times New Roman" w:eastAsia="宋体" w:cs="Times New Roman"/>
                <w:i/>
                <w:iCs w:val="0"/>
                <w:color w:val="auto"/>
                <w:kern w:val="0"/>
                <w:sz w:val="22"/>
                <w:szCs w:val="22"/>
                <w:highlight w:val="none"/>
                <w:vertAlign w:val="subscript"/>
                <w:lang w:val="en-US" w:eastAsia="zh-CN" w:bidi="ar"/>
              </w:rPr>
              <w:t>f</w:t>
            </w:r>
            <w:r>
              <w:rPr>
                <w:rFonts w:hint="default" w:ascii="Times New Roman" w:hAnsi="Times New Roman" w:eastAsia="宋体" w:cs="Times New Roman"/>
                <w:color w:val="auto"/>
                <w:kern w:val="0"/>
                <w:sz w:val="22"/>
                <w:szCs w:val="22"/>
                <w:highlight w:val="none"/>
                <w:lang w:val="en-US" w:eastAsia="zh-CN" w:bidi="ar"/>
              </w:rPr>
              <w:t>＝50g</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i/>
                <w:iCs w:val="0"/>
                <w:color w:val="auto"/>
                <w:kern w:val="0"/>
                <w:sz w:val="22"/>
                <w:szCs w:val="22"/>
                <w:highlight w:val="none"/>
                <w:lang w:val="en-US" w:eastAsia="zh-CN" w:bidi="ar"/>
              </w:rPr>
              <w:t>W</w:t>
            </w:r>
            <w:r>
              <w:rPr>
                <w:rFonts w:hint="default" w:ascii="Times New Roman" w:hAnsi="Times New Roman" w:eastAsia="宋体" w:cs="Times New Roman"/>
                <w:i/>
                <w:iCs w:val="0"/>
                <w:color w:val="auto"/>
                <w:kern w:val="0"/>
                <w:sz w:val="22"/>
                <w:szCs w:val="22"/>
                <w:highlight w:val="none"/>
                <w:vertAlign w:val="subscript"/>
                <w:lang w:val="en-US" w:eastAsia="zh-CN" w:bidi="ar"/>
              </w:rPr>
              <w:t>f</w:t>
            </w:r>
            <w:r>
              <w:rPr>
                <w:rFonts w:hint="default" w:ascii="Times New Roman" w:hAnsi="Times New Roman" w:eastAsia="宋体" w:cs="Times New Roman"/>
                <w:color w:val="auto"/>
                <w:kern w:val="0"/>
                <w:sz w:val="22"/>
                <w:szCs w:val="22"/>
                <w:highlight w:val="none"/>
                <w:lang w:val="en-US" w:eastAsia="zh-CN" w:bidi="ar"/>
              </w:rPr>
              <w:t>＝200g</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i/>
                <w:iCs w:val="0"/>
                <w:color w:val="auto"/>
                <w:kern w:val="0"/>
                <w:sz w:val="22"/>
                <w:szCs w:val="22"/>
                <w:highlight w:val="none"/>
                <w:lang w:val="en-US" w:eastAsia="zh-CN" w:bidi="ar"/>
              </w:rPr>
              <w:t>W</w:t>
            </w:r>
            <w:r>
              <w:rPr>
                <w:rFonts w:hint="default" w:ascii="Times New Roman" w:hAnsi="Times New Roman" w:eastAsia="宋体" w:cs="Times New Roman"/>
                <w:i/>
                <w:iCs w:val="0"/>
                <w:color w:val="auto"/>
                <w:kern w:val="0"/>
                <w:sz w:val="22"/>
                <w:szCs w:val="22"/>
                <w:highlight w:val="none"/>
                <w:vertAlign w:val="subscript"/>
                <w:lang w:val="en-US" w:eastAsia="zh-CN" w:bidi="ar"/>
              </w:rPr>
              <w:t>f</w:t>
            </w:r>
            <w:r>
              <w:rPr>
                <w:rFonts w:hint="default" w:ascii="Times New Roman" w:hAnsi="Times New Roman" w:eastAsia="宋体" w:cs="Times New Roman"/>
                <w:color w:val="auto"/>
                <w:kern w:val="0"/>
                <w:sz w:val="22"/>
                <w:szCs w:val="22"/>
                <w:highlight w:val="none"/>
                <w:lang w:val="en-US" w:eastAsia="zh-CN" w:bidi="ar"/>
              </w:rPr>
              <w:t>＝1000g</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i/>
                <w:iCs w:val="0"/>
                <w:color w:val="auto"/>
                <w:kern w:val="0"/>
                <w:sz w:val="22"/>
                <w:szCs w:val="22"/>
                <w:highlight w:val="none"/>
                <w:lang w:val="en-US" w:eastAsia="zh-CN" w:bidi="ar"/>
              </w:rPr>
              <w:t>W</w:t>
            </w:r>
            <w:r>
              <w:rPr>
                <w:rFonts w:hint="default" w:ascii="Times New Roman" w:hAnsi="Times New Roman" w:eastAsia="宋体" w:cs="Times New Roman"/>
                <w:i/>
                <w:iCs w:val="0"/>
                <w:color w:val="auto"/>
                <w:kern w:val="0"/>
                <w:sz w:val="22"/>
                <w:szCs w:val="22"/>
                <w:highlight w:val="none"/>
                <w:vertAlign w:val="subscript"/>
                <w:lang w:val="en-US" w:eastAsia="zh-CN" w:bidi="ar"/>
              </w:rPr>
              <w:t>f</w:t>
            </w:r>
            <w:r>
              <w:rPr>
                <w:rFonts w:hint="default" w:ascii="Times New Roman" w:hAnsi="Times New Roman" w:eastAsia="宋体" w:cs="Times New Roman"/>
                <w:color w:val="auto"/>
                <w:kern w:val="0"/>
                <w:sz w:val="22"/>
                <w:szCs w:val="22"/>
                <w:highlight w:val="none"/>
                <w:lang w:val="en-US" w:eastAsia="zh-CN" w:bidi="ar"/>
              </w:rPr>
              <w:t>＝50g</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i/>
                <w:iCs w:val="0"/>
                <w:color w:val="auto"/>
                <w:kern w:val="0"/>
                <w:sz w:val="22"/>
                <w:szCs w:val="22"/>
                <w:highlight w:val="none"/>
                <w:lang w:val="en-US" w:eastAsia="zh-CN" w:bidi="ar"/>
              </w:rPr>
              <w:t>W</w:t>
            </w:r>
            <w:r>
              <w:rPr>
                <w:rFonts w:hint="default" w:ascii="Times New Roman" w:hAnsi="Times New Roman" w:eastAsia="宋体" w:cs="Times New Roman"/>
                <w:i/>
                <w:iCs w:val="0"/>
                <w:color w:val="auto"/>
                <w:kern w:val="0"/>
                <w:sz w:val="22"/>
                <w:szCs w:val="22"/>
                <w:highlight w:val="none"/>
                <w:vertAlign w:val="subscript"/>
                <w:lang w:val="en-US" w:eastAsia="zh-CN" w:bidi="ar"/>
              </w:rPr>
              <w:t>f</w:t>
            </w:r>
            <w:r>
              <w:rPr>
                <w:rFonts w:hint="default" w:ascii="Times New Roman" w:hAnsi="Times New Roman" w:eastAsia="宋体" w:cs="Times New Roman"/>
                <w:color w:val="auto"/>
                <w:kern w:val="0"/>
                <w:sz w:val="22"/>
                <w:szCs w:val="22"/>
                <w:highlight w:val="none"/>
                <w:lang w:val="en-US" w:eastAsia="zh-CN" w:bidi="ar"/>
              </w:rPr>
              <w:t>＝200g</w:t>
            </w:r>
          </w:p>
        </w:tc>
        <w:tc>
          <w:tcPr>
            <w:tcW w:w="76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i/>
                <w:iCs w:val="0"/>
                <w:color w:val="auto"/>
                <w:kern w:val="0"/>
                <w:sz w:val="22"/>
                <w:szCs w:val="22"/>
                <w:highlight w:val="none"/>
                <w:lang w:val="en-US" w:eastAsia="zh-CN" w:bidi="ar"/>
              </w:rPr>
              <w:t>W</w:t>
            </w:r>
            <w:r>
              <w:rPr>
                <w:rFonts w:hint="default" w:ascii="Times New Roman" w:hAnsi="Times New Roman" w:eastAsia="宋体" w:cs="Times New Roman"/>
                <w:i/>
                <w:iCs w:val="0"/>
                <w:color w:val="auto"/>
                <w:kern w:val="0"/>
                <w:sz w:val="22"/>
                <w:szCs w:val="22"/>
                <w:highlight w:val="none"/>
                <w:vertAlign w:val="subscript"/>
                <w:lang w:val="en-US" w:eastAsia="zh-CN" w:bidi="ar"/>
              </w:rPr>
              <w:t>f</w:t>
            </w:r>
            <w:r>
              <w:rPr>
                <w:rFonts w:hint="default" w:ascii="Times New Roman" w:hAnsi="Times New Roman" w:eastAsia="宋体" w:cs="Times New Roman"/>
                <w:color w:val="auto"/>
                <w:kern w:val="0"/>
                <w:sz w:val="22"/>
                <w:szCs w:val="22"/>
                <w:highlight w:val="none"/>
                <w:lang w:val="en-US" w:eastAsia="zh-CN" w:bidi="ar"/>
              </w:rPr>
              <w:t>＝1000g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54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1kg</w:t>
            </w:r>
          </w:p>
        </w:tc>
        <w:tc>
          <w:tcPr>
            <w:tcW w:w="64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72.7</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60.7</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49.3</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89.0</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74.3</w:t>
            </w:r>
          </w:p>
        </w:tc>
        <w:tc>
          <w:tcPr>
            <w:tcW w:w="76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60.3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54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2kg</w:t>
            </w:r>
          </w:p>
        </w:tc>
        <w:tc>
          <w:tcPr>
            <w:tcW w:w="64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88.3</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73.7</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59.8</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108.0</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90.2</w:t>
            </w:r>
          </w:p>
        </w:tc>
        <w:tc>
          <w:tcPr>
            <w:tcW w:w="76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73.2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54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5kg</w:t>
            </w:r>
          </w:p>
        </w:tc>
        <w:tc>
          <w:tcPr>
            <w:tcW w:w="64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114.1</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95.3</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77.3</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139.6</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116.6</w:t>
            </w:r>
          </w:p>
        </w:tc>
        <w:tc>
          <w:tcPr>
            <w:tcW w:w="76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94.6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54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10kg</w:t>
            </w:r>
          </w:p>
        </w:tc>
        <w:tc>
          <w:tcPr>
            <w:tcW w:w="64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138.6</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115.7</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93.9</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169.5</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141.6</w:t>
            </w:r>
          </w:p>
        </w:tc>
        <w:tc>
          <w:tcPr>
            <w:tcW w:w="76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114.8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50kg</w:t>
            </w:r>
          </w:p>
        </w:tc>
        <w:tc>
          <w:tcPr>
            <w:tcW w:w="64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217.5</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181.6</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147.3</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266.0</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222.2</w:t>
            </w:r>
          </w:p>
        </w:tc>
        <w:tc>
          <w:tcPr>
            <w:tcW w:w="76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180.2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100kg</w:t>
            </w:r>
          </w:p>
        </w:tc>
        <w:tc>
          <w:tcPr>
            <w:tcW w:w="64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264.1</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220.5</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178.9</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323.0</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269.8</w:t>
            </w:r>
          </w:p>
        </w:tc>
        <w:tc>
          <w:tcPr>
            <w:tcW w:w="76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218.8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200kg</w:t>
            </w:r>
          </w:p>
        </w:tc>
        <w:tc>
          <w:tcPr>
            <w:tcW w:w="64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320.6</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267.7</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217.2</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392.2</w:t>
            </w:r>
          </w:p>
        </w:tc>
        <w:tc>
          <w:tcPr>
            <w:tcW w:w="76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327.5</w:t>
            </w:r>
          </w:p>
        </w:tc>
        <w:tc>
          <w:tcPr>
            <w:tcW w:w="76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2"/>
                <w:szCs w:val="22"/>
                <w:highlight w:val="none"/>
              </w:rPr>
            </w:pPr>
            <w:r>
              <w:rPr>
                <w:rFonts w:hint="default" w:ascii="Times New Roman" w:hAnsi="Times New Roman" w:eastAsia="宋体" w:cs="Times New Roman"/>
                <w:color w:val="auto"/>
                <w:kern w:val="0"/>
                <w:sz w:val="22"/>
                <w:szCs w:val="22"/>
                <w:highlight w:val="none"/>
                <w:lang w:val="en-US" w:eastAsia="zh-CN" w:bidi="ar"/>
              </w:rPr>
              <w:t>265.7</w:t>
            </w:r>
          </w:p>
        </w:tc>
      </w:tr>
    </w:tbl>
    <w:p>
      <w:pPr>
        <w:keepNext w:val="0"/>
        <w:keepLines w:val="0"/>
        <w:widowControl w:val="0"/>
        <w:suppressLineNumbers w:val="0"/>
        <w:adjustRightInd w:val="0"/>
        <w:snapToGrid w:val="0"/>
        <w:spacing w:before="0" w:beforeAutospacing="0" w:after="0" w:afterAutospacing="0" w:line="460" w:lineRule="exact"/>
        <w:ind w:left="0" w:right="0" w:firstLine="480" w:firstLineChars="200"/>
        <w:jc w:val="both"/>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bidi="ar"/>
        </w:rPr>
        <w:t xml:space="preserve"> </w:t>
      </w:r>
    </w:p>
    <w:p>
      <w:pPr>
        <w:keepNext w:val="0"/>
        <w:keepLines w:val="0"/>
        <w:widowControl w:val="0"/>
        <w:suppressLineNumbers w:val="0"/>
        <w:autoSpaceDE w:val="0"/>
        <w:autoSpaceDN w:val="0"/>
        <w:adjustRightInd w:val="0"/>
        <w:snapToGrid w:val="0"/>
        <w:spacing w:before="0" w:beforeAutospacing="0" w:after="0" w:afterAutospacing="0" w:line="480" w:lineRule="exact"/>
        <w:ind w:left="0" w:right="0" w:firstLine="520" w:firstLineChars="0"/>
        <w:jc w:val="both"/>
        <w:textAlignment w:val="baseline"/>
        <w:rPr>
          <w:rFonts w:hint="default" w:ascii="Times New Roman" w:hAnsi="Times New Roman" w:eastAsia="宋体" w:cs="Times New Roman"/>
          <w:color w:val="auto"/>
          <w:kern w:val="2"/>
          <w:sz w:val="26"/>
          <w:szCs w:val="26"/>
          <w:highlight w:val="none"/>
          <w:vertAlign w:val="baseline"/>
        </w:rPr>
      </w:pPr>
      <w:r>
        <w:rPr>
          <w:rFonts w:hint="eastAsia" w:ascii="宋体" w:hAnsi="宋体" w:eastAsia="宋体" w:cs="宋体"/>
          <w:color w:val="auto"/>
          <w:kern w:val="2"/>
          <w:sz w:val="26"/>
          <w:szCs w:val="26"/>
          <w:highlight w:val="none"/>
          <w:vertAlign w:val="baseline"/>
          <w:lang w:val="en-US" w:eastAsia="zh-CN" w:bidi="ar"/>
        </w:rPr>
        <w:t>根据该公式获得的安全距离是基于在较浅的水深处，当爆炸时不采取任何减轻爆炸影响的措施的条件下，鱼类有</w:t>
      </w:r>
      <w:r>
        <w:rPr>
          <w:rFonts w:hint="default" w:ascii="Times New Roman" w:hAnsi="Times New Roman" w:eastAsia="宋体" w:cs="Times New Roman"/>
          <w:color w:val="auto"/>
          <w:kern w:val="2"/>
          <w:sz w:val="26"/>
          <w:szCs w:val="26"/>
          <w:highlight w:val="none"/>
          <w:vertAlign w:val="baseline"/>
          <w:lang w:val="en-US" w:eastAsia="zh-CN" w:bidi="ar"/>
        </w:rPr>
        <w:t>90%</w:t>
      </w:r>
      <w:r>
        <w:rPr>
          <w:rFonts w:hint="eastAsia" w:ascii="宋体" w:hAnsi="宋体" w:eastAsia="宋体" w:cs="宋体"/>
          <w:color w:val="auto"/>
          <w:kern w:val="2"/>
          <w:sz w:val="26"/>
          <w:szCs w:val="26"/>
          <w:highlight w:val="none"/>
          <w:vertAlign w:val="baseline"/>
          <w:lang w:val="en-US" w:eastAsia="zh-CN" w:bidi="ar"/>
        </w:rPr>
        <w:t>的存活率的情况下的距离。从上表得知，在不采取任何爆破减缓措施前，在爆破最大用药量控制在</w:t>
      </w:r>
      <w:r>
        <w:rPr>
          <w:rFonts w:hint="default" w:ascii="Times New Roman" w:hAnsi="Times New Roman" w:eastAsia="宋体" w:cs="Times New Roman"/>
          <w:color w:val="auto"/>
          <w:kern w:val="2"/>
          <w:sz w:val="26"/>
          <w:szCs w:val="26"/>
          <w:highlight w:val="none"/>
          <w:vertAlign w:val="baseline"/>
          <w:lang w:val="en-US" w:eastAsia="zh-CN" w:bidi="ar"/>
        </w:rPr>
        <w:t>100kg</w:t>
      </w:r>
      <w:r>
        <w:rPr>
          <w:rFonts w:hint="eastAsia" w:ascii="宋体" w:hAnsi="宋体" w:eastAsia="宋体" w:cs="宋体"/>
          <w:color w:val="auto"/>
          <w:kern w:val="2"/>
          <w:sz w:val="26"/>
          <w:szCs w:val="26"/>
          <w:highlight w:val="none"/>
          <w:vertAlign w:val="baseline"/>
          <w:lang w:val="en-US" w:eastAsia="zh-CN" w:bidi="ar"/>
        </w:rPr>
        <w:t>以内时，水生</w:t>
      </w:r>
      <w:r>
        <w:rPr>
          <w:rFonts w:hint="default" w:ascii="Times New Roman" w:hAnsi="Times New Roman" w:eastAsia="宋体" w:cs="Times New Roman"/>
          <w:color w:val="auto"/>
          <w:kern w:val="2"/>
          <w:sz w:val="26"/>
          <w:szCs w:val="26"/>
          <w:highlight w:val="none"/>
          <w:vertAlign w:val="baseline"/>
          <w:lang w:val="en-US" w:eastAsia="zh-CN" w:bidi="ar"/>
        </w:rPr>
        <w:t>2m</w:t>
      </w:r>
      <w:r>
        <w:rPr>
          <w:rFonts w:hint="eastAsia" w:ascii="宋体" w:hAnsi="宋体" w:eastAsia="宋体" w:cs="宋体"/>
          <w:color w:val="auto"/>
          <w:kern w:val="2"/>
          <w:sz w:val="26"/>
          <w:szCs w:val="26"/>
          <w:highlight w:val="none"/>
          <w:vertAlign w:val="baseline"/>
          <w:lang w:val="en-US" w:eastAsia="zh-CN" w:bidi="ar"/>
        </w:rPr>
        <w:t>、距离炸礁点</w:t>
      </w:r>
      <w:r>
        <w:rPr>
          <w:rFonts w:hint="default" w:ascii="Times New Roman" w:hAnsi="Times New Roman" w:eastAsia="宋体" w:cs="Times New Roman"/>
          <w:color w:val="auto"/>
          <w:kern w:val="2"/>
          <w:sz w:val="26"/>
          <w:szCs w:val="26"/>
          <w:highlight w:val="none"/>
          <w:vertAlign w:val="baseline"/>
          <w:lang w:val="en-US" w:eastAsia="zh-CN" w:bidi="ar"/>
        </w:rPr>
        <w:t>264.1m</w:t>
      </w:r>
      <w:r>
        <w:rPr>
          <w:rFonts w:hint="eastAsia" w:ascii="宋体" w:hAnsi="宋体" w:eastAsia="宋体" w:cs="宋体"/>
          <w:color w:val="auto"/>
          <w:kern w:val="2"/>
          <w:sz w:val="26"/>
          <w:szCs w:val="26"/>
          <w:highlight w:val="none"/>
          <w:vertAlign w:val="baseline"/>
          <w:lang w:val="en-US" w:eastAsia="zh-CN" w:bidi="ar"/>
        </w:rPr>
        <w:t>以上体型</w:t>
      </w:r>
      <w:r>
        <w:rPr>
          <w:rFonts w:hint="default" w:ascii="Times New Roman" w:hAnsi="Times New Roman" w:eastAsia="宋体" w:cs="Times New Roman"/>
          <w:color w:val="auto"/>
          <w:kern w:val="2"/>
          <w:sz w:val="26"/>
          <w:szCs w:val="26"/>
          <w:highlight w:val="none"/>
          <w:vertAlign w:val="baseline"/>
          <w:lang w:val="en-US" w:eastAsia="zh-CN" w:bidi="ar"/>
        </w:rPr>
        <w:t>50g</w:t>
      </w:r>
      <w:r>
        <w:rPr>
          <w:rFonts w:hint="eastAsia" w:ascii="宋体" w:hAnsi="宋体" w:eastAsia="宋体" w:cs="宋体"/>
          <w:color w:val="auto"/>
          <w:kern w:val="2"/>
          <w:sz w:val="26"/>
          <w:szCs w:val="26"/>
          <w:highlight w:val="none"/>
          <w:vertAlign w:val="baseline"/>
          <w:lang w:val="en-US" w:eastAsia="zh-CN" w:bidi="ar"/>
        </w:rPr>
        <w:t>的鱼苗存活率为</w:t>
      </w:r>
      <w:r>
        <w:rPr>
          <w:rFonts w:hint="default" w:ascii="Times New Roman" w:hAnsi="Times New Roman" w:eastAsia="宋体" w:cs="Times New Roman"/>
          <w:color w:val="auto"/>
          <w:kern w:val="2"/>
          <w:sz w:val="26"/>
          <w:szCs w:val="26"/>
          <w:highlight w:val="none"/>
          <w:vertAlign w:val="baseline"/>
          <w:lang w:val="en-US" w:eastAsia="zh-CN" w:bidi="ar"/>
        </w:rPr>
        <w:t>90%</w:t>
      </w:r>
      <w:r>
        <w:rPr>
          <w:rFonts w:hint="eastAsia" w:ascii="宋体" w:hAnsi="宋体" w:eastAsia="宋体" w:cs="宋体"/>
          <w:color w:val="auto"/>
          <w:kern w:val="2"/>
          <w:sz w:val="26"/>
          <w:szCs w:val="26"/>
          <w:highlight w:val="none"/>
          <w:vertAlign w:val="baseline"/>
          <w:lang w:val="en-US" w:eastAsia="zh-CN" w:bidi="ar"/>
        </w:rPr>
        <w:t>以上；水生</w:t>
      </w:r>
      <w:r>
        <w:rPr>
          <w:rFonts w:hint="default" w:ascii="Times New Roman" w:hAnsi="Times New Roman" w:eastAsia="宋体" w:cs="Times New Roman"/>
          <w:color w:val="auto"/>
          <w:kern w:val="2"/>
          <w:sz w:val="26"/>
          <w:szCs w:val="26"/>
          <w:highlight w:val="none"/>
          <w:vertAlign w:val="baseline"/>
          <w:lang w:val="en-US" w:eastAsia="zh-CN" w:bidi="ar"/>
        </w:rPr>
        <w:t>5m</w:t>
      </w:r>
      <w:r>
        <w:rPr>
          <w:rFonts w:hint="eastAsia" w:ascii="宋体" w:hAnsi="宋体" w:eastAsia="宋体" w:cs="宋体"/>
          <w:color w:val="auto"/>
          <w:kern w:val="2"/>
          <w:sz w:val="26"/>
          <w:szCs w:val="26"/>
          <w:highlight w:val="none"/>
          <w:vertAlign w:val="baseline"/>
          <w:lang w:val="en-US" w:eastAsia="zh-CN" w:bidi="ar"/>
        </w:rPr>
        <w:t>、距离炸礁点</w:t>
      </w:r>
      <w:r>
        <w:rPr>
          <w:rFonts w:hint="default" w:ascii="Times New Roman" w:hAnsi="Times New Roman" w:eastAsia="宋体" w:cs="Times New Roman"/>
          <w:color w:val="auto"/>
          <w:kern w:val="2"/>
          <w:sz w:val="26"/>
          <w:szCs w:val="26"/>
          <w:highlight w:val="none"/>
          <w:vertAlign w:val="baseline"/>
          <w:lang w:val="en-US" w:eastAsia="zh-CN" w:bidi="ar"/>
        </w:rPr>
        <w:t>323m</w:t>
      </w:r>
      <w:r>
        <w:rPr>
          <w:rFonts w:hint="eastAsia" w:ascii="宋体" w:hAnsi="宋体" w:eastAsia="宋体" w:cs="宋体"/>
          <w:color w:val="auto"/>
          <w:kern w:val="2"/>
          <w:sz w:val="26"/>
          <w:szCs w:val="26"/>
          <w:highlight w:val="none"/>
          <w:vertAlign w:val="baseline"/>
          <w:lang w:val="en-US" w:eastAsia="zh-CN" w:bidi="ar"/>
        </w:rPr>
        <w:t>以上体型</w:t>
      </w:r>
      <w:r>
        <w:rPr>
          <w:rFonts w:hint="default" w:ascii="Times New Roman" w:hAnsi="Times New Roman" w:eastAsia="宋体" w:cs="Times New Roman"/>
          <w:color w:val="auto"/>
          <w:kern w:val="2"/>
          <w:sz w:val="26"/>
          <w:szCs w:val="26"/>
          <w:highlight w:val="none"/>
          <w:vertAlign w:val="baseline"/>
          <w:lang w:val="en-US" w:eastAsia="zh-CN" w:bidi="ar"/>
        </w:rPr>
        <w:t>50g</w:t>
      </w:r>
      <w:r>
        <w:rPr>
          <w:rFonts w:hint="eastAsia" w:ascii="宋体" w:hAnsi="宋体" w:eastAsia="宋体" w:cs="宋体"/>
          <w:color w:val="auto"/>
          <w:kern w:val="2"/>
          <w:sz w:val="26"/>
          <w:szCs w:val="26"/>
          <w:highlight w:val="none"/>
          <w:vertAlign w:val="baseline"/>
          <w:lang w:val="en-US" w:eastAsia="zh-CN" w:bidi="ar"/>
        </w:rPr>
        <w:t>的鱼苗存活率为</w:t>
      </w:r>
      <w:r>
        <w:rPr>
          <w:rFonts w:hint="default" w:ascii="Times New Roman" w:hAnsi="Times New Roman" w:eastAsia="宋体" w:cs="Times New Roman"/>
          <w:color w:val="auto"/>
          <w:kern w:val="2"/>
          <w:sz w:val="26"/>
          <w:szCs w:val="26"/>
          <w:highlight w:val="none"/>
          <w:vertAlign w:val="baseline"/>
          <w:lang w:val="en-US" w:eastAsia="zh-CN" w:bidi="ar"/>
        </w:rPr>
        <w:t>90%</w:t>
      </w:r>
      <w:r>
        <w:rPr>
          <w:rFonts w:hint="eastAsia" w:ascii="宋体" w:hAnsi="宋体" w:eastAsia="宋体" w:cs="宋体"/>
          <w:color w:val="auto"/>
          <w:kern w:val="2"/>
          <w:sz w:val="26"/>
          <w:szCs w:val="26"/>
          <w:highlight w:val="none"/>
          <w:vertAlign w:val="baseline"/>
          <w:lang w:val="en-US" w:eastAsia="zh-CN" w:bidi="ar"/>
        </w:rPr>
        <w:t>以上。</w:t>
      </w:r>
    </w:p>
    <w:p>
      <w:pPr>
        <w:keepNext w:val="0"/>
        <w:keepLines w:val="0"/>
        <w:widowControl w:val="0"/>
        <w:suppressLineNumbers w:val="0"/>
        <w:autoSpaceDE w:val="0"/>
        <w:autoSpaceDN w:val="0"/>
        <w:adjustRightInd w:val="0"/>
        <w:snapToGrid w:val="0"/>
        <w:spacing w:before="0" w:beforeLines="0" w:beforeAutospacing="0" w:after="0" w:afterLines="0" w:afterAutospacing="0" w:line="480" w:lineRule="exact"/>
        <w:ind w:left="0" w:right="0" w:firstLine="520" w:firstLineChars="200"/>
        <w:jc w:val="both"/>
        <w:textAlignment w:val="baseline"/>
        <w:rPr>
          <w:rFonts w:hint="default" w:ascii="Times New Roman" w:hAnsi="Times New Roman" w:eastAsia="宋体" w:cs="Times New Roman"/>
          <w:color w:val="auto"/>
          <w:kern w:val="2"/>
          <w:sz w:val="26"/>
          <w:szCs w:val="26"/>
          <w:highlight w:val="none"/>
          <w:vertAlign w:val="baseline"/>
        </w:rPr>
      </w:pPr>
      <w:r>
        <w:rPr>
          <w:rFonts w:hint="eastAsia" w:ascii="宋体" w:hAnsi="宋体" w:eastAsia="宋体" w:cs="宋体"/>
          <w:color w:val="auto"/>
          <w:kern w:val="2"/>
          <w:sz w:val="26"/>
          <w:szCs w:val="26"/>
          <w:highlight w:val="none"/>
          <w:vertAlign w:val="baseline"/>
          <w:lang w:val="en-US" w:eastAsia="zh-CN" w:bidi="ar"/>
        </w:rPr>
        <w:t>在冲击波峰值压力难以控制且鱼类安全距离得不到保证的情况下，可采用一些生态安全防护设施对鱼类进行保护。现阶段较为有效的设施便是气泡帷幕装置，即在水底安装与空气压缩机相连接的有孔钢管，产生大量气泡形成空气壁，通过气泡振荡、气泡压缩性、隔绝热传导以及气泡与水之间的</w:t>
      </w:r>
      <w:r>
        <w:rPr>
          <w:rFonts w:hint="eastAsia" w:ascii="宋体" w:hAnsi="宋体" w:eastAsia="宋体" w:cs="宋体"/>
          <w:color w:val="auto"/>
          <w:kern w:val="2"/>
          <w:sz w:val="26"/>
          <w:szCs w:val="26"/>
          <w:highlight w:val="none"/>
          <w:shd w:val="clear" w:fill="FFFFFF"/>
          <w:vertAlign w:val="baseline"/>
          <w:lang w:val="en-US" w:eastAsia="zh-CN" w:bidi="ar"/>
        </w:rPr>
        <w:t>粘滞</w:t>
      </w:r>
      <w:r>
        <w:rPr>
          <w:rFonts w:hint="eastAsia" w:ascii="宋体" w:hAnsi="宋体" w:eastAsia="宋体" w:cs="宋体"/>
          <w:color w:val="auto"/>
          <w:kern w:val="2"/>
          <w:sz w:val="26"/>
          <w:szCs w:val="26"/>
          <w:highlight w:val="none"/>
          <w:vertAlign w:val="baseline"/>
          <w:lang w:val="en-US" w:eastAsia="zh-CN" w:bidi="ar"/>
        </w:rPr>
        <w:t>力来降低水中冲击波的能量，可以有效减少冲击波对周边鱼类及生态环境的有害影响，根据目前研究，水流速度、炮孔数量、水体深度和水流方向对炸礁冲击波均有影响，但采用气泡帷幕装置后，可减轻炸礁冲击波</w:t>
      </w:r>
      <w:r>
        <w:rPr>
          <w:rFonts w:hint="default" w:ascii="Times New Roman" w:hAnsi="Times New Roman" w:eastAsia="宋体" w:cs="Times New Roman"/>
          <w:color w:val="auto"/>
          <w:kern w:val="2"/>
          <w:sz w:val="26"/>
          <w:szCs w:val="26"/>
          <w:highlight w:val="none"/>
          <w:vertAlign w:val="baseline"/>
          <w:lang w:val="en-US" w:eastAsia="zh-CN" w:bidi="ar"/>
        </w:rPr>
        <w:t>85%</w:t>
      </w:r>
      <w:r>
        <w:rPr>
          <w:rFonts w:hint="eastAsia" w:ascii="宋体" w:hAnsi="宋体" w:eastAsia="宋体" w:cs="宋体"/>
          <w:color w:val="auto"/>
          <w:kern w:val="2"/>
          <w:sz w:val="26"/>
          <w:szCs w:val="26"/>
          <w:highlight w:val="none"/>
          <w:vertAlign w:val="baseline"/>
          <w:lang w:val="en-US" w:eastAsia="zh-CN" w:bidi="ar"/>
        </w:rPr>
        <w:t>以上。一般在工程应用中采用</w:t>
      </w:r>
      <w:r>
        <w:rPr>
          <w:rFonts w:hint="default" w:ascii="Times New Roman" w:hAnsi="Times New Roman" w:eastAsia="宋体" w:cs="Times New Roman"/>
          <w:color w:val="auto"/>
          <w:kern w:val="2"/>
          <w:sz w:val="26"/>
          <w:szCs w:val="26"/>
          <w:highlight w:val="none"/>
          <w:vertAlign w:val="baseline"/>
          <w:lang w:val="en-US" w:eastAsia="zh-CN" w:bidi="ar"/>
        </w:rPr>
        <w:t>Cole</w:t>
      </w:r>
      <w:r>
        <w:rPr>
          <w:rFonts w:hint="eastAsia" w:ascii="宋体" w:hAnsi="宋体" w:eastAsia="宋体" w:cs="宋体"/>
          <w:color w:val="auto"/>
          <w:kern w:val="2"/>
          <w:sz w:val="26"/>
          <w:szCs w:val="26"/>
          <w:highlight w:val="none"/>
          <w:vertAlign w:val="baseline"/>
          <w:lang w:val="en-US" w:eastAsia="zh-CN" w:bidi="ar"/>
        </w:rPr>
        <w:t>经典压力公式对冲击波峰值压力进行计算：</w:t>
      </w:r>
    </w:p>
    <w:p>
      <w:pPr>
        <w:keepNext w:val="0"/>
        <w:keepLines w:val="0"/>
        <w:widowControl w:val="0"/>
        <w:suppressLineNumbers w:val="0"/>
        <w:adjustRightInd w:val="0"/>
        <w:snapToGrid w:val="0"/>
        <w:spacing w:before="0" w:beforeLines="0" w:beforeAutospacing="0" w:after="0" w:afterLines="0" w:afterAutospacing="0" w:line="480" w:lineRule="exact"/>
        <w:ind w:left="0" w:right="0" w:firstLine="0" w:firstLineChars="0"/>
        <w:jc w:val="center"/>
        <w:rPr>
          <w:rFonts w:hint="default" w:ascii="Times New Roman" w:hAnsi="Times New Roman" w:eastAsia="宋体" w:cs="Times New Roman"/>
          <w:i/>
          <w:iCs/>
          <w:color w:val="auto"/>
          <w:kern w:val="2"/>
          <w:sz w:val="28"/>
          <w:szCs w:val="28"/>
          <w:highlight w:val="none"/>
        </w:rPr>
      </w:pPr>
      <w:r>
        <w:rPr>
          <w:rFonts w:hint="default" w:ascii="Times New Roman" w:hAnsi="Times New Roman" w:eastAsia="宋体" w:cs="Times New Roman"/>
          <w:i/>
          <w:iCs/>
          <w:color w:val="auto"/>
          <w:kern w:val="2"/>
          <w:sz w:val="28"/>
          <w:szCs w:val="28"/>
          <w:highlight w:val="none"/>
          <w:lang w:val="en-US" w:eastAsia="zh-CN" w:bidi="ar"/>
        </w:rPr>
        <w:t>P=K(Q</w:t>
      </w:r>
      <w:r>
        <w:rPr>
          <w:rFonts w:hint="default" w:ascii="Times New Roman" w:hAnsi="Times New Roman" w:eastAsia="宋体" w:cs="Times New Roman"/>
          <w:i/>
          <w:iCs/>
          <w:color w:val="auto"/>
          <w:kern w:val="2"/>
          <w:sz w:val="28"/>
          <w:szCs w:val="28"/>
          <w:highlight w:val="none"/>
          <w:vertAlign w:val="superscript"/>
          <w:lang w:val="en-US" w:eastAsia="zh-CN" w:bidi="ar"/>
        </w:rPr>
        <w:t>1/3</w:t>
      </w:r>
      <w:r>
        <w:rPr>
          <w:rFonts w:hint="default" w:ascii="Times New Roman" w:hAnsi="Times New Roman" w:eastAsia="宋体" w:cs="Times New Roman"/>
          <w:i/>
          <w:iCs/>
          <w:color w:val="auto"/>
          <w:kern w:val="2"/>
          <w:sz w:val="28"/>
          <w:szCs w:val="28"/>
          <w:highlight w:val="none"/>
          <w:lang w:val="en-US" w:eastAsia="zh-CN" w:bidi="ar"/>
        </w:rPr>
        <w:t>/R)</w:t>
      </w:r>
      <w:r>
        <w:rPr>
          <w:rFonts w:hint="eastAsia" w:ascii="宋体" w:hAnsi="宋体" w:eastAsia="宋体" w:cs="宋体"/>
          <w:i/>
          <w:iCs/>
          <w:color w:val="auto"/>
          <w:kern w:val="2"/>
          <w:sz w:val="28"/>
          <w:szCs w:val="28"/>
          <w:highlight w:val="none"/>
          <w:vertAlign w:val="superscript"/>
          <w:lang w:val="en-US" w:eastAsia="zh-CN" w:bidi="ar"/>
        </w:rPr>
        <w:t>α</w:t>
      </w:r>
    </w:p>
    <w:p>
      <w:pPr>
        <w:keepNext w:val="0"/>
        <w:keepLines w:val="0"/>
        <w:widowControl w:val="0"/>
        <w:suppressLineNumbers w:val="0"/>
        <w:autoSpaceDE w:val="0"/>
        <w:autoSpaceDN w:val="0"/>
        <w:adjustRightInd w:val="0"/>
        <w:snapToGrid w:val="0"/>
        <w:spacing w:before="0" w:beforeLines="0" w:beforeAutospacing="0" w:after="0" w:afterLines="0" w:afterAutospacing="0" w:line="480" w:lineRule="exact"/>
        <w:ind w:left="0" w:right="0" w:firstLine="520" w:firstLineChars="200"/>
        <w:jc w:val="both"/>
        <w:textAlignment w:val="baseline"/>
        <w:rPr>
          <w:rFonts w:hint="default" w:ascii="Times New Roman" w:hAnsi="Times New Roman" w:eastAsia="宋体" w:cs="Times New Roman"/>
          <w:color w:val="auto"/>
          <w:kern w:val="2"/>
          <w:sz w:val="26"/>
          <w:szCs w:val="26"/>
          <w:highlight w:val="none"/>
          <w:vertAlign w:val="baseline"/>
        </w:rPr>
      </w:pPr>
      <w:r>
        <w:rPr>
          <w:rFonts w:hint="eastAsia" w:ascii="宋体" w:hAnsi="宋体" w:eastAsia="宋体" w:cs="宋体"/>
          <w:color w:val="auto"/>
          <w:kern w:val="2"/>
          <w:sz w:val="26"/>
          <w:szCs w:val="26"/>
          <w:highlight w:val="none"/>
          <w:vertAlign w:val="baseline"/>
          <w:lang w:val="en-US" w:eastAsia="zh-CN" w:bidi="ar"/>
        </w:rPr>
        <w:t>式中：</w:t>
      </w:r>
      <w:r>
        <w:rPr>
          <w:rFonts w:hint="default" w:ascii="Times New Roman" w:hAnsi="Times New Roman" w:eastAsia="宋体" w:cs="Times New Roman"/>
          <w:color w:val="auto"/>
          <w:kern w:val="2"/>
          <w:sz w:val="26"/>
          <w:szCs w:val="26"/>
          <w:highlight w:val="none"/>
          <w:vertAlign w:val="baseline"/>
          <w:lang w:val="en-US" w:eastAsia="zh-CN" w:bidi="ar"/>
        </w:rPr>
        <w:t xml:space="preserve">P </w:t>
      </w:r>
      <w:r>
        <w:rPr>
          <w:rFonts w:hint="eastAsia" w:ascii="宋体" w:hAnsi="宋体" w:eastAsia="宋体" w:cs="宋体"/>
          <w:color w:val="auto"/>
          <w:kern w:val="2"/>
          <w:sz w:val="26"/>
          <w:szCs w:val="26"/>
          <w:highlight w:val="none"/>
          <w:vertAlign w:val="baseline"/>
          <w:lang w:val="en-US" w:eastAsia="zh-CN" w:bidi="ar"/>
        </w:rPr>
        <w:t>为水下冲击波峰值压力</w:t>
      </w:r>
      <w:r>
        <w:rPr>
          <w:rFonts w:hint="default" w:ascii="Times New Roman" w:hAnsi="Times New Roman" w:eastAsia="宋体" w:cs="Times New Roman"/>
          <w:color w:val="auto"/>
          <w:kern w:val="2"/>
          <w:sz w:val="26"/>
          <w:szCs w:val="26"/>
          <w:highlight w:val="none"/>
          <w:vertAlign w:val="baseline"/>
          <w:lang w:val="en-US" w:eastAsia="zh-CN" w:bidi="ar"/>
        </w:rPr>
        <w:t>(10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w:t>
      </w:r>
      <w:r>
        <w:rPr>
          <w:rFonts w:hint="eastAsia" w:ascii="宋体" w:hAnsi="宋体" w:eastAsia="宋体" w:cs="宋体"/>
          <w:color w:val="auto"/>
          <w:kern w:val="2"/>
          <w:sz w:val="26"/>
          <w:szCs w:val="26"/>
          <w:highlight w:val="none"/>
          <w:vertAlign w:val="baseline"/>
          <w:lang w:val="en-US" w:eastAsia="zh-CN" w:bidi="ar"/>
        </w:rPr>
        <w:t>；</w:t>
      </w:r>
    </w:p>
    <w:p>
      <w:pPr>
        <w:keepNext w:val="0"/>
        <w:keepLines w:val="0"/>
        <w:widowControl w:val="0"/>
        <w:suppressLineNumbers w:val="0"/>
        <w:autoSpaceDE w:val="0"/>
        <w:autoSpaceDN w:val="0"/>
        <w:adjustRightInd w:val="0"/>
        <w:snapToGrid w:val="0"/>
        <w:spacing w:before="0" w:beforeAutospacing="0" w:after="0" w:afterAutospacing="0" w:line="480" w:lineRule="exact"/>
        <w:ind w:left="0" w:right="0" w:firstLine="1274" w:firstLineChars="490"/>
        <w:jc w:val="both"/>
        <w:textAlignment w:val="baseline"/>
        <w:rPr>
          <w:rFonts w:hint="default" w:ascii="Times New Roman" w:hAnsi="Times New Roman" w:eastAsia="宋体" w:cs="Times New Roman"/>
          <w:color w:val="auto"/>
          <w:kern w:val="2"/>
          <w:sz w:val="26"/>
          <w:szCs w:val="26"/>
          <w:highlight w:val="none"/>
          <w:vertAlign w:val="baseline"/>
        </w:rPr>
      </w:pPr>
      <w:r>
        <w:rPr>
          <w:rFonts w:hint="default" w:ascii="Times New Roman" w:hAnsi="Times New Roman" w:eastAsia="宋体" w:cs="Times New Roman"/>
          <w:color w:val="auto"/>
          <w:kern w:val="2"/>
          <w:sz w:val="26"/>
          <w:szCs w:val="26"/>
          <w:highlight w:val="none"/>
          <w:vertAlign w:val="baseline"/>
          <w:lang w:val="en-US" w:eastAsia="zh-CN" w:bidi="ar"/>
        </w:rPr>
        <w:t xml:space="preserve">R </w:t>
      </w:r>
      <w:r>
        <w:rPr>
          <w:rFonts w:hint="eastAsia" w:ascii="宋体" w:hAnsi="宋体" w:eastAsia="宋体" w:cs="宋体"/>
          <w:color w:val="auto"/>
          <w:kern w:val="2"/>
          <w:sz w:val="26"/>
          <w:szCs w:val="26"/>
          <w:highlight w:val="none"/>
          <w:vertAlign w:val="baseline"/>
          <w:lang w:val="en-US" w:eastAsia="zh-CN" w:bidi="ar"/>
        </w:rPr>
        <w:t>为测点至爆源距离</w:t>
      </w:r>
      <w:r>
        <w:rPr>
          <w:rFonts w:hint="default" w:ascii="Times New Roman" w:hAnsi="Times New Roman" w:eastAsia="宋体" w:cs="Times New Roman"/>
          <w:color w:val="auto"/>
          <w:kern w:val="2"/>
          <w:sz w:val="26"/>
          <w:szCs w:val="26"/>
          <w:highlight w:val="none"/>
          <w:vertAlign w:val="baseline"/>
          <w:lang w:val="en-US" w:eastAsia="zh-CN" w:bidi="ar"/>
        </w:rPr>
        <w:t xml:space="preserve">(m) </w:t>
      </w:r>
      <w:r>
        <w:rPr>
          <w:rFonts w:hint="eastAsia" w:ascii="宋体" w:hAnsi="宋体" w:eastAsia="宋体" w:cs="宋体"/>
          <w:color w:val="auto"/>
          <w:kern w:val="2"/>
          <w:sz w:val="26"/>
          <w:szCs w:val="26"/>
          <w:highlight w:val="none"/>
          <w:vertAlign w:val="baseline"/>
          <w:lang w:val="en-US" w:eastAsia="zh-CN" w:bidi="ar"/>
        </w:rPr>
        <w:t>；</w:t>
      </w:r>
    </w:p>
    <w:p>
      <w:pPr>
        <w:keepNext w:val="0"/>
        <w:keepLines w:val="0"/>
        <w:widowControl w:val="0"/>
        <w:suppressLineNumbers w:val="0"/>
        <w:autoSpaceDE w:val="0"/>
        <w:autoSpaceDN w:val="0"/>
        <w:adjustRightInd w:val="0"/>
        <w:snapToGrid w:val="0"/>
        <w:spacing w:before="0" w:beforeAutospacing="0" w:after="0" w:afterAutospacing="0" w:line="480" w:lineRule="exact"/>
        <w:ind w:left="0" w:right="0" w:firstLine="1274" w:firstLineChars="490"/>
        <w:jc w:val="both"/>
        <w:textAlignment w:val="baseline"/>
        <w:rPr>
          <w:rFonts w:hint="default" w:ascii="Times New Roman" w:hAnsi="Times New Roman" w:eastAsia="宋体" w:cs="Times New Roman"/>
          <w:color w:val="auto"/>
          <w:kern w:val="2"/>
          <w:sz w:val="26"/>
          <w:szCs w:val="26"/>
          <w:highlight w:val="none"/>
          <w:vertAlign w:val="baseline"/>
        </w:rPr>
      </w:pPr>
      <w:r>
        <w:rPr>
          <w:rFonts w:hint="default" w:ascii="Times New Roman" w:hAnsi="Times New Roman" w:eastAsia="宋体" w:cs="Times New Roman"/>
          <w:color w:val="auto"/>
          <w:kern w:val="2"/>
          <w:sz w:val="26"/>
          <w:szCs w:val="26"/>
          <w:highlight w:val="none"/>
          <w:vertAlign w:val="baseline"/>
          <w:lang w:val="en-US" w:eastAsia="zh-CN" w:bidi="ar"/>
        </w:rPr>
        <w:t xml:space="preserve">Q </w:t>
      </w:r>
      <w:r>
        <w:rPr>
          <w:rFonts w:hint="eastAsia" w:ascii="宋体" w:hAnsi="宋体" w:eastAsia="宋体" w:cs="宋体"/>
          <w:color w:val="auto"/>
          <w:kern w:val="2"/>
          <w:sz w:val="26"/>
          <w:szCs w:val="26"/>
          <w:highlight w:val="none"/>
          <w:vertAlign w:val="baseline"/>
          <w:lang w:val="en-US" w:eastAsia="zh-CN" w:bidi="ar"/>
        </w:rPr>
        <w:t>为炸药量</w:t>
      </w:r>
      <w:r>
        <w:rPr>
          <w:rFonts w:hint="default" w:ascii="Times New Roman" w:hAnsi="Times New Roman" w:eastAsia="宋体" w:cs="Times New Roman"/>
          <w:color w:val="auto"/>
          <w:kern w:val="2"/>
          <w:sz w:val="26"/>
          <w:szCs w:val="26"/>
          <w:highlight w:val="none"/>
          <w:vertAlign w:val="baseline"/>
          <w:lang w:val="en-US" w:eastAsia="zh-CN" w:bidi="ar"/>
        </w:rPr>
        <w:t xml:space="preserve">( kg ) </w:t>
      </w:r>
      <w:r>
        <w:rPr>
          <w:rFonts w:hint="eastAsia" w:ascii="宋体" w:hAnsi="宋体" w:eastAsia="宋体" w:cs="宋体"/>
          <w:color w:val="auto"/>
          <w:kern w:val="2"/>
          <w:sz w:val="26"/>
          <w:szCs w:val="26"/>
          <w:highlight w:val="none"/>
          <w:vertAlign w:val="baseline"/>
          <w:lang w:val="en-US" w:eastAsia="zh-CN" w:bidi="ar"/>
        </w:rPr>
        <w:t>；</w:t>
      </w:r>
      <w:r>
        <w:rPr>
          <w:rFonts w:hint="default" w:ascii="Times New Roman" w:hAnsi="Times New Roman" w:eastAsia="宋体" w:cs="Times New Roman"/>
          <w:color w:val="auto"/>
          <w:kern w:val="2"/>
          <w:sz w:val="26"/>
          <w:szCs w:val="26"/>
          <w:highlight w:val="none"/>
          <w:vertAlign w:val="baseline"/>
          <w:lang w:val="en-US" w:eastAsia="zh-CN" w:bidi="ar"/>
        </w:rPr>
        <w:t xml:space="preserve"> </w:t>
      </w:r>
    </w:p>
    <w:p>
      <w:pPr>
        <w:keepNext w:val="0"/>
        <w:keepLines w:val="0"/>
        <w:widowControl w:val="0"/>
        <w:numPr>
          <w:ilvl w:val="0"/>
          <w:numId w:val="29"/>
        </w:numPr>
        <w:suppressLineNumbers w:val="0"/>
        <w:autoSpaceDE w:val="0"/>
        <w:autoSpaceDN w:val="0"/>
        <w:adjustRightInd w:val="0"/>
        <w:snapToGrid w:val="0"/>
        <w:spacing w:before="0" w:beforeAutospacing="0" w:after="0" w:afterAutospacing="0" w:line="480" w:lineRule="exact"/>
        <w:ind w:left="0" w:right="0" w:firstLine="1274" w:firstLineChars="490"/>
        <w:jc w:val="both"/>
        <w:textAlignment w:val="baseline"/>
        <w:rPr>
          <w:rFonts w:hint="default" w:ascii="Times New Roman" w:hAnsi="Times New Roman" w:eastAsia="宋体" w:cs="Times New Roman"/>
          <w:color w:val="auto"/>
          <w:kern w:val="2"/>
          <w:sz w:val="26"/>
          <w:szCs w:val="26"/>
          <w:highlight w:val="none"/>
          <w:vertAlign w:val="baseline"/>
        </w:rPr>
      </w:pPr>
      <w:r>
        <w:rPr>
          <w:rFonts w:hint="default" w:ascii="Times New Roman" w:hAnsi="Times New Roman" w:eastAsia="宋体" w:cs="Times New Roman"/>
          <w:color w:val="auto"/>
          <w:kern w:val="2"/>
          <w:sz w:val="26"/>
          <w:szCs w:val="26"/>
          <w:highlight w:val="none"/>
          <w:vertAlign w:val="baseline"/>
          <w:lang w:val="en-US" w:eastAsia="zh-CN" w:bidi="ar"/>
        </w:rPr>
        <w:t>α为实验系数，取决于炸药种类、爆</w:t>
      </w:r>
      <w:r>
        <w:rPr>
          <w:rFonts w:hint="eastAsia" w:ascii="宋体" w:hAnsi="宋体" w:eastAsia="宋体" w:cs="宋体"/>
          <w:color w:val="auto"/>
          <w:kern w:val="2"/>
          <w:sz w:val="26"/>
          <w:szCs w:val="26"/>
          <w:highlight w:val="none"/>
          <w:vertAlign w:val="baseline"/>
          <w:lang w:val="en-US" w:eastAsia="zh-CN" w:bidi="ar"/>
        </w:rPr>
        <w:t>破方式和爆破水深等因素。</w:t>
      </w:r>
    </w:p>
    <w:p>
      <w:pPr>
        <w:keepNext w:val="0"/>
        <w:keepLines w:val="0"/>
        <w:widowControl w:val="0"/>
        <w:suppressLineNumbers w:val="0"/>
        <w:autoSpaceDE w:val="0"/>
        <w:autoSpaceDN w:val="0"/>
        <w:adjustRightInd w:val="0"/>
        <w:snapToGrid w:val="0"/>
        <w:spacing w:before="0" w:beforeAutospacing="0" w:after="0" w:afterAutospacing="0" w:line="480" w:lineRule="exact"/>
        <w:ind w:left="0" w:right="0" w:firstLine="520" w:firstLineChars="200"/>
        <w:jc w:val="both"/>
        <w:textAlignment w:val="baseline"/>
        <w:rPr>
          <w:rFonts w:hint="default" w:ascii="Times New Roman" w:hAnsi="Times New Roman" w:eastAsia="宋体" w:cs="Times New Roman"/>
          <w:color w:val="auto"/>
          <w:kern w:val="2"/>
          <w:sz w:val="26"/>
          <w:szCs w:val="26"/>
          <w:highlight w:val="none"/>
          <w:vertAlign w:val="baseline"/>
        </w:rPr>
      </w:pPr>
      <w:r>
        <w:rPr>
          <w:rFonts w:hint="default" w:ascii="Times New Roman" w:hAnsi="Times New Roman" w:eastAsia="宋体" w:cs="Times New Roman"/>
          <w:color w:val="auto"/>
          <w:kern w:val="2"/>
          <w:sz w:val="26"/>
          <w:szCs w:val="26"/>
          <w:highlight w:val="none"/>
          <w:vertAlign w:val="baseline"/>
          <w:lang w:val="en-US" w:eastAsia="zh-CN" w:bidi="ar"/>
        </w:rPr>
        <w:t>根据长江上游朝天门至涪陵河段航道整治工程施工阶段的实验数据（杨宵，朝涪段水下钻孔爆破对典型鱼类的影响研究，2023），在采用水下钻孔爆破方式、乳化炸药、延时爆破的情况下，拟合得到Cole经典压力公式中的经验系数K为39.76，经验系数α为1.57。经计算，当最大炸药量Q=100kg时，距离R为100m和200m处水下冲击波峰值压力P值分别为0.13×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Pa和0.05×10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Pa，在采取气泡帷幕装置，减轻炸礁冲击波85%以上（以85%计）的情况下，距离R为100m和200m处水下冲击波峰值压力P值分别约0.02×10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Pa和0.01×10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w:t>
      </w:r>
    </w:p>
    <w:p>
      <w:pPr>
        <w:keepNext w:val="0"/>
        <w:keepLines w:val="0"/>
        <w:widowControl w:val="0"/>
        <w:suppressLineNumbers w:val="0"/>
        <w:autoSpaceDE w:val="0"/>
        <w:autoSpaceDN w:val="0"/>
        <w:adjustRightInd w:val="0"/>
        <w:snapToGrid w:val="0"/>
        <w:spacing w:before="0" w:beforeAutospacing="0" w:after="0" w:afterAutospacing="0" w:line="480" w:lineRule="exact"/>
        <w:ind w:left="0" w:right="0" w:firstLine="520" w:firstLineChars="200"/>
        <w:jc w:val="both"/>
        <w:textAlignment w:val="baseline"/>
        <w:rPr>
          <w:rFonts w:hint="default" w:ascii="Times New Roman" w:hAnsi="Times New Roman" w:eastAsia="宋体" w:cs="Times New Roman"/>
          <w:color w:val="auto"/>
          <w:kern w:val="2"/>
          <w:sz w:val="26"/>
          <w:szCs w:val="26"/>
          <w:highlight w:val="none"/>
          <w:vertAlign w:val="baseline"/>
        </w:rPr>
      </w:pPr>
      <w:r>
        <w:rPr>
          <w:rFonts w:hint="default" w:ascii="Times New Roman" w:hAnsi="Times New Roman" w:eastAsia="宋体" w:cs="Times New Roman"/>
          <w:color w:val="auto"/>
          <w:kern w:val="2"/>
          <w:sz w:val="26"/>
          <w:szCs w:val="26"/>
          <w:highlight w:val="none"/>
          <w:vertAlign w:val="baseline"/>
          <w:lang w:val="en-US" w:eastAsia="zh-CN" w:bidi="ar"/>
        </w:rPr>
        <w:t>根据朱泰在长江上游朝天门至涪陵河段航道整治工程施工阶段的监测数据（朱泰水下爆破冲击波对四大家鱼的损伤及防护研究，2021），当冲击波峰值压力分别为0.89×10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Pa、0.64×10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Pa和0.49×10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Pa时，30~45cm的成体草鱼基本不受冲击波损伤作用的影响，可以保证正常的鱼类生命活动安全；1.42×10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Pa和1.50×10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Pa的爆破冲击波峰值压力不会对15~20cm的鲢鱼幼鱼造成严重损伤；0.90×10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的爆破冲击波峰值压力不会对10~20cm的四大家鱼幼鱼造成明显损伤。作者基于实验提出成鱼和幼鱼的安全临界压力，对于5~30cm的幼鱼，选择最为敏感的5cm幼鱼的非致死性损伤临界压力作为其安全临界压力，对于大于30cm的成鱼，选择其中最为敏感的30cm成鱼的非致死性损伤临界压力作为其安全临界压力，实验表明，一般情况下，体长为5cm的幼鱼在0.14×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Pa的爆破冲击波压力作用下开始出现非致死性损伤，而体长为30cm的成鱼在0.75×10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Pa的爆破冲击波压力作用下开始出现非致死性损伤，因此，四大家鱼中5~30cm幼鱼的安全临界压力为0.14×10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Pa，而30cm以上的成鱼安全临界压力为0.75×10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w:t>
      </w:r>
    </w:p>
    <w:p>
      <w:pPr>
        <w:pStyle w:val="23"/>
        <w:keepNext w:val="0"/>
        <w:keepLines w:val="0"/>
        <w:widowControl w:val="0"/>
        <w:suppressLineNumbers w:val="0"/>
        <w:adjustRightInd w:val="0"/>
        <w:snapToGrid w:val="0"/>
        <w:spacing w:before="0" w:beforeAutospacing="0" w:after="0" w:afterAutospacing="0" w:line="240" w:lineRule="atLeast"/>
        <w:ind w:left="0" w:right="0" w:firstLine="400" w:firstLineChars="200"/>
        <w:jc w:val="center"/>
        <w:rPr>
          <w:rFonts w:hint="default" w:ascii="Times New Roman" w:hAnsi="Times New Roman" w:eastAsia="宋体" w:cs="Times New Roman"/>
          <w:color w:val="auto"/>
          <w:kern w:val="2"/>
          <w:sz w:val="20"/>
          <w:szCs w:val="20"/>
          <w:highlight w:val="none"/>
        </w:rPr>
      </w:pPr>
      <w:r>
        <w:rPr>
          <w:rFonts w:hint="default" w:ascii="Times New Roman" w:hAnsi="Times New Roman" w:eastAsia="宋体" w:cs="Times New Roman"/>
          <w:color w:val="auto"/>
          <w:kern w:val="2"/>
          <w:sz w:val="20"/>
          <w:szCs w:val="20"/>
          <w:highlight w:val="none"/>
          <w:lang w:val="en-US" w:eastAsia="zh-CN" w:bidi="ar"/>
        </w:rPr>
        <w:t xml:space="preserve"> </w:t>
      </w:r>
    </w:p>
    <w:p>
      <w:pPr>
        <w:pStyle w:val="23"/>
        <w:keepNext w:val="0"/>
        <w:keepLines w:val="0"/>
        <w:widowControl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kern w:val="2"/>
          <w:sz w:val="20"/>
          <w:szCs w:val="20"/>
          <w:highlight w:val="none"/>
        </w:rPr>
      </w:pPr>
      <w:r>
        <w:rPr>
          <w:rFonts w:hint="default" w:ascii="Times New Roman" w:hAnsi="Times New Roman" w:eastAsia="宋体" w:cs="Times New Roman"/>
          <w:color w:val="auto"/>
          <w:kern w:val="2"/>
          <w:sz w:val="20"/>
          <w:szCs w:val="20"/>
          <w:highlight w:val="none"/>
          <w:lang w:val="en-US" w:eastAsia="zh-CN" w:bidi="ar"/>
        </w:rPr>
        <w:drawing>
          <wp:inline distT="0" distB="0" distL="114300" distR="114300">
            <wp:extent cx="4762500" cy="3286125"/>
            <wp:effectExtent l="0" t="0" r="0" b="9525"/>
            <wp:docPr id="50" name="图片 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256"/>
                    <pic:cNvPicPr>
                      <a:picLocks noChangeAspect="1"/>
                    </pic:cNvPicPr>
                  </pic:nvPicPr>
                  <pic:blipFill>
                    <a:blip r:embed="rId84"/>
                    <a:stretch>
                      <a:fillRect/>
                    </a:stretch>
                  </pic:blipFill>
                  <pic:spPr>
                    <a:xfrm>
                      <a:off x="0" y="0"/>
                      <a:ext cx="4762500" cy="3286125"/>
                    </a:xfrm>
                    <a:prstGeom prst="rect">
                      <a:avLst/>
                    </a:prstGeom>
                    <a:noFill/>
                    <a:ln w="9525">
                      <a:noFill/>
                    </a:ln>
                  </pic:spPr>
                </pic:pic>
              </a:graphicData>
            </a:graphic>
          </wp:inline>
        </w:drawing>
      </w:r>
      <w:r>
        <w:rPr>
          <w:rFonts w:hint="default" w:ascii="Times New Roman" w:hAnsi="Times New Roman" w:eastAsia="宋体" w:cs="Times New Roman"/>
          <w:color w:val="auto"/>
          <w:kern w:val="2"/>
          <w:sz w:val="20"/>
          <w:szCs w:val="20"/>
          <w:highlight w:val="none"/>
          <w:lang w:val="en-US" w:eastAsia="zh-CN" w:bidi="ar"/>
        </w:rPr>
        <w:t xml:space="preserve"> </w:t>
      </w:r>
    </w:p>
    <w:p>
      <w:pPr>
        <w:pStyle w:val="23"/>
        <w:keepNext w:val="0"/>
        <w:keepLines w:val="0"/>
        <w:widowControl w:val="0"/>
        <w:suppressLineNumbers w:val="0"/>
        <w:adjustRightInd w:val="0"/>
        <w:snapToGrid w:val="0"/>
        <w:spacing w:before="0" w:beforeAutospacing="0" w:after="0" w:afterAutospacing="0" w:line="240" w:lineRule="atLeast"/>
        <w:ind w:left="0" w:right="0" w:firstLine="400" w:firstLineChars="200"/>
        <w:jc w:val="center"/>
        <w:rPr>
          <w:rFonts w:hint="default" w:ascii="Times New Roman" w:hAnsi="Times New Roman" w:eastAsia="宋体" w:cs="Times New Roman"/>
          <w:color w:val="auto"/>
          <w:kern w:val="2"/>
          <w:sz w:val="20"/>
          <w:szCs w:val="20"/>
          <w:highlight w:val="none"/>
        </w:rPr>
      </w:pPr>
      <w:r>
        <w:rPr>
          <w:rFonts w:hint="default" w:ascii="Times New Roman" w:hAnsi="Times New Roman" w:eastAsia="宋体" w:cs="Times New Roman"/>
          <w:color w:val="auto"/>
          <w:kern w:val="2"/>
          <w:sz w:val="20"/>
          <w:szCs w:val="20"/>
          <w:highlight w:val="none"/>
          <w:lang w:val="en-US" w:eastAsia="zh-CN" w:bidi="ar"/>
        </w:rPr>
        <w:t xml:space="preserve"> </w:t>
      </w:r>
    </w:p>
    <w:p>
      <w:pPr>
        <w:keepNext w:val="0"/>
        <w:keepLines w:val="0"/>
        <w:widowControl w:val="0"/>
        <w:suppressLineNumbers w:val="0"/>
        <w:autoSpaceDE w:val="0"/>
        <w:autoSpaceDN w:val="0"/>
        <w:spacing w:before="0" w:beforeAutospacing="0" w:after="0" w:afterAutospacing="0" w:line="480" w:lineRule="exact"/>
        <w:ind w:left="0" w:right="0" w:firstLine="520" w:firstLineChars="200"/>
        <w:jc w:val="both"/>
        <w:textAlignment w:val="baseline"/>
        <w:rPr>
          <w:rFonts w:hint="default" w:ascii="Times New Roman" w:hAnsi="Times New Roman" w:eastAsia="宋体" w:cs="Times New Roman"/>
          <w:color w:val="auto"/>
          <w:kern w:val="2"/>
          <w:sz w:val="26"/>
          <w:szCs w:val="26"/>
          <w:highlight w:val="none"/>
          <w:vertAlign w:val="baseline"/>
        </w:rPr>
      </w:pPr>
      <w:r>
        <w:rPr>
          <w:rFonts w:hint="default" w:ascii="Times New Roman" w:hAnsi="Times New Roman" w:eastAsia="宋体" w:cs="Times New Roman"/>
          <w:color w:val="auto"/>
          <w:kern w:val="2"/>
          <w:sz w:val="26"/>
          <w:szCs w:val="26"/>
          <w:highlight w:val="none"/>
          <w:vertAlign w:val="baseline"/>
          <w:lang w:val="en-US" w:eastAsia="zh-CN" w:bidi="ar"/>
        </w:rPr>
        <w:t>综上所述，当最大炸药量Q=100kg时，距离爆源R为100m处水下冲击波峰值压力P值为0.13×10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Pa，对体长为5cm的幼鱼（0.14×10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Pa）和30cm以上的成鱼（0.75×10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Pa）均不会造成明显损伤。在采取气泡帷幕装置，减轻炸礁冲击波85%以上（以85%计）的情况下，冲击波压力分别约0.02×10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Pa和0.01×10</w:t>
      </w:r>
      <w:r>
        <w:rPr>
          <w:rFonts w:hint="default" w:ascii="Times New Roman" w:hAnsi="Times New Roman" w:eastAsia="宋体" w:cs="Times New Roman"/>
          <w:color w:val="auto"/>
          <w:kern w:val="2"/>
          <w:sz w:val="26"/>
          <w:szCs w:val="26"/>
          <w:highlight w:val="none"/>
          <w:vertAlign w:val="superscript"/>
          <w:lang w:val="en-US" w:eastAsia="zh-CN" w:bidi="ar"/>
        </w:rPr>
        <w:t>5</w:t>
      </w:r>
      <w:r>
        <w:rPr>
          <w:rFonts w:hint="default" w:ascii="Times New Roman" w:hAnsi="Times New Roman" w:eastAsia="宋体" w:cs="Times New Roman"/>
          <w:color w:val="auto"/>
          <w:kern w:val="2"/>
          <w:sz w:val="26"/>
          <w:szCs w:val="26"/>
          <w:highlight w:val="none"/>
          <w:vertAlign w:val="baseline"/>
          <w:lang w:val="en-US" w:eastAsia="zh-CN" w:bidi="ar"/>
        </w:rPr>
        <w:t>Pa，对幼鱼和成鱼的影响进一步大幅减小。</w:t>
      </w:r>
    </w:p>
    <w:p>
      <w:pPr>
        <w:keepNext w:val="0"/>
        <w:keepLines w:val="0"/>
        <w:widowControl w:val="0"/>
        <w:suppressLineNumbers w:val="0"/>
        <w:autoSpaceDE w:val="0"/>
        <w:autoSpaceDN w:val="0"/>
        <w:adjustRightInd w:val="0"/>
        <w:snapToGrid w:val="0"/>
        <w:spacing w:before="0" w:beforeAutospacing="0" w:after="0" w:afterAutospacing="0" w:line="480" w:lineRule="exact"/>
        <w:ind w:left="0" w:right="0" w:firstLine="520" w:firstLineChars="200"/>
        <w:jc w:val="both"/>
        <w:textAlignment w:val="baseline"/>
        <w:rPr>
          <w:rFonts w:hint="default" w:ascii="Times New Roman" w:hAnsi="Times New Roman" w:eastAsia="宋体" w:cs="Times New Roman"/>
          <w:bCs/>
          <w:color w:val="auto"/>
          <w:kern w:val="2"/>
          <w:sz w:val="26"/>
          <w:szCs w:val="26"/>
          <w:highlight w:val="none"/>
          <w:vertAlign w:val="baseline"/>
        </w:rPr>
      </w:pPr>
      <w:r>
        <w:rPr>
          <w:rFonts w:hint="default" w:ascii="Times New Roman" w:hAnsi="Times New Roman" w:eastAsia="宋体" w:cs="Times New Roman"/>
          <w:color w:val="auto"/>
          <w:kern w:val="2"/>
          <w:sz w:val="26"/>
          <w:szCs w:val="26"/>
          <w:highlight w:val="none"/>
          <w:vertAlign w:val="baseline"/>
          <w:lang w:val="en-US" w:eastAsia="zh-CN" w:bidi="ar"/>
        </w:rPr>
        <w:t>因此，</w:t>
      </w:r>
      <w:r>
        <w:rPr>
          <w:rFonts w:hint="default" w:ascii="Times New Roman" w:hAnsi="Times New Roman" w:eastAsia="宋体" w:cs="Times New Roman"/>
          <w:bCs/>
          <w:color w:val="auto"/>
          <w:kern w:val="2"/>
          <w:sz w:val="26"/>
          <w:szCs w:val="26"/>
          <w:highlight w:val="none"/>
          <w:vertAlign w:val="baseline"/>
          <w:lang w:val="en-US" w:eastAsia="zh-CN" w:bidi="ar"/>
        </w:rPr>
        <w:t>针对水下爆破对鱼类的影响，评价要求：</w:t>
      </w:r>
    </w:p>
    <w:p>
      <w:pPr>
        <w:keepNext w:val="0"/>
        <w:keepLines w:val="0"/>
        <w:widowControl w:val="0"/>
        <w:numPr>
          <w:ilvl w:val="0"/>
          <w:numId w:val="30"/>
        </w:numPr>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炸礁及疏浚避开春季</w:t>
      </w:r>
      <w:r>
        <w:rPr>
          <w:rFonts w:hint="default" w:ascii="Times New Roman" w:hAnsi="Times New Roman" w:eastAsia="宋体" w:cs="Times New Roman"/>
          <w:color w:val="auto"/>
          <w:kern w:val="2"/>
          <w:sz w:val="26"/>
          <w:szCs w:val="26"/>
          <w:highlight w:val="none"/>
          <w:lang w:val="en-US" w:eastAsia="zh-CN" w:bidi="ar"/>
        </w:rPr>
        <w:t>鱼类集中繁殖期（</w:t>
      </w:r>
      <w:r>
        <w:rPr>
          <w:rFonts w:hint="default" w:cs="Times New Roman"/>
          <w:color w:val="auto"/>
          <w:kern w:val="2"/>
          <w:sz w:val="26"/>
          <w:szCs w:val="26"/>
          <w:highlight w:val="none"/>
          <w:lang w:val="en-US" w:eastAsia="zh-CN" w:bidi="ar"/>
        </w:rPr>
        <w:t>3-6</w:t>
      </w:r>
      <w:r>
        <w:rPr>
          <w:rFonts w:hint="default" w:ascii="Times New Roman" w:hAnsi="Times New Roman" w:eastAsia="宋体" w:cs="Times New Roman"/>
          <w:color w:val="auto"/>
          <w:kern w:val="2"/>
          <w:sz w:val="26"/>
          <w:szCs w:val="26"/>
          <w:highlight w:val="none"/>
          <w:lang w:val="en-US" w:eastAsia="zh-CN" w:bidi="ar"/>
        </w:rPr>
        <w:t>月），其中上游疏浚、切咀和丁坝施工除避开春季鱼类集中繁殖期（</w:t>
      </w:r>
      <w:r>
        <w:rPr>
          <w:rFonts w:hint="default" w:ascii="Times New Roman" w:hAnsi="Times New Roman" w:cs="Times New Roman"/>
          <w:color w:val="auto"/>
          <w:kern w:val="2"/>
          <w:sz w:val="26"/>
          <w:szCs w:val="26"/>
          <w:highlight w:val="none"/>
          <w:lang w:val="en-US" w:eastAsia="zh-CN" w:bidi="ar"/>
        </w:rPr>
        <w:t>3-6</w:t>
      </w:r>
      <w:r>
        <w:rPr>
          <w:rFonts w:hint="default" w:ascii="Times New Roman" w:hAnsi="Times New Roman" w:eastAsia="宋体" w:cs="Times New Roman"/>
          <w:color w:val="auto"/>
          <w:kern w:val="2"/>
          <w:sz w:val="26"/>
          <w:szCs w:val="26"/>
          <w:highlight w:val="none"/>
          <w:lang w:val="en-US" w:eastAsia="zh-CN" w:bidi="ar"/>
        </w:rPr>
        <w:t>月）外，还需避让鱼类越冬季节（11月~次年2月）；</w:t>
      </w:r>
    </w:p>
    <w:p>
      <w:pPr>
        <w:keepNext w:val="0"/>
        <w:keepLines w:val="0"/>
        <w:widowControl w:val="0"/>
        <w:numPr>
          <w:ilvl w:val="0"/>
          <w:numId w:val="30"/>
        </w:numPr>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编制爆破实施方案。爆破施工单位在施工前结合施工范围、深度和水生生态保护目标等进行具体研究，提出详细的爆破方案，尽最大可能减小爆破对鱼类的影响，并交由业主单位及渔业管理部门进行审核，施工时在现场安排监管人员进行实时监管，保障爆破按实施方案顺利进行；</w:t>
      </w:r>
    </w:p>
    <w:p>
      <w:pPr>
        <w:keepNext w:val="0"/>
        <w:keepLines w:val="0"/>
        <w:widowControl w:val="0"/>
        <w:numPr>
          <w:ilvl w:val="0"/>
          <w:numId w:val="30"/>
        </w:numPr>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采用爆前驱鱼措施</w:t>
      </w:r>
      <w:r>
        <w:rPr>
          <w:rFonts w:hint="default" w:ascii="Times New Roman" w:hAnsi="Times New Roman" w:eastAsia="宋体" w:cs="Times New Roman"/>
          <w:bCs/>
          <w:color w:val="auto"/>
          <w:kern w:val="2"/>
          <w:sz w:val="26"/>
          <w:szCs w:val="26"/>
          <w:highlight w:val="none"/>
          <w:lang w:val="en-US" w:eastAsia="zh-CN" w:bidi="ar"/>
        </w:rPr>
        <w:t>；</w:t>
      </w:r>
    </w:p>
    <w:p>
      <w:pPr>
        <w:keepNext w:val="0"/>
        <w:keepLines w:val="0"/>
        <w:widowControl w:val="0"/>
        <w:numPr>
          <w:ilvl w:val="0"/>
          <w:numId w:val="30"/>
        </w:numPr>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采用先进爆破工艺并限制一次爆破最大用药量。</w:t>
      </w:r>
      <w:r>
        <w:rPr>
          <w:rFonts w:hint="default" w:ascii="Times New Roman" w:hAnsi="Times New Roman" w:eastAsia="宋体" w:cs="Times New Roman"/>
          <w:bCs/>
          <w:color w:val="auto"/>
          <w:kern w:val="2"/>
          <w:sz w:val="26"/>
          <w:szCs w:val="26"/>
          <w:highlight w:val="none"/>
          <w:lang w:val="en-US" w:eastAsia="zh-CN" w:bidi="ar"/>
        </w:rPr>
        <w:t>采用深孔松动控制爆破、微差爆破等先进爆破工艺，炸药类型选择低威力、低爆速的无毒、防水乳化炸药</w:t>
      </w:r>
      <w:r>
        <w:rPr>
          <w:rFonts w:hint="default" w:ascii="Times New Roman" w:hAnsi="Times New Roman" w:eastAsia="宋体" w:cs="Times New Roman"/>
          <w:color w:val="auto"/>
          <w:kern w:val="2"/>
          <w:sz w:val="26"/>
          <w:szCs w:val="26"/>
          <w:highlight w:val="none"/>
          <w:lang w:val="en-US" w:eastAsia="zh-CN" w:bidi="ar"/>
        </w:rPr>
        <w:t>；单孔装药量小于2.5kg，一次爆破最大用药量控制在100kg以内。</w:t>
      </w:r>
    </w:p>
    <w:p>
      <w:pPr>
        <w:keepNext w:val="0"/>
        <w:keepLines w:val="0"/>
        <w:widowControl w:val="0"/>
        <w:numPr>
          <w:ilvl w:val="0"/>
          <w:numId w:val="30"/>
        </w:numPr>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实施气泡帷幕措施等。</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采取以上措施以后可将冲击波峰值压力大量削减，能有效降低施工时期对鱼类资源的影响，可以进一步保证工程的生态安全。炸礁爆破的影响仅在施工时段，影响是暂时的，会随着施工结束而逐渐消失，项目施工期采取以上措施后，爆破影响得到减缓，影响有限。</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评价同时建议，有条件时应开展水下爆破对鱼类的影响实时监测研究。根据2013年3月评价单位对华能两江电厂取水口爆破工程实时监测，表明：爆破实施前期</w:t>
      </w:r>
      <w:r>
        <w:rPr>
          <w:rFonts w:hint="eastAsia" w:cs="Times New Roman"/>
          <w:bCs/>
          <w:color w:val="auto"/>
          <w:kern w:val="2"/>
          <w:sz w:val="26"/>
          <w:szCs w:val="26"/>
          <w:highlight w:val="none"/>
          <w:shd w:val="clear" w:fill="FFFFFF"/>
          <w:lang w:val="en-US" w:eastAsia="zh-CN" w:bidi="ar"/>
        </w:rPr>
        <w:t>做</w:t>
      </w:r>
      <w:r>
        <w:rPr>
          <w:rFonts w:hint="default" w:ascii="Times New Roman" w:hAnsi="Times New Roman" w:eastAsia="宋体" w:cs="Times New Roman"/>
          <w:bCs/>
          <w:color w:val="auto"/>
          <w:kern w:val="2"/>
          <w:sz w:val="26"/>
          <w:szCs w:val="26"/>
          <w:highlight w:val="none"/>
          <w:lang w:val="en-US" w:eastAsia="zh-CN" w:bidi="ar"/>
        </w:rPr>
        <w:t>了充分的地质考察和安全预案，选择了最优化的爆破方案（多点多孔小装药量乳化炸药及毫秒微差延时爆破工艺）。既达到了爆破方量的要求同时又尽量减小了爆破对嘉陵江施工区域河流</w:t>
      </w:r>
      <w:r>
        <w:rPr>
          <w:rFonts w:hint="eastAsia" w:cs="Times New Roman"/>
          <w:bCs/>
          <w:color w:val="auto"/>
          <w:kern w:val="2"/>
          <w:sz w:val="26"/>
          <w:szCs w:val="26"/>
          <w:highlight w:val="none"/>
          <w:shd w:val="clear" w:fill="FFFFFF"/>
          <w:lang w:val="en-US" w:eastAsia="zh-CN" w:bidi="ar"/>
        </w:rPr>
        <w:t>底</w:t>
      </w:r>
      <w:r>
        <w:rPr>
          <w:rFonts w:hint="default" w:ascii="Times New Roman" w:hAnsi="Times New Roman" w:eastAsia="宋体" w:cs="Times New Roman"/>
          <w:bCs/>
          <w:color w:val="auto"/>
          <w:kern w:val="2"/>
          <w:sz w:val="26"/>
          <w:szCs w:val="26"/>
          <w:highlight w:val="none"/>
          <w:shd w:val="clear" w:fill="FFFFFF"/>
          <w:lang w:val="en-US" w:eastAsia="zh-CN" w:bidi="ar"/>
        </w:rPr>
        <w:t>质</w:t>
      </w:r>
      <w:r>
        <w:rPr>
          <w:rFonts w:hint="default" w:ascii="Times New Roman" w:hAnsi="Times New Roman" w:eastAsia="宋体" w:cs="Times New Roman"/>
          <w:bCs/>
          <w:color w:val="auto"/>
          <w:kern w:val="2"/>
          <w:sz w:val="26"/>
          <w:szCs w:val="26"/>
          <w:highlight w:val="none"/>
          <w:lang w:val="en-US" w:eastAsia="zh-CN" w:bidi="ar"/>
        </w:rPr>
        <w:t>的扰动。通过计算确定了爆破实施的安全距离，确保了施工人员的安全。在北碚区渔政部门工作人员的监管下，有效组织了地方海事部门在爆破实施时进行安全警戒，确保爆破实施时水上作业和交通船只的安全。并通过作业协调进行了预爆破驱鱼，有效降低了爆破实施时对嘉陵江渔业资源的损失。通过现场实时监测，爆破对河流底质扰动产生的悬浮物对水环境的影响很小；鱼类资源有一定的损失，在预爆破驱鱼的前提下损失明显降低。</w:t>
      </w:r>
    </w:p>
    <w:p>
      <w:pPr>
        <w:keepNext w:val="0"/>
        <w:keepLines w:val="0"/>
        <w:pageBreakBefore w:val="0"/>
        <w:widowControl w:val="0"/>
        <w:numPr>
          <w:ilvl w:val="0"/>
          <w:numId w:val="0"/>
        </w:numPr>
        <w:kinsoku/>
        <w:wordWrap/>
        <w:overflowPunct/>
        <w:topLinePunct w:val="0"/>
        <w:autoSpaceDE/>
        <w:autoSpaceDN/>
        <w:bidi w:val="0"/>
        <w:adjustRightInd w:val="0"/>
        <w:snapToGrid w:val="0"/>
        <w:ind w:firstLine="520" w:firstLineChars="200"/>
        <w:textAlignment w:val="auto"/>
        <w:outlineLvl w:val="5"/>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② 其他施工活动对鱼类的影响</w:t>
      </w:r>
    </w:p>
    <w:p>
      <w:pPr>
        <w:pStyle w:val="23"/>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疏浚和清除炸礁石渣时，将产生一定量的悬浮物，</w:t>
      </w:r>
      <w:r>
        <w:rPr>
          <w:rFonts w:hint="default" w:ascii="Times New Roman" w:hAnsi="Times New Roman" w:eastAsia="宋体" w:cs="Times New Roman"/>
          <w:bCs/>
          <w:color w:val="auto"/>
          <w:kern w:val="2"/>
          <w:sz w:val="26"/>
          <w:szCs w:val="26"/>
          <w:highlight w:val="none"/>
          <w:lang w:val="en-US" w:eastAsia="zh-CN" w:bidi="ar"/>
        </w:rPr>
        <w:t>水中悬浮物质含量过高，使鱼类的腮腺积聚泥沙微粒，严重损害</w:t>
      </w:r>
      <w:r>
        <w:rPr>
          <w:rFonts w:hint="default" w:ascii="Times New Roman" w:hAnsi="Times New Roman" w:eastAsia="宋体" w:cs="Times New Roman"/>
          <w:bCs/>
          <w:color w:val="auto"/>
          <w:kern w:val="2"/>
          <w:sz w:val="26"/>
          <w:szCs w:val="26"/>
          <w:highlight w:val="none"/>
          <w:shd w:val="clear" w:fill="FFFFFF"/>
          <w:lang w:val="en-US" w:eastAsia="zh-CN" w:bidi="ar"/>
        </w:rPr>
        <w:t>腮</w:t>
      </w:r>
      <w:r>
        <w:rPr>
          <w:rFonts w:hint="default" w:ascii="Times New Roman" w:hAnsi="Times New Roman" w:eastAsia="宋体" w:cs="Times New Roman"/>
          <w:bCs/>
          <w:color w:val="auto"/>
          <w:kern w:val="2"/>
          <w:sz w:val="26"/>
          <w:szCs w:val="26"/>
          <w:highlight w:val="none"/>
          <w:lang w:val="en-US" w:eastAsia="zh-CN" w:bidi="ar"/>
        </w:rPr>
        <w:t>部的滤水和呼吸功能，甚至导致鱼类窒息死亡。但</w:t>
      </w:r>
      <w:r>
        <w:rPr>
          <w:rFonts w:hint="default" w:ascii="Times New Roman" w:hAnsi="Times New Roman" w:eastAsia="宋体" w:cs="Times New Roman"/>
          <w:color w:val="auto"/>
          <w:kern w:val="2"/>
          <w:sz w:val="26"/>
          <w:szCs w:val="26"/>
          <w:highlight w:val="none"/>
          <w:lang w:val="en-US" w:eastAsia="zh-CN" w:bidi="ar"/>
        </w:rPr>
        <w:t>悬浮物浓度场随着自身沉降及流水的稀释，</w:t>
      </w:r>
      <w:r>
        <w:rPr>
          <w:rFonts w:hint="default" w:ascii="Times New Roman" w:hAnsi="Times New Roman" w:eastAsia="宋体" w:cs="Times New Roman"/>
          <w:bCs/>
          <w:color w:val="auto"/>
          <w:kern w:val="2"/>
          <w:sz w:val="26"/>
          <w:szCs w:val="26"/>
          <w:highlight w:val="none"/>
          <w:lang w:val="en-US" w:eastAsia="zh-CN" w:bidi="ar"/>
        </w:rPr>
        <w:t>由于游泳生物的活动能力较强，清渣对游泳生物的影响更多表现为驱散效应，不形成致死作用，施工作业将导致工程施工期邻近小范围水域鱼类资源量减少。根据《长江上游九龙坡至朝天门河段航道建设工程竣工环境保护验收调查报告》（2020年12月），</w:t>
      </w:r>
      <w:r>
        <w:rPr>
          <w:rFonts w:hint="default" w:ascii="Times New Roman" w:hAnsi="Times New Roman" w:eastAsia="宋体" w:cs="Times New Roman"/>
          <w:color w:val="auto"/>
          <w:kern w:val="2"/>
          <w:sz w:val="26"/>
          <w:szCs w:val="26"/>
          <w:highlight w:val="none"/>
          <w:lang w:val="en-US" w:eastAsia="zh-CN" w:bidi="ar"/>
        </w:rPr>
        <w:t>长江上游九龙坡至朝天门河段航道建设工程在施工期进行了水质，在作业点上游500m和作业点下游500m设置了监测断面，监测结果表明悬浮物浓度变化不大，且本项目施工期结束后悬浮物对水生环境的影响随即停止，对周边鱼类及水生生物影响有限。评价建议应进一步优化施工时序、缩短施工时间，减少施工期扰动，减小对下游河段的悬浮物影响。</w:t>
      </w:r>
      <w:r>
        <w:rPr>
          <w:rFonts w:hint="default" w:ascii="Times New Roman" w:hAnsi="Times New Roman" w:eastAsia="宋体" w:cs="Times New Roman"/>
          <w:bCs/>
          <w:color w:val="auto"/>
          <w:kern w:val="2"/>
          <w:sz w:val="26"/>
          <w:szCs w:val="26"/>
          <w:highlight w:val="none"/>
          <w:lang w:val="en-US" w:eastAsia="zh-CN" w:bidi="ar"/>
        </w:rPr>
        <w:t>因此，从评价范围来看，对鱼类的总量及生物多样性不会产生大的影响。</w:t>
      </w:r>
    </w:p>
    <w:p>
      <w:pPr>
        <w:pStyle w:val="23"/>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施工噪声可能会影响鱼类的听觉系统和行为。研究表明，水体中常见的噪声源，如水下爆破，其声级高于大多数常见鱼类的阈值，且在鱼类敏感频率内有较高能量，这种噪声可能导致鱼类产生暂时性或永久性听力</w:t>
      </w:r>
      <w:r>
        <w:rPr>
          <w:rFonts w:hint="default" w:ascii="Times New Roman" w:hAnsi="Times New Roman" w:eastAsia="宋体" w:cs="Times New Roman"/>
          <w:bCs/>
          <w:color w:val="auto"/>
          <w:kern w:val="2"/>
          <w:sz w:val="26"/>
          <w:szCs w:val="26"/>
          <w:highlight w:val="none"/>
          <w:shd w:val="clear" w:fill="FFFFFF"/>
          <w:lang w:val="en-US" w:eastAsia="zh-CN" w:bidi="ar"/>
        </w:rPr>
        <w:t>阈移</w:t>
      </w:r>
      <w:r>
        <w:rPr>
          <w:rFonts w:hint="default" w:ascii="Times New Roman" w:hAnsi="Times New Roman" w:eastAsia="宋体" w:cs="Times New Roman"/>
          <w:bCs/>
          <w:color w:val="auto"/>
          <w:kern w:val="2"/>
          <w:sz w:val="26"/>
          <w:szCs w:val="26"/>
          <w:highlight w:val="none"/>
          <w:lang w:val="en-US" w:eastAsia="zh-CN" w:bidi="ar"/>
        </w:rPr>
        <w:t>，影响其正常的听觉功能；其他施工噪声如清淤、清礁等，主要体现为使鱼类产生短期回避行为，改变游泳速度和方向，影响鱼类的集群行为、逃避行为以及捕食行为。由于工程针对爆破提出了避开春季</w:t>
      </w:r>
      <w:r>
        <w:rPr>
          <w:rFonts w:hint="default" w:ascii="Times New Roman" w:hAnsi="Times New Roman" w:eastAsia="宋体" w:cs="Times New Roman"/>
          <w:color w:val="auto"/>
          <w:kern w:val="2"/>
          <w:sz w:val="26"/>
          <w:szCs w:val="26"/>
          <w:highlight w:val="none"/>
          <w:lang w:val="en-US" w:eastAsia="zh-CN" w:bidi="ar"/>
        </w:rPr>
        <w:t>鱼类集中繁殖期（</w:t>
      </w:r>
      <w:r>
        <w:rPr>
          <w:rFonts w:hint="default" w:ascii="Times New Roman" w:hAnsi="Times New Roman" w:cs="Times New Roman"/>
          <w:color w:val="auto"/>
          <w:kern w:val="2"/>
          <w:sz w:val="26"/>
          <w:szCs w:val="26"/>
          <w:highlight w:val="none"/>
          <w:lang w:val="en-US" w:eastAsia="zh-CN" w:bidi="ar"/>
        </w:rPr>
        <w:t>3-6</w:t>
      </w:r>
      <w:r>
        <w:rPr>
          <w:rFonts w:hint="default" w:ascii="Times New Roman" w:hAnsi="Times New Roman" w:eastAsia="宋体" w:cs="Times New Roman"/>
          <w:color w:val="auto"/>
          <w:kern w:val="2"/>
          <w:sz w:val="26"/>
          <w:szCs w:val="26"/>
          <w:highlight w:val="none"/>
          <w:lang w:val="en-US" w:eastAsia="zh-CN" w:bidi="ar"/>
        </w:rPr>
        <w:t>月）和越冬季节（11月-次年2月）、编制爆破实施方案、爆前驱鱼、采用先进爆破工艺并限制一次爆破最大用药量、</w:t>
      </w:r>
      <w:r>
        <w:rPr>
          <w:rFonts w:hint="default" w:ascii="Times New Roman" w:hAnsi="Times New Roman" w:eastAsia="宋体" w:cs="Times New Roman"/>
          <w:bCs/>
          <w:color w:val="auto"/>
          <w:kern w:val="2"/>
          <w:sz w:val="26"/>
          <w:szCs w:val="26"/>
          <w:highlight w:val="none"/>
          <w:lang w:val="en-US" w:eastAsia="zh-CN" w:bidi="ar"/>
        </w:rPr>
        <w:t>实施气泡帷幕措施等众多措施，可大大减轻水下爆破对鱼类的影响。因此，施工噪声对鱼类的影响较小。</w:t>
      </w:r>
    </w:p>
    <w:p>
      <w:pPr>
        <w:keepNext w:val="0"/>
        <w:keepLines w:val="0"/>
        <w:pageBreakBefore w:val="0"/>
        <w:widowControl w:val="0"/>
        <w:numPr>
          <w:ilvl w:val="0"/>
          <w:numId w:val="0"/>
        </w:numPr>
        <w:kinsoku/>
        <w:wordWrap/>
        <w:overflowPunct/>
        <w:topLinePunct w:val="0"/>
        <w:autoSpaceDE/>
        <w:autoSpaceDN/>
        <w:bidi w:val="0"/>
        <w:adjustRightInd w:val="0"/>
        <w:snapToGrid w:val="0"/>
        <w:ind w:firstLine="520" w:firstLineChars="200"/>
        <w:textAlignment w:val="auto"/>
        <w:outlineLvl w:val="5"/>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③ 渔业资源的损失</w:t>
      </w:r>
    </w:p>
    <w:p>
      <w:pPr>
        <w:pStyle w:val="23"/>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color w:val="auto"/>
          <w:kern w:val="2"/>
          <w:sz w:val="26"/>
          <w:szCs w:val="26"/>
          <w:highlight w:val="none"/>
          <w:lang w:val="en-US" w:eastAsia="zh-CN" w:bidi="ar"/>
        </w:rPr>
        <w:t>施工期涉水施工活动主要包括炸礁、疏浚、清礁、抛石筑坝和围堰施工等，本评价建议，</w:t>
      </w:r>
      <w:r>
        <w:rPr>
          <w:rFonts w:hint="default" w:ascii="Times New Roman" w:hAnsi="Times New Roman" w:eastAsia="宋体" w:cs="Times New Roman"/>
          <w:bCs/>
          <w:color w:val="auto"/>
          <w:kern w:val="2"/>
          <w:sz w:val="26"/>
          <w:szCs w:val="26"/>
          <w:highlight w:val="none"/>
          <w:lang w:val="en-US" w:eastAsia="zh-CN" w:bidi="ar"/>
        </w:rPr>
        <w:t>施工避开鱼类</w:t>
      </w:r>
      <w:r>
        <w:rPr>
          <w:rFonts w:hint="default" w:ascii="Times New Roman" w:hAnsi="Times New Roman" w:cs="Times New Roman"/>
          <w:bCs/>
          <w:color w:val="auto"/>
          <w:kern w:val="2"/>
          <w:sz w:val="26"/>
          <w:szCs w:val="26"/>
          <w:highlight w:val="none"/>
          <w:lang w:val="en-US" w:eastAsia="zh-CN" w:bidi="ar"/>
        </w:rPr>
        <w:t>3-6</w:t>
      </w:r>
      <w:r>
        <w:rPr>
          <w:rFonts w:hint="default" w:ascii="Times New Roman" w:hAnsi="Times New Roman" w:eastAsia="宋体" w:cs="Times New Roman"/>
          <w:bCs/>
          <w:color w:val="auto"/>
          <w:kern w:val="2"/>
          <w:sz w:val="26"/>
          <w:szCs w:val="26"/>
          <w:highlight w:val="none"/>
          <w:lang w:val="en-US" w:eastAsia="zh-CN" w:bidi="ar"/>
        </w:rPr>
        <w:t>月的主要繁殖期，因此不会</w:t>
      </w:r>
      <w:r>
        <w:rPr>
          <w:rFonts w:hint="default" w:ascii="Times New Roman" w:hAnsi="Times New Roman" w:eastAsia="宋体" w:cs="Times New Roman"/>
          <w:bCs/>
          <w:color w:val="auto"/>
          <w:kern w:val="2"/>
          <w:sz w:val="26"/>
          <w:szCs w:val="26"/>
          <w:highlight w:val="none"/>
          <w:shd w:val="clear" w:fill="FFFFFF"/>
          <w:lang w:val="en-US" w:eastAsia="zh-CN" w:bidi="ar"/>
        </w:rPr>
        <w:t>影响到</w:t>
      </w:r>
      <w:r>
        <w:rPr>
          <w:rFonts w:hint="default" w:ascii="Times New Roman" w:hAnsi="Times New Roman" w:eastAsia="宋体" w:cs="Times New Roman"/>
          <w:bCs/>
          <w:color w:val="auto"/>
          <w:kern w:val="2"/>
          <w:sz w:val="26"/>
          <w:szCs w:val="26"/>
          <w:highlight w:val="none"/>
          <w:lang w:val="en-US" w:eastAsia="zh-CN" w:bidi="ar"/>
        </w:rPr>
        <w:t>鱼类繁殖活动；同时上游疏浚、切咀和丁坝施工除避开春季鱼类集中繁殖期（</w:t>
      </w:r>
      <w:r>
        <w:rPr>
          <w:rFonts w:hint="default" w:ascii="Times New Roman" w:hAnsi="Times New Roman" w:cs="Times New Roman"/>
          <w:bCs/>
          <w:color w:val="auto"/>
          <w:kern w:val="2"/>
          <w:sz w:val="26"/>
          <w:szCs w:val="26"/>
          <w:highlight w:val="none"/>
          <w:lang w:val="en-US" w:eastAsia="zh-CN" w:bidi="ar"/>
        </w:rPr>
        <w:t>3-6</w:t>
      </w:r>
      <w:r>
        <w:rPr>
          <w:rFonts w:hint="default" w:ascii="Times New Roman" w:hAnsi="Times New Roman" w:eastAsia="宋体" w:cs="Times New Roman"/>
          <w:bCs/>
          <w:color w:val="auto"/>
          <w:kern w:val="2"/>
          <w:sz w:val="26"/>
          <w:szCs w:val="26"/>
          <w:highlight w:val="none"/>
          <w:lang w:val="en-US" w:eastAsia="zh-CN" w:bidi="ar"/>
        </w:rPr>
        <w:t>月）外，还需避让鱼类越冬季节（11月~次年2月）。施工期对鱼类影响主要为</w:t>
      </w:r>
      <w:r>
        <w:rPr>
          <w:rFonts w:hint="default" w:ascii="Times New Roman" w:hAnsi="Times New Roman" w:eastAsia="宋体" w:cs="Times New Roman"/>
          <w:bCs/>
          <w:color w:val="auto"/>
          <w:kern w:val="2"/>
          <w:sz w:val="26"/>
          <w:szCs w:val="26"/>
          <w:highlight w:val="none"/>
          <w:shd w:val="clear" w:fill="FFFFFF"/>
          <w:lang w:val="en-US" w:eastAsia="zh-CN" w:bidi="ar"/>
        </w:rPr>
        <w:t>噪音</w:t>
      </w:r>
      <w:r>
        <w:rPr>
          <w:rFonts w:hint="default" w:ascii="Times New Roman" w:hAnsi="Times New Roman" w:eastAsia="宋体" w:cs="Times New Roman"/>
          <w:bCs/>
          <w:color w:val="auto"/>
          <w:kern w:val="2"/>
          <w:sz w:val="26"/>
          <w:szCs w:val="26"/>
          <w:highlight w:val="none"/>
          <w:lang w:val="en-US" w:eastAsia="zh-CN" w:bidi="ar"/>
        </w:rPr>
        <w:t>干扰及炸礁冲击波。</w:t>
      </w:r>
      <w:r>
        <w:rPr>
          <w:rFonts w:hint="default" w:ascii="Times New Roman" w:hAnsi="Times New Roman" w:eastAsia="宋体" w:cs="Times New Roman"/>
          <w:bCs/>
          <w:color w:val="auto"/>
          <w:kern w:val="2"/>
          <w:sz w:val="26"/>
          <w:szCs w:val="26"/>
          <w:highlight w:val="none"/>
          <w:shd w:val="clear" w:fill="FFFFFF"/>
          <w:lang w:val="en-US" w:eastAsia="zh-CN" w:bidi="ar"/>
        </w:rPr>
        <w:t>噪音</w:t>
      </w:r>
      <w:r>
        <w:rPr>
          <w:rFonts w:hint="default" w:ascii="Times New Roman" w:hAnsi="Times New Roman" w:eastAsia="宋体" w:cs="Times New Roman"/>
          <w:bCs/>
          <w:color w:val="auto"/>
          <w:kern w:val="2"/>
          <w:sz w:val="26"/>
          <w:szCs w:val="26"/>
          <w:highlight w:val="none"/>
          <w:lang w:val="en-US" w:eastAsia="zh-CN" w:bidi="ar"/>
        </w:rPr>
        <w:t>主要来自清礁、抛石和围堰施工等涉水作业，鱼类的主动躲避行为减缓了工程对它的伤害。随着距离的增加，伤害作用会明显降低，且水下作业完成后其影响也随之消失。在施工前采用驱鱼措施，减轻了冲击波对鱼类的影响。</w:t>
      </w:r>
    </w:p>
    <w:p>
      <w:pPr>
        <w:pStyle w:val="23"/>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因此，施工期对鱼类产生影响有限，但在一定程度上影响鱼类的分布。同时，评价江段涪江重庆段自2020年起已实施全面禁捕，渔民全部实施补贴上岸，因此</w:t>
      </w:r>
      <w:r>
        <w:rPr>
          <w:rFonts w:hint="eastAsia" w:ascii="Times New Roman" w:hAnsi="Times New Roman" w:cs="Times New Roman"/>
          <w:bCs/>
          <w:color w:val="auto"/>
          <w:kern w:val="2"/>
          <w:sz w:val="26"/>
          <w:szCs w:val="26"/>
          <w:highlight w:val="none"/>
          <w:shd w:val="clear" w:fill="FFFFFF"/>
          <w:lang w:val="en-US" w:eastAsia="zh-CN" w:bidi="ar"/>
        </w:rPr>
        <w:t>可以</w:t>
      </w:r>
      <w:r>
        <w:rPr>
          <w:rFonts w:hint="default" w:ascii="Times New Roman" w:hAnsi="Times New Roman" w:eastAsia="宋体" w:cs="Times New Roman"/>
          <w:bCs/>
          <w:color w:val="auto"/>
          <w:kern w:val="2"/>
          <w:sz w:val="26"/>
          <w:szCs w:val="26"/>
          <w:highlight w:val="none"/>
          <w:lang w:val="en-US" w:eastAsia="zh-CN" w:bidi="ar"/>
        </w:rPr>
        <w:t>认为施工对渔业资源的影响不大。</w:t>
      </w:r>
    </w:p>
    <w:p>
      <w:pPr>
        <w:keepNext w:val="0"/>
        <w:keepLines w:val="0"/>
        <w:pageBreakBefore w:val="0"/>
        <w:widowControl w:val="0"/>
        <w:numPr>
          <w:ilvl w:val="0"/>
          <w:numId w:val="0"/>
        </w:numPr>
        <w:kinsoku/>
        <w:wordWrap/>
        <w:overflowPunct/>
        <w:topLinePunct w:val="0"/>
        <w:autoSpaceDE/>
        <w:autoSpaceDN/>
        <w:bidi w:val="0"/>
        <w:adjustRightInd w:val="0"/>
        <w:snapToGrid w:val="0"/>
        <w:ind w:firstLine="520" w:firstLineChars="200"/>
        <w:textAlignment w:val="auto"/>
        <w:outlineLvl w:val="5"/>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④ 对水生生物多样性的影响</w:t>
      </w:r>
    </w:p>
    <w:p>
      <w:pPr>
        <w:pStyle w:val="23"/>
        <w:keepNext w:val="0"/>
        <w:keepLines w:val="0"/>
        <w:widowControl w:val="0"/>
        <w:suppressLineNumbers w:val="0"/>
        <w:adjustRightInd w:val="0"/>
        <w:snapToGrid w:val="0"/>
        <w:spacing w:before="0" w:beforeAutospacing="0" w:after="0" w:afterAutospacing="0" w:line="480" w:lineRule="exact"/>
        <w:ind w:left="0" w:right="0" w:firstLine="520" w:firstLineChars="200"/>
        <w:jc w:val="both"/>
        <w:rPr>
          <w:rFonts w:hint="default" w:ascii="Times New Roman" w:hAnsi="Times New Roman" w:eastAsia="宋体" w:cs="Times New Roman"/>
          <w:bCs/>
          <w:color w:val="auto"/>
          <w:kern w:val="2"/>
          <w:sz w:val="26"/>
          <w:szCs w:val="26"/>
          <w:highlight w:val="none"/>
        </w:rPr>
      </w:pPr>
      <w:r>
        <w:rPr>
          <w:rFonts w:hint="default" w:ascii="Times New Roman" w:hAnsi="Times New Roman" w:eastAsia="宋体" w:cs="Times New Roman"/>
          <w:bCs/>
          <w:color w:val="auto"/>
          <w:kern w:val="2"/>
          <w:sz w:val="26"/>
          <w:szCs w:val="26"/>
          <w:highlight w:val="none"/>
          <w:lang w:val="en-US" w:eastAsia="zh-CN" w:bidi="ar"/>
        </w:rPr>
        <w:t>本工程施工过程将造成局部水域的底质、水质以及鱼类等水生生物栖息环境等发生变化，因此本工程施工期对水生生物多样性的影响尤其是施工水域水生生物多样性的影响是存在的。本项目施工过程中，由于局部水生生物的栖息地被破坏、施工中产生的悬浮物、</w:t>
      </w:r>
      <w:r>
        <w:rPr>
          <w:rFonts w:hint="default" w:ascii="Times New Roman" w:hAnsi="Times New Roman" w:eastAsia="宋体" w:cs="Times New Roman"/>
          <w:bCs/>
          <w:color w:val="auto"/>
          <w:kern w:val="2"/>
          <w:sz w:val="26"/>
          <w:szCs w:val="26"/>
          <w:highlight w:val="none"/>
          <w:shd w:val="clear" w:fill="FFFFFF"/>
          <w:lang w:val="en-US" w:eastAsia="zh-CN" w:bidi="ar"/>
        </w:rPr>
        <w:t>噪音</w:t>
      </w:r>
      <w:r>
        <w:rPr>
          <w:rFonts w:hint="default" w:ascii="Times New Roman" w:hAnsi="Times New Roman" w:eastAsia="宋体" w:cs="Times New Roman"/>
          <w:bCs/>
          <w:color w:val="auto"/>
          <w:kern w:val="2"/>
          <w:sz w:val="26"/>
          <w:szCs w:val="26"/>
          <w:highlight w:val="none"/>
          <w:lang w:val="en-US" w:eastAsia="zh-CN" w:bidi="ar"/>
        </w:rPr>
        <w:t>以及爆破瞬时性破坏等因素，加之不同水生生物自身逃避能力差异，都将会导致施工区域的水生生物物种、生物群落、生态系统等的多样性呈现出短暂负向变化。</w:t>
      </w:r>
    </w:p>
    <w:p>
      <w:pPr>
        <w:numPr>
          <w:ilvl w:val="0"/>
          <w:numId w:val="0"/>
        </w:numPr>
        <w:adjustRightInd w:val="0"/>
        <w:snapToGrid w:val="0"/>
        <w:spacing w:beforeLines="0" w:afterLines="0"/>
        <w:ind w:firstLine="520"/>
        <w:outlineLvl w:val="4"/>
        <w:rPr>
          <w:rFonts w:hint="default" w:eastAsia="宋体"/>
          <w:color w:val="auto"/>
          <w:sz w:val="26"/>
          <w:szCs w:val="26"/>
          <w:highlight w:val="none"/>
        </w:rPr>
      </w:pPr>
      <w:r>
        <w:rPr>
          <w:rFonts w:hint="default" w:eastAsia="宋体"/>
          <w:color w:val="auto"/>
          <w:sz w:val="26"/>
          <w:szCs w:val="26"/>
          <w:highlight w:val="none"/>
        </w:rPr>
        <w:t>（</w:t>
      </w:r>
      <w:r>
        <w:rPr>
          <w:rFonts w:hint="default"/>
          <w:color w:val="auto"/>
          <w:sz w:val="26"/>
          <w:szCs w:val="26"/>
          <w:highlight w:val="none"/>
          <w:lang w:val="en-US" w:eastAsia="zh-CN"/>
        </w:rPr>
        <w:t>5</w:t>
      </w:r>
      <w:r>
        <w:rPr>
          <w:rFonts w:hint="default" w:eastAsia="宋体"/>
          <w:color w:val="auto"/>
          <w:sz w:val="26"/>
          <w:szCs w:val="26"/>
          <w:highlight w:val="none"/>
        </w:rPr>
        <w:t>）对重要生境的影响</w:t>
      </w:r>
    </w:p>
    <w:p>
      <w:pPr>
        <w:widowControl w:val="0"/>
        <w:numPr>
          <w:ilvl w:val="0"/>
          <w:numId w:val="0"/>
        </w:numPr>
        <w:adjustRightInd w:val="0"/>
        <w:snapToGrid w:val="0"/>
        <w:spacing w:line="480" w:lineRule="exact"/>
        <w:ind w:firstLine="520" w:firstLineChars="200"/>
        <w:jc w:val="both"/>
        <w:rPr>
          <w:rFonts w:hint="default"/>
          <w:bCs/>
          <w:color w:val="auto"/>
          <w:szCs w:val="26"/>
          <w:highlight w:val="none"/>
          <w:lang w:val="en-US" w:eastAsia="zh-CN"/>
        </w:rPr>
      </w:pPr>
      <w:r>
        <w:rPr>
          <w:rFonts w:hint="default"/>
          <w:bCs/>
          <w:color w:val="auto"/>
          <w:szCs w:val="26"/>
          <w:highlight w:val="none"/>
          <w:lang w:val="en-US" w:eastAsia="zh-CN"/>
        </w:rPr>
        <w:t>渭沱库区及坝下范围内鱼类重要生境分布见下图。</w:t>
      </w:r>
    </w:p>
    <w:p>
      <w:pPr>
        <w:widowControl w:val="0"/>
        <w:numPr>
          <w:ilvl w:val="0"/>
          <w:numId w:val="0"/>
        </w:numPr>
        <w:adjustRightInd w:val="0"/>
        <w:snapToGrid w:val="0"/>
        <w:spacing w:line="240" w:lineRule="auto"/>
        <w:ind w:firstLine="520" w:firstLineChars="200"/>
        <w:jc w:val="both"/>
        <w:rPr>
          <w:rFonts w:hint="eastAsia"/>
          <w:bCs/>
          <w:color w:val="auto"/>
          <w:szCs w:val="26"/>
          <w:highlight w:val="none"/>
          <w:lang w:val="en-US" w:eastAsia="zh-CN"/>
        </w:rPr>
      </w:pPr>
    </w:p>
    <w:p>
      <w:pPr>
        <w:widowControl w:val="0"/>
        <w:numPr>
          <w:ilvl w:val="0"/>
          <w:numId w:val="0"/>
        </w:numPr>
        <w:adjustRightInd w:val="0"/>
        <w:snapToGrid w:val="0"/>
        <w:spacing w:line="240" w:lineRule="auto"/>
        <w:ind w:left="0" w:leftChars="0" w:firstLine="0" w:firstLineChars="0"/>
        <w:jc w:val="center"/>
        <w:rPr>
          <w:rFonts w:hint="default"/>
          <w:bCs/>
          <w:color w:val="auto"/>
          <w:szCs w:val="26"/>
          <w:highlight w:val="none"/>
          <w:lang w:val="en-US" w:eastAsia="zh-CN"/>
        </w:rPr>
      </w:pPr>
      <w:r>
        <w:rPr>
          <w:rFonts w:hint="default"/>
          <w:bCs/>
          <w:color w:val="auto"/>
          <w:szCs w:val="26"/>
          <w:highlight w:val="none"/>
          <w:lang w:val="en-US" w:eastAsia="zh-CN"/>
        </w:rPr>
        <w:drawing>
          <wp:inline distT="0" distB="0" distL="0" distR="0">
            <wp:extent cx="5392420" cy="4185920"/>
            <wp:effectExtent l="0" t="0" r="17780" b="5080"/>
            <wp:docPr id="58" name="图片 58" descr="C:\Users\30495\Documents\WeChat Files\syj304957304\FileStorage\Temp\17010928667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30495\Documents\WeChat Files\syj304957304\FileStorage\Temp\1701092866779.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392420" cy="4185920"/>
                    </a:xfrm>
                    <a:prstGeom prst="rect">
                      <a:avLst/>
                    </a:prstGeom>
                    <a:noFill/>
                    <a:ln>
                      <a:noFill/>
                    </a:ln>
                  </pic:spPr>
                </pic:pic>
              </a:graphicData>
            </a:graphic>
          </wp:inline>
        </w:drawing>
      </w:r>
    </w:p>
    <w:p>
      <w:pPr>
        <w:widowControl w:val="0"/>
        <w:numPr>
          <w:ilvl w:val="0"/>
          <w:numId w:val="0"/>
        </w:numPr>
        <w:adjustRightInd w:val="0"/>
        <w:snapToGrid w:val="0"/>
        <w:spacing w:line="240" w:lineRule="auto"/>
        <w:jc w:val="center"/>
        <w:rPr>
          <w:rFonts w:hint="default"/>
          <w:bCs/>
          <w:color w:val="auto"/>
          <w:szCs w:val="26"/>
          <w:highlight w:val="none"/>
          <w:lang w:val="en-US" w:eastAsia="zh-CN"/>
        </w:rPr>
      </w:pPr>
      <w:r>
        <w:rPr>
          <w:rFonts w:hint="eastAsia"/>
          <w:bCs/>
          <w:color w:val="auto"/>
          <w:szCs w:val="26"/>
          <w:highlight w:val="none"/>
          <w:lang w:val="en-US" w:eastAsia="zh-CN"/>
        </w:rPr>
        <w:t xml:space="preserve">图4.1.1.2-1  </w:t>
      </w:r>
      <w:r>
        <w:rPr>
          <w:rFonts w:hint="default"/>
          <w:bCs/>
          <w:color w:val="auto"/>
          <w:szCs w:val="26"/>
          <w:highlight w:val="none"/>
          <w:lang w:val="en-US" w:eastAsia="zh-CN"/>
        </w:rPr>
        <w:t>渭沱库区及坝下范围内鱼类重要生境</w:t>
      </w:r>
      <w:r>
        <w:rPr>
          <w:rFonts w:hint="eastAsia"/>
          <w:bCs/>
          <w:color w:val="auto"/>
          <w:szCs w:val="26"/>
          <w:highlight w:val="none"/>
          <w:lang w:val="en-US" w:eastAsia="zh-CN"/>
        </w:rPr>
        <w:t>分布图</w:t>
      </w:r>
    </w:p>
    <w:p>
      <w:pPr>
        <w:widowControl w:val="0"/>
        <w:numPr>
          <w:ilvl w:val="0"/>
          <w:numId w:val="0"/>
        </w:numPr>
        <w:adjustRightInd w:val="0"/>
        <w:snapToGrid w:val="0"/>
        <w:spacing w:line="240" w:lineRule="auto"/>
        <w:ind w:firstLine="520" w:firstLineChars="200"/>
        <w:jc w:val="both"/>
        <w:rPr>
          <w:rFonts w:hint="eastAsia"/>
          <w:bCs/>
          <w:color w:val="auto"/>
          <w:szCs w:val="26"/>
          <w:highlight w:val="none"/>
          <w:lang w:val="en-US" w:eastAsia="zh-CN"/>
        </w:rPr>
      </w:pPr>
    </w:p>
    <w:p>
      <w:pPr>
        <w:widowControl w:val="0"/>
        <w:numPr>
          <w:ilvl w:val="0"/>
          <w:numId w:val="0"/>
        </w:numPr>
        <w:adjustRightInd w:val="0"/>
        <w:snapToGrid w:val="0"/>
        <w:spacing w:line="480" w:lineRule="exact"/>
        <w:ind w:firstLine="520" w:firstLineChars="200"/>
        <w:jc w:val="both"/>
        <w:rPr>
          <w:rFonts w:hint="eastAsia"/>
          <w:bCs/>
          <w:color w:val="auto"/>
          <w:szCs w:val="26"/>
          <w:highlight w:val="none"/>
          <w:lang w:val="en-US" w:eastAsia="zh-CN"/>
        </w:rPr>
      </w:pPr>
      <w:r>
        <w:rPr>
          <w:rFonts w:hint="eastAsia"/>
          <w:bCs/>
          <w:color w:val="auto"/>
          <w:szCs w:val="26"/>
          <w:highlight w:val="none"/>
          <w:lang w:val="en-US" w:eastAsia="zh-CN"/>
        </w:rPr>
        <w:fldChar w:fldCharType="begin"/>
      </w:r>
      <w:r>
        <w:rPr>
          <w:rFonts w:hint="eastAsia"/>
          <w:bCs/>
          <w:color w:val="auto"/>
          <w:szCs w:val="26"/>
          <w:highlight w:val="none"/>
          <w:lang w:val="en-US" w:eastAsia="zh-CN"/>
        </w:rPr>
        <w:instrText xml:space="preserve"> = 1 \* GB3 \* MERGEFORMAT </w:instrText>
      </w:r>
      <w:r>
        <w:rPr>
          <w:rFonts w:hint="eastAsia"/>
          <w:bCs/>
          <w:color w:val="auto"/>
          <w:szCs w:val="26"/>
          <w:highlight w:val="none"/>
          <w:lang w:val="en-US" w:eastAsia="zh-CN"/>
        </w:rPr>
        <w:fldChar w:fldCharType="separate"/>
      </w:r>
      <w:r>
        <w:rPr>
          <w:color w:val="auto"/>
          <w:highlight w:val="none"/>
        </w:rPr>
        <w:t>①</w:t>
      </w:r>
      <w:r>
        <w:rPr>
          <w:rFonts w:hint="eastAsia"/>
          <w:bCs/>
          <w:color w:val="auto"/>
          <w:szCs w:val="26"/>
          <w:highlight w:val="none"/>
          <w:lang w:val="en-US" w:eastAsia="zh-CN"/>
        </w:rPr>
        <w:fldChar w:fldCharType="end"/>
      </w:r>
      <w:r>
        <w:rPr>
          <w:rFonts w:hint="eastAsia"/>
          <w:bCs/>
          <w:color w:val="auto"/>
          <w:szCs w:val="26"/>
          <w:highlight w:val="none"/>
          <w:lang w:val="en-US" w:eastAsia="zh-CN"/>
        </w:rPr>
        <w:t>产卵场</w:t>
      </w:r>
    </w:p>
    <w:p>
      <w:pPr>
        <w:widowControl w:val="0"/>
        <w:numPr>
          <w:ilvl w:val="0"/>
          <w:numId w:val="0"/>
        </w:numPr>
        <w:adjustRightInd w:val="0"/>
        <w:snapToGrid w:val="0"/>
        <w:spacing w:line="480" w:lineRule="exact"/>
        <w:ind w:firstLine="520" w:firstLineChars="200"/>
        <w:jc w:val="both"/>
        <w:rPr>
          <w:rFonts w:hint="eastAsia"/>
          <w:bCs/>
          <w:color w:val="auto"/>
          <w:szCs w:val="26"/>
          <w:highlight w:val="none"/>
          <w:lang w:val="en-US" w:eastAsia="zh-CN"/>
        </w:rPr>
      </w:pPr>
      <w:r>
        <w:rPr>
          <w:rFonts w:hint="eastAsia"/>
          <w:bCs/>
          <w:color w:val="auto"/>
          <w:szCs w:val="26"/>
          <w:highlight w:val="none"/>
          <w:lang w:val="en-US" w:eastAsia="zh-CN"/>
        </w:rPr>
        <w:t>该产卵场距离工程约13.6km。由于距离较远且位于工程上游；且工程施工避开了鱼类繁殖期（3-6月），不会对鱼类产卵行为和生境造成明显影响。</w:t>
      </w:r>
    </w:p>
    <w:p>
      <w:pPr>
        <w:widowControl w:val="0"/>
        <w:numPr>
          <w:ilvl w:val="0"/>
          <w:numId w:val="0"/>
        </w:numPr>
        <w:adjustRightInd w:val="0"/>
        <w:snapToGrid w:val="0"/>
        <w:spacing w:line="480" w:lineRule="exact"/>
        <w:ind w:firstLine="520" w:firstLineChars="200"/>
        <w:jc w:val="both"/>
        <w:rPr>
          <w:rFonts w:hint="eastAsia"/>
          <w:bCs/>
          <w:color w:val="auto"/>
          <w:szCs w:val="26"/>
          <w:highlight w:val="none"/>
          <w:lang w:val="en-US" w:eastAsia="zh-CN"/>
        </w:rPr>
      </w:pPr>
      <w:r>
        <w:rPr>
          <w:rFonts w:hint="eastAsia"/>
          <w:bCs/>
          <w:color w:val="auto"/>
          <w:szCs w:val="26"/>
          <w:highlight w:val="none"/>
          <w:lang w:val="en-US" w:eastAsia="zh-CN"/>
        </w:rPr>
        <w:fldChar w:fldCharType="begin"/>
      </w:r>
      <w:r>
        <w:rPr>
          <w:rFonts w:hint="eastAsia"/>
          <w:bCs/>
          <w:color w:val="auto"/>
          <w:szCs w:val="26"/>
          <w:highlight w:val="none"/>
          <w:lang w:val="en-US" w:eastAsia="zh-CN"/>
        </w:rPr>
        <w:instrText xml:space="preserve"> = 2 \* GB3 \* MERGEFORMAT </w:instrText>
      </w:r>
      <w:r>
        <w:rPr>
          <w:rFonts w:hint="eastAsia"/>
          <w:bCs/>
          <w:color w:val="auto"/>
          <w:szCs w:val="26"/>
          <w:highlight w:val="none"/>
          <w:lang w:val="en-US" w:eastAsia="zh-CN"/>
        </w:rPr>
        <w:fldChar w:fldCharType="separate"/>
      </w:r>
      <w:r>
        <w:rPr>
          <w:color w:val="auto"/>
          <w:highlight w:val="none"/>
        </w:rPr>
        <w:t>②</w:t>
      </w:r>
      <w:r>
        <w:rPr>
          <w:rFonts w:hint="eastAsia"/>
          <w:bCs/>
          <w:color w:val="auto"/>
          <w:szCs w:val="26"/>
          <w:highlight w:val="none"/>
          <w:lang w:val="en-US" w:eastAsia="zh-CN"/>
        </w:rPr>
        <w:fldChar w:fldCharType="end"/>
      </w:r>
      <w:r>
        <w:rPr>
          <w:rFonts w:hint="eastAsia"/>
          <w:bCs/>
          <w:color w:val="auto"/>
          <w:szCs w:val="26"/>
          <w:highlight w:val="none"/>
          <w:lang w:val="en-US" w:eastAsia="zh-CN"/>
        </w:rPr>
        <w:t>索饵场</w:t>
      </w:r>
    </w:p>
    <w:p>
      <w:pPr>
        <w:widowControl w:val="0"/>
        <w:numPr>
          <w:ilvl w:val="0"/>
          <w:numId w:val="0"/>
        </w:numPr>
        <w:adjustRightInd w:val="0"/>
        <w:snapToGrid w:val="0"/>
        <w:spacing w:line="480" w:lineRule="exact"/>
        <w:ind w:firstLine="520" w:firstLineChars="200"/>
        <w:jc w:val="both"/>
        <w:rPr>
          <w:rFonts w:hint="default"/>
          <w:bCs/>
          <w:color w:val="auto"/>
          <w:szCs w:val="26"/>
          <w:highlight w:val="none"/>
          <w:lang w:val="en-US" w:eastAsia="zh-CN"/>
        </w:rPr>
      </w:pPr>
      <w:r>
        <w:rPr>
          <w:rFonts w:hint="default"/>
          <w:bCs/>
          <w:color w:val="auto"/>
          <w:szCs w:val="26"/>
          <w:highlight w:val="none"/>
          <w:lang w:val="en-US" w:eastAsia="zh-CN"/>
        </w:rPr>
        <w:t>评价江段内分布的鱼类索饵场为安居电站下游索饵场和白羊河口索饵场，均处于河道弯沱处，水流较缓，适宜于鱼类索饵。工程处距离最近的白羊河口索饵场约5.</w:t>
      </w:r>
      <w:r>
        <w:rPr>
          <w:rFonts w:hint="eastAsia"/>
          <w:bCs/>
          <w:color w:val="auto"/>
          <w:szCs w:val="26"/>
          <w:highlight w:val="none"/>
          <w:lang w:val="en-US" w:eastAsia="zh-CN"/>
        </w:rPr>
        <w:t>8</w:t>
      </w:r>
      <w:r>
        <w:rPr>
          <w:rFonts w:hint="default"/>
          <w:bCs/>
          <w:color w:val="auto"/>
          <w:szCs w:val="26"/>
          <w:highlight w:val="none"/>
          <w:lang w:val="en-US" w:eastAsia="zh-CN"/>
        </w:rPr>
        <w:t>km，从距离看，工程施工距离索饵场较远，且索饵场均位于工程上游，因此，工程不会对鱼类索饵行为和生境造成明显影响。</w:t>
      </w:r>
    </w:p>
    <w:p>
      <w:pPr>
        <w:widowControl w:val="0"/>
        <w:numPr>
          <w:ilvl w:val="0"/>
          <w:numId w:val="0"/>
        </w:numPr>
        <w:adjustRightInd w:val="0"/>
        <w:snapToGrid w:val="0"/>
        <w:spacing w:line="480" w:lineRule="exact"/>
        <w:ind w:firstLine="520" w:firstLineChars="200"/>
        <w:jc w:val="both"/>
        <w:rPr>
          <w:rFonts w:hint="eastAsia"/>
          <w:bCs/>
          <w:color w:val="auto"/>
          <w:szCs w:val="26"/>
          <w:highlight w:val="none"/>
          <w:lang w:val="en-US" w:eastAsia="zh-CN"/>
        </w:rPr>
      </w:pPr>
      <w:r>
        <w:rPr>
          <w:rFonts w:hint="eastAsia"/>
          <w:bCs/>
          <w:color w:val="auto"/>
          <w:szCs w:val="26"/>
          <w:highlight w:val="none"/>
          <w:lang w:val="en-US" w:eastAsia="zh-CN"/>
        </w:rPr>
        <w:fldChar w:fldCharType="begin"/>
      </w:r>
      <w:r>
        <w:rPr>
          <w:rFonts w:hint="eastAsia"/>
          <w:bCs/>
          <w:color w:val="auto"/>
          <w:szCs w:val="26"/>
          <w:highlight w:val="none"/>
          <w:lang w:val="en-US" w:eastAsia="zh-CN"/>
        </w:rPr>
        <w:instrText xml:space="preserve"> = 3 \* GB3 \* MERGEFORMAT </w:instrText>
      </w:r>
      <w:r>
        <w:rPr>
          <w:rFonts w:hint="eastAsia"/>
          <w:bCs/>
          <w:color w:val="auto"/>
          <w:szCs w:val="26"/>
          <w:highlight w:val="none"/>
          <w:lang w:val="en-US" w:eastAsia="zh-CN"/>
        </w:rPr>
        <w:fldChar w:fldCharType="separate"/>
      </w:r>
      <w:r>
        <w:rPr>
          <w:color w:val="auto"/>
          <w:highlight w:val="none"/>
        </w:rPr>
        <w:t>③</w:t>
      </w:r>
      <w:r>
        <w:rPr>
          <w:rFonts w:hint="eastAsia"/>
          <w:bCs/>
          <w:color w:val="auto"/>
          <w:szCs w:val="26"/>
          <w:highlight w:val="none"/>
          <w:lang w:val="en-US" w:eastAsia="zh-CN"/>
        </w:rPr>
        <w:fldChar w:fldCharType="end"/>
      </w:r>
      <w:r>
        <w:rPr>
          <w:rFonts w:hint="eastAsia"/>
          <w:bCs/>
          <w:color w:val="auto"/>
          <w:szCs w:val="26"/>
          <w:highlight w:val="none"/>
          <w:lang w:val="en-US" w:eastAsia="zh-CN"/>
        </w:rPr>
        <w:t>越冬场</w:t>
      </w:r>
    </w:p>
    <w:p>
      <w:pPr>
        <w:widowControl w:val="0"/>
        <w:numPr>
          <w:ilvl w:val="0"/>
          <w:numId w:val="0"/>
        </w:numPr>
        <w:adjustRightInd w:val="0"/>
        <w:snapToGrid w:val="0"/>
        <w:spacing w:line="480" w:lineRule="exact"/>
        <w:ind w:firstLine="520" w:firstLineChars="200"/>
        <w:jc w:val="both"/>
        <w:rPr>
          <w:rFonts w:hint="default"/>
          <w:bCs/>
          <w:color w:val="auto"/>
          <w:szCs w:val="26"/>
          <w:highlight w:val="none"/>
          <w:lang w:val="en-US" w:eastAsia="zh-CN"/>
        </w:rPr>
      </w:pPr>
      <w:r>
        <w:rPr>
          <w:rFonts w:hint="default"/>
          <w:bCs/>
          <w:color w:val="auto"/>
          <w:szCs w:val="26"/>
          <w:highlight w:val="none"/>
          <w:lang w:val="en-US" w:eastAsia="zh-CN"/>
        </w:rPr>
        <w:t>鱼类越冬场一般位于深水区域，水深在8m~20m左右，多为江沱、河槽、湾沱、洄水或微流水式流水，底质多为乱石。评价江段内鱼类越冬场为渭沱库区越冬场。本工程即在渭沱大坝处作业施工，</w:t>
      </w:r>
      <w:r>
        <w:rPr>
          <w:rFonts w:hint="eastAsia"/>
          <w:bCs/>
          <w:color w:val="auto"/>
          <w:szCs w:val="26"/>
          <w:highlight w:val="none"/>
          <w:lang w:val="en-US" w:eastAsia="zh-CN"/>
        </w:rPr>
        <w:t>且上游清淤距离越冬场较近，</w:t>
      </w:r>
      <w:r>
        <w:rPr>
          <w:rFonts w:hint="default"/>
          <w:bCs/>
          <w:color w:val="auto"/>
          <w:szCs w:val="26"/>
          <w:highlight w:val="none"/>
          <w:lang w:val="en-US" w:eastAsia="zh-CN"/>
        </w:rPr>
        <w:t>工程</w:t>
      </w:r>
      <w:r>
        <w:rPr>
          <w:rFonts w:hint="eastAsia"/>
          <w:bCs/>
          <w:color w:val="auto"/>
          <w:szCs w:val="26"/>
          <w:highlight w:val="none"/>
          <w:lang w:val="en-US" w:eastAsia="zh-CN"/>
        </w:rPr>
        <w:t>炸礁产生的冲击波、施工</w:t>
      </w:r>
      <w:r>
        <w:rPr>
          <w:rFonts w:hint="default"/>
          <w:bCs/>
          <w:color w:val="auto"/>
          <w:szCs w:val="26"/>
          <w:highlight w:val="none"/>
          <w:lang w:val="en-US" w:eastAsia="zh-CN"/>
        </w:rPr>
        <w:t>产生的噪声和土石方开挖</w:t>
      </w:r>
      <w:r>
        <w:rPr>
          <w:rFonts w:hint="eastAsia"/>
          <w:bCs/>
          <w:color w:val="auto"/>
          <w:szCs w:val="26"/>
          <w:highlight w:val="none"/>
          <w:lang w:val="en-US" w:eastAsia="zh-CN"/>
        </w:rPr>
        <w:t>对水域的扰动将</w:t>
      </w:r>
      <w:r>
        <w:rPr>
          <w:rFonts w:hint="default"/>
          <w:bCs/>
          <w:color w:val="auto"/>
          <w:szCs w:val="26"/>
          <w:highlight w:val="none"/>
          <w:lang w:val="en-US" w:eastAsia="zh-CN"/>
        </w:rPr>
        <w:t>影响该区域的鱼类越冬活动。因此，上游疏浚、切咀和丁坝施工避开春季鱼类集中繁殖期（</w:t>
      </w:r>
      <w:r>
        <w:rPr>
          <w:rFonts w:hint="eastAsia"/>
          <w:bCs/>
          <w:color w:val="auto"/>
          <w:szCs w:val="26"/>
          <w:highlight w:val="none"/>
          <w:lang w:val="en-US" w:eastAsia="zh-CN"/>
        </w:rPr>
        <w:t>3-6</w:t>
      </w:r>
      <w:r>
        <w:rPr>
          <w:rFonts w:hint="default"/>
          <w:bCs/>
          <w:color w:val="auto"/>
          <w:szCs w:val="26"/>
          <w:highlight w:val="none"/>
          <w:lang w:val="en-US" w:eastAsia="zh-CN"/>
        </w:rPr>
        <w:t>月）</w:t>
      </w:r>
      <w:r>
        <w:rPr>
          <w:rFonts w:hint="eastAsia"/>
          <w:bCs/>
          <w:color w:val="auto"/>
          <w:szCs w:val="26"/>
          <w:highlight w:val="none"/>
          <w:lang w:val="en-US" w:eastAsia="zh-CN"/>
        </w:rPr>
        <w:t>和</w:t>
      </w:r>
      <w:r>
        <w:rPr>
          <w:rFonts w:hint="default"/>
          <w:bCs/>
          <w:color w:val="auto"/>
          <w:szCs w:val="26"/>
          <w:highlight w:val="none"/>
          <w:lang w:val="en-US" w:eastAsia="zh-CN"/>
        </w:rPr>
        <w:t>避让鱼类越冬季节（11月~次年2月）</w:t>
      </w:r>
      <w:r>
        <w:rPr>
          <w:rFonts w:hint="eastAsia"/>
          <w:bCs/>
          <w:color w:val="auto"/>
          <w:szCs w:val="26"/>
          <w:highlight w:val="none"/>
          <w:lang w:val="en-US" w:eastAsia="zh-CN"/>
        </w:rPr>
        <w:t>，</w:t>
      </w:r>
      <w:r>
        <w:rPr>
          <w:rFonts w:hint="default"/>
          <w:bCs/>
          <w:color w:val="auto"/>
          <w:szCs w:val="26"/>
          <w:highlight w:val="none"/>
          <w:lang w:val="en-US" w:eastAsia="zh-CN"/>
        </w:rPr>
        <w:t>减小对越冬期鱼类的影响。</w:t>
      </w:r>
    </w:p>
    <w:p>
      <w:pPr>
        <w:widowControl w:val="0"/>
        <w:numPr>
          <w:ilvl w:val="0"/>
          <w:numId w:val="0"/>
        </w:numPr>
        <w:adjustRightInd w:val="0"/>
        <w:snapToGrid w:val="0"/>
        <w:spacing w:line="480" w:lineRule="exact"/>
        <w:ind w:firstLine="520" w:firstLineChars="200"/>
        <w:jc w:val="both"/>
        <w:rPr>
          <w:rFonts w:hint="default"/>
          <w:bCs/>
          <w:color w:val="auto"/>
          <w:szCs w:val="26"/>
          <w:highlight w:val="none"/>
          <w:lang w:val="en-US" w:eastAsia="zh-CN"/>
        </w:rPr>
      </w:pPr>
      <w:r>
        <w:rPr>
          <w:rFonts w:hint="eastAsia"/>
          <w:bCs/>
          <w:color w:val="auto"/>
          <w:szCs w:val="26"/>
          <w:highlight w:val="none"/>
          <w:lang w:val="en-US" w:eastAsia="zh-CN"/>
        </w:rPr>
        <w:fldChar w:fldCharType="begin"/>
      </w:r>
      <w:r>
        <w:rPr>
          <w:rFonts w:hint="eastAsia"/>
          <w:bCs/>
          <w:color w:val="auto"/>
          <w:szCs w:val="26"/>
          <w:highlight w:val="none"/>
          <w:lang w:val="en-US" w:eastAsia="zh-CN"/>
        </w:rPr>
        <w:instrText xml:space="preserve"> = 4 \* GB3 \* MERGEFORMAT </w:instrText>
      </w:r>
      <w:r>
        <w:rPr>
          <w:rFonts w:hint="eastAsia"/>
          <w:bCs/>
          <w:color w:val="auto"/>
          <w:szCs w:val="26"/>
          <w:highlight w:val="none"/>
          <w:lang w:val="en-US" w:eastAsia="zh-CN"/>
        </w:rPr>
        <w:fldChar w:fldCharType="separate"/>
      </w:r>
      <w:r>
        <w:rPr>
          <w:color w:val="auto"/>
          <w:highlight w:val="none"/>
        </w:rPr>
        <w:t>④</w:t>
      </w:r>
      <w:r>
        <w:rPr>
          <w:rFonts w:hint="eastAsia"/>
          <w:bCs/>
          <w:color w:val="auto"/>
          <w:szCs w:val="26"/>
          <w:highlight w:val="none"/>
          <w:lang w:val="en-US" w:eastAsia="zh-CN"/>
        </w:rPr>
        <w:fldChar w:fldCharType="end"/>
      </w:r>
      <w:r>
        <w:rPr>
          <w:rFonts w:hint="eastAsia"/>
          <w:bCs/>
          <w:color w:val="auto"/>
          <w:szCs w:val="26"/>
          <w:highlight w:val="none"/>
          <w:lang w:val="en-US" w:eastAsia="zh-CN"/>
        </w:rPr>
        <w:t>洄游通道</w:t>
      </w:r>
    </w:p>
    <w:p>
      <w:pPr>
        <w:widowControl w:val="0"/>
        <w:numPr>
          <w:ilvl w:val="0"/>
          <w:numId w:val="0"/>
        </w:numPr>
        <w:adjustRightInd w:val="0"/>
        <w:snapToGrid w:val="0"/>
        <w:spacing w:line="480" w:lineRule="exact"/>
        <w:ind w:firstLine="520" w:firstLineChars="200"/>
        <w:jc w:val="both"/>
        <w:rPr>
          <w:rFonts w:hint="default"/>
          <w:bCs/>
          <w:color w:val="auto"/>
          <w:szCs w:val="26"/>
          <w:highlight w:val="none"/>
          <w:lang w:val="en-US" w:eastAsia="zh-CN"/>
        </w:rPr>
      </w:pPr>
      <w:r>
        <w:rPr>
          <w:rFonts w:hint="default"/>
          <w:bCs/>
          <w:color w:val="auto"/>
          <w:szCs w:val="26"/>
          <w:highlight w:val="none"/>
          <w:lang w:val="en-US" w:eastAsia="zh-CN"/>
        </w:rPr>
        <w:t>随着嘉陵江流域水电梯级开发及河流渠化的进程，目前涪江重庆段仅126km河段已建设双江航电枢纽、潼南航电枢纽、富金坝航电枢纽、安居枢纽、渭沱电站枢纽共5个梯级水电枢纽，完全阻断了长江干流及嘉陵江鱼类进入涪江繁殖、索饵的通道，此外潼南城区上游三块石电站、东风电站、文峰电站及螺丝池电站、金华电站、白禅寺电站的兴建又阻断了涪江下游鱼类与中上游之间的洄游通道。因此目前，该江段鱼类洄游通道的功能已经几近消失。</w:t>
      </w:r>
    </w:p>
    <w:p>
      <w:pPr>
        <w:widowControl w:val="0"/>
        <w:numPr>
          <w:ilvl w:val="0"/>
          <w:numId w:val="0"/>
        </w:numPr>
        <w:adjustRightInd w:val="0"/>
        <w:snapToGrid w:val="0"/>
        <w:spacing w:line="480" w:lineRule="exact"/>
        <w:ind w:firstLine="520" w:firstLineChars="200"/>
        <w:jc w:val="both"/>
        <w:rPr>
          <w:rFonts w:hint="default"/>
          <w:bCs/>
          <w:color w:val="auto"/>
          <w:szCs w:val="26"/>
          <w:highlight w:val="none"/>
          <w:lang w:val="en-US" w:eastAsia="zh-CN"/>
        </w:rPr>
      </w:pPr>
      <w:r>
        <w:rPr>
          <w:rFonts w:hint="default"/>
          <w:bCs/>
          <w:color w:val="auto"/>
          <w:szCs w:val="26"/>
          <w:highlight w:val="none"/>
          <w:lang w:val="en-US" w:eastAsia="zh-CN"/>
        </w:rPr>
        <w:t>本工程为船闸扩能升级改造工程，不新增对鱼类通道的阻隔</w:t>
      </w:r>
      <w:r>
        <w:rPr>
          <w:rFonts w:hint="eastAsia"/>
          <w:bCs/>
          <w:color w:val="auto"/>
          <w:szCs w:val="26"/>
          <w:highlight w:val="none"/>
          <w:lang w:val="en-US" w:eastAsia="zh-CN"/>
        </w:rPr>
        <w:t>，将利用原船闸新建鱼道工程，重新建立渭沱船闸上下游鱼类活动通道，对洄游通道的恢复具有明显的正效应</w:t>
      </w:r>
      <w:r>
        <w:rPr>
          <w:rFonts w:hint="default"/>
          <w:bCs/>
          <w:color w:val="auto"/>
          <w:szCs w:val="26"/>
          <w:highlight w:val="none"/>
          <w:lang w:val="en-US" w:eastAsia="zh-CN"/>
        </w:rPr>
        <w:t>。</w:t>
      </w:r>
    </w:p>
    <w:p>
      <w:pPr>
        <w:numPr>
          <w:ilvl w:val="0"/>
          <w:numId w:val="0"/>
        </w:numPr>
        <w:adjustRightInd w:val="0"/>
        <w:snapToGrid w:val="0"/>
        <w:spacing w:beforeLines="0" w:afterLines="0"/>
        <w:ind w:firstLine="520"/>
        <w:outlineLvl w:val="4"/>
        <w:rPr>
          <w:rFonts w:hint="default" w:eastAsia="宋体"/>
          <w:color w:val="auto"/>
          <w:sz w:val="26"/>
          <w:szCs w:val="26"/>
          <w:highlight w:val="none"/>
          <w:lang w:val="en-US" w:eastAsia="zh-CN"/>
        </w:rPr>
      </w:pPr>
      <w:r>
        <w:rPr>
          <w:rFonts w:hint="eastAsia" w:eastAsia="宋体"/>
          <w:color w:val="auto"/>
          <w:sz w:val="26"/>
          <w:szCs w:val="26"/>
          <w:highlight w:val="none"/>
          <w:lang w:val="en-US" w:eastAsia="zh-CN"/>
        </w:rPr>
        <w:t>（</w:t>
      </w:r>
      <w:r>
        <w:rPr>
          <w:rFonts w:hint="eastAsia"/>
          <w:color w:val="auto"/>
          <w:sz w:val="26"/>
          <w:szCs w:val="26"/>
          <w:highlight w:val="none"/>
          <w:lang w:val="en-US" w:eastAsia="zh-CN"/>
        </w:rPr>
        <w:t>6</w:t>
      </w:r>
      <w:r>
        <w:rPr>
          <w:rFonts w:hint="eastAsia" w:eastAsia="宋体"/>
          <w:color w:val="auto"/>
          <w:sz w:val="26"/>
          <w:szCs w:val="26"/>
          <w:highlight w:val="none"/>
          <w:lang w:val="en-US" w:eastAsia="zh-CN"/>
        </w:rPr>
        <w:t>）对主要保护对象及其生境的影响</w:t>
      </w:r>
    </w:p>
    <w:p>
      <w:pPr>
        <w:widowControl w:val="0"/>
        <w:numPr>
          <w:ilvl w:val="0"/>
          <w:numId w:val="0"/>
        </w:numPr>
        <w:adjustRightInd w:val="0"/>
        <w:snapToGrid w:val="0"/>
        <w:spacing w:line="480" w:lineRule="exact"/>
        <w:ind w:firstLine="520" w:firstLineChars="200"/>
        <w:jc w:val="both"/>
        <w:rPr>
          <w:rFonts w:hint="default"/>
          <w:bCs/>
          <w:color w:val="auto"/>
          <w:szCs w:val="26"/>
          <w:highlight w:val="none"/>
          <w:lang w:val="en-US" w:eastAsia="zh-CN"/>
        </w:rPr>
      </w:pPr>
      <w:r>
        <w:rPr>
          <w:rFonts w:hint="default"/>
          <w:bCs/>
          <w:color w:val="auto"/>
          <w:szCs w:val="26"/>
          <w:highlight w:val="none"/>
          <w:lang w:val="en-US" w:eastAsia="zh-CN"/>
        </w:rPr>
        <w:t>评价江段河道河曲发育，滩沱相间，多沙洲、支濠，区域内分布有国家Ⅱ级保护鱼类2种（胭脂鱼、岩原鲤），长江上游特有鱼类10种。随着流域水电梯级开发及河流渠化，水文形势显著改变，原有的适宜于胭脂鱼、岩原鲤以及长江上游特有鱼类生存的水流湍急的石滩生境已显著减少，导致上述鱼类种群数量显著降低。本工程施工作业处位于渭沱</w:t>
      </w:r>
      <w:r>
        <w:rPr>
          <w:rFonts w:hint="eastAsia"/>
          <w:bCs/>
          <w:color w:val="auto"/>
          <w:szCs w:val="26"/>
          <w:highlight w:val="none"/>
          <w:lang w:val="en-US" w:eastAsia="zh-CN"/>
        </w:rPr>
        <w:t>船闸及上下游</w:t>
      </w:r>
      <w:r>
        <w:rPr>
          <w:rFonts w:hint="default"/>
          <w:bCs/>
          <w:color w:val="auto"/>
          <w:szCs w:val="26"/>
          <w:highlight w:val="none"/>
          <w:lang w:val="en-US" w:eastAsia="zh-CN"/>
        </w:rPr>
        <w:t>，虽无适宜于上述鱼类繁殖索饵生境，但上述鱼类可能在库首段越冬。因此，工程施工必须合理安排作业时间</w:t>
      </w:r>
      <w:r>
        <w:rPr>
          <w:rFonts w:hint="eastAsia"/>
          <w:bCs/>
          <w:color w:val="auto"/>
          <w:szCs w:val="26"/>
          <w:highlight w:val="none"/>
          <w:lang w:val="en-US" w:eastAsia="zh-CN"/>
        </w:rPr>
        <w:t>（涉水的施工避开鱼类3-6月的主要繁殖期，同时上游疏浚、切咀和丁坝施工避开春季鱼类集中繁殖期</w:t>
      </w:r>
      <w:r>
        <w:rPr>
          <w:rFonts w:hint="eastAsia"/>
          <w:bCs/>
          <w:color w:val="auto"/>
          <w:szCs w:val="26"/>
          <w:highlight w:val="none"/>
          <w:shd w:val="clear" w:fill="FFFFFF"/>
          <w:lang w:val="en-US" w:eastAsia="zh-CN"/>
        </w:rPr>
        <w:t>（</w:t>
      </w:r>
      <w:r>
        <w:rPr>
          <w:rFonts w:hint="eastAsia"/>
          <w:bCs/>
          <w:color w:val="auto"/>
          <w:szCs w:val="26"/>
          <w:highlight w:val="none"/>
          <w:lang w:val="en-US" w:eastAsia="zh-CN"/>
        </w:rPr>
        <w:t>3-6月</w:t>
      </w:r>
      <w:r>
        <w:rPr>
          <w:rFonts w:hint="eastAsia"/>
          <w:bCs/>
          <w:color w:val="auto"/>
          <w:szCs w:val="26"/>
          <w:highlight w:val="none"/>
          <w:shd w:val="clear" w:fill="FFFFFF"/>
          <w:lang w:val="en-US" w:eastAsia="zh-CN"/>
        </w:rPr>
        <w:t>）</w:t>
      </w:r>
      <w:r>
        <w:rPr>
          <w:rFonts w:hint="eastAsia"/>
          <w:bCs/>
          <w:color w:val="auto"/>
          <w:szCs w:val="26"/>
          <w:highlight w:val="none"/>
          <w:lang w:val="en-US" w:eastAsia="zh-CN"/>
        </w:rPr>
        <w:t>和鱼类越冬季节</w:t>
      </w:r>
      <w:r>
        <w:rPr>
          <w:rFonts w:hint="eastAsia"/>
          <w:bCs/>
          <w:color w:val="auto"/>
          <w:szCs w:val="26"/>
          <w:highlight w:val="none"/>
          <w:shd w:val="clear" w:fill="FFFFFF"/>
          <w:lang w:val="en-US" w:eastAsia="zh-CN"/>
        </w:rPr>
        <w:t>（</w:t>
      </w:r>
      <w:r>
        <w:rPr>
          <w:rFonts w:hint="eastAsia"/>
          <w:bCs/>
          <w:color w:val="auto"/>
          <w:szCs w:val="26"/>
          <w:highlight w:val="none"/>
          <w:lang w:val="en-US" w:eastAsia="zh-CN"/>
        </w:rPr>
        <w:t>11月~次年2月</w:t>
      </w:r>
      <w:r>
        <w:rPr>
          <w:rFonts w:hint="eastAsia"/>
          <w:bCs/>
          <w:color w:val="auto"/>
          <w:szCs w:val="26"/>
          <w:highlight w:val="none"/>
          <w:shd w:val="clear" w:fill="FFFFFF"/>
          <w:lang w:val="en-US" w:eastAsia="zh-CN"/>
        </w:rPr>
        <w:t>）</w:t>
      </w:r>
      <w:r>
        <w:rPr>
          <w:rFonts w:hint="eastAsia"/>
          <w:bCs/>
          <w:color w:val="auto"/>
          <w:szCs w:val="26"/>
          <w:highlight w:val="none"/>
          <w:lang w:val="en-US" w:eastAsia="zh-CN"/>
        </w:rPr>
        <w:t>）</w:t>
      </w:r>
      <w:r>
        <w:rPr>
          <w:rFonts w:hint="default"/>
          <w:bCs/>
          <w:color w:val="auto"/>
          <w:szCs w:val="26"/>
          <w:highlight w:val="none"/>
          <w:lang w:val="en-US" w:eastAsia="zh-CN"/>
        </w:rPr>
        <w:t>，不会对保护鱼类繁殖</w:t>
      </w:r>
      <w:r>
        <w:rPr>
          <w:rFonts w:hint="eastAsia"/>
          <w:bCs/>
          <w:color w:val="auto"/>
          <w:szCs w:val="26"/>
          <w:highlight w:val="none"/>
          <w:lang w:val="en-US" w:eastAsia="zh-CN"/>
        </w:rPr>
        <w:t>及越冬</w:t>
      </w:r>
      <w:r>
        <w:rPr>
          <w:rFonts w:hint="default"/>
          <w:bCs/>
          <w:color w:val="auto"/>
          <w:szCs w:val="26"/>
          <w:highlight w:val="none"/>
          <w:lang w:val="en-US" w:eastAsia="zh-CN"/>
        </w:rPr>
        <w:t>造成影响，可保证鱼类资源得以不断恢复和发展；施工采用不会产生有毒有害物质的乳化炸药，避免对水体的二次污染以及对鱼类产生毒性作用；施工前采用驱鱼措施，避免施工爆破对鱼类资源的影响；施工采用深孔松动控制爆破、微差爆破等先进爆破工艺，限制一次爆破最大用药量，实施气泡帷幕等措施，能大幅降低爆破地震波和水冲击波，以降低危害，进一步保证工程的生态安全。工程在采取以上措施后，对保护鱼类的影响较小。</w:t>
      </w:r>
    </w:p>
    <w:p>
      <w:pPr>
        <w:pStyle w:val="197"/>
        <w:adjustRightInd w:val="0"/>
        <w:snapToGrid w:val="0"/>
        <w:spacing w:beforeLines="0" w:afterLines="0"/>
        <w:ind w:firstLine="520"/>
        <w:jc w:val="both"/>
        <w:rPr>
          <w:rFonts w:hint="default"/>
          <w:color w:val="auto"/>
          <w:sz w:val="26"/>
          <w:szCs w:val="26"/>
          <w:highlight w:val="none"/>
        </w:rPr>
      </w:pPr>
      <w:r>
        <w:rPr>
          <w:rFonts w:hint="eastAsia"/>
          <w:color w:val="auto"/>
          <w:sz w:val="26"/>
          <w:szCs w:val="26"/>
          <w:highlight w:val="none"/>
        </w:rPr>
        <w:t>随着流域水电梯级开发及河流渠化，水文形势显著改变，原有的适宜于胭脂鱼、岩原鲤以及长江上游特有鱼类生存的水流湍急的石滩生境已显著减少，导致上述鱼类种群数量显著降低。本工程未占用鱼类“三场”，评价区也未调查到重点保护鱼类的产卵场等鱼类“三场”，且工程不改变现有水文形势，对该江段的主要保护对象及其生境的影响程度有限。</w:t>
      </w:r>
    </w:p>
    <w:p>
      <w:pPr>
        <w:numPr>
          <w:ilvl w:val="0"/>
          <w:numId w:val="0"/>
        </w:numPr>
        <w:adjustRightInd w:val="0"/>
        <w:snapToGrid w:val="0"/>
        <w:spacing w:beforeLines="0" w:afterLines="0"/>
        <w:ind w:firstLine="520"/>
        <w:outlineLvl w:val="4"/>
        <w:rPr>
          <w:rFonts w:hint="default" w:eastAsia="宋体"/>
          <w:color w:val="auto"/>
          <w:sz w:val="26"/>
          <w:szCs w:val="26"/>
          <w:highlight w:val="none"/>
          <w:lang w:val="en-US" w:eastAsia="zh-CN"/>
        </w:rPr>
      </w:pPr>
      <w:r>
        <w:rPr>
          <w:rFonts w:hint="eastAsia" w:eastAsia="宋体"/>
          <w:color w:val="auto"/>
          <w:sz w:val="26"/>
          <w:szCs w:val="26"/>
          <w:highlight w:val="none"/>
          <w:lang w:val="en-US" w:eastAsia="zh-CN"/>
        </w:rPr>
        <w:t>（7）</w:t>
      </w:r>
      <w:r>
        <w:rPr>
          <w:rFonts w:hint="default" w:eastAsia="宋体"/>
          <w:color w:val="auto"/>
          <w:sz w:val="26"/>
          <w:szCs w:val="26"/>
          <w:highlight w:val="none"/>
          <w:lang w:val="en-US" w:eastAsia="zh-CN"/>
        </w:rPr>
        <w:t>对水生态系统结构和功能的影响评价</w:t>
      </w:r>
    </w:p>
    <w:p>
      <w:pPr>
        <w:bidi w:val="0"/>
        <w:rPr>
          <w:b/>
          <w:bCs/>
          <w:color w:val="auto"/>
          <w:highlight w:val="none"/>
        </w:rPr>
      </w:pPr>
      <w:r>
        <w:rPr>
          <w:rFonts w:hint="default"/>
          <w:bCs/>
          <w:color w:val="auto"/>
          <w:szCs w:val="26"/>
          <w:highlight w:val="none"/>
          <w:lang w:val="en-US" w:eastAsia="zh-CN"/>
        </w:rPr>
        <w:t>评价江段内航电梯级的开发对水生生物多样性及其重要生境等已经产生了较大影响，水生态系统已经发生改变。但目前该江段水生生物多样性总体仍然较为丰富。工程施工对水生态系统产生的直接影响主要有局部河床底质改变、悬浮物浓度增加、噪声污染、施工废水等。这些影响将造成一定区域内底栖动物、浮游动植物的生物多样性降低、鱼类饵料生物减少，进而影响到鱼类的索饵等活动，造成一定时期内相应水域鱼类物种多样性有所下降。但这些影响主要集中在施工期，工程施工结束后基本消除，且对鱼类资源更多的是间接影响。总体上，本工程不会改变水生态系统的性质，对水生生物和主要保护对象的影响有限，对水生态系统结构和功能的影响有限。在生态保护到位</w:t>
      </w:r>
      <w:r>
        <w:rPr>
          <w:rFonts w:hint="eastAsia"/>
          <w:bCs/>
          <w:color w:val="auto"/>
          <w:szCs w:val="26"/>
          <w:highlight w:val="none"/>
          <w:lang w:val="en-US" w:eastAsia="zh-CN"/>
        </w:rPr>
        <w:t>、</w:t>
      </w:r>
      <w:r>
        <w:rPr>
          <w:rFonts w:hint="default"/>
          <w:bCs/>
          <w:color w:val="auto"/>
          <w:szCs w:val="26"/>
          <w:highlight w:val="none"/>
          <w:lang w:val="en-US" w:eastAsia="zh-CN"/>
        </w:rPr>
        <w:t>加强监管的条件下，工程建设对水生态的影响将进一步减低，总体属可控，可接受的。</w:t>
      </w:r>
    </w:p>
    <w:p>
      <w:pPr>
        <w:pStyle w:val="5"/>
        <w:adjustRightInd w:val="0"/>
        <w:snapToGrid w:val="0"/>
        <w:ind w:firstLine="522"/>
        <w:rPr>
          <w:color w:val="auto"/>
          <w:highlight w:val="none"/>
        </w:rPr>
      </w:pPr>
      <w:r>
        <w:rPr>
          <w:rFonts w:hint="eastAsia"/>
          <w:color w:val="auto"/>
          <w:highlight w:val="none"/>
          <w:lang w:eastAsia="zh-CN"/>
        </w:rPr>
        <w:t>运营期生态</w:t>
      </w:r>
      <w:r>
        <w:rPr>
          <w:color w:val="auto"/>
          <w:highlight w:val="none"/>
        </w:rPr>
        <w:t>环境影响</w:t>
      </w:r>
      <w:r>
        <w:rPr>
          <w:rFonts w:hint="eastAsia"/>
          <w:color w:val="auto"/>
          <w:highlight w:val="none"/>
        </w:rPr>
        <w:t>评价</w:t>
      </w:r>
    </w:p>
    <w:p>
      <w:pPr>
        <w:pStyle w:val="6"/>
        <w:bidi w:val="0"/>
        <w:rPr>
          <w:rFonts w:hint="eastAsia"/>
          <w:color w:val="auto"/>
          <w:highlight w:val="none"/>
          <w:lang w:eastAsia="zh-CN"/>
        </w:rPr>
      </w:pPr>
      <w:r>
        <w:rPr>
          <w:rFonts w:hint="eastAsia"/>
          <w:color w:val="auto"/>
          <w:highlight w:val="none"/>
          <w:lang w:eastAsia="zh-CN"/>
        </w:rPr>
        <w:t>陆生生态影响</w:t>
      </w:r>
    </w:p>
    <w:p>
      <w:pPr>
        <w:bidi w:val="0"/>
        <w:rPr>
          <w:rFonts w:hint="eastAsia"/>
          <w:color w:val="auto"/>
          <w:highlight w:val="none"/>
          <w:lang w:eastAsia="zh-CN"/>
        </w:rPr>
      </w:pPr>
      <w:r>
        <w:rPr>
          <w:rFonts w:hint="eastAsia"/>
          <w:color w:val="auto"/>
          <w:highlight w:val="none"/>
          <w:lang w:eastAsia="zh-CN"/>
        </w:rPr>
        <w:t>项目永久占地面积较小，且主要占用现有渭沱枢纽管理区，建成后区域土地利用类型不发生明显改变，工程施工结束后，通过实施水土保持措施和施工迹地恢复措施，工程施工对区域生态系统的扰动影响将逐步消除，生态系统功能将逐步恢复。除船闸占地破坏的少量植被不能恢复外，其余施工影响区域均能自然恢复，并通过结合本地物种进行绿化、种植等人工绿化措施，可以显著提高项目区域的植被覆盖率，并重新成为野生动物的栖息地，其种类和数量也将逐渐恢复至工程施工前水平。</w:t>
      </w:r>
    </w:p>
    <w:p>
      <w:pPr>
        <w:bidi w:val="0"/>
        <w:rPr>
          <w:rFonts w:hint="eastAsia"/>
          <w:color w:val="auto"/>
          <w:highlight w:val="none"/>
          <w:lang w:eastAsia="zh-CN"/>
        </w:rPr>
      </w:pPr>
      <w:r>
        <w:rPr>
          <w:rFonts w:hint="eastAsia"/>
          <w:color w:val="auto"/>
          <w:highlight w:val="none"/>
          <w:lang w:eastAsia="zh-CN"/>
        </w:rPr>
        <w:t>本工程本体运营期不产生污染物，工程活动为航运及船闸调度，基本全部位于涉水区域，对陆生植物及植被影响较小。而对于管理区运营产生的生活污水、生活垃圾、人为干扰等，通过采取措施后可得到合理有效处置，不会对陆生生态系统造成较大影响。</w:t>
      </w:r>
    </w:p>
    <w:p>
      <w:pPr>
        <w:pStyle w:val="6"/>
        <w:bidi w:val="0"/>
        <w:rPr>
          <w:color w:val="auto"/>
          <w:highlight w:val="none"/>
        </w:rPr>
      </w:pPr>
      <w:r>
        <w:rPr>
          <w:rFonts w:hint="eastAsia"/>
          <w:color w:val="auto"/>
          <w:highlight w:val="none"/>
          <w:lang w:eastAsia="zh-CN"/>
        </w:rPr>
        <w:t>水生生态影响</w:t>
      </w:r>
    </w:p>
    <w:p>
      <w:pPr>
        <w:widowControl w:val="0"/>
        <w:numPr>
          <w:ilvl w:val="0"/>
          <w:numId w:val="0"/>
        </w:numPr>
        <w:adjustRightInd w:val="0"/>
        <w:snapToGrid w:val="0"/>
        <w:spacing w:line="480" w:lineRule="exact"/>
        <w:ind w:left="0" w:leftChars="0" w:firstLine="520" w:firstLineChars="0"/>
        <w:jc w:val="both"/>
        <w:rPr>
          <w:rFonts w:hint="eastAsia"/>
          <w:bCs/>
          <w:color w:val="auto"/>
          <w:szCs w:val="26"/>
          <w:highlight w:val="none"/>
          <w:lang w:val="en-US" w:eastAsia="zh-CN"/>
        </w:rPr>
      </w:pPr>
      <w:r>
        <w:rPr>
          <w:rFonts w:hint="eastAsia"/>
          <w:bCs/>
          <w:color w:val="auto"/>
          <w:szCs w:val="26"/>
          <w:highlight w:val="none"/>
          <w:lang w:val="en-US" w:eastAsia="zh-CN"/>
        </w:rPr>
        <w:t>运营期船闸本身不排放污染物，主要是过往船舶对水生生态的影响。</w:t>
      </w:r>
    </w:p>
    <w:p>
      <w:pPr>
        <w:widowControl w:val="0"/>
        <w:numPr>
          <w:ilvl w:val="0"/>
          <w:numId w:val="0"/>
        </w:numPr>
        <w:adjustRightInd w:val="0"/>
        <w:snapToGrid w:val="0"/>
        <w:spacing w:line="480" w:lineRule="exact"/>
        <w:ind w:left="0" w:leftChars="0" w:firstLine="520" w:firstLineChars="0"/>
        <w:jc w:val="both"/>
        <w:rPr>
          <w:rFonts w:hint="eastAsia"/>
          <w:bCs/>
          <w:color w:val="auto"/>
          <w:szCs w:val="26"/>
          <w:highlight w:val="none"/>
          <w:lang w:val="en-US" w:eastAsia="zh-CN"/>
        </w:rPr>
      </w:pPr>
      <w:r>
        <w:rPr>
          <w:rFonts w:hint="eastAsia"/>
          <w:bCs/>
          <w:color w:val="auto"/>
          <w:szCs w:val="26"/>
          <w:highlight w:val="none"/>
          <w:lang w:val="en-US" w:eastAsia="zh-CN"/>
        </w:rPr>
        <w:t>（1）对浮游生物的影响</w:t>
      </w:r>
    </w:p>
    <w:p>
      <w:pPr>
        <w:widowControl w:val="0"/>
        <w:numPr>
          <w:ilvl w:val="0"/>
          <w:numId w:val="0"/>
        </w:numPr>
        <w:adjustRightInd w:val="0"/>
        <w:snapToGrid w:val="0"/>
        <w:spacing w:line="480" w:lineRule="exact"/>
        <w:ind w:left="0" w:leftChars="0" w:firstLine="520" w:firstLineChars="0"/>
        <w:jc w:val="both"/>
        <w:rPr>
          <w:rFonts w:hint="eastAsia"/>
          <w:bCs/>
          <w:color w:val="auto"/>
          <w:szCs w:val="26"/>
          <w:highlight w:val="none"/>
          <w:lang w:eastAsia="zh-CN"/>
        </w:rPr>
      </w:pPr>
      <w:r>
        <w:rPr>
          <w:rFonts w:hint="eastAsia"/>
          <w:bCs/>
          <w:color w:val="auto"/>
          <w:szCs w:val="26"/>
          <w:highlight w:val="none"/>
          <w:lang w:eastAsia="zh-CN"/>
        </w:rPr>
        <w:t>运营期船舶航行过程中将导致水体中悬浮物浓度的增加，这种悬浮物的增加可能会阻碍水中浮游植物光合作用的顺利进行，导致其生物总量的下降，同时引起浮游动物食物过滤系统的堵塞，特别是在摄入大量泥沙的情况下，滤食性浮游动物可能会因为内部系统紊乱而大量死亡。但由于涪江已存在多级枢纽，库区水流较缓，水体中悬浮物含量较低，航行中船舶吃水深度有限，与河底尚有一定距离，行船过程中不会搅动河底的泥沙引起水体悬浮物的大量增加；而且船舶航行后泥沙将迅速沉降，对水生生物影响时间较为短暂，对其影响较小。</w:t>
      </w:r>
    </w:p>
    <w:p>
      <w:pPr>
        <w:widowControl w:val="0"/>
        <w:numPr>
          <w:ilvl w:val="0"/>
          <w:numId w:val="0"/>
        </w:numPr>
        <w:adjustRightInd w:val="0"/>
        <w:snapToGrid w:val="0"/>
        <w:spacing w:line="480" w:lineRule="exact"/>
        <w:ind w:left="0" w:leftChars="0" w:firstLine="520" w:firstLineChars="0"/>
        <w:jc w:val="both"/>
        <w:rPr>
          <w:rFonts w:hint="default"/>
          <w:bCs/>
          <w:color w:val="auto"/>
          <w:szCs w:val="26"/>
          <w:highlight w:val="none"/>
          <w:lang w:val="en-US" w:eastAsia="zh-CN"/>
        </w:rPr>
      </w:pPr>
      <w:r>
        <w:rPr>
          <w:rFonts w:hint="eastAsia"/>
          <w:bCs/>
          <w:color w:val="auto"/>
          <w:szCs w:val="26"/>
          <w:highlight w:val="none"/>
          <w:lang w:val="en-US" w:eastAsia="zh-CN"/>
        </w:rPr>
        <w:t>（2）对底栖动物的影响</w:t>
      </w:r>
    </w:p>
    <w:p>
      <w:pPr>
        <w:widowControl w:val="0"/>
        <w:numPr>
          <w:ilvl w:val="0"/>
          <w:numId w:val="0"/>
        </w:numPr>
        <w:adjustRightInd w:val="0"/>
        <w:snapToGrid w:val="0"/>
        <w:spacing w:line="480" w:lineRule="exact"/>
        <w:ind w:left="0" w:leftChars="0" w:firstLine="520" w:firstLineChars="0"/>
        <w:jc w:val="both"/>
        <w:rPr>
          <w:rFonts w:hint="eastAsia"/>
          <w:bCs/>
          <w:color w:val="auto"/>
          <w:szCs w:val="26"/>
          <w:highlight w:val="none"/>
          <w:lang w:eastAsia="zh-CN"/>
        </w:rPr>
      </w:pPr>
      <w:r>
        <w:rPr>
          <w:rFonts w:hint="eastAsia"/>
          <w:bCs/>
          <w:color w:val="auto"/>
          <w:szCs w:val="26"/>
          <w:highlight w:val="none"/>
          <w:lang w:eastAsia="zh-CN"/>
        </w:rPr>
        <w:t>由于涪江已存在多级枢纽，库区水流较缓，船舶吃水深度有限，与河底尚有一定距离，行船不会直接影响底栖生物，行船过程中可能搅动航道附近的少量底泥，引起水体悬浮物的短暂增加，但航行后泥沙将迅速沉降，对航道及两侧区域的底栖生物有短暂扰动，而涪江江面宽阔，航道两侧底栖生物生境较为广阔，运营期船舶航行对评价范围内的底栖生物影响较小。</w:t>
      </w:r>
    </w:p>
    <w:p>
      <w:pPr>
        <w:widowControl w:val="0"/>
        <w:numPr>
          <w:ilvl w:val="0"/>
          <w:numId w:val="0"/>
        </w:numPr>
        <w:adjustRightInd w:val="0"/>
        <w:snapToGrid w:val="0"/>
        <w:spacing w:line="480" w:lineRule="exact"/>
        <w:ind w:left="0" w:leftChars="0" w:firstLine="520" w:firstLineChars="0"/>
        <w:jc w:val="both"/>
        <w:rPr>
          <w:rFonts w:hint="eastAsia"/>
          <w:bCs/>
          <w:color w:val="auto"/>
          <w:szCs w:val="26"/>
          <w:highlight w:val="none"/>
          <w:lang w:val="en-US" w:eastAsia="zh-CN"/>
        </w:rPr>
      </w:pPr>
      <w:r>
        <w:rPr>
          <w:rFonts w:hint="eastAsia"/>
          <w:bCs/>
          <w:color w:val="auto"/>
          <w:szCs w:val="26"/>
          <w:highlight w:val="none"/>
          <w:lang w:val="en-US" w:eastAsia="zh-CN"/>
        </w:rPr>
        <w:t>（3）对河岸带植被的影响</w:t>
      </w:r>
    </w:p>
    <w:p>
      <w:pPr>
        <w:widowControl w:val="0"/>
        <w:numPr>
          <w:ilvl w:val="0"/>
          <w:numId w:val="0"/>
        </w:numPr>
        <w:adjustRightInd w:val="0"/>
        <w:snapToGrid w:val="0"/>
        <w:spacing w:line="480" w:lineRule="exact"/>
        <w:ind w:left="0" w:leftChars="0" w:firstLine="520" w:firstLineChars="0"/>
        <w:jc w:val="both"/>
        <w:rPr>
          <w:rFonts w:hint="default"/>
          <w:bCs/>
          <w:color w:val="auto"/>
          <w:szCs w:val="26"/>
          <w:highlight w:val="none"/>
          <w:lang w:val="en-US" w:eastAsia="zh-CN"/>
        </w:rPr>
      </w:pPr>
      <w:r>
        <w:rPr>
          <w:rFonts w:hint="eastAsia"/>
          <w:bCs/>
          <w:color w:val="auto"/>
          <w:szCs w:val="26"/>
          <w:highlight w:val="none"/>
          <w:lang w:val="en-US" w:eastAsia="zh-CN"/>
        </w:rPr>
        <w:t>涪江重庆段沿岸有较多的宽阔的河滩和阶地。经过长期的开发利用，阶地和缓坡地大多开发成耕地。运营期，船舶航行可能对上下游锚地周边河岸带植被可能存在一定扰动，但影响范围有限，不会造成水生植物损失，也不会改变评价江段水生植物区系的整体组成。</w:t>
      </w:r>
    </w:p>
    <w:p>
      <w:pPr>
        <w:widowControl w:val="0"/>
        <w:numPr>
          <w:ilvl w:val="0"/>
          <w:numId w:val="0"/>
        </w:numPr>
        <w:adjustRightInd w:val="0"/>
        <w:snapToGrid w:val="0"/>
        <w:spacing w:line="480" w:lineRule="exact"/>
        <w:ind w:left="0" w:leftChars="0" w:firstLine="520" w:firstLineChars="0"/>
        <w:jc w:val="both"/>
        <w:rPr>
          <w:rFonts w:hint="default"/>
          <w:bCs/>
          <w:color w:val="auto"/>
          <w:szCs w:val="26"/>
          <w:highlight w:val="none"/>
          <w:lang w:val="en-US" w:eastAsia="zh-CN"/>
        </w:rPr>
      </w:pPr>
      <w:r>
        <w:rPr>
          <w:rFonts w:hint="eastAsia"/>
          <w:bCs/>
          <w:color w:val="auto"/>
          <w:szCs w:val="26"/>
          <w:highlight w:val="none"/>
          <w:lang w:val="en-US" w:eastAsia="zh-CN"/>
        </w:rPr>
        <w:t>（4）对鱼类及主要保护对象的影响</w:t>
      </w:r>
    </w:p>
    <w:p>
      <w:pPr>
        <w:widowControl w:val="0"/>
        <w:numPr>
          <w:ilvl w:val="0"/>
          <w:numId w:val="0"/>
        </w:numPr>
        <w:adjustRightInd w:val="0"/>
        <w:snapToGrid w:val="0"/>
        <w:spacing w:line="480" w:lineRule="exact"/>
        <w:ind w:left="0" w:leftChars="0" w:firstLine="520" w:firstLineChars="0"/>
        <w:jc w:val="both"/>
        <w:rPr>
          <w:rFonts w:hint="eastAsia"/>
          <w:bCs/>
          <w:color w:val="auto"/>
          <w:szCs w:val="26"/>
          <w:highlight w:val="none"/>
          <w:lang w:eastAsia="zh-CN"/>
        </w:rPr>
      </w:pPr>
      <w:r>
        <w:rPr>
          <w:rFonts w:hint="eastAsia"/>
          <w:bCs/>
          <w:color w:val="auto"/>
          <w:szCs w:val="26"/>
          <w:highlight w:val="none"/>
          <w:lang w:val="en-US" w:eastAsia="zh-CN"/>
        </w:rPr>
        <w:t>根据水文情势影响分析，</w:t>
      </w:r>
      <w:r>
        <w:rPr>
          <w:rFonts w:hint="eastAsia"/>
          <w:bCs/>
          <w:color w:val="auto"/>
          <w:szCs w:val="26"/>
          <w:highlight w:val="none"/>
          <w:lang w:eastAsia="zh-CN"/>
        </w:rPr>
        <w:t>本项目实施后，水位、流速基本不变，工程建设对涪江水文情势影响较小。</w:t>
      </w:r>
    </w:p>
    <w:p>
      <w:pPr>
        <w:widowControl w:val="0"/>
        <w:numPr>
          <w:ilvl w:val="0"/>
          <w:numId w:val="0"/>
        </w:numPr>
        <w:adjustRightInd w:val="0"/>
        <w:snapToGrid w:val="0"/>
        <w:spacing w:line="480" w:lineRule="exact"/>
        <w:ind w:left="0" w:leftChars="0" w:firstLine="520" w:firstLineChars="0"/>
        <w:jc w:val="both"/>
        <w:rPr>
          <w:rFonts w:hint="eastAsia"/>
          <w:bCs/>
          <w:color w:val="auto"/>
          <w:szCs w:val="26"/>
          <w:highlight w:val="none"/>
          <w:lang w:eastAsia="zh-CN"/>
        </w:rPr>
      </w:pPr>
      <w:r>
        <w:rPr>
          <w:rFonts w:hint="eastAsia"/>
          <w:bCs/>
          <w:color w:val="auto"/>
          <w:szCs w:val="26"/>
          <w:highlight w:val="none"/>
          <w:lang w:eastAsia="zh-CN"/>
        </w:rPr>
        <w:t>运营期，频繁地航运也会增加误伤大型水生生物的风险。船只的</w:t>
      </w:r>
      <w:r>
        <w:rPr>
          <w:rFonts w:hint="eastAsia"/>
          <w:bCs/>
          <w:color w:val="auto"/>
          <w:szCs w:val="26"/>
          <w:highlight w:val="none"/>
          <w:shd w:val="clear" w:fill="FFFFFF"/>
          <w:lang w:eastAsia="zh-CN"/>
        </w:rPr>
        <w:t>噪音</w:t>
      </w:r>
      <w:r>
        <w:rPr>
          <w:rFonts w:hint="eastAsia"/>
          <w:bCs/>
          <w:color w:val="auto"/>
          <w:szCs w:val="26"/>
          <w:highlight w:val="none"/>
          <w:lang w:eastAsia="zh-CN"/>
        </w:rPr>
        <w:t>及螺旋桨都会导致鱼类分布的变化。船只运行的</w:t>
      </w:r>
      <w:r>
        <w:rPr>
          <w:rFonts w:hint="eastAsia"/>
          <w:bCs/>
          <w:color w:val="auto"/>
          <w:szCs w:val="26"/>
          <w:highlight w:val="none"/>
          <w:shd w:val="clear" w:fill="FFFFFF"/>
          <w:lang w:eastAsia="zh-CN"/>
        </w:rPr>
        <w:t>噪音</w:t>
      </w:r>
      <w:r>
        <w:rPr>
          <w:rFonts w:hint="eastAsia"/>
          <w:bCs/>
          <w:color w:val="auto"/>
          <w:szCs w:val="26"/>
          <w:highlight w:val="none"/>
          <w:lang w:eastAsia="zh-CN"/>
        </w:rPr>
        <w:t>和波浪造成鱼类的主动回避；船只螺旋桨可能造成躲避不及时的鱼类的死亡和伤害，误伤一定数量的鱼类。但总的说，这种影响和误伤的比例很小。</w:t>
      </w:r>
    </w:p>
    <w:p>
      <w:pPr>
        <w:widowControl w:val="0"/>
        <w:numPr>
          <w:ilvl w:val="0"/>
          <w:numId w:val="0"/>
        </w:numPr>
        <w:adjustRightInd w:val="0"/>
        <w:snapToGrid w:val="0"/>
        <w:spacing w:line="480" w:lineRule="exact"/>
        <w:ind w:left="0" w:leftChars="0" w:firstLine="520" w:firstLineChars="0"/>
        <w:jc w:val="both"/>
        <w:rPr>
          <w:rFonts w:hint="default"/>
          <w:bCs/>
          <w:color w:val="auto"/>
          <w:szCs w:val="26"/>
          <w:highlight w:val="none"/>
          <w:lang w:val="en-US" w:eastAsia="zh-CN"/>
        </w:rPr>
      </w:pPr>
      <w:r>
        <w:rPr>
          <w:rFonts w:hint="eastAsia"/>
          <w:bCs/>
          <w:color w:val="auto"/>
          <w:szCs w:val="26"/>
          <w:highlight w:val="none"/>
          <w:lang w:val="en-US" w:eastAsia="zh-CN"/>
        </w:rPr>
        <w:t>（5）对重要生境的影响</w:t>
      </w:r>
    </w:p>
    <w:p>
      <w:pPr>
        <w:widowControl w:val="0"/>
        <w:numPr>
          <w:ilvl w:val="0"/>
          <w:numId w:val="0"/>
        </w:numPr>
        <w:adjustRightInd w:val="0"/>
        <w:snapToGrid w:val="0"/>
        <w:spacing w:line="480" w:lineRule="exact"/>
        <w:ind w:left="0" w:leftChars="0" w:firstLine="520" w:firstLineChars="0"/>
        <w:jc w:val="both"/>
        <w:rPr>
          <w:rFonts w:hint="default"/>
          <w:bCs/>
          <w:color w:val="auto"/>
          <w:szCs w:val="26"/>
          <w:highlight w:val="none"/>
          <w:lang w:val="en-US" w:eastAsia="zh-CN"/>
        </w:rPr>
      </w:pPr>
      <w:r>
        <w:rPr>
          <w:rFonts w:hint="eastAsia"/>
          <w:bCs/>
          <w:color w:val="auto"/>
          <w:szCs w:val="26"/>
          <w:highlight w:val="none"/>
          <w:lang w:val="en-US" w:eastAsia="zh-CN"/>
        </w:rPr>
        <w:t>运营期由于船舶航行按规划航道行驶，与产卵场、索饵场和越冬场空间上存在一定距离，不会对鱼类产卵、索饵和越冬产生明显影响；鱼道的修建将重新建立渭沱船闸上下游鱼类活动通道，对洄游通道恢复具有明显的正效应</w:t>
      </w:r>
      <w:r>
        <w:rPr>
          <w:rFonts w:hint="eastAsia"/>
          <w:bCs/>
          <w:color w:val="auto"/>
          <w:szCs w:val="26"/>
          <w:highlight w:val="none"/>
          <w:shd w:val="clear" w:fill="FFFFFF"/>
          <w:lang w:val="en-US" w:eastAsia="zh-CN"/>
        </w:rPr>
        <w:t>。</w:t>
      </w:r>
    </w:p>
    <w:p>
      <w:pPr>
        <w:pStyle w:val="5"/>
        <w:bidi w:val="0"/>
        <w:rPr>
          <w:rFonts w:hint="eastAsia"/>
          <w:color w:val="auto"/>
          <w:highlight w:val="none"/>
        </w:rPr>
      </w:pPr>
      <w:r>
        <w:rPr>
          <w:rFonts w:hint="eastAsia"/>
          <w:color w:val="auto"/>
          <w:highlight w:val="none"/>
          <w:lang w:eastAsia="zh-CN"/>
        </w:rPr>
        <w:t>对重庆合川三江国家湿地公园的影响分析</w:t>
      </w:r>
    </w:p>
    <w:p>
      <w:pPr>
        <w:pStyle w:val="6"/>
        <w:bidi w:val="0"/>
        <w:ind w:left="0" w:leftChars="0" w:firstLine="522" w:firstLineChars="200"/>
        <w:rPr>
          <w:rFonts w:hint="eastAsia"/>
          <w:color w:val="auto"/>
          <w:highlight w:val="none"/>
          <w:lang w:eastAsia="zh-CN"/>
        </w:rPr>
      </w:pPr>
      <w:r>
        <w:rPr>
          <w:rFonts w:hint="eastAsia"/>
          <w:color w:val="auto"/>
          <w:highlight w:val="none"/>
          <w:lang w:eastAsia="zh-CN"/>
        </w:rPr>
        <w:t>重庆合川三江国家湿地公园概况</w:t>
      </w:r>
    </w:p>
    <w:p>
      <w:pPr>
        <w:bidi w:val="0"/>
        <w:rPr>
          <w:rFonts w:hint="default"/>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rPr>
        <w:t>地理位置及范围</w:t>
      </w:r>
    </w:p>
    <w:p>
      <w:pPr>
        <w:spacing w:beforeLines="0" w:afterLines="0" w:line="480" w:lineRule="exact"/>
        <w:ind w:firstLine="520"/>
        <w:rPr>
          <w:rFonts w:hint="default" w:ascii="Times New Roman" w:hAnsi="Times New Roman" w:cs="Times New Roman"/>
          <w:color w:val="auto"/>
          <w:sz w:val="26"/>
          <w:szCs w:val="22"/>
          <w:highlight w:val="none"/>
        </w:rPr>
      </w:pPr>
      <w:r>
        <w:rPr>
          <w:rFonts w:hint="default" w:ascii="Times New Roman" w:hAnsi="Times New Roman" w:cs="Times New Roman"/>
          <w:color w:val="auto"/>
          <w:sz w:val="26"/>
          <w:szCs w:val="22"/>
          <w:highlight w:val="none"/>
        </w:rPr>
        <w:t>重庆合川三江国家湿地公园（以下简称“三江湿地公园”）位于重庆市合川区境内，涉及钓鱼城街道、合阳街道、南津街街道、草街街道及盐井街道。介于东经106°07′55″-106°24′01″，北纬29°53′08″-30°02′07″，公园范围包括嘉陵江干流自渠河口至出合川境约34.8km河段，涪江自渭沱电站大坝至嘉陵江断面22.1km河段，以及涪江一级支流小安溪与嘉陵江一级支流百岁溪，规划总面积3860.15hm</w:t>
      </w:r>
      <w:r>
        <w:rPr>
          <w:rFonts w:hint="default" w:ascii="Times New Roman" w:hAnsi="Times New Roman" w:cs="Times New Roman"/>
          <w:color w:val="auto"/>
          <w:sz w:val="26"/>
          <w:szCs w:val="22"/>
          <w:highlight w:val="none"/>
          <w:vertAlign w:val="superscript"/>
        </w:rPr>
        <w:t>2</w:t>
      </w:r>
      <w:r>
        <w:rPr>
          <w:rFonts w:hint="default" w:ascii="Times New Roman" w:hAnsi="Times New Roman" w:cs="Times New Roman"/>
          <w:color w:val="auto"/>
          <w:sz w:val="26"/>
          <w:szCs w:val="22"/>
          <w:highlight w:val="none"/>
        </w:rPr>
        <w:t>，其中湿地面积 2585.86 hm</w:t>
      </w:r>
      <w:r>
        <w:rPr>
          <w:rFonts w:hint="default" w:ascii="Times New Roman" w:hAnsi="Times New Roman" w:cs="Times New Roman"/>
          <w:color w:val="auto"/>
          <w:sz w:val="26"/>
          <w:szCs w:val="22"/>
          <w:highlight w:val="none"/>
          <w:vertAlign w:val="superscript"/>
        </w:rPr>
        <w:t>2</w:t>
      </w:r>
      <w:r>
        <w:rPr>
          <w:rFonts w:hint="default" w:ascii="Times New Roman" w:hAnsi="Times New Roman" w:cs="Times New Roman"/>
          <w:color w:val="auto"/>
          <w:sz w:val="26"/>
          <w:szCs w:val="22"/>
          <w:highlight w:val="none"/>
        </w:rPr>
        <w:t>，湿地率达66.99%。</w:t>
      </w:r>
    </w:p>
    <w:p>
      <w:pPr>
        <w:bidi w:val="0"/>
        <w:rPr>
          <w:rFonts w:hint="default"/>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）湿地公园性质</w:t>
      </w:r>
    </w:p>
    <w:p>
      <w:pPr>
        <w:spacing w:beforeLines="0" w:afterLines="0" w:line="480" w:lineRule="exact"/>
        <w:ind w:firstLine="520"/>
        <w:rPr>
          <w:rFonts w:hint="default"/>
          <w:b/>
          <w:color w:val="auto"/>
          <w:sz w:val="26"/>
          <w:szCs w:val="26"/>
          <w:highlight w:val="none"/>
        </w:rPr>
      </w:pPr>
      <w:r>
        <w:rPr>
          <w:rFonts w:hint="eastAsia"/>
          <w:color w:val="auto"/>
          <w:sz w:val="26"/>
          <w:szCs w:val="22"/>
          <w:highlight w:val="none"/>
        </w:rPr>
        <w:t>重庆合川三江国家湿地公园是河流-库塘复合湿地系统，位于嘉陵江中游与下游的交界处，是以河流-库塘湿地构成的复合湿地系统为主体；以嘉陵江流域独具魅力的完整连续的河流湿地与库塘湿地复合体、罕见的河流壶穴群、水下沙洲生境及国家级古迹钓鱼城及其崖壁生境为特色；以保护嘉陵江流域水生态安全和生物多样性为重点；集湿地生态保护与修复、湿地科研与科普宣传教育、湿地生</w:t>
      </w:r>
      <w:r>
        <w:rPr>
          <w:rFonts w:hint="eastAsia"/>
          <w:color w:val="auto"/>
          <w:sz w:val="26"/>
          <w:szCs w:val="26"/>
          <w:highlight w:val="none"/>
        </w:rPr>
        <w:t>态体验为一体的湿地公园。</w:t>
      </w:r>
    </w:p>
    <w:p>
      <w:pPr>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）湿地景观资源</w:t>
      </w:r>
    </w:p>
    <w:p>
      <w:pPr>
        <w:spacing w:beforeLines="0" w:afterLines="0" w:line="480" w:lineRule="exact"/>
        <w:ind w:firstLine="520"/>
        <w:rPr>
          <w:rFonts w:hint="default" w:ascii="Times New Roman" w:hAnsi="Times New Roman" w:cs="Times New Roman"/>
          <w:color w:val="auto"/>
          <w:sz w:val="26"/>
          <w:szCs w:val="22"/>
          <w:highlight w:val="none"/>
        </w:rPr>
      </w:pPr>
      <w:r>
        <w:rPr>
          <w:rFonts w:hint="default" w:ascii="Times New Roman" w:hAnsi="Times New Roman" w:cs="Times New Roman"/>
          <w:color w:val="auto"/>
          <w:sz w:val="26"/>
          <w:szCs w:val="22"/>
          <w:highlight w:val="none"/>
        </w:rPr>
        <w:t>重庆合川三江国家湿地公园内湿地资源丰富，类型多样。根据《全国湿地资源调查技术规程（试行）》的分类系统，湿地划分为5类34型，其中重庆三江国家湿地公园分为2类4型，包括永久型河流湿地、库塘湿地、洪泛湿地、季节性河流湿地。重庆合川三江国家湿地公园湿地总面积2585.86hm</w:t>
      </w:r>
      <w:r>
        <w:rPr>
          <w:rFonts w:hint="default" w:ascii="Times New Roman" w:hAnsi="Times New Roman" w:cs="Times New Roman"/>
          <w:color w:val="auto"/>
          <w:sz w:val="26"/>
          <w:szCs w:val="22"/>
          <w:highlight w:val="none"/>
          <w:vertAlign w:val="superscript"/>
        </w:rPr>
        <w:t>2</w:t>
      </w:r>
      <w:r>
        <w:rPr>
          <w:rFonts w:hint="default" w:ascii="Times New Roman" w:hAnsi="Times New Roman" w:cs="Times New Roman"/>
          <w:color w:val="auto"/>
          <w:sz w:val="26"/>
          <w:szCs w:val="22"/>
          <w:highlight w:val="none"/>
        </w:rPr>
        <w:t>，占湿地公园总面积的66.99 %。其中，永久性河流湿地面积253.94hm</w:t>
      </w:r>
      <w:r>
        <w:rPr>
          <w:rFonts w:hint="default" w:ascii="Times New Roman" w:hAnsi="Times New Roman" w:cs="Times New Roman"/>
          <w:color w:val="auto"/>
          <w:sz w:val="26"/>
          <w:szCs w:val="22"/>
          <w:highlight w:val="none"/>
          <w:vertAlign w:val="superscript"/>
        </w:rPr>
        <w:t>2</w:t>
      </w:r>
      <w:r>
        <w:rPr>
          <w:rFonts w:hint="default" w:ascii="Times New Roman" w:hAnsi="Times New Roman" w:cs="Times New Roman"/>
          <w:color w:val="auto"/>
          <w:sz w:val="26"/>
          <w:szCs w:val="22"/>
          <w:highlight w:val="none"/>
        </w:rPr>
        <w:t>，占湿地总面积的9.82%，占湿地公园总面积的6.58%；季节性河流湿地面积为61.93hm</w:t>
      </w:r>
      <w:r>
        <w:rPr>
          <w:rFonts w:hint="default" w:ascii="Times New Roman" w:hAnsi="Times New Roman" w:cs="Times New Roman"/>
          <w:color w:val="auto"/>
          <w:sz w:val="26"/>
          <w:szCs w:val="22"/>
          <w:highlight w:val="none"/>
          <w:vertAlign w:val="superscript"/>
        </w:rPr>
        <w:t>2</w:t>
      </w:r>
      <w:r>
        <w:rPr>
          <w:rFonts w:hint="default" w:ascii="Times New Roman" w:hAnsi="Times New Roman" w:cs="Times New Roman"/>
          <w:color w:val="auto"/>
          <w:sz w:val="26"/>
          <w:szCs w:val="22"/>
          <w:highlight w:val="none"/>
        </w:rPr>
        <w:t>，占湿地总面积的2.40%，占湿地公园总面积的1.60%</w:t>
      </w:r>
      <w:r>
        <w:rPr>
          <w:rFonts w:hint="eastAsia" w:ascii="Times New Roman" w:hAnsi="Times New Roman" w:cs="Times New Roman"/>
          <w:color w:val="auto"/>
          <w:sz w:val="26"/>
          <w:szCs w:val="22"/>
          <w:highlight w:val="none"/>
          <w:lang w:eastAsia="zh-CN"/>
        </w:rPr>
        <w:t>；</w:t>
      </w:r>
      <w:r>
        <w:rPr>
          <w:rFonts w:hint="default" w:ascii="Times New Roman" w:hAnsi="Times New Roman" w:cs="Times New Roman"/>
          <w:color w:val="auto"/>
          <w:sz w:val="26"/>
          <w:szCs w:val="22"/>
          <w:highlight w:val="none"/>
        </w:rPr>
        <w:t>洪泛湿地面积93.60hm</w:t>
      </w:r>
      <w:r>
        <w:rPr>
          <w:rFonts w:hint="default" w:ascii="Times New Roman" w:hAnsi="Times New Roman" w:cs="Times New Roman"/>
          <w:color w:val="auto"/>
          <w:sz w:val="26"/>
          <w:szCs w:val="22"/>
          <w:highlight w:val="none"/>
          <w:vertAlign w:val="superscript"/>
        </w:rPr>
        <w:t>2</w:t>
      </w:r>
      <w:r>
        <w:rPr>
          <w:rFonts w:hint="default" w:ascii="Times New Roman" w:hAnsi="Times New Roman" w:cs="Times New Roman"/>
          <w:color w:val="auto"/>
          <w:sz w:val="26"/>
          <w:szCs w:val="22"/>
          <w:highlight w:val="none"/>
        </w:rPr>
        <w:t>，占湿地总面积的3.62%，占湿地公园总面积的2.43%</w:t>
      </w:r>
      <w:r>
        <w:rPr>
          <w:rFonts w:hint="eastAsia" w:ascii="Times New Roman" w:hAnsi="Times New Roman" w:cs="Times New Roman"/>
          <w:color w:val="auto"/>
          <w:sz w:val="26"/>
          <w:szCs w:val="22"/>
          <w:highlight w:val="none"/>
          <w:lang w:eastAsia="zh-CN"/>
        </w:rPr>
        <w:t>；</w:t>
      </w:r>
      <w:r>
        <w:rPr>
          <w:rFonts w:hint="default" w:ascii="Times New Roman" w:hAnsi="Times New Roman" w:cs="Times New Roman"/>
          <w:color w:val="auto"/>
          <w:sz w:val="26"/>
          <w:szCs w:val="22"/>
          <w:highlight w:val="none"/>
        </w:rPr>
        <w:t>库塘湿地面积为2176.39hm</w:t>
      </w:r>
      <w:r>
        <w:rPr>
          <w:rFonts w:hint="default" w:ascii="Times New Roman" w:hAnsi="Times New Roman" w:cs="Times New Roman"/>
          <w:color w:val="auto"/>
          <w:sz w:val="26"/>
          <w:szCs w:val="22"/>
          <w:highlight w:val="none"/>
          <w:vertAlign w:val="superscript"/>
        </w:rPr>
        <w:t>2</w:t>
      </w:r>
      <w:r>
        <w:rPr>
          <w:rFonts w:hint="default" w:ascii="Times New Roman" w:hAnsi="Times New Roman" w:cs="Times New Roman"/>
          <w:color w:val="auto"/>
          <w:sz w:val="26"/>
          <w:szCs w:val="22"/>
          <w:highlight w:val="none"/>
        </w:rPr>
        <w:t xml:space="preserve">，占湿地总面积的84.16%，占湿地公园总面积的56.38%。 </w:t>
      </w:r>
    </w:p>
    <w:p>
      <w:pPr>
        <w:spacing w:beforeLines="0" w:afterLines="0" w:line="480" w:lineRule="exact"/>
        <w:ind w:firstLine="520"/>
        <w:rPr>
          <w:rFonts w:hint="eastAsia"/>
          <w:color w:val="auto"/>
          <w:sz w:val="26"/>
          <w:szCs w:val="22"/>
          <w:highlight w:val="none"/>
        </w:rPr>
      </w:pPr>
      <w:r>
        <w:rPr>
          <w:rFonts w:hint="eastAsia"/>
          <w:color w:val="auto"/>
          <w:sz w:val="26"/>
          <w:szCs w:val="22"/>
          <w:highlight w:val="none"/>
        </w:rPr>
        <w:t>重庆合川三江国家湿地公园及其周边的旅游资源分为地文景观、水域风光、生物景观、遗址遗迹、建筑与设施、旅游商品、人文活动等7个主类，15个亚类，主要有山丘型旅游地、滩地型旅游地、岸滩、 岛屿、观光游憩河段、沼泽湿地、林地、水生动物栖息地、鸟类栖息地、文物散落地、军事遗址与古战场、国家级历史文化古迹、废城与聚落遗迹、教学科研实验场所、康体游乐休闲度假地、园林游憩区域、文化活动场所、传统与乡土建筑、水库观光游憩区段、水井、菜品饮食、人物、事件等共计23个基本类型。</w:t>
      </w:r>
    </w:p>
    <w:p>
      <w:pPr>
        <w:spacing w:beforeLines="0" w:afterLines="0" w:line="480" w:lineRule="exact"/>
        <w:ind w:firstLine="520"/>
        <w:rPr>
          <w:rFonts w:hint="default"/>
          <w:color w:val="auto"/>
          <w:sz w:val="26"/>
          <w:szCs w:val="22"/>
          <w:highlight w:val="none"/>
          <w:lang w:val="en-US" w:eastAsia="zh-CN"/>
        </w:rPr>
      </w:pPr>
      <w:r>
        <w:rPr>
          <w:rFonts w:hint="default"/>
          <w:color w:val="auto"/>
          <w:sz w:val="26"/>
          <w:szCs w:val="22"/>
          <w:highlight w:val="none"/>
          <w:lang w:eastAsia="zh-CN"/>
        </w:rPr>
        <w:t>（</w:t>
      </w:r>
      <w:r>
        <w:rPr>
          <w:rFonts w:hint="eastAsia"/>
          <w:color w:val="auto"/>
          <w:sz w:val="26"/>
          <w:szCs w:val="22"/>
          <w:highlight w:val="none"/>
          <w:lang w:val="en-US" w:eastAsia="zh-CN"/>
        </w:rPr>
        <w:t>4</w:t>
      </w:r>
      <w:r>
        <w:rPr>
          <w:rFonts w:hint="default"/>
          <w:color w:val="auto"/>
          <w:sz w:val="26"/>
          <w:szCs w:val="22"/>
          <w:highlight w:val="none"/>
          <w:lang w:eastAsia="zh-CN"/>
        </w:rPr>
        <w:t>）</w:t>
      </w:r>
      <w:r>
        <w:rPr>
          <w:rFonts w:hint="eastAsia"/>
          <w:color w:val="auto"/>
          <w:sz w:val="26"/>
          <w:szCs w:val="22"/>
          <w:highlight w:val="none"/>
          <w:lang w:val="en-US" w:eastAsia="zh-CN"/>
        </w:rPr>
        <w:t>评价区内湿地公园陆生生态现状</w:t>
      </w:r>
    </w:p>
    <w:p>
      <w:pPr>
        <w:spacing w:beforeLines="0" w:afterLines="0" w:line="480" w:lineRule="exact"/>
        <w:ind w:firstLine="520"/>
        <w:rPr>
          <w:rFonts w:hint="default"/>
          <w:color w:val="auto"/>
          <w:sz w:val="26"/>
          <w:szCs w:val="22"/>
          <w:highlight w:val="none"/>
          <w:lang w:val="en-US" w:eastAsia="zh-CN"/>
        </w:rPr>
      </w:pPr>
      <w:r>
        <w:rPr>
          <w:rFonts w:hint="eastAsia"/>
          <w:color w:val="auto"/>
          <w:sz w:val="26"/>
          <w:szCs w:val="22"/>
          <w:highlight w:val="none"/>
          <w:lang w:val="en-US" w:eastAsia="zh-CN"/>
        </w:rPr>
        <w:t>① 植被及植物多样性现状</w:t>
      </w:r>
    </w:p>
    <w:p>
      <w:pPr>
        <w:spacing w:beforeLines="0" w:afterLines="0" w:line="480" w:lineRule="exact"/>
        <w:ind w:firstLine="520"/>
        <w:rPr>
          <w:rFonts w:hint="default" w:eastAsia="宋体"/>
          <w:color w:val="auto"/>
          <w:sz w:val="26"/>
          <w:szCs w:val="22"/>
          <w:highlight w:val="none"/>
          <w:lang w:val="en-US" w:eastAsia="zh-CN"/>
        </w:rPr>
      </w:pPr>
      <w:r>
        <w:rPr>
          <w:rFonts w:hint="eastAsia"/>
          <w:color w:val="auto"/>
          <w:sz w:val="26"/>
          <w:szCs w:val="22"/>
          <w:highlight w:val="none"/>
          <w:lang w:val="en-US" w:eastAsia="zh-CN"/>
        </w:rPr>
        <w:t>项目在2023年12月对渭沱枢纽周边自然植被进行了详细调查，2025年9月对该区域进行了补充调查。船闸主体工程区域主要为青冈林、枫杨林、慈竹林、小叶女贞灌丛、斑茅草丛，以及栽培植被，且在湿地公园内均调查到典型样方。</w:t>
      </w:r>
    </w:p>
    <w:p>
      <w:pPr>
        <w:spacing w:beforeLines="0" w:afterLines="0" w:line="240" w:lineRule="auto"/>
        <w:rPr>
          <w:rFonts w:hint="eastAsia"/>
          <w:color w:val="auto"/>
          <w:sz w:val="26"/>
          <w:szCs w:val="22"/>
          <w:highlight w:val="none"/>
          <w:lang w:val="en-US" w:eastAsia="zh-CN"/>
        </w:rPr>
      </w:pPr>
    </w:p>
    <w:p>
      <w:pPr>
        <w:spacing w:beforeLines="0" w:afterLines="0" w:line="240" w:lineRule="auto"/>
        <w:ind w:firstLine="0" w:firstLineChars="0"/>
        <w:jc w:val="center"/>
        <w:rPr>
          <w:rFonts w:hint="default"/>
          <w:color w:val="auto"/>
          <w:sz w:val="26"/>
          <w:szCs w:val="22"/>
          <w:highlight w:val="none"/>
          <w:lang w:val="en-US"/>
        </w:rPr>
      </w:pPr>
      <w:r>
        <w:rPr>
          <w:rFonts w:hint="eastAsia"/>
          <w:color w:val="auto"/>
          <w:sz w:val="26"/>
          <w:szCs w:val="22"/>
          <w:highlight w:val="none"/>
          <w:lang w:val="en-US" w:eastAsia="zh-CN"/>
        </w:rPr>
        <w:t>表4.1.3.1-1  渭沱枢纽周边及湿地公园内样方分布</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9"/>
        <w:gridCol w:w="1767"/>
        <w:gridCol w:w="1217"/>
        <w:gridCol w:w="1104"/>
        <w:gridCol w:w="1084"/>
        <w:gridCol w:w="1204"/>
        <w:gridCol w:w="15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sz w:val="22"/>
                <w:szCs w:val="22"/>
                <w:highlight w:val="none"/>
              </w:rPr>
            </w:pPr>
            <w:r>
              <w:rPr>
                <w:rFonts w:hint="eastAsia" w:eastAsia="宋体"/>
                <w:color w:val="auto"/>
                <w:kern w:val="0"/>
                <w:sz w:val="22"/>
                <w:szCs w:val="22"/>
                <w:highlight w:val="none"/>
                <w:lang w:bidi="ar"/>
              </w:rPr>
              <w:t>编号</w:t>
            </w:r>
          </w:p>
        </w:tc>
        <w:tc>
          <w:tcPr>
            <w:tcW w:w="17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群落类型</w:t>
            </w:r>
          </w:p>
        </w:tc>
        <w:tc>
          <w:tcPr>
            <w:tcW w:w="1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经度</w:t>
            </w:r>
          </w:p>
        </w:tc>
        <w:tc>
          <w:tcPr>
            <w:tcW w:w="11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纬度</w:t>
            </w:r>
          </w:p>
        </w:tc>
        <w:tc>
          <w:tcPr>
            <w:tcW w:w="10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海拔（m）</w:t>
            </w:r>
          </w:p>
        </w:tc>
        <w:tc>
          <w:tcPr>
            <w:tcW w:w="12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sz w:val="22"/>
                <w:szCs w:val="22"/>
                <w:highlight w:val="none"/>
                <w:lang w:eastAsia="zh-CN"/>
              </w:rPr>
            </w:pPr>
            <w:r>
              <w:rPr>
                <w:rFonts w:hint="eastAsia" w:eastAsia="宋体"/>
                <w:color w:val="auto"/>
                <w:sz w:val="22"/>
                <w:szCs w:val="22"/>
                <w:highlight w:val="none"/>
              </w:rPr>
              <w:t>样方</w:t>
            </w:r>
            <w:r>
              <w:rPr>
                <w:rFonts w:hint="eastAsia"/>
                <w:color w:val="auto"/>
                <w:sz w:val="22"/>
                <w:szCs w:val="22"/>
                <w:highlight w:val="none"/>
                <w:lang w:val="en-US" w:eastAsia="zh-CN"/>
              </w:rPr>
              <w:t>面积</w:t>
            </w:r>
          </w:p>
        </w:tc>
        <w:tc>
          <w:tcPr>
            <w:tcW w:w="152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val="en-US" w:eastAsia="zh-CN" w:bidi="ar"/>
              </w:rPr>
            </w:pPr>
            <w:r>
              <w:rPr>
                <w:rFonts w:hint="eastAsia"/>
                <w:color w:val="auto"/>
                <w:kern w:val="0"/>
                <w:sz w:val="22"/>
                <w:szCs w:val="22"/>
                <w:highlight w:val="none"/>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1#</w:t>
            </w:r>
          </w:p>
        </w:tc>
        <w:tc>
          <w:tcPr>
            <w:tcW w:w="17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枫杨林</w:t>
            </w:r>
          </w:p>
        </w:tc>
        <w:tc>
          <w:tcPr>
            <w:tcW w:w="1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1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0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219</w:t>
            </w:r>
          </w:p>
        </w:tc>
        <w:tc>
          <w:tcPr>
            <w:tcW w:w="12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20*20</w:t>
            </w:r>
          </w:p>
        </w:tc>
        <w:tc>
          <w:tcPr>
            <w:tcW w:w="1524" w:type="dxa"/>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eastAsia="宋体"/>
                <w:color w:val="auto"/>
                <w:sz w:val="22"/>
                <w:szCs w:val="22"/>
                <w:highlight w:val="none"/>
                <w:lang w:val="en-US" w:eastAsia="zh-CN"/>
              </w:rPr>
            </w:pPr>
            <w:r>
              <w:rPr>
                <w:rFonts w:hint="eastAsia"/>
                <w:color w:val="auto"/>
                <w:sz w:val="22"/>
                <w:szCs w:val="22"/>
                <w:highlight w:val="none"/>
                <w:lang w:val="en-US" w:eastAsia="zh-CN"/>
              </w:rPr>
              <w:t>船闸附近，湿地公园内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w:t>
            </w:r>
          </w:p>
        </w:tc>
        <w:tc>
          <w:tcPr>
            <w:tcW w:w="17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小叶女贞灌丛</w:t>
            </w:r>
          </w:p>
        </w:tc>
        <w:tc>
          <w:tcPr>
            <w:tcW w:w="1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1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0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220</w:t>
            </w:r>
          </w:p>
        </w:tc>
        <w:tc>
          <w:tcPr>
            <w:tcW w:w="12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10*10</w:t>
            </w:r>
          </w:p>
        </w:tc>
        <w:tc>
          <w:tcPr>
            <w:tcW w:w="1524" w:type="dxa"/>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船闸上游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7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3#</w:t>
            </w:r>
          </w:p>
        </w:tc>
        <w:tc>
          <w:tcPr>
            <w:tcW w:w="17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枫杨林</w:t>
            </w:r>
          </w:p>
        </w:tc>
        <w:tc>
          <w:tcPr>
            <w:tcW w:w="1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1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0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211</w:t>
            </w:r>
          </w:p>
        </w:tc>
        <w:tc>
          <w:tcPr>
            <w:tcW w:w="12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20*20</w:t>
            </w:r>
          </w:p>
        </w:tc>
        <w:tc>
          <w:tcPr>
            <w:tcW w:w="1524" w:type="dxa"/>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lang w:val="en-US"/>
              </w:rPr>
            </w:pPr>
            <w:r>
              <w:rPr>
                <w:rFonts w:hint="eastAsia"/>
                <w:color w:val="auto"/>
                <w:sz w:val="22"/>
                <w:szCs w:val="22"/>
                <w:highlight w:val="none"/>
                <w:lang w:val="en-US" w:eastAsia="zh-CN"/>
              </w:rPr>
              <w:t>船闸附近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4#</w:t>
            </w:r>
          </w:p>
        </w:tc>
        <w:tc>
          <w:tcPr>
            <w:tcW w:w="17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小叶女贞灌丛</w:t>
            </w:r>
          </w:p>
        </w:tc>
        <w:tc>
          <w:tcPr>
            <w:tcW w:w="1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1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0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209</w:t>
            </w:r>
          </w:p>
        </w:tc>
        <w:tc>
          <w:tcPr>
            <w:tcW w:w="12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10*10</w:t>
            </w:r>
          </w:p>
        </w:tc>
        <w:tc>
          <w:tcPr>
            <w:tcW w:w="1524" w:type="dxa"/>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r>
              <w:rPr>
                <w:rFonts w:hint="eastAsia"/>
                <w:color w:val="auto"/>
                <w:sz w:val="22"/>
                <w:szCs w:val="22"/>
                <w:highlight w:val="none"/>
                <w:lang w:val="en-US" w:eastAsia="zh-CN"/>
              </w:rPr>
              <w:t>船闸下游，湿地公园内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5#</w:t>
            </w:r>
          </w:p>
        </w:tc>
        <w:tc>
          <w:tcPr>
            <w:tcW w:w="17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慈竹林</w:t>
            </w:r>
          </w:p>
        </w:tc>
        <w:tc>
          <w:tcPr>
            <w:tcW w:w="1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1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0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208</w:t>
            </w:r>
          </w:p>
        </w:tc>
        <w:tc>
          <w:tcPr>
            <w:tcW w:w="12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20*20</w:t>
            </w:r>
          </w:p>
        </w:tc>
        <w:tc>
          <w:tcPr>
            <w:tcW w:w="1524" w:type="dxa"/>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6#</w:t>
            </w:r>
          </w:p>
        </w:tc>
        <w:tc>
          <w:tcPr>
            <w:tcW w:w="17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青冈林</w:t>
            </w:r>
          </w:p>
        </w:tc>
        <w:tc>
          <w:tcPr>
            <w:tcW w:w="1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1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0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218</w:t>
            </w:r>
          </w:p>
        </w:tc>
        <w:tc>
          <w:tcPr>
            <w:tcW w:w="12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20*20</w:t>
            </w:r>
          </w:p>
        </w:tc>
        <w:tc>
          <w:tcPr>
            <w:tcW w:w="1524" w:type="dxa"/>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7#</w:t>
            </w:r>
          </w:p>
        </w:tc>
        <w:tc>
          <w:tcPr>
            <w:tcW w:w="17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斑茅草丛</w:t>
            </w:r>
          </w:p>
        </w:tc>
        <w:tc>
          <w:tcPr>
            <w:tcW w:w="1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1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0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207</w:t>
            </w:r>
          </w:p>
        </w:tc>
        <w:tc>
          <w:tcPr>
            <w:tcW w:w="12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5*5</w:t>
            </w:r>
          </w:p>
        </w:tc>
        <w:tc>
          <w:tcPr>
            <w:tcW w:w="1524" w:type="dxa"/>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firstLine="0" w:firstLineChars="0"/>
              <w:jc w:val="center"/>
              <w:rPr>
                <w:rFonts w:hint="eastAsia" w:eastAsia="宋体"/>
                <w:color w:val="auto"/>
                <w:sz w:val="22"/>
                <w:szCs w:val="22"/>
                <w:highlight w:val="none"/>
              </w:rPr>
            </w:pPr>
            <w:r>
              <w:rPr>
                <w:rFonts w:hint="eastAsia"/>
                <w:color w:val="auto"/>
                <w:sz w:val="22"/>
                <w:szCs w:val="22"/>
                <w:highlight w:val="none"/>
                <w:lang w:val="en-US" w:eastAsia="zh-CN"/>
              </w:rPr>
              <w:t>船闸下游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8#</w:t>
            </w:r>
          </w:p>
        </w:tc>
        <w:tc>
          <w:tcPr>
            <w:tcW w:w="17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青冈林</w:t>
            </w:r>
          </w:p>
        </w:tc>
        <w:tc>
          <w:tcPr>
            <w:tcW w:w="1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1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0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243</w:t>
            </w:r>
          </w:p>
        </w:tc>
        <w:tc>
          <w:tcPr>
            <w:tcW w:w="12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20*20</w:t>
            </w:r>
          </w:p>
        </w:tc>
        <w:tc>
          <w:tcPr>
            <w:tcW w:w="1524" w:type="dxa"/>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r>
              <w:rPr>
                <w:rFonts w:hint="eastAsia"/>
                <w:color w:val="auto"/>
                <w:sz w:val="22"/>
                <w:szCs w:val="22"/>
                <w:highlight w:val="none"/>
                <w:lang w:val="en-US" w:eastAsia="zh-CN"/>
              </w:rPr>
              <w:t>船闸上游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9#</w:t>
            </w:r>
          </w:p>
        </w:tc>
        <w:tc>
          <w:tcPr>
            <w:tcW w:w="17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慈竹林</w:t>
            </w:r>
          </w:p>
        </w:tc>
        <w:tc>
          <w:tcPr>
            <w:tcW w:w="1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1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0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231</w:t>
            </w:r>
          </w:p>
        </w:tc>
        <w:tc>
          <w:tcPr>
            <w:tcW w:w="12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20*20</w:t>
            </w:r>
          </w:p>
        </w:tc>
        <w:tc>
          <w:tcPr>
            <w:tcW w:w="1524" w:type="dxa"/>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r>
              <w:rPr>
                <w:rFonts w:hint="eastAsia"/>
                <w:color w:val="auto"/>
                <w:sz w:val="22"/>
                <w:szCs w:val="22"/>
                <w:highlight w:val="none"/>
                <w:lang w:val="en-US" w:eastAsia="zh-CN"/>
              </w:rPr>
              <w:t>船闸上游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10#</w:t>
            </w:r>
          </w:p>
        </w:tc>
        <w:tc>
          <w:tcPr>
            <w:tcW w:w="17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青冈林</w:t>
            </w:r>
          </w:p>
        </w:tc>
        <w:tc>
          <w:tcPr>
            <w:tcW w:w="1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1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0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246</w:t>
            </w:r>
          </w:p>
        </w:tc>
        <w:tc>
          <w:tcPr>
            <w:tcW w:w="12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20*20</w:t>
            </w:r>
          </w:p>
        </w:tc>
        <w:tc>
          <w:tcPr>
            <w:tcW w:w="1524" w:type="dxa"/>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r>
              <w:rPr>
                <w:rFonts w:hint="eastAsia"/>
                <w:color w:val="auto"/>
                <w:sz w:val="22"/>
                <w:szCs w:val="22"/>
                <w:highlight w:val="none"/>
                <w:lang w:val="en-US" w:eastAsia="zh-CN"/>
              </w:rPr>
              <w:t>船闸上游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11#</w:t>
            </w:r>
          </w:p>
        </w:tc>
        <w:tc>
          <w:tcPr>
            <w:tcW w:w="17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小叶女贞灌丛</w:t>
            </w:r>
          </w:p>
        </w:tc>
        <w:tc>
          <w:tcPr>
            <w:tcW w:w="1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1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0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217</w:t>
            </w:r>
          </w:p>
        </w:tc>
        <w:tc>
          <w:tcPr>
            <w:tcW w:w="12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10*10</w:t>
            </w:r>
          </w:p>
        </w:tc>
        <w:tc>
          <w:tcPr>
            <w:tcW w:w="1524" w:type="dxa"/>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r>
              <w:rPr>
                <w:rFonts w:hint="eastAsia"/>
                <w:color w:val="auto"/>
                <w:sz w:val="22"/>
                <w:szCs w:val="22"/>
                <w:highlight w:val="none"/>
                <w:lang w:val="en-US" w:eastAsia="zh-CN"/>
              </w:rPr>
              <w:t>船闸下游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12#</w:t>
            </w:r>
          </w:p>
        </w:tc>
        <w:tc>
          <w:tcPr>
            <w:tcW w:w="17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枫杨林</w:t>
            </w:r>
          </w:p>
        </w:tc>
        <w:tc>
          <w:tcPr>
            <w:tcW w:w="1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1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0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214</w:t>
            </w:r>
          </w:p>
        </w:tc>
        <w:tc>
          <w:tcPr>
            <w:tcW w:w="12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20*20</w:t>
            </w:r>
          </w:p>
        </w:tc>
        <w:tc>
          <w:tcPr>
            <w:tcW w:w="1524" w:type="dxa"/>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r>
              <w:rPr>
                <w:rFonts w:hint="eastAsia"/>
                <w:color w:val="auto"/>
                <w:sz w:val="22"/>
                <w:szCs w:val="22"/>
                <w:highlight w:val="none"/>
                <w:lang w:val="en-US" w:eastAsia="zh-CN"/>
              </w:rPr>
              <w:t>船闸下游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13#</w:t>
            </w:r>
          </w:p>
        </w:tc>
        <w:tc>
          <w:tcPr>
            <w:tcW w:w="17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斑茅草丛</w:t>
            </w:r>
          </w:p>
        </w:tc>
        <w:tc>
          <w:tcPr>
            <w:tcW w:w="121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1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color w:val="auto"/>
                <w:kern w:val="0"/>
                <w:sz w:val="22"/>
                <w:szCs w:val="22"/>
                <w:highlight w:val="none"/>
                <w:lang w:val="en-US" w:eastAsia="zh-CN" w:bidi="ar"/>
              </w:rPr>
              <w:t>***</w:t>
            </w:r>
          </w:p>
        </w:tc>
        <w:tc>
          <w:tcPr>
            <w:tcW w:w="10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207</w:t>
            </w:r>
          </w:p>
        </w:tc>
        <w:tc>
          <w:tcPr>
            <w:tcW w:w="12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kern w:val="0"/>
                <w:sz w:val="22"/>
                <w:szCs w:val="22"/>
                <w:highlight w:val="none"/>
                <w:lang w:bidi="ar"/>
              </w:rPr>
            </w:pPr>
            <w:r>
              <w:rPr>
                <w:rFonts w:hint="eastAsia" w:eastAsia="宋体"/>
                <w:color w:val="auto"/>
                <w:kern w:val="0"/>
                <w:sz w:val="22"/>
                <w:szCs w:val="22"/>
                <w:highlight w:val="none"/>
                <w:lang w:bidi="ar"/>
              </w:rPr>
              <w:t>5*5</w:t>
            </w:r>
          </w:p>
        </w:tc>
        <w:tc>
          <w:tcPr>
            <w:tcW w:w="1524" w:type="dxa"/>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sz w:val="22"/>
                <w:szCs w:val="22"/>
                <w:highlight w:val="none"/>
                <w:lang w:val="en-US" w:eastAsia="zh-CN"/>
              </w:rPr>
              <w:t>船闸下游，湿地公园内</w:t>
            </w:r>
          </w:p>
        </w:tc>
      </w:tr>
    </w:tbl>
    <w:p>
      <w:pPr>
        <w:spacing w:beforeLines="0" w:afterLines="0" w:line="240" w:lineRule="auto"/>
        <w:ind w:left="0" w:leftChars="0" w:firstLine="0" w:firstLineChars="0"/>
        <w:rPr>
          <w:rFonts w:hint="default"/>
          <w:color w:val="auto"/>
          <w:sz w:val="26"/>
          <w:szCs w:val="22"/>
          <w:highlight w:val="none"/>
        </w:rPr>
      </w:pPr>
    </w:p>
    <w:p>
      <w:pPr>
        <w:spacing w:beforeLines="0" w:afterLines="0" w:line="240" w:lineRule="auto"/>
        <w:ind w:firstLine="0" w:firstLineChars="0"/>
        <w:jc w:val="center"/>
        <w:rPr>
          <w:rFonts w:hint="default"/>
          <w:color w:val="auto"/>
          <w:sz w:val="26"/>
          <w:szCs w:val="22"/>
          <w:highlight w:val="none"/>
          <w:lang w:val="en-US" w:eastAsia="zh-CN"/>
        </w:rPr>
      </w:pPr>
      <w:r>
        <w:rPr>
          <w:rFonts w:hint="eastAsia"/>
          <w:color w:val="auto"/>
          <w:sz w:val="26"/>
          <w:szCs w:val="22"/>
          <w:highlight w:val="none"/>
          <w:lang w:val="en-US" w:eastAsia="zh-CN"/>
        </w:rPr>
        <w:t>表4.1.3.1-2  湿地公园内典型植被划分一览表</w:t>
      </w:r>
    </w:p>
    <w:tbl>
      <w:tblPr>
        <w:tblStyle w:val="28"/>
        <w:tblW w:w="4842"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1693"/>
        <w:gridCol w:w="1742"/>
        <w:gridCol w:w="1737"/>
        <w:gridCol w:w="330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tblHeader/>
          <w:jc w:val="center"/>
        </w:trPr>
        <w:tc>
          <w:tcPr>
            <w:tcW w:w="1674"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r>
              <w:rPr>
                <w:rFonts w:hint="eastAsia"/>
                <w:b/>
                <w:color w:val="auto"/>
                <w:sz w:val="22"/>
                <w:szCs w:val="22"/>
                <w:highlight w:val="none"/>
              </w:rPr>
              <w:t>植 被 型</w:t>
            </w:r>
          </w:p>
        </w:tc>
        <w:tc>
          <w:tcPr>
            <w:tcW w:w="1722"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r>
              <w:rPr>
                <w:rFonts w:hint="eastAsia"/>
                <w:b/>
                <w:color w:val="auto"/>
                <w:sz w:val="22"/>
                <w:szCs w:val="22"/>
                <w:highlight w:val="none"/>
              </w:rPr>
              <w:t>植被亚型</w:t>
            </w:r>
          </w:p>
        </w:tc>
        <w:tc>
          <w:tcPr>
            <w:tcW w:w="1717"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r>
              <w:rPr>
                <w:rFonts w:hint="eastAsia"/>
                <w:b/>
                <w:color w:val="auto"/>
                <w:sz w:val="22"/>
                <w:szCs w:val="22"/>
                <w:highlight w:val="none"/>
              </w:rPr>
              <w:t>群   系</w:t>
            </w:r>
          </w:p>
        </w:tc>
        <w:tc>
          <w:tcPr>
            <w:tcW w:w="3262" w:type="dxa"/>
            <w:tcBorders>
              <w:top w:val="single" w:color="auto" w:sz="2" w:space="0"/>
              <w:left w:val="single" w:color="auto" w:sz="2" w:space="0"/>
              <w:bottom w:val="single" w:color="auto" w:sz="2" w:space="0"/>
              <w:right w:val="single" w:color="auto" w:sz="2" w:space="0"/>
              <w:tl2br w:val="nil"/>
              <w:tr2bl w:val="nil"/>
            </w:tcBorders>
            <w:noWrap w:val="0"/>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r>
              <w:rPr>
                <w:rFonts w:hint="eastAsia"/>
                <w:b/>
                <w:color w:val="auto"/>
                <w:sz w:val="22"/>
                <w:szCs w:val="22"/>
                <w:highlight w:val="none"/>
              </w:rPr>
              <w:t>群系拉丁名</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8375" w:type="dxa"/>
            <w:gridSpan w:val="4"/>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r>
              <w:rPr>
                <w:rFonts w:hint="eastAsia"/>
                <w:b/>
                <w:color w:val="auto"/>
                <w:sz w:val="22"/>
                <w:szCs w:val="22"/>
                <w:highlight w:val="none"/>
              </w:rPr>
              <w:t>自然植被</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674"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r>
              <w:rPr>
                <w:rFonts w:hint="eastAsia"/>
                <w:b/>
                <w:color w:val="auto"/>
                <w:sz w:val="22"/>
                <w:szCs w:val="22"/>
                <w:highlight w:val="none"/>
              </w:rPr>
              <w:t>Ⅰ常绿阔叶林</w:t>
            </w:r>
          </w:p>
        </w:tc>
        <w:tc>
          <w:tcPr>
            <w:tcW w:w="1722"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suppressLineNumbers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r>
              <w:rPr>
                <w:rFonts w:hint="eastAsia"/>
                <w:color w:val="auto"/>
                <w:sz w:val="22"/>
                <w:szCs w:val="22"/>
                <w:highlight w:val="none"/>
              </w:rPr>
              <w:t>一、典型常绿阔叶林</w:t>
            </w:r>
          </w:p>
        </w:tc>
        <w:tc>
          <w:tcPr>
            <w:tcW w:w="1717"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suppressLineNumbers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r>
              <w:rPr>
                <w:rFonts w:hint="eastAsia"/>
                <w:color w:val="auto"/>
                <w:sz w:val="22"/>
                <w:szCs w:val="22"/>
                <w:highlight w:val="none"/>
              </w:rPr>
              <w:t>1.青冈林</w:t>
            </w:r>
          </w:p>
        </w:tc>
        <w:tc>
          <w:tcPr>
            <w:tcW w:w="3262" w:type="dxa"/>
            <w:tcBorders>
              <w:top w:val="single" w:color="auto" w:sz="2" w:space="0"/>
              <w:left w:val="single" w:color="auto" w:sz="2" w:space="0"/>
              <w:bottom w:val="single" w:color="auto" w:sz="2" w:space="0"/>
              <w:right w:val="single" w:color="auto" w:sz="2" w:space="0"/>
              <w:tl2br w:val="nil"/>
              <w:tr2bl w:val="nil"/>
            </w:tcBorders>
            <w:noWrap w:val="0"/>
            <w:vAlign w:val="center"/>
          </w:tcPr>
          <w:p>
            <w:pPr>
              <w:keepNext w:val="0"/>
              <w:keepLines w:val="0"/>
              <w:suppressLineNumbers w:val="0"/>
              <w:snapToGrid w:val="0"/>
              <w:spacing w:before="0" w:beforeLines="0" w:beforeAutospacing="0" w:after="0" w:afterLines="0" w:afterAutospacing="0" w:line="240" w:lineRule="auto"/>
              <w:ind w:left="-1" w:leftChars="-1" w:right="0" w:hanging="2" w:hangingChars="1"/>
              <w:jc w:val="center"/>
              <w:rPr>
                <w:rFonts w:hint="default"/>
                <w:i/>
                <w:color w:val="auto"/>
                <w:sz w:val="22"/>
                <w:szCs w:val="22"/>
                <w:highlight w:val="none"/>
              </w:rPr>
            </w:pPr>
            <w:r>
              <w:rPr>
                <w:rFonts w:hint="eastAsia"/>
                <w:color w:val="auto"/>
                <w:sz w:val="22"/>
                <w:szCs w:val="22"/>
                <w:highlight w:val="none"/>
              </w:rPr>
              <w:t>Form.</w:t>
            </w:r>
            <w:r>
              <w:rPr>
                <w:rFonts w:hint="eastAsia"/>
                <w:color w:val="auto"/>
                <w:sz w:val="26"/>
                <w:szCs w:val="22"/>
                <w:highlight w:val="none"/>
              </w:rPr>
              <w:t xml:space="preserve"> </w:t>
            </w:r>
            <w:r>
              <w:rPr>
                <w:rFonts w:hint="eastAsia"/>
                <w:i/>
                <w:color w:val="auto"/>
                <w:sz w:val="22"/>
                <w:szCs w:val="22"/>
                <w:highlight w:val="none"/>
              </w:rPr>
              <w:t xml:space="preserve">Cyclobalanopsis </w:t>
            </w:r>
            <w:r>
              <w:rPr>
                <w:rFonts w:hint="eastAsia"/>
                <w:i/>
                <w:color w:val="auto"/>
                <w:sz w:val="22"/>
                <w:szCs w:val="22"/>
                <w:highlight w:val="none"/>
                <w:shd w:val="clear" w:fill="FFFFFF"/>
              </w:rPr>
              <w:t>Oerst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674"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r>
              <w:rPr>
                <w:rFonts w:hint="eastAsia"/>
                <w:b/>
                <w:color w:val="auto"/>
                <w:sz w:val="22"/>
                <w:szCs w:val="22"/>
                <w:highlight w:val="none"/>
              </w:rPr>
              <w:t>Ⅱ落叶阔叶林</w:t>
            </w:r>
          </w:p>
        </w:tc>
        <w:tc>
          <w:tcPr>
            <w:tcW w:w="1722"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suppressLineNumbers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r>
              <w:rPr>
                <w:rFonts w:hint="eastAsia"/>
                <w:color w:val="auto"/>
                <w:sz w:val="22"/>
                <w:szCs w:val="22"/>
                <w:highlight w:val="none"/>
              </w:rPr>
              <w:t>二、落叶阔叶杂木林</w:t>
            </w:r>
          </w:p>
        </w:tc>
        <w:tc>
          <w:tcPr>
            <w:tcW w:w="1717"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suppressLineNumbers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r>
              <w:rPr>
                <w:rFonts w:hint="eastAsia"/>
                <w:color w:val="auto"/>
                <w:sz w:val="22"/>
                <w:szCs w:val="22"/>
                <w:highlight w:val="none"/>
              </w:rPr>
              <w:t>2.枫杨林</w:t>
            </w:r>
          </w:p>
        </w:tc>
        <w:tc>
          <w:tcPr>
            <w:tcW w:w="3262" w:type="dxa"/>
            <w:tcBorders>
              <w:top w:val="single" w:color="auto" w:sz="2" w:space="0"/>
              <w:left w:val="single" w:color="auto" w:sz="2" w:space="0"/>
              <w:bottom w:val="single" w:color="auto" w:sz="2" w:space="0"/>
              <w:right w:val="single" w:color="auto" w:sz="2" w:space="0"/>
              <w:tl2br w:val="nil"/>
              <w:tr2bl w:val="nil"/>
            </w:tcBorders>
            <w:noWrap w:val="0"/>
            <w:vAlign w:val="center"/>
          </w:tcPr>
          <w:p>
            <w:pPr>
              <w:keepNext w:val="0"/>
              <w:keepLines w:val="0"/>
              <w:suppressLineNumbers w:val="0"/>
              <w:snapToGrid w:val="0"/>
              <w:spacing w:before="0" w:beforeLines="0" w:beforeAutospacing="0" w:after="0" w:afterLines="0" w:afterAutospacing="0" w:line="240" w:lineRule="auto"/>
              <w:ind w:left="-1" w:leftChars="-1" w:right="0" w:hanging="2" w:hangingChars="1"/>
              <w:jc w:val="center"/>
              <w:rPr>
                <w:rFonts w:hint="default"/>
                <w:color w:val="auto"/>
                <w:sz w:val="22"/>
                <w:szCs w:val="22"/>
                <w:highlight w:val="none"/>
              </w:rPr>
            </w:pPr>
            <w:r>
              <w:rPr>
                <w:rFonts w:hint="eastAsia"/>
                <w:color w:val="auto"/>
                <w:sz w:val="22"/>
                <w:szCs w:val="22"/>
                <w:highlight w:val="none"/>
              </w:rPr>
              <w:t>Form.</w:t>
            </w:r>
            <w:r>
              <w:rPr>
                <w:rFonts w:hint="eastAsia"/>
                <w:color w:val="auto"/>
                <w:sz w:val="26"/>
                <w:szCs w:val="22"/>
                <w:highlight w:val="none"/>
              </w:rPr>
              <w:t xml:space="preserve"> </w:t>
            </w:r>
            <w:r>
              <w:rPr>
                <w:rFonts w:hint="eastAsia"/>
                <w:i/>
                <w:color w:val="auto"/>
                <w:sz w:val="22"/>
                <w:szCs w:val="22"/>
                <w:highlight w:val="none"/>
                <w:shd w:val="clear" w:fill="FFFFFF"/>
              </w:rPr>
              <w:t>Pterocarya</w:t>
            </w:r>
            <w:r>
              <w:rPr>
                <w:rFonts w:hint="eastAsia"/>
                <w:i/>
                <w:color w:val="auto"/>
                <w:sz w:val="22"/>
                <w:szCs w:val="22"/>
                <w:highlight w:val="none"/>
              </w:rPr>
              <w:t xml:space="preserve"> stenoptera</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674"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r>
              <w:rPr>
                <w:rFonts w:hint="eastAsia"/>
                <w:b/>
                <w:color w:val="auto"/>
                <w:sz w:val="22"/>
                <w:szCs w:val="22"/>
                <w:highlight w:val="none"/>
              </w:rPr>
              <w:t>Ⅲ竹林</w:t>
            </w:r>
          </w:p>
        </w:tc>
        <w:tc>
          <w:tcPr>
            <w:tcW w:w="1722"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r>
              <w:rPr>
                <w:rFonts w:hint="eastAsia"/>
                <w:color w:val="auto"/>
                <w:sz w:val="22"/>
                <w:szCs w:val="22"/>
                <w:highlight w:val="none"/>
              </w:rPr>
              <w:t>三、暖性竹林</w:t>
            </w:r>
          </w:p>
        </w:tc>
        <w:tc>
          <w:tcPr>
            <w:tcW w:w="1717"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r>
              <w:rPr>
                <w:rFonts w:hint="eastAsia"/>
                <w:color w:val="auto"/>
                <w:sz w:val="22"/>
                <w:szCs w:val="22"/>
                <w:highlight w:val="none"/>
              </w:rPr>
              <w:t>3.慈竹林</w:t>
            </w:r>
          </w:p>
        </w:tc>
        <w:tc>
          <w:tcPr>
            <w:tcW w:w="3262" w:type="dxa"/>
            <w:tcBorders>
              <w:top w:val="single" w:color="auto" w:sz="2" w:space="0"/>
              <w:left w:val="single" w:color="auto" w:sz="2" w:space="0"/>
              <w:bottom w:val="single" w:color="auto" w:sz="2" w:space="0"/>
              <w:right w:val="single" w:color="auto" w:sz="2" w:space="0"/>
              <w:tl2br w:val="nil"/>
              <w:tr2bl w:val="nil"/>
            </w:tcBorders>
            <w:noWrap w:val="0"/>
            <w:vAlign w:val="center"/>
          </w:tcPr>
          <w:p>
            <w:pPr>
              <w:keepNext w:val="0"/>
              <w:keepLines w:val="0"/>
              <w:widowControl/>
              <w:suppressLineNumbers w:val="0"/>
              <w:snapToGrid w:val="0"/>
              <w:spacing w:before="0" w:beforeLines="0" w:beforeAutospacing="0" w:after="0" w:afterLines="0" w:afterAutospacing="0" w:line="240" w:lineRule="auto"/>
              <w:ind w:left="-1" w:leftChars="-1" w:right="0" w:hanging="2" w:hangingChars="1"/>
              <w:jc w:val="center"/>
              <w:rPr>
                <w:rFonts w:hint="default"/>
                <w:color w:val="auto"/>
                <w:sz w:val="22"/>
                <w:szCs w:val="22"/>
                <w:highlight w:val="none"/>
              </w:rPr>
            </w:pPr>
            <w:r>
              <w:rPr>
                <w:rFonts w:hint="eastAsia"/>
                <w:color w:val="auto"/>
                <w:sz w:val="22"/>
                <w:szCs w:val="22"/>
                <w:highlight w:val="none"/>
              </w:rPr>
              <w:t>Form.</w:t>
            </w:r>
            <w:r>
              <w:rPr>
                <w:rFonts w:hint="eastAsia"/>
                <w:color w:val="auto"/>
                <w:sz w:val="21"/>
                <w:szCs w:val="21"/>
                <w:highlight w:val="none"/>
                <w:shd w:val="clear" w:color="auto" w:fill="FFFFFF"/>
              </w:rPr>
              <w:t xml:space="preserve"> </w:t>
            </w:r>
            <w:r>
              <w:rPr>
                <w:rFonts w:hint="eastAsia"/>
                <w:i/>
                <w:color w:val="auto"/>
                <w:sz w:val="21"/>
                <w:szCs w:val="21"/>
                <w:highlight w:val="none"/>
                <w:shd w:val="clear" w:color="auto" w:fill="FFFFFF"/>
              </w:rPr>
              <w:t>Neosinocalamus affinis</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674"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r>
              <w:rPr>
                <w:rFonts w:hint="eastAsia"/>
                <w:b/>
                <w:color w:val="auto"/>
                <w:sz w:val="22"/>
                <w:szCs w:val="22"/>
                <w:highlight w:val="none"/>
              </w:rPr>
              <w:t>Ⅳ常绿阔叶灌丛</w:t>
            </w:r>
          </w:p>
        </w:tc>
        <w:tc>
          <w:tcPr>
            <w:tcW w:w="1722"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r>
              <w:rPr>
                <w:rFonts w:hint="eastAsia"/>
                <w:color w:val="auto"/>
                <w:sz w:val="22"/>
                <w:szCs w:val="22"/>
                <w:highlight w:val="none"/>
              </w:rPr>
              <w:t>四、典型常绿阔叶灌丛</w:t>
            </w:r>
          </w:p>
        </w:tc>
        <w:tc>
          <w:tcPr>
            <w:tcW w:w="1717"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r>
              <w:rPr>
                <w:rFonts w:hint="eastAsia"/>
                <w:color w:val="auto"/>
                <w:sz w:val="22"/>
                <w:szCs w:val="22"/>
                <w:highlight w:val="none"/>
              </w:rPr>
              <w:t>4.</w:t>
            </w:r>
            <w:bookmarkStart w:id="115" w:name="_Hlk154569180"/>
            <w:r>
              <w:rPr>
                <w:rFonts w:hint="eastAsia"/>
                <w:color w:val="auto"/>
                <w:sz w:val="22"/>
                <w:szCs w:val="22"/>
                <w:highlight w:val="none"/>
              </w:rPr>
              <w:t>小叶女贞灌丛</w:t>
            </w:r>
            <w:bookmarkEnd w:id="115"/>
          </w:p>
        </w:tc>
        <w:tc>
          <w:tcPr>
            <w:tcW w:w="3262" w:type="dxa"/>
            <w:tcBorders>
              <w:top w:val="single" w:color="auto" w:sz="2" w:space="0"/>
              <w:left w:val="single" w:color="auto" w:sz="2" w:space="0"/>
              <w:bottom w:val="single" w:color="auto" w:sz="2" w:space="0"/>
              <w:right w:val="single" w:color="auto" w:sz="2" w:space="0"/>
              <w:tl2br w:val="nil"/>
              <w:tr2bl w:val="nil"/>
            </w:tcBorders>
            <w:noWrap w:val="0"/>
            <w:vAlign w:val="center"/>
          </w:tcPr>
          <w:p>
            <w:pPr>
              <w:keepNext w:val="0"/>
              <w:keepLines w:val="0"/>
              <w:widowControl/>
              <w:suppressLineNumbers w:val="0"/>
              <w:snapToGrid w:val="0"/>
              <w:spacing w:before="0" w:beforeLines="0" w:beforeAutospacing="0" w:after="0" w:afterLines="0" w:afterAutospacing="0" w:line="240" w:lineRule="auto"/>
              <w:ind w:left="-1" w:leftChars="-1" w:right="0" w:hanging="2" w:hangingChars="1"/>
              <w:jc w:val="center"/>
              <w:rPr>
                <w:rFonts w:hint="default"/>
                <w:color w:val="auto"/>
                <w:sz w:val="22"/>
                <w:szCs w:val="22"/>
                <w:highlight w:val="none"/>
              </w:rPr>
            </w:pPr>
            <w:r>
              <w:rPr>
                <w:rFonts w:hint="eastAsia"/>
                <w:color w:val="auto"/>
                <w:sz w:val="22"/>
                <w:szCs w:val="22"/>
                <w:highlight w:val="none"/>
              </w:rPr>
              <w:t xml:space="preserve">Form. </w:t>
            </w:r>
            <w:r>
              <w:rPr>
                <w:rStyle w:val="33"/>
                <w:rFonts w:hint="default"/>
                <w:color w:val="auto"/>
                <w:sz w:val="22"/>
                <w:szCs w:val="22"/>
                <w:highlight w:val="none"/>
              </w:rPr>
              <w:t xml:space="preserve">Ligustrum </w:t>
            </w:r>
            <w:r>
              <w:rPr>
                <w:rStyle w:val="33"/>
                <w:rFonts w:hint="default"/>
                <w:color w:val="auto"/>
                <w:sz w:val="22"/>
                <w:szCs w:val="22"/>
                <w:highlight w:val="none"/>
                <w:shd w:val="clear" w:fill="FFFFFF"/>
              </w:rPr>
              <w:t>quihoui</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674"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r>
              <w:rPr>
                <w:rFonts w:hint="eastAsia"/>
                <w:b/>
                <w:color w:val="auto"/>
                <w:sz w:val="22"/>
                <w:szCs w:val="22"/>
                <w:highlight w:val="none"/>
              </w:rPr>
              <w:t>Ⅴ灌草丛</w:t>
            </w:r>
          </w:p>
        </w:tc>
        <w:tc>
          <w:tcPr>
            <w:tcW w:w="1722"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r>
              <w:rPr>
                <w:rFonts w:hint="eastAsia"/>
                <w:color w:val="auto"/>
                <w:sz w:val="22"/>
                <w:szCs w:val="22"/>
                <w:highlight w:val="none"/>
              </w:rPr>
              <w:t>五、暖热性灌草丛</w:t>
            </w:r>
          </w:p>
        </w:tc>
        <w:tc>
          <w:tcPr>
            <w:tcW w:w="1717"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r>
              <w:rPr>
                <w:rFonts w:hint="eastAsia"/>
                <w:color w:val="auto"/>
                <w:sz w:val="22"/>
                <w:szCs w:val="22"/>
                <w:highlight w:val="none"/>
              </w:rPr>
              <w:t>5.狗牙根草丛</w:t>
            </w:r>
          </w:p>
        </w:tc>
        <w:tc>
          <w:tcPr>
            <w:tcW w:w="3262" w:type="dxa"/>
            <w:tcBorders>
              <w:top w:val="single" w:color="auto" w:sz="2" w:space="0"/>
              <w:left w:val="single" w:color="auto" w:sz="2" w:space="0"/>
              <w:bottom w:val="single" w:color="auto" w:sz="2" w:space="0"/>
              <w:right w:val="single" w:color="auto" w:sz="2" w:space="0"/>
              <w:tl2br w:val="nil"/>
              <w:tr2bl w:val="nil"/>
            </w:tcBorders>
            <w:noWrap w:val="0"/>
            <w:vAlign w:val="center"/>
          </w:tcPr>
          <w:p>
            <w:pPr>
              <w:keepNext w:val="0"/>
              <w:keepLines w:val="0"/>
              <w:widowControl/>
              <w:suppressLineNumbers w:val="0"/>
              <w:snapToGrid w:val="0"/>
              <w:spacing w:before="0" w:beforeLines="0" w:beforeAutospacing="0" w:after="0" w:afterLines="0" w:afterAutospacing="0" w:line="240" w:lineRule="auto"/>
              <w:ind w:left="-1" w:leftChars="-1" w:right="0" w:hanging="2" w:hangingChars="1"/>
              <w:jc w:val="center"/>
              <w:rPr>
                <w:rFonts w:hint="default"/>
                <w:color w:val="auto"/>
                <w:kern w:val="0"/>
                <w:sz w:val="22"/>
                <w:szCs w:val="22"/>
                <w:highlight w:val="none"/>
              </w:rPr>
            </w:pPr>
            <w:r>
              <w:rPr>
                <w:rFonts w:hint="eastAsia"/>
                <w:color w:val="auto"/>
                <w:sz w:val="22"/>
                <w:szCs w:val="22"/>
                <w:highlight w:val="none"/>
              </w:rPr>
              <w:t>Form.</w:t>
            </w:r>
            <w:r>
              <w:rPr>
                <w:rFonts w:hint="eastAsia"/>
                <w:color w:val="auto"/>
                <w:sz w:val="22"/>
                <w:szCs w:val="22"/>
                <w:highlight w:val="none"/>
                <w:shd w:val="clear" w:color="auto" w:fill="FFFFFF"/>
              </w:rPr>
              <w:t xml:space="preserve"> </w:t>
            </w:r>
            <w:r>
              <w:rPr>
                <w:rFonts w:hint="eastAsia"/>
                <w:i/>
                <w:color w:val="auto"/>
                <w:kern w:val="0"/>
                <w:sz w:val="22"/>
                <w:szCs w:val="22"/>
                <w:highlight w:val="none"/>
              </w:rPr>
              <w:t xml:space="preserve">Cynodon dactylon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8375" w:type="dxa"/>
            <w:gridSpan w:val="4"/>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r>
              <w:rPr>
                <w:rFonts w:hint="eastAsia"/>
                <w:b/>
                <w:color w:val="auto"/>
                <w:sz w:val="22"/>
                <w:szCs w:val="22"/>
                <w:highlight w:val="none"/>
              </w:rPr>
              <w:t>栽培植被</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674" w:type="dxa"/>
            <w:vMerge w:val="restart"/>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r>
              <w:rPr>
                <w:rFonts w:hint="eastAsia"/>
                <w:b/>
                <w:color w:val="auto"/>
                <w:sz w:val="22"/>
                <w:szCs w:val="22"/>
                <w:highlight w:val="none"/>
              </w:rPr>
              <w:t>栽培植被</w:t>
            </w:r>
          </w:p>
        </w:tc>
        <w:tc>
          <w:tcPr>
            <w:tcW w:w="1722" w:type="dxa"/>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r>
              <w:rPr>
                <w:rFonts w:hint="eastAsia"/>
                <w:color w:val="auto"/>
                <w:sz w:val="22"/>
                <w:szCs w:val="22"/>
                <w:highlight w:val="none"/>
              </w:rPr>
              <w:t>经济林</w:t>
            </w:r>
          </w:p>
        </w:tc>
        <w:tc>
          <w:tcPr>
            <w:tcW w:w="4979" w:type="dxa"/>
            <w:gridSpan w:val="2"/>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r>
              <w:rPr>
                <w:rFonts w:hint="eastAsia"/>
                <w:color w:val="auto"/>
                <w:sz w:val="22"/>
                <w:szCs w:val="22"/>
                <w:highlight w:val="none"/>
              </w:rPr>
              <w:t>以柑橘等水果为主的果园</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674" w:type="dxa"/>
            <w:vMerge w:val="continue"/>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722" w:type="dxa"/>
            <w:vMerge w:val="restart"/>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r>
              <w:rPr>
                <w:rFonts w:hint="eastAsia"/>
                <w:color w:val="auto"/>
                <w:sz w:val="22"/>
                <w:szCs w:val="22"/>
                <w:highlight w:val="none"/>
              </w:rPr>
              <w:t>农作物</w:t>
            </w:r>
          </w:p>
        </w:tc>
        <w:tc>
          <w:tcPr>
            <w:tcW w:w="4979" w:type="dxa"/>
            <w:gridSpan w:val="2"/>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r>
              <w:rPr>
                <w:rFonts w:hint="eastAsia"/>
                <w:color w:val="auto"/>
                <w:sz w:val="22"/>
                <w:szCs w:val="22"/>
                <w:highlight w:val="none"/>
              </w:rPr>
              <w:t>以玉米、甘薯为主的旱地作物</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674" w:type="dxa"/>
            <w:vMerge w:val="continue"/>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722" w:type="dxa"/>
            <w:vMerge w:val="continue"/>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4979" w:type="dxa"/>
            <w:gridSpan w:val="2"/>
            <w:tcBorders>
              <w:top w:val="single" w:color="auto" w:sz="2" w:space="0"/>
              <w:left w:val="single" w:color="auto" w:sz="2" w:space="0"/>
              <w:bottom w:val="single" w:color="auto" w:sz="2" w:space="0"/>
              <w:right w:val="single" w:color="auto" w:sz="2" w:space="0"/>
              <w:tl2br w:val="nil"/>
              <w:tr2bl w:val="nil"/>
            </w:tcBorders>
            <w:noWrap/>
            <w:tcMar>
              <w:top w:w="15" w:type="dxa"/>
              <w:left w:w="15" w:type="dxa"/>
              <w:bottom w:w="0" w:type="dxa"/>
              <w:right w:w="15" w:type="dxa"/>
            </w:tcMar>
            <w:vAlign w:val="center"/>
          </w:tcPr>
          <w:p>
            <w:pPr>
              <w:keepNext w:val="0"/>
              <w:keepLines w:val="0"/>
              <w:widowControl/>
              <w:suppressLineNumbers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r>
              <w:rPr>
                <w:rFonts w:hint="eastAsia"/>
                <w:color w:val="auto"/>
                <w:sz w:val="22"/>
                <w:szCs w:val="22"/>
                <w:highlight w:val="none"/>
              </w:rPr>
              <w:t>以季节性蔬菜为主的蔬菜作物</w:t>
            </w:r>
          </w:p>
        </w:tc>
      </w:tr>
    </w:tbl>
    <w:p>
      <w:pPr>
        <w:spacing w:beforeLines="0" w:afterLines="0" w:line="240" w:lineRule="auto"/>
        <w:ind w:firstLine="520"/>
        <w:rPr>
          <w:rFonts w:hint="default"/>
          <w:color w:val="auto"/>
          <w:sz w:val="26"/>
          <w:szCs w:val="22"/>
          <w:highlight w:val="none"/>
        </w:rPr>
      </w:pPr>
    </w:p>
    <w:p>
      <w:pPr>
        <w:spacing w:beforeLines="0" w:afterLines="0" w:line="480" w:lineRule="exact"/>
        <w:ind w:firstLine="520"/>
        <w:rPr>
          <w:rFonts w:hint="default"/>
          <w:color w:val="auto"/>
          <w:sz w:val="26"/>
          <w:szCs w:val="22"/>
          <w:highlight w:val="none"/>
        </w:rPr>
      </w:pPr>
      <w:r>
        <w:rPr>
          <w:rFonts w:hint="default"/>
          <w:color w:val="auto"/>
          <w:sz w:val="26"/>
          <w:szCs w:val="22"/>
          <w:highlight w:val="none"/>
        </w:rPr>
        <w:t>根据相关资料及现场调查</w:t>
      </w:r>
      <w:r>
        <w:rPr>
          <w:rFonts w:hint="default"/>
          <w:color w:val="auto"/>
          <w:sz w:val="26"/>
          <w:szCs w:val="22"/>
          <w:highlight w:val="none"/>
          <w:lang w:val="en-US" w:eastAsia="zh-CN"/>
        </w:rPr>
        <w:t>，湿地公园内植被类型与项目评价区没有明显差异</w:t>
      </w:r>
      <w:r>
        <w:rPr>
          <w:rFonts w:hint="default"/>
          <w:color w:val="auto"/>
          <w:sz w:val="26"/>
          <w:szCs w:val="22"/>
          <w:highlight w:val="none"/>
        </w:rPr>
        <w:t>，评价区内未发现国家及重庆市重点保护野生植物</w:t>
      </w:r>
      <w:r>
        <w:rPr>
          <w:rFonts w:hint="eastAsia"/>
          <w:color w:val="auto"/>
          <w:sz w:val="26"/>
          <w:szCs w:val="22"/>
          <w:highlight w:val="none"/>
          <w:lang w:eastAsia="zh-CN"/>
        </w:rPr>
        <w:t>，</w:t>
      </w:r>
      <w:r>
        <w:rPr>
          <w:rFonts w:hint="eastAsia"/>
          <w:color w:val="auto"/>
          <w:sz w:val="26"/>
          <w:szCs w:val="22"/>
          <w:highlight w:val="none"/>
          <w:lang w:val="en-US" w:eastAsia="zh-CN"/>
        </w:rPr>
        <w:t>也</w:t>
      </w:r>
      <w:r>
        <w:rPr>
          <w:rFonts w:hint="default"/>
          <w:color w:val="auto"/>
          <w:sz w:val="26"/>
          <w:szCs w:val="22"/>
          <w:highlight w:val="none"/>
        </w:rPr>
        <w:t>无古树名木</w:t>
      </w:r>
      <w:r>
        <w:rPr>
          <w:rFonts w:hint="eastAsia"/>
          <w:color w:val="auto"/>
          <w:sz w:val="26"/>
          <w:szCs w:val="22"/>
          <w:highlight w:val="none"/>
          <w:lang w:val="en-US" w:eastAsia="zh-CN"/>
        </w:rPr>
        <w:t>分布。</w:t>
      </w:r>
    </w:p>
    <w:p>
      <w:pPr>
        <w:spacing w:beforeLines="0" w:afterLines="0" w:line="480" w:lineRule="exact"/>
        <w:ind w:firstLine="520"/>
        <w:rPr>
          <w:rFonts w:hint="default" w:eastAsia="宋体"/>
          <w:color w:val="auto"/>
          <w:sz w:val="26"/>
          <w:szCs w:val="22"/>
          <w:highlight w:val="none"/>
          <w:lang w:val="en-US" w:eastAsia="zh-CN"/>
        </w:rPr>
      </w:pPr>
      <w:r>
        <w:rPr>
          <w:rFonts w:hint="eastAsia"/>
          <w:color w:val="auto"/>
          <w:sz w:val="26"/>
          <w:szCs w:val="22"/>
          <w:highlight w:val="none"/>
          <w:lang w:val="en-US" w:eastAsia="zh-CN"/>
        </w:rPr>
        <w:t>② 陆生脊椎动物多样性现状</w:t>
      </w:r>
    </w:p>
    <w:p>
      <w:pPr>
        <w:spacing w:beforeLines="0" w:afterLines="0" w:line="480" w:lineRule="exact"/>
        <w:ind w:firstLine="520"/>
        <w:rPr>
          <w:rFonts w:hint="default"/>
          <w:color w:val="auto"/>
          <w:sz w:val="26"/>
          <w:szCs w:val="22"/>
          <w:highlight w:val="none"/>
          <w:lang w:val="en-US"/>
        </w:rPr>
      </w:pPr>
      <w:r>
        <w:rPr>
          <w:rFonts w:hint="default"/>
          <w:color w:val="auto"/>
          <w:sz w:val="26"/>
          <w:szCs w:val="22"/>
          <w:highlight w:val="none"/>
          <w:lang w:val="en-US" w:eastAsia="zh-CN"/>
        </w:rPr>
        <w:t>项目在2023年12月对渭沱枢纽周边自然植被进行了详细调查，2025年9月对</w:t>
      </w:r>
      <w:r>
        <w:rPr>
          <w:rFonts w:hint="eastAsia"/>
          <w:color w:val="auto"/>
          <w:sz w:val="26"/>
          <w:szCs w:val="22"/>
          <w:highlight w:val="none"/>
          <w:lang w:val="en-US" w:eastAsia="zh-CN"/>
        </w:rPr>
        <w:t>该</w:t>
      </w:r>
      <w:r>
        <w:rPr>
          <w:rFonts w:hint="default"/>
          <w:color w:val="auto"/>
          <w:sz w:val="26"/>
          <w:szCs w:val="22"/>
          <w:highlight w:val="none"/>
          <w:lang w:val="en-US" w:eastAsia="zh-CN"/>
        </w:rPr>
        <w:t>区域进行了补充调查。</w:t>
      </w:r>
      <w:r>
        <w:rPr>
          <w:rFonts w:hint="eastAsia"/>
          <w:color w:val="auto"/>
          <w:sz w:val="26"/>
          <w:szCs w:val="22"/>
          <w:highlight w:val="none"/>
          <w:lang w:val="en-US" w:eastAsia="zh-CN"/>
        </w:rPr>
        <w:t>其中位于渭沱枢纽周边的动物调查样线共6条，涵盖了林地、耕地、水域、建设用地等多种生境类型。</w:t>
      </w:r>
    </w:p>
    <w:p>
      <w:pPr>
        <w:spacing w:beforeLines="0" w:afterLines="0" w:line="240" w:lineRule="auto"/>
        <w:ind w:firstLine="0" w:firstLineChars="0"/>
        <w:jc w:val="center"/>
        <w:rPr>
          <w:rFonts w:hint="eastAsia"/>
          <w:color w:val="auto"/>
          <w:sz w:val="26"/>
          <w:szCs w:val="22"/>
          <w:highlight w:val="none"/>
          <w:lang w:eastAsia="zh-CN"/>
        </w:rPr>
      </w:pPr>
    </w:p>
    <w:p>
      <w:pPr>
        <w:spacing w:beforeLines="0" w:afterLines="0" w:line="240" w:lineRule="auto"/>
        <w:ind w:firstLine="0" w:firstLineChars="0"/>
        <w:jc w:val="center"/>
        <w:rPr>
          <w:rFonts w:hint="default" w:eastAsia="宋体"/>
          <w:color w:val="auto"/>
          <w:sz w:val="26"/>
          <w:szCs w:val="22"/>
          <w:highlight w:val="none"/>
          <w:lang w:val="en-US" w:eastAsia="zh-CN"/>
        </w:rPr>
      </w:pPr>
      <w:r>
        <w:rPr>
          <w:rFonts w:hint="eastAsia"/>
          <w:color w:val="auto"/>
          <w:sz w:val="26"/>
          <w:szCs w:val="22"/>
          <w:highlight w:val="none"/>
          <w:lang w:eastAsia="zh-CN"/>
        </w:rPr>
        <w:t>表</w:t>
      </w:r>
      <w:r>
        <w:rPr>
          <w:rFonts w:hint="eastAsia"/>
          <w:color w:val="auto"/>
          <w:sz w:val="26"/>
          <w:szCs w:val="22"/>
          <w:highlight w:val="none"/>
          <w:lang w:val="en-US" w:eastAsia="zh-CN"/>
        </w:rPr>
        <w:t>4.1.3.1-3  湿地公园动物样线分布图</w:t>
      </w:r>
    </w:p>
    <w:tbl>
      <w:tblPr>
        <w:tblStyle w:val="28"/>
        <w:tblW w:w="490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76"/>
        <w:gridCol w:w="980"/>
        <w:gridCol w:w="1434"/>
        <w:gridCol w:w="1297"/>
        <w:gridCol w:w="835"/>
        <w:gridCol w:w="1776"/>
        <w:gridCol w:w="14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76"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编号</w:t>
            </w:r>
          </w:p>
        </w:tc>
        <w:tc>
          <w:tcPr>
            <w:tcW w:w="9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起终点</w:t>
            </w:r>
          </w:p>
        </w:tc>
        <w:tc>
          <w:tcPr>
            <w:tcW w:w="2731" w:type="dxa"/>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经纬度（</w:t>
            </w:r>
            <w:r>
              <w:rPr>
                <w:rFonts w:hint="eastAsia"/>
                <w:color w:val="auto"/>
                <w:kern w:val="0"/>
                <w:sz w:val="22"/>
                <w:szCs w:val="22"/>
                <w:highlight w:val="none"/>
                <w:lang w:bidi="ar"/>
              </w:rPr>
              <w:t>°</w:t>
            </w:r>
            <w:r>
              <w:rPr>
                <w:rFonts w:hint="eastAsia" w:eastAsia="宋体"/>
                <w:color w:val="auto"/>
                <w:kern w:val="0"/>
                <w:sz w:val="22"/>
                <w:szCs w:val="22"/>
                <w:highlight w:val="none"/>
                <w:lang w:bidi="ar"/>
              </w:rPr>
              <w:t>）</w:t>
            </w:r>
          </w:p>
        </w:tc>
        <w:tc>
          <w:tcPr>
            <w:tcW w:w="835"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长度（</w:t>
            </w:r>
            <w:r>
              <w:rPr>
                <w:rFonts w:hint="eastAsia"/>
                <w:color w:val="auto"/>
                <w:kern w:val="0"/>
                <w:sz w:val="22"/>
                <w:szCs w:val="22"/>
                <w:highlight w:val="none"/>
                <w:lang w:bidi="ar"/>
              </w:rPr>
              <w:t>km</w:t>
            </w:r>
            <w:r>
              <w:rPr>
                <w:rFonts w:hint="eastAsia" w:eastAsia="宋体"/>
                <w:color w:val="auto"/>
                <w:kern w:val="0"/>
                <w:sz w:val="22"/>
                <w:szCs w:val="22"/>
                <w:highlight w:val="none"/>
                <w:lang w:bidi="ar"/>
              </w:rPr>
              <w:t>）</w:t>
            </w:r>
          </w:p>
        </w:tc>
        <w:tc>
          <w:tcPr>
            <w:tcW w:w="1776"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生境类型</w:t>
            </w:r>
          </w:p>
        </w:tc>
        <w:tc>
          <w:tcPr>
            <w:tcW w:w="1486"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val="en-US" w:eastAsia="zh-CN" w:bidi="ar"/>
              </w:rPr>
            </w:pPr>
            <w:r>
              <w:rPr>
                <w:rFonts w:hint="eastAsia"/>
                <w:color w:val="auto"/>
                <w:kern w:val="0"/>
                <w:sz w:val="22"/>
                <w:szCs w:val="22"/>
                <w:highlight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76" w:type="dxa"/>
            <w:vMerge w:val="restart"/>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sz w:val="22"/>
                <w:szCs w:val="22"/>
                <w:highlight w:val="none"/>
              </w:rPr>
            </w:pPr>
            <w:r>
              <w:rPr>
                <w:rFonts w:hint="eastAsia" w:eastAsia="宋体"/>
                <w:color w:val="auto"/>
                <w:kern w:val="0"/>
                <w:sz w:val="22"/>
                <w:szCs w:val="22"/>
                <w:highlight w:val="none"/>
                <w:lang w:bidi="ar"/>
              </w:rPr>
              <w:t>样线1</w:t>
            </w:r>
          </w:p>
        </w:tc>
        <w:tc>
          <w:tcPr>
            <w:tcW w:w="9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起点</w:t>
            </w:r>
          </w:p>
        </w:tc>
        <w:tc>
          <w:tcPr>
            <w:tcW w:w="1434"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1297"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835" w:type="dxa"/>
            <w:vMerge w:val="restart"/>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bidi="ar"/>
              </w:rPr>
              <w:t>0.86</w:t>
            </w:r>
          </w:p>
        </w:tc>
        <w:tc>
          <w:tcPr>
            <w:tcW w:w="1776" w:type="dxa"/>
            <w:vMerge w:val="restart"/>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乔木林、灌木林、水域、居住点等</w:t>
            </w:r>
          </w:p>
        </w:tc>
        <w:tc>
          <w:tcPr>
            <w:tcW w:w="1486" w:type="dxa"/>
            <w:vMerge w:val="restart"/>
            <w:tcBorders>
              <w:top w:val="single" w:color="000000" w:sz="4" w:space="0"/>
              <w:left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eastAsia="宋体"/>
                <w:color w:val="auto"/>
                <w:kern w:val="0"/>
                <w:sz w:val="22"/>
                <w:szCs w:val="22"/>
                <w:highlight w:val="none"/>
                <w:lang w:val="en-US" w:eastAsia="zh-CN" w:bidi="ar"/>
              </w:rPr>
              <w:t>船闸上下游，湿地公园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76"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9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终点</w:t>
            </w:r>
          </w:p>
        </w:tc>
        <w:tc>
          <w:tcPr>
            <w:tcW w:w="1434"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1297"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835"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1776"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1486" w:type="dxa"/>
            <w:vMerge w:val="continue"/>
            <w:tcBorders>
              <w:left w:val="single" w:color="000000" w:sz="4" w:space="0"/>
              <w:bottom w:val="nil"/>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76" w:type="dxa"/>
            <w:vMerge w:val="restart"/>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sz w:val="22"/>
                <w:szCs w:val="22"/>
                <w:highlight w:val="none"/>
              </w:rPr>
            </w:pPr>
            <w:r>
              <w:rPr>
                <w:rFonts w:hint="eastAsia" w:eastAsia="宋体"/>
                <w:color w:val="auto"/>
                <w:kern w:val="0"/>
                <w:sz w:val="22"/>
                <w:szCs w:val="22"/>
                <w:highlight w:val="none"/>
                <w:lang w:bidi="ar"/>
              </w:rPr>
              <w:t>样线2</w:t>
            </w:r>
          </w:p>
        </w:tc>
        <w:tc>
          <w:tcPr>
            <w:tcW w:w="9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起点</w:t>
            </w:r>
          </w:p>
        </w:tc>
        <w:tc>
          <w:tcPr>
            <w:tcW w:w="1434"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1297"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835" w:type="dxa"/>
            <w:vMerge w:val="restart"/>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bidi="ar"/>
              </w:rPr>
              <w:t>1.16</w:t>
            </w:r>
          </w:p>
        </w:tc>
        <w:tc>
          <w:tcPr>
            <w:tcW w:w="1776" w:type="dxa"/>
            <w:vMerge w:val="restart"/>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灌木林、农田、居住点等</w:t>
            </w:r>
          </w:p>
        </w:tc>
        <w:tc>
          <w:tcPr>
            <w:tcW w:w="1486" w:type="dxa"/>
            <w:vMerge w:val="restart"/>
            <w:tcBorders>
              <w:top w:val="nil"/>
              <w:left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eastAsia="宋体"/>
                <w:color w:val="auto"/>
                <w:kern w:val="0"/>
                <w:sz w:val="22"/>
                <w:szCs w:val="22"/>
                <w:highlight w:val="none"/>
                <w:lang w:val="en-US" w:eastAsia="zh-CN" w:bidi="ar"/>
              </w:rPr>
              <w:t>船闸上下游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76"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9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终点</w:t>
            </w:r>
          </w:p>
        </w:tc>
        <w:tc>
          <w:tcPr>
            <w:tcW w:w="1434"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1297"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835"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1776"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1486" w:type="dxa"/>
            <w:vMerge w:val="continue"/>
            <w:tcBorders>
              <w:left w:val="single" w:color="000000" w:sz="4" w:space="0"/>
              <w:bottom w:val="nil"/>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76" w:type="dxa"/>
            <w:vMerge w:val="restart"/>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sz w:val="22"/>
                <w:szCs w:val="22"/>
                <w:highlight w:val="none"/>
              </w:rPr>
            </w:pPr>
            <w:r>
              <w:rPr>
                <w:rFonts w:hint="eastAsia" w:eastAsia="宋体"/>
                <w:color w:val="auto"/>
                <w:kern w:val="0"/>
                <w:sz w:val="22"/>
                <w:szCs w:val="22"/>
                <w:highlight w:val="none"/>
                <w:lang w:bidi="ar"/>
              </w:rPr>
              <w:t>样线3</w:t>
            </w:r>
          </w:p>
        </w:tc>
        <w:tc>
          <w:tcPr>
            <w:tcW w:w="9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起点</w:t>
            </w:r>
          </w:p>
        </w:tc>
        <w:tc>
          <w:tcPr>
            <w:tcW w:w="1434"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1297"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835" w:type="dxa"/>
            <w:vMerge w:val="restart"/>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bidi="ar"/>
              </w:rPr>
              <w:t>0.41</w:t>
            </w:r>
          </w:p>
        </w:tc>
        <w:tc>
          <w:tcPr>
            <w:tcW w:w="1776" w:type="dxa"/>
            <w:vMerge w:val="restart"/>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灌木林、农田、水域、居住点等</w:t>
            </w:r>
          </w:p>
        </w:tc>
        <w:tc>
          <w:tcPr>
            <w:tcW w:w="1486" w:type="dxa"/>
            <w:vMerge w:val="restart"/>
            <w:tcBorders>
              <w:top w:val="nil"/>
              <w:left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val="en-US" w:eastAsia="zh-CN" w:bidi="ar"/>
              </w:rPr>
            </w:pPr>
            <w:r>
              <w:rPr>
                <w:rFonts w:hint="eastAsia" w:eastAsia="宋体"/>
                <w:color w:val="auto"/>
                <w:kern w:val="0"/>
                <w:sz w:val="22"/>
                <w:szCs w:val="22"/>
                <w:highlight w:val="none"/>
                <w:lang w:val="en-US" w:eastAsia="zh-CN" w:bidi="ar"/>
              </w:rPr>
              <w:t>船闸下游，</w:t>
            </w:r>
          </w:p>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eastAsia="宋体"/>
                <w:color w:val="auto"/>
                <w:kern w:val="0"/>
                <w:sz w:val="22"/>
                <w:szCs w:val="22"/>
                <w:highlight w:val="none"/>
                <w:lang w:val="en-US" w:eastAsia="zh-CN" w:bidi="ar"/>
              </w:rPr>
              <w:t>湿地公园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76"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9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终点</w:t>
            </w:r>
          </w:p>
        </w:tc>
        <w:tc>
          <w:tcPr>
            <w:tcW w:w="1434"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1297"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835"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1776"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1486" w:type="dxa"/>
            <w:vMerge w:val="continue"/>
            <w:tcBorders>
              <w:left w:val="single" w:color="000000" w:sz="4" w:space="0"/>
              <w:bottom w:val="nil"/>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76" w:type="dxa"/>
            <w:vMerge w:val="restart"/>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sz w:val="22"/>
                <w:szCs w:val="22"/>
                <w:highlight w:val="none"/>
              </w:rPr>
            </w:pPr>
            <w:r>
              <w:rPr>
                <w:rFonts w:hint="eastAsia" w:eastAsia="宋体"/>
                <w:color w:val="auto"/>
                <w:kern w:val="0"/>
                <w:sz w:val="22"/>
                <w:szCs w:val="22"/>
                <w:highlight w:val="none"/>
                <w:lang w:bidi="ar"/>
              </w:rPr>
              <w:t>样线4</w:t>
            </w:r>
          </w:p>
        </w:tc>
        <w:tc>
          <w:tcPr>
            <w:tcW w:w="9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起点</w:t>
            </w:r>
          </w:p>
        </w:tc>
        <w:tc>
          <w:tcPr>
            <w:tcW w:w="1434"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1297"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835" w:type="dxa"/>
            <w:vMerge w:val="restart"/>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bidi="ar"/>
              </w:rPr>
              <w:t>1.04</w:t>
            </w:r>
          </w:p>
        </w:tc>
        <w:tc>
          <w:tcPr>
            <w:tcW w:w="1776" w:type="dxa"/>
            <w:vMerge w:val="restart"/>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乔木林、灌木林、农田、水域、居住点等</w:t>
            </w:r>
          </w:p>
        </w:tc>
        <w:tc>
          <w:tcPr>
            <w:tcW w:w="1486" w:type="dxa"/>
            <w:vMerge w:val="restart"/>
            <w:tcBorders>
              <w:top w:val="nil"/>
              <w:left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val="en-US" w:eastAsia="zh-CN" w:bidi="ar"/>
              </w:rPr>
            </w:pPr>
            <w:r>
              <w:rPr>
                <w:rFonts w:hint="eastAsia" w:eastAsia="宋体"/>
                <w:color w:val="auto"/>
                <w:kern w:val="0"/>
                <w:sz w:val="22"/>
                <w:szCs w:val="22"/>
                <w:highlight w:val="none"/>
                <w:lang w:val="en-US" w:eastAsia="zh-CN" w:bidi="ar"/>
              </w:rPr>
              <w:t>船闸下游，</w:t>
            </w:r>
          </w:p>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kern w:val="0"/>
                <w:sz w:val="22"/>
                <w:szCs w:val="22"/>
                <w:highlight w:val="none"/>
                <w:lang w:bidi="ar"/>
              </w:rPr>
            </w:pPr>
            <w:r>
              <w:rPr>
                <w:rFonts w:hint="eastAsia" w:eastAsia="宋体"/>
                <w:color w:val="auto"/>
                <w:kern w:val="0"/>
                <w:sz w:val="22"/>
                <w:szCs w:val="22"/>
                <w:highlight w:val="none"/>
                <w:lang w:val="en-US" w:eastAsia="zh-CN" w:bidi="ar"/>
              </w:rPr>
              <w:t>湿地公园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76"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9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终点</w:t>
            </w:r>
          </w:p>
        </w:tc>
        <w:tc>
          <w:tcPr>
            <w:tcW w:w="1434"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1297"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835"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1776"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1486" w:type="dxa"/>
            <w:vMerge w:val="continue"/>
            <w:tcBorders>
              <w:left w:val="single" w:color="000000" w:sz="4" w:space="0"/>
              <w:bottom w:val="nil"/>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76" w:type="dxa"/>
            <w:vMerge w:val="restart"/>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sz w:val="22"/>
                <w:szCs w:val="22"/>
                <w:highlight w:val="none"/>
              </w:rPr>
            </w:pPr>
            <w:r>
              <w:rPr>
                <w:rFonts w:hint="eastAsia" w:eastAsia="宋体"/>
                <w:color w:val="auto"/>
                <w:kern w:val="0"/>
                <w:sz w:val="22"/>
                <w:szCs w:val="22"/>
                <w:highlight w:val="none"/>
                <w:lang w:bidi="ar"/>
              </w:rPr>
              <w:t>样线5</w:t>
            </w:r>
          </w:p>
        </w:tc>
        <w:tc>
          <w:tcPr>
            <w:tcW w:w="9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起点</w:t>
            </w:r>
          </w:p>
        </w:tc>
        <w:tc>
          <w:tcPr>
            <w:tcW w:w="1434"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1297"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835" w:type="dxa"/>
            <w:vMerge w:val="restart"/>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bidi="ar"/>
              </w:rPr>
              <w:t>1.95</w:t>
            </w:r>
          </w:p>
        </w:tc>
        <w:tc>
          <w:tcPr>
            <w:tcW w:w="1776" w:type="dxa"/>
            <w:vMerge w:val="restart"/>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乔木林、灌木林、草丛、农田、水域、居住点等</w:t>
            </w:r>
          </w:p>
        </w:tc>
        <w:tc>
          <w:tcPr>
            <w:tcW w:w="1486" w:type="dxa"/>
            <w:vMerge w:val="restart"/>
            <w:tcBorders>
              <w:top w:val="nil"/>
              <w:left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default" w:eastAsia="宋体"/>
                <w:color w:val="auto"/>
                <w:kern w:val="0"/>
                <w:sz w:val="22"/>
                <w:szCs w:val="22"/>
                <w:highlight w:val="none"/>
                <w:lang w:val="en-US" w:eastAsia="zh-CN" w:bidi="ar"/>
              </w:rPr>
            </w:pPr>
            <w:r>
              <w:rPr>
                <w:rFonts w:hint="eastAsia"/>
                <w:color w:val="auto"/>
                <w:kern w:val="0"/>
                <w:sz w:val="22"/>
                <w:szCs w:val="22"/>
                <w:highlight w:val="none"/>
                <w:lang w:val="en-US" w:eastAsia="zh-CN" w:bidi="ar"/>
              </w:rPr>
              <w:t>船闸上下游，湿地公园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76"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9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eastAsia="宋体"/>
                <w:color w:val="auto"/>
                <w:kern w:val="0"/>
                <w:sz w:val="22"/>
                <w:szCs w:val="22"/>
                <w:highlight w:val="none"/>
                <w:lang w:bidi="ar"/>
              </w:rPr>
              <w:t>终点</w:t>
            </w:r>
          </w:p>
        </w:tc>
        <w:tc>
          <w:tcPr>
            <w:tcW w:w="1434"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1297"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835"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1776" w:type="dxa"/>
            <w:vMerge w:val="continue"/>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1486" w:type="dxa"/>
            <w:vMerge w:val="continue"/>
            <w:tcBorders>
              <w:left w:val="single" w:color="000000" w:sz="4" w:space="0"/>
              <w:bottom w:val="nil"/>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76" w:type="dxa"/>
            <w:vMerge w:val="restart"/>
            <w:tcBorders>
              <w:top w:val="single" w:color="000000" w:sz="4" w:space="0"/>
              <w:left w:val="single" w:color="000000" w:sz="4" w:space="0"/>
              <w:bottom w:val="nil"/>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sz w:val="22"/>
                <w:szCs w:val="22"/>
                <w:highlight w:val="none"/>
              </w:rPr>
            </w:pPr>
            <w:r>
              <w:rPr>
                <w:rFonts w:hint="eastAsia" w:eastAsia="宋体"/>
                <w:color w:val="auto"/>
                <w:kern w:val="0"/>
                <w:sz w:val="22"/>
                <w:szCs w:val="22"/>
                <w:highlight w:val="none"/>
                <w:lang w:bidi="ar"/>
              </w:rPr>
              <w:t>样线6</w:t>
            </w:r>
          </w:p>
        </w:tc>
        <w:tc>
          <w:tcPr>
            <w:tcW w:w="9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sz w:val="22"/>
                <w:szCs w:val="22"/>
                <w:highlight w:val="none"/>
              </w:rPr>
            </w:pPr>
            <w:r>
              <w:rPr>
                <w:rFonts w:hint="eastAsia" w:eastAsia="宋体"/>
                <w:color w:val="auto"/>
                <w:kern w:val="0"/>
                <w:sz w:val="22"/>
                <w:szCs w:val="22"/>
                <w:highlight w:val="none"/>
                <w:lang w:bidi="ar"/>
              </w:rPr>
              <w:t>起点</w:t>
            </w:r>
          </w:p>
        </w:tc>
        <w:tc>
          <w:tcPr>
            <w:tcW w:w="1434"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1297"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835" w:type="dxa"/>
            <w:vMerge w:val="restart"/>
            <w:tcBorders>
              <w:top w:val="single" w:color="000000" w:sz="4" w:space="0"/>
              <w:left w:val="single" w:color="000000" w:sz="4" w:space="0"/>
              <w:bottom w:val="nil"/>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r>
              <w:rPr>
                <w:rFonts w:hint="eastAsia" w:eastAsia="宋体"/>
                <w:color w:val="auto"/>
                <w:sz w:val="22"/>
                <w:szCs w:val="22"/>
                <w:highlight w:val="none"/>
              </w:rPr>
              <w:t>1.01</w:t>
            </w:r>
          </w:p>
        </w:tc>
        <w:tc>
          <w:tcPr>
            <w:tcW w:w="1776" w:type="dxa"/>
            <w:vMerge w:val="restart"/>
            <w:tcBorders>
              <w:top w:val="single" w:color="000000" w:sz="4" w:space="0"/>
              <w:left w:val="single" w:color="000000" w:sz="4" w:space="0"/>
              <w:bottom w:val="nil"/>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r>
              <w:rPr>
                <w:rFonts w:hint="eastAsia" w:eastAsia="宋体"/>
                <w:color w:val="auto"/>
                <w:kern w:val="0"/>
                <w:sz w:val="22"/>
                <w:szCs w:val="22"/>
                <w:highlight w:val="none"/>
                <w:lang w:bidi="ar"/>
              </w:rPr>
              <w:t>乔木林、农田、水域、居住点等</w:t>
            </w:r>
          </w:p>
        </w:tc>
        <w:tc>
          <w:tcPr>
            <w:tcW w:w="1486" w:type="dxa"/>
            <w:vMerge w:val="restart"/>
            <w:tcBorders>
              <w:top w:val="nil"/>
              <w:left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船闸上游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76" w:type="dxa"/>
            <w:vMerge w:val="continue"/>
            <w:tcBorders>
              <w:top w:val="nil"/>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9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eastAsia="宋体"/>
                <w:color w:val="auto"/>
                <w:sz w:val="22"/>
                <w:szCs w:val="22"/>
                <w:highlight w:val="none"/>
              </w:rPr>
            </w:pPr>
            <w:r>
              <w:rPr>
                <w:rFonts w:hint="eastAsia" w:eastAsia="宋体"/>
                <w:color w:val="auto"/>
                <w:kern w:val="0"/>
                <w:sz w:val="22"/>
                <w:szCs w:val="22"/>
                <w:highlight w:val="none"/>
                <w:lang w:bidi="ar"/>
              </w:rPr>
              <w:t>终点</w:t>
            </w:r>
          </w:p>
        </w:tc>
        <w:tc>
          <w:tcPr>
            <w:tcW w:w="1434"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1297"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eastAsia"/>
                <w:color w:val="auto"/>
                <w:sz w:val="22"/>
                <w:szCs w:val="22"/>
                <w:highlight w:val="none"/>
              </w:rPr>
            </w:pPr>
            <w:r>
              <w:rPr>
                <w:rFonts w:hint="eastAsia"/>
                <w:color w:val="auto"/>
                <w:kern w:val="0"/>
                <w:sz w:val="22"/>
                <w:szCs w:val="22"/>
                <w:highlight w:val="none"/>
                <w:lang w:val="en-US" w:eastAsia="zh-CN" w:bidi="ar"/>
              </w:rPr>
              <w:t>***</w:t>
            </w:r>
          </w:p>
        </w:tc>
        <w:tc>
          <w:tcPr>
            <w:tcW w:w="835" w:type="dxa"/>
            <w:vMerge w:val="continue"/>
            <w:tcBorders>
              <w:top w:val="nil"/>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1776" w:type="dxa"/>
            <w:vMerge w:val="continue"/>
            <w:tcBorders>
              <w:top w:val="nil"/>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c>
          <w:tcPr>
            <w:tcW w:w="1486" w:type="dxa"/>
            <w:vMerge w:val="continue"/>
            <w:tcBorders>
              <w:left w:val="single" w:color="000000" w:sz="4" w:space="0"/>
              <w:bottom w:val="single" w:color="000000" w:sz="4" w:space="0"/>
              <w:right w:val="single" w:color="000000" w:sz="4" w:space="0"/>
              <w:tl2br w:val="nil"/>
              <w:tr2bl w:val="nil"/>
            </w:tcBorders>
            <w:noWrap w:val="0"/>
            <w:vAlign w:val="center"/>
          </w:tcPr>
          <w:p>
            <w:pPr>
              <w:keepNext w:val="0"/>
              <w:keepLines w:val="0"/>
              <w:widowControl/>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rPr>
            </w:pPr>
          </w:p>
        </w:tc>
      </w:tr>
    </w:tbl>
    <w:p>
      <w:pPr>
        <w:spacing w:beforeLines="0" w:afterLines="0" w:line="240" w:lineRule="auto"/>
        <w:ind w:firstLine="520"/>
        <w:rPr>
          <w:rFonts w:hint="default"/>
          <w:color w:val="auto"/>
          <w:sz w:val="26"/>
          <w:szCs w:val="22"/>
          <w:highlight w:val="none"/>
        </w:rPr>
      </w:pPr>
    </w:p>
    <w:p>
      <w:pPr>
        <w:spacing w:beforeLines="0" w:afterLines="0" w:line="480" w:lineRule="exact"/>
        <w:ind w:firstLine="520"/>
        <w:rPr>
          <w:rFonts w:hint="default"/>
          <w:color w:val="auto"/>
          <w:sz w:val="26"/>
          <w:szCs w:val="22"/>
          <w:highlight w:val="none"/>
        </w:rPr>
      </w:pPr>
      <w:r>
        <w:rPr>
          <w:rFonts w:hint="default"/>
          <w:color w:val="auto"/>
          <w:sz w:val="26"/>
          <w:szCs w:val="22"/>
          <w:highlight w:val="none"/>
        </w:rPr>
        <w:t>根据野外动物资源调查和文献资料统计结果显示，</w:t>
      </w:r>
      <w:r>
        <w:rPr>
          <w:rFonts w:hint="eastAsia"/>
          <w:color w:val="auto"/>
          <w:sz w:val="26"/>
          <w:szCs w:val="22"/>
          <w:highlight w:val="none"/>
          <w:lang w:val="en-US" w:eastAsia="zh-CN"/>
        </w:rPr>
        <w:t>湿地公园生境类型与项目评价区类似，分布的动物种类与项目评价区无明显差异。可能分布的重点保护动物包括国家二级重点保护野生动物2种，即普通鵟、游隼，重庆市级重点保护野生动物共7种，即黑眉锦蛇、乌梢蛇、小</w:t>
      </w:r>
      <w:r>
        <w:rPr>
          <w:rFonts w:hint="eastAsia"/>
          <w:color w:val="auto"/>
          <w:sz w:val="26"/>
          <w:szCs w:val="22"/>
          <w:highlight w:val="none"/>
          <w:shd w:val="clear" w:fill="FFFFFF"/>
          <w:lang w:val="en-US" w:eastAsia="zh-CN"/>
        </w:rPr>
        <w:t>鸊鷉</w:t>
      </w:r>
      <w:r>
        <w:rPr>
          <w:rFonts w:hint="eastAsia"/>
          <w:color w:val="auto"/>
          <w:sz w:val="26"/>
          <w:szCs w:val="22"/>
          <w:highlight w:val="none"/>
          <w:lang w:val="en-US" w:eastAsia="zh-CN"/>
        </w:rPr>
        <w:t>、普通鸬鹚、灰胸竹鸡、四声杜鹃、黄鼬等。</w:t>
      </w:r>
    </w:p>
    <w:p>
      <w:pPr>
        <w:spacing w:beforeLines="0" w:afterLines="0" w:line="480" w:lineRule="exact"/>
        <w:ind w:firstLine="520"/>
        <w:rPr>
          <w:rFonts w:hint="default" w:eastAsia="宋体"/>
          <w:color w:val="auto"/>
          <w:sz w:val="26"/>
          <w:szCs w:val="22"/>
          <w:highlight w:val="none"/>
          <w:lang w:val="en-US" w:eastAsia="zh-CN"/>
        </w:rPr>
      </w:pPr>
      <w:r>
        <w:rPr>
          <w:rFonts w:hint="eastAsia"/>
          <w:color w:val="auto"/>
          <w:sz w:val="26"/>
          <w:szCs w:val="22"/>
          <w:highlight w:val="none"/>
          <w:lang w:val="en-US" w:eastAsia="zh-CN"/>
        </w:rPr>
        <w:t>③ 水生生态现状</w:t>
      </w:r>
    </w:p>
    <w:p>
      <w:pPr>
        <w:spacing w:beforeLines="0" w:afterLines="0" w:line="480" w:lineRule="exact"/>
        <w:ind w:firstLine="520"/>
        <w:rPr>
          <w:rFonts w:hint="default" w:eastAsia="宋体"/>
          <w:color w:val="auto"/>
          <w:sz w:val="26"/>
          <w:szCs w:val="22"/>
          <w:highlight w:val="none"/>
          <w:lang w:val="en-US" w:eastAsia="zh-CN"/>
        </w:rPr>
      </w:pPr>
      <w:r>
        <w:rPr>
          <w:rFonts w:hint="eastAsia"/>
          <w:color w:val="auto"/>
          <w:sz w:val="26"/>
          <w:szCs w:val="22"/>
          <w:highlight w:val="none"/>
          <w:lang w:val="en-US" w:eastAsia="zh-CN"/>
        </w:rPr>
        <w:t>根据</w:t>
      </w:r>
      <w:r>
        <w:rPr>
          <w:rFonts w:hint="default"/>
          <w:color w:val="auto"/>
          <w:sz w:val="26"/>
          <w:szCs w:val="22"/>
          <w:highlight w:val="none"/>
        </w:rPr>
        <w:t>《涪江渭沱枢纽船闸扩能升级改造工程水生生物影响专题论证报告》</w:t>
      </w:r>
      <w:r>
        <w:rPr>
          <w:rFonts w:hint="eastAsia"/>
          <w:color w:val="auto"/>
          <w:sz w:val="26"/>
          <w:szCs w:val="22"/>
          <w:highlight w:val="none"/>
          <w:lang w:eastAsia="zh-CN"/>
        </w:rPr>
        <w:t>，</w:t>
      </w:r>
      <w:r>
        <w:rPr>
          <w:rFonts w:hint="eastAsia"/>
          <w:color w:val="auto"/>
          <w:sz w:val="26"/>
          <w:szCs w:val="22"/>
          <w:highlight w:val="none"/>
          <w:lang w:val="en-US" w:eastAsia="zh-CN"/>
        </w:rPr>
        <w:t>采用资料、现场调查和eDNA相结合的方法调查水生生态现状，其中现场调查在渭沱库区尾段、中段、首段设置3个监测断面，渭沱坝下设置1个监测断面（位于湿地公园）。根据调查，渭沱坝下的浮游植物、浮游动物的密度和生物量整体略高于上游；底栖动物和鱼类资源种类和数量没有明显差异，国家二级重点保护鱼类主要有胭脂鱼和岩原鲤。</w:t>
      </w:r>
    </w:p>
    <w:p>
      <w:pPr>
        <w:spacing w:beforeLines="0" w:afterLines="0" w:line="480" w:lineRule="exact"/>
        <w:ind w:firstLine="520"/>
        <w:rPr>
          <w:rFonts w:hint="default" w:eastAsia="宋体"/>
          <w:color w:val="auto"/>
          <w:sz w:val="26"/>
          <w:szCs w:val="22"/>
          <w:highlight w:val="none"/>
          <w:lang w:val="en-US" w:eastAsia="zh-CN"/>
        </w:rPr>
      </w:pPr>
      <w:r>
        <w:rPr>
          <w:rFonts w:hint="eastAsia"/>
          <w:color w:val="auto"/>
          <w:sz w:val="26"/>
          <w:szCs w:val="22"/>
          <w:highlight w:val="none"/>
          <w:lang w:val="en-US" w:eastAsia="zh-CN"/>
        </w:rPr>
        <w:t>④ 生态系统现状</w:t>
      </w:r>
    </w:p>
    <w:p>
      <w:pPr>
        <w:spacing w:beforeLines="0" w:afterLines="0" w:line="480" w:lineRule="exact"/>
        <w:ind w:firstLine="520"/>
        <w:rPr>
          <w:rFonts w:hint="eastAsia"/>
          <w:color w:val="auto"/>
          <w:sz w:val="26"/>
          <w:szCs w:val="22"/>
          <w:highlight w:val="none"/>
          <w:lang w:val="en-US" w:eastAsia="zh-CN"/>
        </w:rPr>
      </w:pPr>
      <w:r>
        <w:rPr>
          <w:rFonts w:hint="eastAsia"/>
          <w:color w:val="auto"/>
          <w:sz w:val="26"/>
          <w:szCs w:val="22"/>
          <w:highlight w:val="none"/>
          <w:lang w:val="en-US" w:eastAsia="zh-CN"/>
        </w:rPr>
        <w:t>重庆合川三江国家湿地公园是典型的河流-库塘复合湿地系统，按照《全国生态状况调查评估技术规范——生态系统遥感解译与野外核查》（HJ1166——2021）要求，基于高空间分辨率遥感影像以及野外核查点位照片，将评价区湿地公园范围生态系统分为森林生态系统、灌丛生态系统、湿地生态系统、农田生态系统、城镇生态系统等五大类，各生态系统的分布面积见下表，其中湿地生态系统占绝对优势。</w:t>
      </w:r>
    </w:p>
    <w:p>
      <w:pPr>
        <w:spacing w:beforeLines="0" w:afterLines="0" w:line="480" w:lineRule="exact"/>
        <w:ind w:firstLine="520"/>
        <w:rPr>
          <w:rFonts w:hint="eastAsia"/>
          <w:color w:val="auto"/>
          <w:sz w:val="26"/>
          <w:szCs w:val="22"/>
          <w:highlight w:val="none"/>
          <w:lang w:val="en-US" w:eastAsia="zh-CN"/>
        </w:rPr>
      </w:pPr>
    </w:p>
    <w:p>
      <w:pPr>
        <w:spacing w:beforeLines="0" w:afterLines="0" w:line="480" w:lineRule="exact"/>
        <w:ind w:firstLine="0" w:firstLineChars="0"/>
        <w:jc w:val="center"/>
        <w:rPr>
          <w:rFonts w:hint="eastAsia"/>
          <w:color w:val="auto"/>
          <w:sz w:val="26"/>
          <w:szCs w:val="22"/>
          <w:highlight w:val="none"/>
          <w:lang w:val="en-US" w:eastAsia="zh-CN"/>
        </w:rPr>
      </w:pPr>
    </w:p>
    <w:p>
      <w:pPr>
        <w:spacing w:beforeLines="0" w:afterLines="0" w:line="240" w:lineRule="auto"/>
        <w:ind w:firstLine="0" w:firstLineChars="0"/>
        <w:jc w:val="center"/>
        <w:rPr>
          <w:rFonts w:hint="eastAsia"/>
          <w:color w:val="auto"/>
          <w:sz w:val="26"/>
          <w:szCs w:val="22"/>
          <w:highlight w:val="none"/>
          <w:lang w:val="en-US" w:eastAsia="zh-CN"/>
        </w:rPr>
      </w:pPr>
      <w:r>
        <w:rPr>
          <w:rFonts w:hint="eastAsia"/>
          <w:color w:val="auto"/>
          <w:sz w:val="26"/>
          <w:szCs w:val="22"/>
          <w:highlight w:val="none"/>
          <w:lang w:val="en-US" w:eastAsia="zh-CN"/>
        </w:rPr>
        <w:t>表4.1.3.1-3  评价范围主要生态系统类型表</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952"/>
        <w:gridCol w:w="2940"/>
        <w:gridCol w:w="2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530"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生态系统类型</w:t>
            </w:r>
          </w:p>
        </w:tc>
        <w:tc>
          <w:tcPr>
            <w:tcW w:w="1530"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面积（hm</w:t>
            </w:r>
            <w:r>
              <w:rPr>
                <w:rFonts w:hint="eastAsia"/>
                <w:color w:val="auto"/>
                <w:sz w:val="22"/>
                <w:szCs w:val="22"/>
                <w:highlight w:val="none"/>
                <w:vertAlign w:val="superscript"/>
                <w:lang w:val="en-US" w:eastAsia="zh-CN"/>
              </w:rPr>
              <w:t>2</w:t>
            </w:r>
            <w:r>
              <w:rPr>
                <w:rFonts w:hint="eastAsia"/>
                <w:color w:val="auto"/>
                <w:sz w:val="22"/>
                <w:szCs w:val="22"/>
                <w:highlight w:val="none"/>
                <w:lang w:val="en-US" w:eastAsia="zh-CN"/>
              </w:rPr>
              <w:t>）</w:t>
            </w:r>
          </w:p>
        </w:tc>
        <w:tc>
          <w:tcPr>
            <w:tcW w:w="1530"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2952"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湿地生态系统</w:t>
            </w:r>
          </w:p>
        </w:tc>
        <w:tc>
          <w:tcPr>
            <w:tcW w:w="2940"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91.2899</w:t>
            </w:r>
          </w:p>
        </w:tc>
        <w:tc>
          <w:tcPr>
            <w:tcW w:w="2941"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86.24%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2952"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森林生态系统</w:t>
            </w:r>
          </w:p>
        </w:tc>
        <w:tc>
          <w:tcPr>
            <w:tcW w:w="2940"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6.9261</w:t>
            </w:r>
          </w:p>
        </w:tc>
        <w:tc>
          <w:tcPr>
            <w:tcW w:w="2941"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6.54%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2952"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农田生态系统</w:t>
            </w:r>
          </w:p>
        </w:tc>
        <w:tc>
          <w:tcPr>
            <w:tcW w:w="2940"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5.8326</w:t>
            </w:r>
          </w:p>
        </w:tc>
        <w:tc>
          <w:tcPr>
            <w:tcW w:w="2941"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5.51%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2"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城镇生态系统</w:t>
            </w:r>
          </w:p>
        </w:tc>
        <w:tc>
          <w:tcPr>
            <w:tcW w:w="2940"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0.9401</w:t>
            </w:r>
          </w:p>
        </w:tc>
        <w:tc>
          <w:tcPr>
            <w:tcW w:w="2941"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2"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灌丛生态系统</w:t>
            </w:r>
          </w:p>
        </w:tc>
        <w:tc>
          <w:tcPr>
            <w:tcW w:w="2940"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0.8708</w:t>
            </w:r>
          </w:p>
        </w:tc>
        <w:tc>
          <w:tcPr>
            <w:tcW w:w="2941" w:type="dxa"/>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0.82%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总计</w:t>
            </w:r>
          </w:p>
        </w:tc>
        <w:tc>
          <w:tcPr>
            <w:tcW w:w="0" w:type="auto"/>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105.8595</w:t>
            </w:r>
          </w:p>
        </w:tc>
        <w:tc>
          <w:tcPr>
            <w:tcW w:w="0" w:type="auto"/>
            <w:shd w:val="clear" w:color="DDEBF7" w:fill="FFFFFF" w:themeFill="background1"/>
            <w:noWrap/>
            <w:vAlign w:val="center"/>
          </w:tcPr>
          <w:p>
            <w:pPr>
              <w:keepNext w:val="0"/>
              <w:keepLines w:val="0"/>
              <w:suppressLineNumbers w:val="0"/>
              <w:adjustRightInd w:val="0"/>
              <w:snapToGrid w:val="0"/>
              <w:spacing w:before="0" w:beforeLines="0" w:beforeAutospacing="0" w:after="0" w:afterLines="0" w:afterAutospacing="0" w:line="240" w:lineRule="auto"/>
              <w:ind w:left="0" w:right="0"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100.00%</w:t>
            </w:r>
          </w:p>
        </w:tc>
      </w:tr>
    </w:tbl>
    <w:p>
      <w:pPr>
        <w:spacing w:beforeLines="0" w:afterLines="0" w:line="240" w:lineRule="auto"/>
        <w:ind w:firstLine="520"/>
        <w:rPr>
          <w:rFonts w:hint="default"/>
          <w:color w:val="auto"/>
          <w:sz w:val="26"/>
          <w:szCs w:val="22"/>
          <w:highlight w:val="none"/>
        </w:rPr>
      </w:pPr>
    </w:p>
    <w:p>
      <w:pPr>
        <w:pStyle w:val="6"/>
        <w:spacing w:beforeLines="0" w:afterLines="0"/>
        <w:ind w:left="0" w:firstLine="522"/>
        <w:rPr>
          <w:rFonts w:hint="eastAsia"/>
          <w:color w:val="auto"/>
          <w:sz w:val="26"/>
          <w:szCs w:val="26"/>
          <w:highlight w:val="none"/>
        </w:rPr>
      </w:pPr>
      <w:r>
        <w:rPr>
          <w:rFonts w:hint="eastAsia"/>
          <w:color w:val="auto"/>
          <w:sz w:val="26"/>
          <w:szCs w:val="26"/>
          <w:highlight w:val="none"/>
        </w:rPr>
        <w:t>工程与重庆合川三江国家湿地公园位置关系</w:t>
      </w:r>
    </w:p>
    <w:p>
      <w:pPr>
        <w:spacing w:line="460" w:lineRule="exact"/>
        <w:ind w:firstLine="520"/>
        <w:rPr>
          <w:rFonts w:hint="eastAsia"/>
          <w:snapToGrid w:val="0"/>
          <w:color w:val="auto"/>
          <w:sz w:val="26"/>
          <w:szCs w:val="28"/>
          <w:highlight w:val="none"/>
        </w:rPr>
      </w:pPr>
      <w:r>
        <w:rPr>
          <w:rFonts w:hint="eastAsia"/>
          <w:color w:val="auto"/>
          <w:sz w:val="26"/>
          <w:szCs w:val="22"/>
          <w:highlight w:val="none"/>
        </w:rPr>
        <w:t>根据叠图，项目涉及重庆合川三江国家湿地公园内的工程为船闸工程、航道整治工程（包括疏浚、下游切咀）、鱼道工程、辅助工程（包括锚地等）和部分临时工程（围堰），拟占用湿地公园面积约7.4678hm</w:t>
      </w:r>
      <w:r>
        <w:rPr>
          <w:rFonts w:hint="default"/>
          <w:color w:val="auto"/>
          <w:sz w:val="26"/>
          <w:szCs w:val="22"/>
          <w:highlight w:val="none"/>
          <w:vertAlign w:val="superscript"/>
        </w:rPr>
        <w:t>2</w:t>
      </w:r>
      <w:r>
        <w:rPr>
          <w:rFonts w:hint="eastAsia"/>
          <w:color w:val="auto"/>
          <w:sz w:val="26"/>
          <w:szCs w:val="22"/>
          <w:highlight w:val="none"/>
        </w:rPr>
        <w:t>，其中按占地性质分，项目永久占地2.2218h</w:t>
      </w:r>
      <w:r>
        <w:rPr>
          <w:rFonts w:hint="default"/>
          <w:snapToGrid w:val="0"/>
          <w:color w:val="auto"/>
          <w:sz w:val="26"/>
          <w:szCs w:val="28"/>
          <w:highlight w:val="none"/>
        </w:rPr>
        <w:t>m</w:t>
      </w:r>
      <w:r>
        <w:rPr>
          <w:rFonts w:hint="default"/>
          <w:snapToGrid w:val="0"/>
          <w:color w:val="auto"/>
          <w:sz w:val="26"/>
          <w:szCs w:val="28"/>
          <w:highlight w:val="none"/>
          <w:vertAlign w:val="superscript"/>
        </w:rPr>
        <w:t>2</w:t>
      </w:r>
      <w:r>
        <w:rPr>
          <w:rFonts w:hint="eastAsia"/>
          <w:snapToGrid w:val="0"/>
          <w:color w:val="auto"/>
          <w:sz w:val="26"/>
          <w:szCs w:val="28"/>
          <w:highlight w:val="none"/>
        </w:rPr>
        <w:t>，临时占地5.2460</w:t>
      </w:r>
      <w:r>
        <w:rPr>
          <w:rFonts w:hint="eastAsia"/>
          <w:color w:val="auto"/>
          <w:sz w:val="26"/>
          <w:szCs w:val="22"/>
          <w:highlight w:val="none"/>
        </w:rPr>
        <w:t>h</w:t>
      </w:r>
      <w:r>
        <w:rPr>
          <w:rFonts w:hint="default"/>
          <w:snapToGrid w:val="0"/>
          <w:color w:val="auto"/>
          <w:sz w:val="26"/>
          <w:szCs w:val="28"/>
          <w:highlight w:val="none"/>
        </w:rPr>
        <w:t>m</w:t>
      </w:r>
      <w:r>
        <w:rPr>
          <w:rFonts w:hint="default"/>
          <w:snapToGrid w:val="0"/>
          <w:color w:val="auto"/>
          <w:sz w:val="26"/>
          <w:szCs w:val="28"/>
          <w:highlight w:val="none"/>
          <w:vertAlign w:val="superscript"/>
        </w:rPr>
        <w:t>2</w:t>
      </w:r>
      <w:r>
        <w:rPr>
          <w:rFonts w:hint="eastAsia"/>
          <w:snapToGrid w:val="0"/>
          <w:color w:val="auto"/>
          <w:sz w:val="26"/>
          <w:szCs w:val="28"/>
          <w:highlight w:val="none"/>
        </w:rPr>
        <w:t>；按占用湿地公园功能分区分，占用保护保育区4.9715</w:t>
      </w:r>
      <w:r>
        <w:rPr>
          <w:rFonts w:hint="eastAsia"/>
          <w:color w:val="auto"/>
          <w:sz w:val="26"/>
          <w:szCs w:val="22"/>
          <w:highlight w:val="none"/>
        </w:rPr>
        <w:t>hm</w:t>
      </w:r>
      <w:r>
        <w:rPr>
          <w:rFonts w:hint="default"/>
          <w:color w:val="auto"/>
          <w:sz w:val="26"/>
          <w:szCs w:val="22"/>
          <w:highlight w:val="none"/>
          <w:vertAlign w:val="superscript"/>
        </w:rPr>
        <w:t>2</w:t>
      </w:r>
      <w:r>
        <w:rPr>
          <w:rFonts w:hint="eastAsia"/>
          <w:snapToGrid w:val="0"/>
          <w:color w:val="auto"/>
          <w:sz w:val="26"/>
          <w:szCs w:val="28"/>
          <w:highlight w:val="none"/>
        </w:rPr>
        <w:t>，恢复重建区2.4963</w:t>
      </w:r>
      <w:r>
        <w:rPr>
          <w:rFonts w:hint="eastAsia"/>
          <w:color w:val="auto"/>
          <w:sz w:val="26"/>
          <w:szCs w:val="22"/>
          <w:highlight w:val="none"/>
        </w:rPr>
        <w:t>h</w:t>
      </w:r>
      <w:r>
        <w:rPr>
          <w:rFonts w:hint="default"/>
          <w:snapToGrid w:val="0"/>
          <w:color w:val="auto"/>
          <w:sz w:val="26"/>
          <w:szCs w:val="28"/>
          <w:highlight w:val="none"/>
        </w:rPr>
        <w:t>m</w:t>
      </w:r>
      <w:r>
        <w:rPr>
          <w:rFonts w:hint="default"/>
          <w:snapToGrid w:val="0"/>
          <w:color w:val="auto"/>
          <w:sz w:val="26"/>
          <w:szCs w:val="28"/>
          <w:highlight w:val="none"/>
          <w:vertAlign w:val="superscript"/>
        </w:rPr>
        <w:t>2</w:t>
      </w:r>
      <w:r>
        <w:rPr>
          <w:rFonts w:hint="eastAsia"/>
          <w:snapToGrid w:val="0"/>
          <w:color w:val="auto"/>
          <w:sz w:val="26"/>
          <w:szCs w:val="28"/>
          <w:highlight w:val="none"/>
        </w:rPr>
        <w:t>；按地类分，河流水面4.9317</w:t>
      </w:r>
      <w:r>
        <w:rPr>
          <w:rFonts w:hint="eastAsia"/>
          <w:color w:val="auto"/>
          <w:sz w:val="26"/>
          <w:szCs w:val="22"/>
          <w:highlight w:val="none"/>
        </w:rPr>
        <w:t>h</w:t>
      </w:r>
      <w:r>
        <w:rPr>
          <w:rFonts w:hint="default"/>
          <w:snapToGrid w:val="0"/>
          <w:color w:val="auto"/>
          <w:sz w:val="26"/>
          <w:szCs w:val="28"/>
          <w:highlight w:val="none"/>
        </w:rPr>
        <w:t>m</w:t>
      </w:r>
      <w:r>
        <w:rPr>
          <w:rFonts w:hint="default"/>
          <w:snapToGrid w:val="0"/>
          <w:color w:val="auto"/>
          <w:sz w:val="26"/>
          <w:szCs w:val="28"/>
          <w:highlight w:val="none"/>
          <w:vertAlign w:val="superscript"/>
        </w:rPr>
        <w:t>2</w:t>
      </w:r>
      <w:r>
        <w:rPr>
          <w:rFonts w:hint="eastAsia"/>
          <w:snapToGrid w:val="0"/>
          <w:color w:val="auto"/>
          <w:sz w:val="26"/>
          <w:szCs w:val="28"/>
          <w:highlight w:val="none"/>
        </w:rPr>
        <w:t>，果园1.2243</w:t>
      </w:r>
      <w:r>
        <w:rPr>
          <w:rFonts w:hint="eastAsia"/>
          <w:color w:val="auto"/>
          <w:sz w:val="26"/>
          <w:szCs w:val="22"/>
          <w:highlight w:val="none"/>
        </w:rPr>
        <w:t>h</w:t>
      </w:r>
      <w:r>
        <w:rPr>
          <w:rFonts w:hint="default"/>
          <w:snapToGrid w:val="0"/>
          <w:color w:val="auto"/>
          <w:sz w:val="26"/>
          <w:szCs w:val="28"/>
          <w:highlight w:val="none"/>
        </w:rPr>
        <w:t>m</w:t>
      </w:r>
      <w:r>
        <w:rPr>
          <w:rFonts w:hint="default"/>
          <w:snapToGrid w:val="0"/>
          <w:color w:val="auto"/>
          <w:sz w:val="26"/>
          <w:szCs w:val="28"/>
          <w:highlight w:val="none"/>
          <w:vertAlign w:val="superscript"/>
        </w:rPr>
        <w:t>2</w:t>
      </w:r>
      <w:r>
        <w:rPr>
          <w:rFonts w:hint="eastAsia"/>
          <w:snapToGrid w:val="0"/>
          <w:color w:val="auto"/>
          <w:sz w:val="26"/>
          <w:szCs w:val="28"/>
          <w:highlight w:val="none"/>
        </w:rPr>
        <w:t>，旱地0.5627</w:t>
      </w:r>
      <w:r>
        <w:rPr>
          <w:rFonts w:hint="eastAsia"/>
          <w:color w:val="auto"/>
          <w:sz w:val="26"/>
          <w:szCs w:val="22"/>
          <w:highlight w:val="none"/>
        </w:rPr>
        <w:t>h</w:t>
      </w:r>
      <w:r>
        <w:rPr>
          <w:rFonts w:hint="default"/>
          <w:snapToGrid w:val="0"/>
          <w:color w:val="auto"/>
          <w:sz w:val="26"/>
          <w:szCs w:val="28"/>
          <w:highlight w:val="none"/>
        </w:rPr>
        <w:t>m</w:t>
      </w:r>
      <w:r>
        <w:rPr>
          <w:rFonts w:hint="default"/>
          <w:snapToGrid w:val="0"/>
          <w:color w:val="auto"/>
          <w:sz w:val="26"/>
          <w:szCs w:val="28"/>
          <w:highlight w:val="none"/>
          <w:vertAlign w:val="superscript"/>
        </w:rPr>
        <w:t>2</w:t>
      </w:r>
      <w:r>
        <w:rPr>
          <w:rFonts w:hint="eastAsia"/>
          <w:snapToGrid w:val="0"/>
          <w:color w:val="auto"/>
          <w:sz w:val="26"/>
          <w:szCs w:val="28"/>
          <w:highlight w:val="none"/>
        </w:rPr>
        <w:t>，公用设施用地0.4164</w:t>
      </w:r>
      <w:r>
        <w:rPr>
          <w:rFonts w:hint="eastAsia"/>
          <w:color w:val="auto"/>
          <w:sz w:val="26"/>
          <w:szCs w:val="22"/>
          <w:highlight w:val="none"/>
        </w:rPr>
        <w:t>h</w:t>
      </w:r>
      <w:r>
        <w:rPr>
          <w:rFonts w:hint="default"/>
          <w:snapToGrid w:val="0"/>
          <w:color w:val="auto"/>
          <w:sz w:val="26"/>
          <w:szCs w:val="28"/>
          <w:highlight w:val="none"/>
        </w:rPr>
        <w:t>m</w:t>
      </w:r>
      <w:r>
        <w:rPr>
          <w:rFonts w:hint="default"/>
          <w:snapToGrid w:val="0"/>
          <w:color w:val="auto"/>
          <w:sz w:val="26"/>
          <w:szCs w:val="28"/>
          <w:highlight w:val="none"/>
          <w:vertAlign w:val="superscript"/>
        </w:rPr>
        <w:t>2</w:t>
      </w:r>
      <w:r>
        <w:rPr>
          <w:rFonts w:hint="eastAsia"/>
          <w:snapToGrid w:val="0"/>
          <w:color w:val="auto"/>
          <w:sz w:val="26"/>
          <w:szCs w:val="28"/>
          <w:highlight w:val="none"/>
        </w:rPr>
        <w:t>，内陆滩涂0.1863</w:t>
      </w:r>
      <w:r>
        <w:rPr>
          <w:rFonts w:hint="eastAsia"/>
          <w:color w:val="auto"/>
          <w:sz w:val="26"/>
          <w:szCs w:val="22"/>
          <w:highlight w:val="none"/>
        </w:rPr>
        <w:t>h</w:t>
      </w:r>
      <w:r>
        <w:rPr>
          <w:rFonts w:hint="default"/>
          <w:snapToGrid w:val="0"/>
          <w:color w:val="auto"/>
          <w:sz w:val="26"/>
          <w:szCs w:val="28"/>
          <w:highlight w:val="none"/>
        </w:rPr>
        <w:t>m</w:t>
      </w:r>
      <w:r>
        <w:rPr>
          <w:rFonts w:hint="default"/>
          <w:snapToGrid w:val="0"/>
          <w:color w:val="auto"/>
          <w:sz w:val="26"/>
          <w:szCs w:val="28"/>
          <w:highlight w:val="none"/>
          <w:vertAlign w:val="superscript"/>
        </w:rPr>
        <w:t>2</w:t>
      </w:r>
      <w:r>
        <w:rPr>
          <w:rFonts w:hint="eastAsia"/>
          <w:snapToGrid w:val="0"/>
          <w:color w:val="auto"/>
          <w:sz w:val="26"/>
          <w:szCs w:val="28"/>
          <w:highlight w:val="none"/>
        </w:rPr>
        <w:t>，其他林地0.0550</w:t>
      </w:r>
      <w:r>
        <w:rPr>
          <w:rFonts w:hint="eastAsia"/>
          <w:color w:val="auto"/>
          <w:sz w:val="26"/>
          <w:szCs w:val="22"/>
          <w:highlight w:val="none"/>
        </w:rPr>
        <w:t>h</w:t>
      </w:r>
      <w:r>
        <w:rPr>
          <w:rFonts w:hint="default"/>
          <w:snapToGrid w:val="0"/>
          <w:color w:val="auto"/>
          <w:sz w:val="26"/>
          <w:szCs w:val="28"/>
          <w:highlight w:val="none"/>
        </w:rPr>
        <w:t>m</w:t>
      </w:r>
      <w:r>
        <w:rPr>
          <w:rFonts w:hint="default"/>
          <w:snapToGrid w:val="0"/>
          <w:color w:val="auto"/>
          <w:sz w:val="26"/>
          <w:szCs w:val="28"/>
          <w:highlight w:val="none"/>
          <w:vertAlign w:val="superscript"/>
        </w:rPr>
        <w:t>2</w:t>
      </w:r>
      <w:r>
        <w:rPr>
          <w:rFonts w:hint="eastAsia"/>
          <w:snapToGrid w:val="0"/>
          <w:color w:val="auto"/>
          <w:sz w:val="26"/>
          <w:szCs w:val="28"/>
          <w:highlight w:val="none"/>
        </w:rPr>
        <w:t>，竹林地0.0479</w:t>
      </w:r>
      <w:r>
        <w:rPr>
          <w:rFonts w:hint="eastAsia"/>
          <w:color w:val="auto"/>
          <w:sz w:val="26"/>
          <w:szCs w:val="22"/>
          <w:highlight w:val="none"/>
        </w:rPr>
        <w:t>h</w:t>
      </w:r>
      <w:r>
        <w:rPr>
          <w:rFonts w:hint="default"/>
          <w:snapToGrid w:val="0"/>
          <w:color w:val="auto"/>
          <w:sz w:val="26"/>
          <w:szCs w:val="28"/>
          <w:highlight w:val="none"/>
        </w:rPr>
        <w:t>m</w:t>
      </w:r>
      <w:r>
        <w:rPr>
          <w:rFonts w:hint="default"/>
          <w:snapToGrid w:val="0"/>
          <w:color w:val="auto"/>
          <w:sz w:val="26"/>
          <w:szCs w:val="28"/>
          <w:highlight w:val="none"/>
          <w:vertAlign w:val="superscript"/>
        </w:rPr>
        <w:t>2</w:t>
      </w:r>
      <w:r>
        <w:rPr>
          <w:rFonts w:hint="eastAsia"/>
          <w:snapToGrid w:val="0"/>
          <w:color w:val="auto"/>
          <w:sz w:val="26"/>
          <w:szCs w:val="28"/>
          <w:highlight w:val="none"/>
        </w:rPr>
        <w:t>，农村道路0.0301</w:t>
      </w:r>
      <w:r>
        <w:rPr>
          <w:rFonts w:hint="eastAsia"/>
          <w:color w:val="auto"/>
          <w:sz w:val="26"/>
          <w:szCs w:val="22"/>
          <w:highlight w:val="none"/>
        </w:rPr>
        <w:t>h</w:t>
      </w:r>
      <w:r>
        <w:rPr>
          <w:rFonts w:hint="default"/>
          <w:snapToGrid w:val="0"/>
          <w:color w:val="auto"/>
          <w:sz w:val="26"/>
          <w:szCs w:val="28"/>
          <w:highlight w:val="none"/>
        </w:rPr>
        <w:t>m</w:t>
      </w:r>
      <w:r>
        <w:rPr>
          <w:rFonts w:hint="default"/>
          <w:snapToGrid w:val="0"/>
          <w:color w:val="auto"/>
          <w:sz w:val="26"/>
          <w:szCs w:val="28"/>
          <w:highlight w:val="none"/>
          <w:vertAlign w:val="superscript"/>
        </w:rPr>
        <w:t>2</w:t>
      </w:r>
      <w:r>
        <w:rPr>
          <w:rFonts w:hint="eastAsia"/>
          <w:snapToGrid w:val="0"/>
          <w:color w:val="auto"/>
          <w:sz w:val="26"/>
          <w:szCs w:val="28"/>
          <w:highlight w:val="none"/>
        </w:rPr>
        <w:t>，灌木林地0.0133</w:t>
      </w:r>
      <w:r>
        <w:rPr>
          <w:rFonts w:hint="eastAsia"/>
          <w:color w:val="auto"/>
          <w:sz w:val="26"/>
          <w:szCs w:val="22"/>
          <w:highlight w:val="none"/>
        </w:rPr>
        <w:t>h</w:t>
      </w:r>
      <w:r>
        <w:rPr>
          <w:rFonts w:hint="default"/>
          <w:snapToGrid w:val="0"/>
          <w:color w:val="auto"/>
          <w:sz w:val="26"/>
          <w:szCs w:val="28"/>
          <w:highlight w:val="none"/>
        </w:rPr>
        <w:t>m</w:t>
      </w:r>
      <w:r>
        <w:rPr>
          <w:rFonts w:hint="default"/>
          <w:snapToGrid w:val="0"/>
          <w:color w:val="auto"/>
          <w:sz w:val="26"/>
          <w:szCs w:val="28"/>
          <w:highlight w:val="none"/>
          <w:vertAlign w:val="superscript"/>
        </w:rPr>
        <w:t>2</w:t>
      </w:r>
      <w:r>
        <w:rPr>
          <w:rFonts w:hint="eastAsia"/>
          <w:color w:val="auto"/>
          <w:sz w:val="26"/>
          <w:szCs w:val="22"/>
          <w:highlight w:val="none"/>
        </w:rPr>
        <w:t>。</w:t>
      </w:r>
    </w:p>
    <w:p>
      <w:pPr>
        <w:spacing w:line="460" w:lineRule="exact"/>
        <w:ind w:firstLine="520"/>
        <w:rPr>
          <w:rFonts w:hint="default"/>
          <w:color w:val="auto"/>
          <w:sz w:val="26"/>
          <w:szCs w:val="22"/>
          <w:highlight w:val="none"/>
        </w:rPr>
      </w:pPr>
      <w:r>
        <w:rPr>
          <w:rFonts w:hint="eastAsia"/>
          <w:color w:val="auto"/>
          <w:sz w:val="26"/>
          <w:szCs w:val="22"/>
          <w:highlight w:val="none"/>
        </w:rPr>
        <w:t>工程与湿地公园的位置关系见附图，占地情况具体见下表。</w:t>
      </w:r>
    </w:p>
    <w:p>
      <w:pPr>
        <w:pStyle w:val="216"/>
        <w:rPr>
          <w:rFonts w:hint="default"/>
          <w:color w:val="auto"/>
          <w:sz w:val="26"/>
          <w:szCs w:val="28"/>
          <w:highlight w:val="none"/>
        </w:rPr>
      </w:pPr>
    </w:p>
    <w:p>
      <w:pPr>
        <w:spacing w:line="460" w:lineRule="exact"/>
        <w:ind w:firstLine="0" w:firstLineChars="0"/>
        <w:jc w:val="center"/>
        <w:rPr>
          <w:rFonts w:hint="default"/>
          <w:color w:val="auto"/>
          <w:sz w:val="26"/>
          <w:szCs w:val="22"/>
          <w:highlight w:val="none"/>
        </w:rPr>
      </w:pPr>
      <w:r>
        <w:rPr>
          <w:rFonts w:hint="eastAsia"/>
          <w:color w:val="auto"/>
          <w:sz w:val="26"/>
          <w:szCs w:val="22"/>
          <w:highlight w:val="none"/>
          <w:lang w:eastAsia="zh-CN"/>
        </w:rPr>
        <w:t>表</w:t>
      </w:r>
      <w:r>
        <w:rPr>
          <w:rFonts w:hint="eastAsia"/>
          <w:color w:val="auto"/>
          <w:sz w:val="26"/>
          <w:szCs w:val="22"/>
          <w:highlight w:val="none"/>
          <w:lang w:val="en-US" w:eastAsia="zh-CN"/>
        </w:rPr>
        <w:t xml:space="preserve">4.1.3.2-1  </w:t>
      </w:r>
      <w:r>
        <w:rPr>
          <w:rFonts w:hint="eastAsia"/>
          <w:color w:val="auto"/>
          <w:sz w:val="26"/>
          <w:szCs w:val="22"/>
          <w:highlight w:val="none"/>
        </w:rPr>
        <w:t>项目在湿地公园内占地情况统计表</w:t>
      </w:r>
    </w:p>
    <w:tbl>
      <w:tblPr>
        <w:tblStyle w:val="28"/>
        <w:tblW w:w="48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2"/>
        <w:gridCol w:w="1237"/>
        <w:gridCol w:w="2226"/>
        <w:gridCol w:w="1719"/>
        <w:gridCol w:w="1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772" w:type="dxa"/>
            <w:tcBorders>
              <w:top w:val="single" w:color="auto" w:sz="4" w:space="0"/>
              <w:left w:val="single" w:color="auto" w:sz="4" w:space="0"/>
              <w:bottom w:val="single" w:color="auto" w:sz="4" w:space="0"/>
              <w:right w:val="single" w:color="auto" w:sz="4" w:space="0"/>
              <w:tl2br w:val="nil"/>
              <w:tr2bl w:val="nil"/>
            </w:tcBorders>
            <w:noWrap w:val="0"/>
            <w:vAlign w:val="center"/>
          </w:tcPr>
          <w:p>
            <w:pPr>
              <w:pStyle w:val="216"/>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rPr>
                <w:rFonts w:hint="default"/>
                <w:b/>
                <w:color w:val="auto"/>
                <w:kern w:val="0"/>
                <w:sz w:val="22"/>
                <w:szCs w:val="22"/>
                <w:highlight w:val="none"/>
                <w:lang w:bidi="ar"/>
              </w:rPr>
            </w:pPr>
            <w:r>
              <w:rPr>
                <w:rFonts w:hint="eastAsia"/>
                <w:color w:val="auto"/>
                <w:sz w:val="22"/>
                <w:szCs w:val="22"/>
                <w:highlight w:val="none"/>
              </w:rPr>
              <w:t>工程类别及名称</w:t>
            </w:r>
          </w:p>
        </w:tc>
        <w:tc>
          <w:tcPr>
            <w:tcW w:w="1237" w:type="dxa"/>
            <w:tcBorders>
              <w:top w:val="single" w:color="auto" w:sz="4" w:space="0"/>
              <w:left w:val="single" w:color="auto" w:sz="4" w:space="0"/>
              <w:bottom w:val="single" w:color="auto" w:sz="4" w:space="0"/>
              <w:right w:val="single" w:color="auto" w:sz="4" w:space="0"/>
              <w:tl2br w:val="nil"/>
              <w:tr2bl w:val="nil"/>
            </w:tcBorders>
            <w:noWrap w:val="0"/>
            <w:vAlign w:val="center"/>
          </w:tcPr>
          <w:p>
            <w:pPr>
              <w:pStyle w:val="216"/>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rPr>
                <w:rFonts w:hint="default"/>
                <w:b/>
                <w:color w:val="auto"/>
                <w:kern w:val="0"/>
                <w:sz w:val="22"/>
                <w:szCs w:val="22"/>
                <w:highlight w:val="none"/>
                <w:lang w:bidi="ar"/>
              </w:rPr>
            </w:pPr>
            <w:r>
              <w:rPr>
                <w:rFonts w:hint="eastAsia"/>
                <w:color w:val="auto"/>
                <w:sz w:val="22"/>
                <w:szCs w:val="22"/>
                <w:highlight w:val="none"/>
              </w:rPr>
              <w:t>占地性质</w:t>
            </w:r>
          </w:p>
        </w:tc>
        <w:tc>
          <w:tcPr>
            <w:tcW w:w="2226" w:type="dxa"/>
            <w:tcBorders>
              <w:top w:val="single" w:color="auto" w:sz="4" w:space="0"/>
              <w:left w:val="single" w:color="auto" w:sz="4" w:space="0"/>
              <w:bottom w:val="single" w:color="auto" w:sz="4" w:space="0"/>
              <w:right w:val="single" w:color="auto" w:sz="4" w:space="0"/>
              <w:tl2br w:val="nil"/>
              <w:tr2bl w:val="nil"/>
            </w:tcBorders>
            <w:noWrap w:val="0"/>
            <w:vAlign w:val="center"/>
          </w:tcPr>
          <w:p>
            <w:pPr>
              <w:pStyle w:val="216"/>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rPr>
                <w:rFonts w:hint="default"/>
                <w:color w:val="auto"/>
                <w:kern w:val="0"/>
                <w:sz w:val="22"/>
                <w:szCs w:val="22"/>
                <w:highlight w:val="none"/>
                <w:lang w:bidi="ar"/>
              </w:rPr>
            </w:pPr>
            <w:r>
              <w:rPr>
                <w:rFonts w:hint="eastAsia"/>
                <w:color w:val="auto"/>
                <w:sz w:val="22"/>
                <w:szCs w:val="22"/>
                <w:highlight w:val="none"/>
              </w:rPr>
              <w:t>占湿地公园功能分区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pStyle w:val="216"/>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rPr>
                <w:rFonts w:hint="default"/>
                <w:color w:val="auto"/>
                <w:kern w:val="0"/>
                <w:sz w:val="22"/>
                <w:szCs w:val="22"/>
                <w:highlight w:val="none"/>
                <w:lang w:bidi="ar"/>
              </w:rPr>
            </w:pPr>
            <w:r>
              <w:rPr>
                <w:rFonts w:hint="eastAsia"/>
                <w:color w:val="auto"/>
                <w:sz w:val="22"/>
                <w:szCs w:val="22"/>
                <w:highlight w:val="none"/>
              </w:rPr>
              <w:t>土地利用类型</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216"/>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rPr>
                <w:rFonts w:hint="default"/>
                <w:color w:val="auto"/>
                <w:kern w:val="0"/>
                <w:sz w:val="22"/>
                <w:szCs w:val="22"/>
                <w:highlight w:val="none"/>
                <w:lang w:bidi="ar"/>
              </w:rPr>
            </w:pPr>
            <w:r>
              <w:rPr>
                <w:rFonts w:hint="eastAsia"/>
                <w:color w:val="auto"/>
                <w:sz w:val="22"/>
                <w:szCs w:val="22"/>
                <w:highlight w:val="none"/>
              </w:rPr>
              <w:t>占用面积（hm</w:t>
            </w:r>
            <w:r>
              <w:rPr>
                <w:rFonts w:hint="default"/>
                <w:color w:val="auto"/>
                <w:sz w:val="22"/>
                <w:szCs w:val="22"/>
                <w:highlight w:val="none"/>
                <w:vertAlign w:val="superscript"/>
              </w:rPr>
              <w:t>2</w:t>
            </w:r>
            <w:r>
              <w:rPr>
                <w:rFonts w:hint="eastAsia"/>
                <w:color w:val="auto"/>
                <w:sz w:val="22"/>
                <w:szCs w:val="22"/>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船闸主体工程区</w:t>
            </w:r>
          </w:p>
        </w:tc>
        <w:tc>
          <w:tcPr>
            <w:tcW w:w="1237"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临时占地</w:t>
            </w:r>
          </w:p>
        </w:tc>
        <w:tc>
          <w:tcPr>
            <w:tcW w:w="222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恢复重建区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河流水面</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果园</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永久占地</w:t>
            </w:r>
          </w:p>
        </w:tc>
        <w:tc>
          <w:tcPr>
            <w:tcW w:w="222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保护保育区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河流水面</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旱地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0.0778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果园</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0.0509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公用设施用地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恢复重建区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竹林地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0.0389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河流水面</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旱地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0.3644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果园</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0.3122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公用设施用地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0.3576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eastAsia="zh-CN" w:bidi="ar"/>
              </w:rPr>
              <w:t>疏浚</w:t>
            </w:r>
            <w:r>
              <w:rPr>
                <w:rFonts w:hint="eastAsia"/>
                <w:b/>
                <w:color w:val="auto"/>
                <w:kern w:val="0"/>
                <w:sz w:val="22"/>
                <w:szCs w:val="22"/>
                <w:highlight w:val="none"/>
                <w:lang w:bidi="ar"/>
              </w:rPr>
              <w:t>区</w:t>
            </w:r>
          </w:p>
        </w:tc>
        <w:tc>
          <w:tcPr>
            <w:tcW w:w="1237"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临时占地</w:t>
            </w:r>
          </w:p>
        </w:tc>
        <w:tc>
          <w:tcPr>
            <w:tcW w:w="222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保护保育区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河流水面</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1.3715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果园</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0.0383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恢复重建区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河流水面</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果园</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围堰</w:t>
            </w:r>
          </w:p>
        </w:tc>
        <w:tc>
          <w:tcPr>
            <w:tcW w:w="1237"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临时占地</w:t>
            </w:r>
          </w:p>
        </w:tc>
        <w:tc>
          <w:tcPr>
            <w:tcW w:w="222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保护保育区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河流水面</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1.3136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旱地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果园</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0.0334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公用设施用地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恢复重建区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河流水面</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0.0721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旱地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果园</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0.0482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公用设施用地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下游隔</w:t>
            </w:r>
            <w:r>
              <w:rPr>
                <w:rFonts w:hint="eastAsia"/>
                <w:b/>
                <w:color w:val="auto"/>
                <w:kern w:val="0"/>
                <w:sz w:val="22"/>
                <w:szCs w:val="22"/>
                <w:highlight w:val="none"/>
                <w:shd w:val="clear" w:fill="FFFFFF"/>
                <w:lang w:bidi="ar"/>
              </w:rPr>
              <w:t>流墙</w:t>
            </w:r>
          </w:p>
        </w:tc>
        <w:tc>
          <w:tcPr>
            <w:tcW w:w="1237"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永久占地</w:t>
            </w:r>
          </w:p>
        </w:tc>
        <w:tc>
          <w:tcPr>
            <w:tcW w:w="222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保护保育区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河流水面</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旱地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恢复重建区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竹林地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旱地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公用设施用地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下游锚地</w:t>
            </w:r>
          </w:p>
        </w:tc>
        <w:tc>
          <w:tcPr>
            <w:tcW w:w="1237"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临时占地</w:t>
            </w:r>
          </w:p>
        </w:tc>
        <w:tc>
          <w:tcPr>
            <w:tcW w:w="2226"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保护保育区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河流水面</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1.4117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恢复重建区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其他林地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农村道路</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内陆滩涂</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0.0738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河流水面</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0.2236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灌木林地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永久占地</w:t>
            </w:r>
          </w:p>
        </w:tc>
        <w:tc>
          <w:tcPr>
            <w:tcW w:w="222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恢复重建区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竹林地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其他林地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0.0410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农村道路</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内陆滩涂</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0.1003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河流水面</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旱地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0.0393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灌木林地</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下游切咀</w:t>
            </w:r>
          </w:p>
        </w:tc>
        <w:tc>
          <w:tcPr>
            <w:tcW w:w="1237"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临时占地</w:t>
            </w:r>
          </w:p>
        </w:tc>
        <w:tc>
          <w:tcPr>
            <w:tcW w:w="222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保护保育区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内陆滩涂</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河流水面</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果园</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恢复重建区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农村道路</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果园</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0.2233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永久占地</w:t>
            </w:r>
          </w:p>
        </w:tc>
        <w:tc>
          <w:tcPr>
            <w:tcW w:w="222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保护保育区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内陆滩涂</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河流水面</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0.0543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果园</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恢复重建区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农村道路</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河流水面</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0.0024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2226"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color w:val="auto"/>
                <w:sz w:val="22"/>
                <w:szCs w:val="22"/>
                <w:highlight w:val="none"/>
              </w:rPr>
            </w:pP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果园</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0.4555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鱼道</w:t>
            </w:r>
          </w:p>
        </w:tc>
        <w:tc>
          <w:tcPr>
            <w:tcW w:w="1237"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临时占地</w:t>
            </w:r>
          </w:p>
        </w:tc>
        <w:tc>
          <w:tcPr>
            <w:tcW w:w="2226"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保护保育区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河流水面</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0.2662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72"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rPr>
                <w:rFonts w:hint="default"/>
                <w:b/>
                <w:color w:val="auto"/>
                <w:sz w:val="22"/>
                <w:szCs w:val="22"/>
                <w:highlight w:val="none"/>
              </w:rPr>
            </w:pPr>
          </w:p>
        </w:tc>
        <w:tc>
          <w:tcPr>
            <w:tcW w:w="1237"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永久占地</w:t>
            </w:r>
          </w:p>
        </w:tc>
        <w:tc>
          <w:tcPr>
            <w:tcW w:w="2226"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保护保育区</w:t>
            </w:r>
          </w:p>
        </w:tc>
        <w:tc>
          <w:tcPr>
            <w:tcW w:w="1719" w:type="dxa"/>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color w:val="auto"/>
                <w:sz w:val="22"/>
                <w:szCs w:val="22"/>
                <w:highlight w:val="none"/>
              </w:rPr>
            </w:pPr>
            <w:r>
              <w:rPr>
                <w:rFonts w:hint="eastAsia"/>
                <w:color w:val="auto"/>
                <w:kern w:val="0"/>
                <w:sz w:val="22"/>
                <w:szCs w:val="22"/>
                <w:highlight w:val="none"/>
                <w:lang w:bidi="ar"/>
              </w:rPr>
              <w:t>河流水面</w:t>
            </w:r>
          </w:p>
        </w:tc>
        <w:tc>
          <w:tcPr>
            <w:tcW w:w="1724"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color w:val="auto"/>
                <w:sz w:val="22"/>
                <w:szCs w:val="22"/>
                <w:highlight w:val="none"/>
              </w:rPr>
            </w:pPr>
            <w:r>
              <w:rPr>
                <w:rFonts w:hint="default"/>
                <w:color w:val="auto"/>
                <w:kern w:val="0"/>
                <w:sz w:val="22"/>
                <w:szCs w:val="22"/>
                <w:highlight w:val="none"/>
                <w:lang w:bidi="ar"/>
              </w:rPr>
              <w:t>0.1497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54" w:type="dxa"/>
            <w:gridSpan w:val="4"/>
            <w:tcBorders>
              <w:top w:val="single" w:color="auto" w:sz="4" w:space="0"/>
              <w:left w:val="single" w:color="auto" w:sz="4" w:space="0"/>
              <w:bottom w:val="single" w:color="auto" w:sz="4" w:space="0"/>
              <w:right w:val="single" w:color="auto" w:sz="4" w:space="0"/>
              <w:tl2br w:val="nil"/>
              <w:tr2bl w:val="nil"/>
            </w:tcBorders>
            <w:shd w:val="clear" w:color="DDEBF7" w:fill="DDEBF7"/>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center"/>
              <w:rPr>
                <w:rFonts w:hint="default"/>
                <w:b/>
                <w:color w:val="auto"/>
                <w:sz w:val="22"/>
                <w:szCs w:val="22"/>
                <w:highlight w:val="none"/>
              </w:rPr>
            </w:pPr>
            <w:r>
              <w:rPr>
                <w:rFonts w:hint="eastAsia"/>
                <w:b/>
                <w:color w:val="auto"/>
                <w:kern w:val="0"/>
                <w:sz w:val="22"/>
                <w:szCs w:val="22"/>
                <w:highlight w:val="none"/>
                <w:lang w:bidi="ar"/>
              </w:rPr>
              <w:t>总计</w:t>
            </w:r>
          </w:p>
        </w:tc>
        <w:tc>
          <w:tcPr>
            <w:tcW w:w="1724" w:type="dxa"/>
            <w:tcBorders>
              <w:top w:val="single" w:color="auto" w:sz="4" w:space="0"/>
              <w:left w:val="single" w:color="auto" w:sz="4" w:space="0"/>
              <w:bottom w:val="single" w:color="auto" w:sz="4" w:space="0"/>
              <w:right w:val="single" w:color="auto" w:sz="4" w:space="0"/>
              <w:tl2br w:val="nil"/>
              <w:tr2bl w:val="nil"/>
            </w:tcBorders>
            <w:shd w:val="clear" w:color="DDEBF7" w:fill="DDEBF7"/>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bottom"/>
              <w:rPr>
                <w:rFonts w:hint="default"/>
                <w:b/>
                <w:color w:val="auto"/>
                <w:sz w:val="22"/>
                <w:szCs w:val="22"/>
                <w:highlight w:val="none"/>
              </w:rPr>
            </w:pPr>
            <w:r>
              <w:rPr>
                <w:rFonts w:hint="default"/>
                <w:b/>
                <w:color w:val="auto"/>
                <w:kern w:val="0"/>
                <w:sz w:val="22"/>
                <w:szCs w:val="22"/>
                <w:highlight w:val="none"/>
                <w:lang w:bidi="ar"/>
              </w:rPr>
              <w:t>7.4678</w:t>
            </w:r>
          </w:p>
        </w:tc>
      </w:tr>
    </w:tbl>
    <w:p>
      <w:pPr>
        <w:adjustRightInd w:val="0"/>
        <w:spacing w:beforeLines="0" w:afterLines="0" w:line="480" w:lineRule="exact"/>
        <w:ind w:firstLine="520"/>
        <w:rPr>
          <w:rFonts w:hint="default"/>
          <w:color w:val="auto"/>
          <w:sz w:val="26"/>
          <w:szCs w:val="22"/>
          <w:highlight w:val="none"/>
        </w:rPr>
      </w:pPr>
    </w:p>
    <w:p>
      <w:pPr>
        <w:pStyle w:val="6"/>
        <w:spacing w:beforeLines="0" w:afterLines="0"/>
        <w:ind w:left="0" w:firstLine="522"/>
        <w:rPr>
          <w:rFonts w:hint="eastAsia"/>
          <w:color w:val="auto"/>
          <w:sz w:val="26"/>
          <w:szCs w:val="26"/>
          <w:highlight w:val="none"/>
        </w:rPr>
      </w:pPr>
      <w:r>
        <w:rPr>
          <w:rFonts w:hint="eastAsia"/>
          <w:color w:val="auto"/>
          <w:sz w:val="26"/>
          <w:szCs w:val="26"/>
          <w:highlight w:val="none"/>
        </w:rPr>
        <w:t>工程对重庆合川三江国家湿地公园</w:t>
      </w:r>
      <w:r>
        <w:rPr>
          <w:rFonts w:hint="eastAsia"/>
          <w:color w:val="auto"/>
          <w:sz w:val="26"/>
          <w:szCs w:val="26"/>
          <w:highlight w:val="none"/>
          <w:lang w:eastAsia="zh-CN"/>
        </w:rPr>
        <w:t>的</w:t>
      </w:r>
      <w:r>
        <w:rPr>
          <w:rFonts w:hint="eastAsia"/>
          <w:color w:val="auto"/>
          <w:sz w:val="26"/>
          <w:szCs w:val="26"/>
          <w:highlight w:val="none"/>
        </w:rPr>
        <w:t>影响分析</w:t>
      </w:r>
    </w:p>
    <w:p>
      <w:pPr>
        <w:spacing w:beforeLines="0" w:afterLines="0" w:line="480" w:lineRule="exact"/>
        <w:ind w:firstLine="520"/>
        <w:rPr>
          <w:rFonts w:hint="default"/>
          <w:color w:val="auto"/>
          <w:kern w:val="0"/>
          <w:sz w:val="26"/>
          <w:szCs w:val="21"/>
          <w:highlight w:val="none"/>
        </w:rPr>
      </w:pPr>
      <w:r>
        <w:rPr>
          <w:rFonts w:hint="eastAsia"/>
          <w:color w:val="auto"/>
          <w:kern w:val="0"/>
          <w:sz w:val="26"/>
          <w:szCs w:val="21"/>
          <w:highlight w:val="none"/>
        </w:rPr>
        <w:t>（1）陆生生态影响分析</w:t>
      </w:r>
    </w:p>
    <w:p>
      <w:pPr>
        <w:spacing w:beforeLines="0" w:afterLines="0" w:line="480" w:lineRule="exact"/>
        <w:ind w:firstLine="520"/>
        <w:rPr>
          <w:rFonts w:hint="default"/>
          <w:color w:val="auto"/>
          <w:kern w:val="0"/>
          <w:sz w:val="26"/>
          <w:szCs w:val="21"/>
          <w:highlight w:val="none"/>
        </w:rPr>
      </w:pPr>
      <w:r>
        <w:rPr>
          <w:rFonts w:hint="eastAsia"/>
          <w:color w:val="auto"/>
          <w:kern w:val="0"/>
          <w:sz w:val="26"/>
          <w:szCs w:val="21"/>
          <w:highlight w:val="none"/>
        </w:rPr>
        <w:t>工程实施对陆生生态的影响主要体现在施工期间对植被和动物栖息地的</w:t>
      </w:r>
      <w:r>
        <w:rPr>
          <w:rFonts w:hint="eastAsia"/>
          <w:color w:val="auto"/>
          <w:kern w:val="0"/>
          <w:sz w:val="26"/>
          <w:szCs w:val="21"/>
          <w:highlight w:val="none"/>
          <w:lang w:val="en-US" w:eastAsia="zh-CN"/>
        </w:rPr>
        <w:t>占用</w:t>
      </w:r>
      <w:r>
        <w:rPr>
          <w:rFonts w:hint="eastAsia"/>
          <w:color w:val="auto"/>
          <w:kern w:val="0"/>
          <w:sz w:val="26"/>
          <w:szCs w:val="21"/>
          <w:highlight w:val="none"/>
        </w:rPr>
        <w:t>。施工期间，虽然</w:t>
      </w:r>
      <w:r>
        <w:rPr>
          <w:rFonts w:hint="eastAsia"/>
          <w:color w:val="auto"/>
          <w:kern w:val="0"/>
          <w:sz w:val="26"/>
          <w:szCs w:val="21"/>
          <w:highlight w:val="none"/>
          <w:lang w:val="en-US" w:eastAsia="zh-CN"/>
        </w:rPr>
        <w:t>占用了部分植被，但占用面积有限，且周边还有众多的相似生境，因此对植被和动物的影响较为有限；施工</w:t>
      </w:r>
      <w:r>
        <w:rPr>
          <w:rFonts w:hint="eastAsia"/>
          <w:color w:val="auto"/>
          <w:kern w:val="0"/>
          <w:sz w:val="26"/>
          <w:szCs w:val="21"/>
          <w:highlight w:val="none"/>
          <w:shd w:val="clear" w:fill="FFFFFF"/>
          <w:lang w:val="en-US" w:eastAsia="zh-CN"/>
        </w:rPr>
        <w:t>期</w:t>
      </w:r>
      <w:r>
        <w:rPr>
          <w:rFonts w:hint="eastAsia"/>
          <w:color w:val="auto"/>
          <w:kern w:val="0"/>
          <w:sz w:val="26"/>
          <w:szCs w:val="21"/>
          <w:highlight w:val="none"/>
        </w:rPr>
        <w:t>人为活动和</w:t>
      </w:r>
      <w:r>
        <w:rPr>
          <w:rFonts w:hint="eastAsia"/>
          <w:color w:val="auto"/>
          <w:kern w:val="0"/>
          <w:sz w:val="26"/>
          <w:szCs w:val="21"/>
          <w:highlight w:val="none"/>
          <w:shd w:val="clear" w:fill="FFFFFF"/>
        </w:rPr>
        <w:t>噪音</w:t>
      </w:r>
      <w:r>
        <w:rPr>
          <w:rFonts w:hint="eastAsia"/>
          <w:color w:val="auto"/>
          <w:kern w:val="0"/>
          <w:sz w:val="26"/>
          <w:szCs w:val="21"/>
          <w:highlight w:val="none"/>
        </w:rPr>
        <w:t>对鸟类和兽类产生了一定的干扰，但由于影响区域范围有限，动物可以通过短距离迁移来避免施工带来的影响。两栖和爬行动物的栖息地也可能受到施工的干扰，但这些影响在施工结束后会逐渐消失。对于重点保护动物，虽然在施工期间可能会受到一定的干扰，但这些影响不会对它们的长期生存和繁殖造成威胁。</w:t>
      </w:r>
    </w:p>
    <w:p>
      <w:pPr>
        <w:spacing w:beforeLines="0" w:afterLines="0" w:line="480" w:lineRule="exact"/>
        <w:ind w:firstLine="520"/>
        <w:rPr>
          <w:rFonts w:hint="default"/>
          <w:color w:val="auto"/>
          <w:kern w:val="0"/>
          <w:sz w:val="26"/>
          <w:szCs w:val="21"/>
          <w:highlight w:val="none"/>
        </w:rPr>
      </w:pPr>
      <w:r>
        <w:rPr>
          <w:rFonts w:hint="eastAsia"/>
          <w:color w:val="auto"/>
          <w:kern w:val="0"/>
          <w:sz w:val="26"/>
          <w:szCs w:val="21"/>
          <w:highlight w:val="none"/>
        </w:rPr>
        <w:t>（2）水生生态影响分析</w:t>
      </w:r>
    </w:p>
    <w:p>
      <w:pPr>
        <w:spacing w:beforeLines="0" w:afterLines="0" w:line="480" w:lineRule="exact"/>
        <w:ind w:firstLine="520"/>
        <w:rPr>
          <w:rFonts w:hint="default"/>
          <w:color w:val="auto"/>
          <w:kern w:val="0"/>
          <w:sz w:val="26"/>
          <w:szCs w:val="21"/>
          <w:highlight w:val="none"/>
        </w:rPr>
      </w:pPr>
      <w:r>
        <w:rPr>
          <w:rFonts w:hint="eastAsia"/>
          <w:color w:val="auto"/>
          <w:kern w:val="0"/>
          <w:sz w:val="26"/>
          <w:szCs w:val="21"/>
          <w:highlight w:val="none"/>
        </w:rPr>
        <w:t>在水生生态方面，工程实施对水质和底质的影响主要集中在施工期间。</w:t>
      </w:r>
      <w:r>
        <w:rPr>
          <w:rFonts w:hint="eastAsia"/>
          <w:color w:val="auto"/>
          <w:kern w:val="0"/>
          <w:sz w:val="26"/>
          <w:szCs w:val="21"/>
          <w:highlight w:val="none"/>
          <w:lang w:val="en-US" w:eastAsia="zh-CN"/>
        </w:rPr>
        <w:t>涉水</w:t>
      </w:r>
      <w:r>
        <w:rPr>
          <w:rFonts w:hint="eastAsia"/>
          <w:color w:val="auto"/>
          <w:kern w:val="0"/>
          <w:sz w:val="26"/>
          <w:szCs w:val="21"/>
          <w:highlight w:val="none"/>
        </w:rPr>
        <w:t>作业可能会扰动底质，增加悬浮物浓度，但这些影响在施工结束后会迅速减弱。对于水域生态系统，</w:t>
      </w:r>
      <w:r>
        <w:rPr>
          <w:rFonts w:hint="eastAsia"/>
          <w:color w:val="auto"/>
          <w:kern w:val="0"/>
          <w:sz w:val="26"/>
          <w:szCs w:val="21"/>
          <w:highlight w:val="none"/>
          <w:lang w:val="en-US" w:eastAsia="zh-CN"/>
        </w:rPr>
        <w:t>涉水</w:t>
      </w:r>
      <w:r>
        <w:rPr>
          <w:rFonts w:hint="eastAsia"/>
          <w:color w:val="auto"/>
          <w:kern w:val="0"/>
          <w:sz w:val="26"/>
          <w:szCs w:val="21"/>
          <w:highlight w:val="none"/>
        </w:rPr>
        <w:t>作业可能会对浮游生物和底栖动物造成短期影响，但由于这些生物具有强大的适应和恢复能力，它们的生物量和多样性将在短时间内得到恢复</w:t>
      </w:r>
      <w:r>
        <w:rPr>
          <w:rFonts w:hint="eastAsia"/>
          <w:color w:val="auto"/>
          <w:kern w:val="0"/>
          <w:sz w:val="26"/>
          <w:szCs w:val="21"/>
          <w:highlight w:val="none"/>
          <w:lang w:eastAsia="zh-CN"/>
        </w:rPr>
        <w:t>；</w:t>
      </w:r>
      <w:r>
        <w:rPr>
          <w:rFonts w:hint="eastAsia"/>
          <w:color w:val="auto"/>
          <w:kern w:val="0"/>
          <w:sz w:val="26"/>
          <w:szCs w:val="21"/>
          <w:highlight w:val="none"/>
          <w:lang w:val="en-US" w:eastAsia="zh-CN"/>
        </w:rPr>
        <w:t>对于船闸区域升级改造工程，本项目采用围堰进行施工，极大地减小了对水生态的影响</w:t>
      </w:r>
      <w:r>
        <w:rPr>
          <w:rFonts w:hint="eastAsia"/>
          <w:color w:val="auto"/>
          <w:kern w:val="0"/>
          <w:sz w:val="26"/>
          <w:szCs w:val="21"/>
          <w:highlight w:val="none"/>
        </w:rPr>
        <w:t>。对于鱼类，</w:t>
      </w:r>
      <w:r>
        <w:rPr>
          <w:rFonts w:hint="eastAsia"/>
          <w:color w:val="auto"/>
          <w:kern w:val="0"/>
          <w:sz w:val="26"/>
          <w:szCs w:val="21"/>
          <w:highlight w:val="none"/>
          <w:lang w:val="en-US" w:eastAsia="zh-CN"/>
        </w:rPr>
        <w:t>渭沱上游涉水</w:t>
      </w:r>
      <w:r>
        <w:rPr>
          <w:rFonts w:hint="eastAsia"/>
          <w:color w:val="auto"/>
          <w:kern w:val="0"/>
          <w:sz w:val="26"/>
          <w:szCs w:val="21"/>
          <w:highlight w:val="none"/>
        </w:rPr>
        <w:t>工程实施将避免在</w:t>
      </w:r>
      <w:r>
        <w:rPr>
          <w:rFonts w:hint="eastAsia"/>
          <w:color w:val="auto"/>
          <w:kern w:val="0"/>
          <w:sz w:val="26"/>
          <w:szCs w:val="21"/>
          <w:highlight w:val="none"/>
          <w:lang w:val="en-US" w:eastAsia="zh-CN"/>
        </w:rPr>
        <w:t>越冬期间</w:t>
      </w:r>
      <w:r>
        <w:rPr>
          <w:rFonts w:hint="eastAsia"/>
          <w:color w:val="auto"/>
          <w:kern w:val="0"/>
          <w:sz w:val="26"/>
          <w:szCs w:val="21"/>
          <w:highlight w:val="none"/>
        </w:rPr>
        <w:t>进行水下施工，避免对它们</w:t>
      </w:r>
      <w:r>
        <w:rPr>
          <w:rFonts w:hint="eastAsia"/>
          <w:color w:val="auto"/>
          <w:kern w:val="0"/>
          <w:sz w:val="26"/>
          <w:szCs w:val="21"/>
          <w:highlight w:val="none"/>
          <w:lang w:val="en-US" w:eastAsia="zh-CN"/>
        </w:rPr>
        <w:t>越冬</w:t>
      </w:r>
      <w:r>
        <w:rPr>
          <w:rFonts w:hint="eastAsia"/>
          <w:color w:val="auto"/>
          <w:kern w:val="0"/>
          <w:sz w:val="26"/>
          <w:szCs w:val="21"/>
          <w:highlight w:val="none"/>
        </w:rPr>
        <w:t>行为的影响。</w:t>
      </w:r>
    </w:p>
    <w:p>
      <w:pPr>
        <w:spacing w:beforeLines="0" w:afterLines="0" w:line="480" w:lineRule="exact"/>
        <w:ind w:firstLine="520"/>
        <w:rPr>
          <w:rFonts w:hint="default"/>
          <w:color w:val="auto"/>
          <w:kern w:val="0"/>
          <w:sz w:val="26"/>
          <w:szCs w:val="21"/>
          <w:highlight w:val="none"/>
        </w:rPr>
      </w:pPr>
      <w:r>
        <w:rPr>
          <w:rFonts w:hint="eastAsia"/>
          <w:color w:val="auto"/>
          <w:kern w:val="0"/>
          <w:sz w:val="26"/>
          <w:szCs w:val="21"/>
          <w:highlight w:val="none"/>
        </w:rPr>
        <w:t>（3）湿地资源的结构和功能影响分析</w:t>
      </w:r>
    </w:p>
    <w:p>
      <w:pPr>
        <w:pStyle w:val="197"/>
        <w:spacing w:beforeLines="0" w:afterLines="0"/>
        <w:ind w:firstLine="520"/>
        <w:jc w:val="both"/>
        <w:rPr>
          <w:rFonts w:hint="eastAsia"/>
          <w:color w:val="auto"/>
          <w:kern w:val="0"/>
          <w:sz w:val="26"/>
          <w:szCs w:val="21"/>
          <w:highlight w:val="none"/>
        </w:rPr>
      </w:pPr>
      <w:r>
        <w:rPr>
          <w:rFonts w:hint="eastAsia"/>
          <w:color w:val="auto"/>
          <w:sz w:val="26"/>
          <w:szCs w:val="22"/>
          <w:highlight w:val="none"/>
        </w:rPr>
        <w:t>项目建设占用合川三江国家湿地公园面积共计</w:t>
      </w:r>
      <w:r>
        <w:rPr>
          <w:rFonts w:hint="eastAsia"/>
          <w:color w:val="auto"/>
          <w:sz w:val="26"/>
          <w:szCs w:val="22"/>
          <w:highlight w:val="none"/>
          <w:lang w:val="en-US" w:eastAsia="zh-CN"/>
        </w:rPr>
        <w:t>7.4828</w:t>
      </w:r>
      <w:r>
        <w:rPr>
          <w:rFonts w:hint="default"/>
          <w:color w:val="auto"/>
          <w:sz w:val="26"/>
          <w:szCs w:val="22"/>
          <w:highlight w:val="none"/>
        </w:rPr>
        <w:t>hm</w:t>
      </w:r>
      <w:r>
        <w:rPr>
          <w:rFonts w:hint="default"/>
          <w:color w:val="auto"/>
          <w:sz w:val="26"/>
          <w:szCs w:val="22"/>
          <w:highlight w:val="none"/>
          <w:vertAlign w:val="superscript"/>
        </w:rPr>
        <w:t>2</w:t>
      </w:r>
      <w:r>
        <w:rPr>
          <w:rFonts w:hint="eastAsia"/>
          <w:color w:val="auto"/>
          <w:kern w:val="0"/>
          <w:sz w:val="26"/>
          <w:szCs w:val="22"/>
          <w:highlight w:val="none"/>
        </w:rPr>
        <w:t>，占湿地公园面积比例</w:t>
      </w:r>
      <w:r>
        <w:rPr>
          <w:rFonts w:hint="default"/>
          <w:color w:val="auto"/>
          <w:kern w:val="0"/>
          <w:sz w:val="26"/>
          <w:szCs w:val="22"/>
          <w:highlight w:val="none"/>
        </w:rPr>
        <w:t>0.</w:t>
      </w:r>
      <w:r>
        <w:rPr>
          <w:rFonts w:hint="eastAsia"/>
          <w:color w:val="auto"/>
          <w:kern w:val="0"/>
          <w:sz w:val="26"/>
          <w:szCs w:val="22"/>
          <w:highlight w:val="none"/>
          <w:lang w:val="en-US" w:eastAsia="zh-CN"/>
        </w:rPr>
        <w:t>19</w:t>
      </w:r>
      <w:r>
        <w:rPr>
          <w:rFonts w:hint="default"/>
          <w:color w:val="auto"/>
          <w:kern w:val="0"/>
          <w:sz w:val="26"/>
          <w:szCs w:val="22"/>
          <w:highlight w:val="none"/>
        </w:rPr>
        <w:t>%</w:t>
      </w:r>
      <w:r>
        <w:rPr>
          <w:rFonts w:hint="eastAsia"/>
          <w:color w:val="auto"/>
          <w:kern w:val="0"/>
          <w:sz w:val="26"/>
          <w:szCs w:val="22"/>
          <w:highlight w:val="none"/>
        </w:rPr>
        <w:t>，</w:t>
      </w:r>
      <w:r>
        <w:rPr>
          <w:rFonts w:hint="eastAsia"/>
          <w:color w:val="auto"/>
          <w:kern w:val="0"/>
          <w:sz w:val="26"/>
          <w:szCs w:val="21"/>
          <w:highlight w:val="none"/>
        </w:rPr>
        <w:t>工程实施对湿地资源的结构和功能的影响较小。虽然项目建设会占用一小部分湿地公园的面积，</w:t>
      </w:r>
      <w:r>
        <w:rPr>
          <w:rFonts w:hint="eastAsia"/>
          <w:color w:val="auto"/>
          <w:kern w:val="0"/>
          <w:sz w:val="26"/>
          <w:szCs w:val="22"/>
          <w:highlight w:val="none"/>
          <w:lang w:val="en-US" w:eastAsia="zh-CN"/>
        </w:rPr>
        <w:t>其中永久占地2.2218</w:t>
      </w:r>
      <w:r>
        <w:rPr>
          <w:rFonts w:hint="eastAsia"/>
          <w:color w:val="auto"/>
          <w:kern w:val="0"/>
          <w:sz w:val="26"/>
          <w:szCs w:val="22"/>
          <w:highlight w:val="none"/>
        </w:rPr>
        <w:t>hm</w:t>
      </w:r>
      <w:r>
        <w:rPr>
          <w:rFonts w:hint="eastAsia"/>
          <w:color w:val="auto"/>
          <w:kern w:val="0"/>
          <w:sz w:val="26"/>
          <w:szCs w:val="22"/>
          <w:highlight w:val="none"/>
          <w:vertAlign w:val="superscript"/>
        </w:rPr>
        <w:t>2</w:t>
      </w:r>
      <w:r>
        <w:rPr>
          <w:rFonts w:hint="eastAsia"/>
          <w:color w:val="auto"/>
          <w:kern w:val="0"/>
          <w:sz w:val="26"/>
          <w:szCs w:val="22"/>
          <w:highlight w:val="none"/>
        </w:rPr>
        <w:t>，</w:t>
      </w:r>
      <w:r>
        <w:rPr>
          <w:rFonts w:hint="eastAsia"/>
          <w:color w:val="auto"/>
          <w:kern w:val="0"/>
          <w:sz w:val="26"/>
          <w:szCs w:val="22"/>
          <w:highlight w:val="none"/>
          <w:lang w:val="en-US" w:eastAsia="zh-CN"/>
        </w:rPr>
        <w:t>临时占地5.2460</w:t>
      </w:r>
      <w:r>
        <w:rPr>
          <w:rFonts w:hint="eastAsia"/>
          <w:color w:val="auto"/>
          <w:kern w:val="0"/>
          <w:sz w:val="26"/>
          <w:szCs w:val="22"/>
          <w:highlight w:val="none"/>
        </w:rPr>
        <w:t>hm</w:t>
      </w:r>
      <w:r>
        <w:rPr>
          <w:rFonts w:hint="eastAsia"/>
          <w:color w:val="auto"/>
          <w:kern w:val="0"/>
          <w:sz w:val="26"/>
          <w:szCs w:val="22"/>
          <w:highlight w:val="none"/>
          <w:vertAlign w:val="superscript"/>
        </w:rPr>
        <w:t>2</w:t>
      </w:r>
      <w:r>
        <w:rPr>
          <w:rFonts w:hint="eastAsia"/>
          <w:color w:val="auto"/>
          <w:kern w:val="0"/>
          <w:sz w:val="26"/>
          <w:szCs w:val="22"/>
          <w:highlight w:val="none"/>
        </w:rPr>
        <w:t>，</w:t>
      </w:r>
      <w:r>
        <w:rPr>
          <w:rFonts w:hint="eastAsia"/>
          <w:color w:val="auto"/>
          <w:kern w:val="0"/>
          <w:sz w:val="26"/>
          <w:szCs w:val="21"/>
          <w:highlight w:val="none"/>
        </w:rPr>
        <w:t>占评价范围内湿地面积极小，对评价区湿地的生态功能影响极小。施工活动对湿地生态系统的功能影响主要体现在</w:t>
      </w:r>
      <w:r>
        <w:rPr>
          <w:rFonts w:hint="eastAsia"/>
          <w:color w:val="auto"/>
          <w:kern w:val="0"/>
          <w:sz w:val="26"/>
          <w:szCs w:val="21"/>
          <w:highlight w:val="none"/>
          <w:lang w:val="en-US" w:eastAsia="zh-CN"/>
        </w:rPr>
        <w:t>施工期</w:t>
      </w:r>
      <w:r>
        <w:rPr>
          <w:rFonts w:hint="eastAsia"/>
          <w:color w:val="auto"/>
          <w:kern w:val="0"/>
          <w:sz w:val="26"/>
          <w:szCs w:val="21"/>
          <w:highlight w:val="none"/>
        </w:rPr>
        <w:t>内，一旦施工结束，这些影响将基本消除。对于湿地景观的美学价值，由于工程占用的面积非常小，对湿地景观的影响微乎其微，不会改变湿地的整体美学体验。通过采取适当的环保措施，可以确保工程实施对湿地生态系统的影响降到最低。</w:t>
      </w:r>
    </w:p>
    <w:p>
      <w:pPr>
        <w:pStyle w:val="5"/>
        <w:bidi w:val="0"/>
        <w:rPr>
          <w:rFonts w:hint="eastAsia"/>
          <w:color w:val="auto"/>
          <w:highlight w:val="none"/>
        </w:rPr>
      </w:pPr>
      <w:r>
        <w:rPr>
          <w:rFonts w:hint="eastAsia"/>
          <w:color w:val="auto"/>
          <w:highlight w:val="none"/>
          <w:lang w:eastAsia="zh-CN"/>
        </w:rPr>
        <w:t>对</w:t>
      </w:r>
      <w:r>
        <w:rPr>
          <w:rFonts w:hint="eastAsia"/>
          <w:color w:val="auto"/>
          <w:highlight w:val="none"/>
          <w:lang w:val="en-US" w:eastAsia="zh-CN"/>
        </w:rPr>
        <w:t>生态保护红线</w:t>
      </w:r>
      <w:r>
        <w:rPr>
          <w:rFonts w:hint="eastAsia"/>
          <w:color w:val="auto"/>
          <w:highlight w:val="none"/>
          <w:lang w:eastAsia="zh-CN"/>
        </w:rPr>
        <w:t>的影响分析</w:t>
      </w:r>
    </w:p>
    <w:p>
      <w:pPr>
        <w:pStyle w:val="197"/>
        <w:autoSpaceDE w:val="0"/>
        <w:autoSpaceDN w:val="0"/>
        <w:adjustRightInd w:val="0"/>
        <w:snapToGrid w:val="0"/>
        <w:ind w:firstLine="520"/>
        <w:jc w:val="both"/>
        <w:textAlignment w:val="baseline"/>
        <w:rPr>
          <w:rFonts w:hint="eastAsia"/>
          <w:bCs/>
          <w:color w:val="auto"/>
          <w:highlight w:val="none"/>
          <w:lang w:val="en-US" w:eastAsia="zh-CN"/>
        </w:rPr>
      </w:pPr>
      <w:r>
        <w:rPr>
          <w:rFonts w:hint="eastAsia"/>
          <w:bCs/>
          <w:color w:val="auto"/>
          <w:highlight w:val="none"/>
        </w:rPr>
        <w:t>本</w:t>
      </w:r>
      <w:r>
        <w:rPr>
          <w:rFonts w:hint="eastAsia"/>
          <w:bCs/>
          <w:color w:val="auto"/>
          <w:highlight w:val="none"/>
          <w:lang w:val="en-US" w:eastAsia="zh-CN"/>
        </w:rPr>
        <w:t>工程</w:t>
      </w:r>
      <w:r>
        <w:rPr>
          <w:rFonts w:hint="eastAsia"/>
          <w:bCs/>
          <w:color w:val="auto"/>
          <w:highlight w:val="none"/>
        </w:rPr>
        <w:t>部分</w:t>
      </w:r>
      <w:r>
        <w:rPr>
          <w:rFonts w:hint="eastAsia"/>
          <w:bCs/>
          <w:color w:val="auto"/>
          <w:highlight w:val="none"/>
          <w:lang w:val="en-US" w:eastAsia="zh-CN"/>
        </w:rPr>
        <w:t>建设内容</w:t>
      </w:r>
      <w:r>
        <w:rPr>
          <w:rFonts w:hint="eastAsia"/>
          <w:bCs/>
          <w:color w:val="auto"/>
          <w:highlight w:val="none"/>
        </w:rPr>
        <w:t>涉及生态保护红线，</w:t>
      </w:r>
      <w:r>
        <w:rPr>
          <w:rFonts w:hint="eastAsia"/>
          <w:bCs/>
          <w:color w:val="auto"/>
          <w:highlight w:val="none"/>
          <w:lang w:eastAsia="zh-CN"/>
        </w:rPr>
        <w:t>永久占用</w:t>
      </w:r>
      <w:r>
        <w:rPr>
          <w:rFonts w:hint="eastAsia"/>
          <w:bCs/>
          <w:color w:val="auto"/>
          <w:highlight w:val="none"/>
        </w:rPr>
        <w:t>面积1.5568hm</w:t>
      </w:r>
      <w:r>
        <w:rPr>
          <w:rFonts w:hint="eastAsia"/>
          <w:bCs/>
          <w:color w:val="auto"/>
          <w:highlight w:val="none"/>
          <w:vertAlign w:val="superscript"/>
        </w:rPr>
        <w:t>2</w:t>
      </w:r>
      <w:r>
        <w:rPr>
          <w:rFonts w:hint="eastAsia"/>
          <w:bCs/>
          <w:color w:val="auto"/>
          <w:highlight w:val="none"/>
        </w:rPr>
        <w:t>，</w:t>
      </w:r>
      <w:r>
        <w:rPr>
          <w:rFonts w:hint="eastAsia"/>
          <w:bCs/>
          <w:color w:val="auto"/>
          <w:highlight w:val="none"/>
          <w:lang w:eastAsia="zh-CN"/>
        </w:rPr>
        <w:t>临时占用</w:t>
      </w:r>
      <w:r>
        <w:rPr>
          <w:rFonts w:hint="eastAsia"/>
          <w:bCs/>
          <w:color w:val="auto"/>
          <w:highlight w:val="none"/>
          <w:lang w:val="en-US" w:eastAsia="zh-CN"/>
        </w:rPr>
        <w:t>3.2911</w:t>
      </w:r>
      <w:r>
        <w:rPr>
          <w:rFonts w:hint="eastAsia"/>
          <w:bCs/>
          <w:color w:val="auto"/>
          <w:highlight w:val="none"/>
        </w:rPr>
        <w:t>hm</w:t>
      </w:r>
      <w:r>
        <w:rPr>
          <w:rFonts w:hint="eastAsia"/>
          <w:bCs/>
          <w:color w:val="auto"/>
          <w:highlight w:val="none"/>
          <w:vertAlign w:val="superscript"/>
        </w:rPr>
        <w:t>2</w:t>
      </w:r>
      <w:r>
        <w:rPr>
          <w:rFonts w:hint="eastAsia"/>
          <w:bCs/>
          <w:color w:val="auto"/>
          <w:highlight w:val="none"/>
        </w:rPr>
        <w:t>，</w:t>
      </w:r>
      <w:r>
        <w:rPr>
          <w:rFonts w:hint="eastAsia"/>
          <w:bCs/>
          <w:color w:val="auto"/>
          <w:highlight w:val="none"/>
          <w:lang w:val="en-US" w:eastAsia="zh-CN"/>
        </w:rPr>
        <w:t>均为</w:t>
      </w:r>
      <w:r>
        <w:rPr>
          <w:rFonts w:hint="eastAsia"/>
          <w:bCs/>
          <w:color w:val="auto"/>
          <w:highlight w:val="none"/>
        </w:rPr>
        <w:t>水土保持功能红线。生态保护红线与重庆合川三江国家湿地公园</w:t>
      </w:r>
      <w:r>
        <w:rPr>
          <w:rFonts w:hint="eastAsia"/>
          <w:bCs/>
          <w:color w:val="auto"/>
          <w:highlight w:val="none"/>
          <w:lang w:eastAsia="zh-CN"/>
        </w:rPr>
        <w:t>大</w:t>
      </w:r>
      <w:r>
        <w:rPr>
          <w:rFonts w:hint="eastAsia"/>
          <w:bCs/>
          <w:color w:val="auto"/>
          <w:highlight w:val="none"/>
        </w:rPr>
        <w:t>部分</w:t>
      </w:r>
      <w:r>
        <w:rPr>
          <w:bCs/>
          <w:color w:val="auto"/>
          <w:highlight w:val="none"/>
        </w:rPr>
        <w:t>重叠</w:t>
      </w:r>
      <w:r>
        <w:rPr>
          <w:rFonts w:hint="eastAsia"/>
          <w:bCs/>
          <w:color w:val="auto"/>
          <w:highlight w:val="none"/>
        </w:rPr>
        <w:t>，生态保护红线区域主要为涪江水域范围</w:t>
      </w:r>
      <w:r>
        <w:rPr>
          <w:rFonts w:hint="eastAsia"/>
          <w:bCs/>
          <w:color w:val="auto"/>
          <w:highlight w:val="none"/>
          <w:lang w:val="en-US" w:eastAsia="zh-CN"/>
        </w:rPr>
        <w:t>，以及少部分河岸带区域</w:t>
      </w:r>
      <w:r>
        <w:rPr>
          <w:rFonts w:hint="eastAsia"/>
          <w:bCs/>
          <w:color w:val="auto"/>
          <w:highlight w:val="none"/>
        </w:rPr>
        <w:t>。项目</w:t>
      </w:r>
      <w:r>
        <w:rPr>
          <w:rFonts w:hint="eastAsia"/>
          <w:bCs/>
          <w:color w:val="auto"/>
          <w:highlight w:val="none"/>
          <w:lang w:val="en-US" w:eastAsia="zh-CN"/>
        </w:rPr>
        <w:t>由于工程平面布置无法避让生态保护红线，因此涉及永久占用生态保护红线，目前建设单位正在办理</w:t>
      </w:r>
      <w:r>
        <w:rPr>
          <w:rFonts w:hint="eastAsia"/>
          <w:bCs/>
          <w:color w:val="auto"/>
          <w:highlight w:val="none"/>
          <w:shd w:val="clear" w:fill="FFFFFF"/>
          <w:lang w:val="en-US" w:eastAsia="zh-CN"/>
        </w:rPr>
        <w:t>不可避让</w:t>
      </w:r>
      <w:r>
        <w:rPr>
          <w:rFonts w:hint="eastAsia"/>
          <w:bCs/>
          <w:color w:val="auto"/>
          <w:highlight w:val="none"/>
          <w:lang w:val="en-US" w:eastAsia="zh-CN"/>
        </w:rPr>
        <w:t>论证报告。</w:t>
      </w:r>
    </w:p>
    <w:p>
      <w:pPr>
        <w:pStyle w:val="197"/>
        <w:autoSpaceDE w:val="0"/>
        <w:autoSpaceDN w:val="0"/>
        <w:adjustRightInd w:val="0"/>
        <w:snapToGrid w:val="0"/>
        <w:ind w:firstLine="520"/>
        <w:jc w:val="both"/>
        <w:textAlignment w:val="baseline"/>
        <w:rPr>
          <w:rFonts w:hint="eastAsia"/>
          <w:color w:val="auto"/>
          <w:highlight w:val="none"/>
        </w:rPr>
      </w:pPr>
      <w:r>
        <w:rPr>
          <w:rFonts w:hint="eastAsia"/>
          <w:bCs/>
          <w:color w:val="auto"/>
          <w:highlight w:val="none"/>
          <w:lang w:val="en-US" w:eastAsia="zh-CN"/>
        </w:rPr>
        <w:t>工程建设的不利影响主要集中在工程施工期，但工程不占用鱼类重要生境，不会破坏国家和地方保护动植物，也不会导致珍稀濒危陆生野生动物栖息地大面积减少，不会导致野生动物多样性及数量大幅降低。通过严格控制占地范围，按要求落实水土保持措施、植被恢复措施后，施工期对水土、大气、声环境的各种不利影响可得到一定程度的减缓，景观和生态环境可基本恢复，不会对区域水土保持功能造成较大影响。</w:t>
      </w:r>
      <w:r>
        <w:rPr>
          <w:rFonts w:hint="eastAsia"/>
          <w:bCs/>
          <w:color w:val="auto"/>
          <w:highlight w:val="none"/>
        </w:rPr>
        <w:t>运营期</w:t>
      </w:r>
      <w:r>
        <w:rPr>
          <w:rFonts w:hint="eastAsia"/>
          <w:bCs/>
          <w:color w:val="auto"/>
          <w:highlight w:val="none"/>
          <w:lang w:val="en-US" w:eastAsia="zh-CN"/>
        </w:rPr>
        <w:t>主要为</w:t>
      </w:r>
      <w:r>
        <w:rPr>
          <w:rFonts w:hint="eastAsia"/>
          <w:bCs/>
          <w:color w:val="auto"/>
          <w:highlight w:val="none"/>
        </w:rPr>
        <w:t>船舶航行</w:t>
      </w:r>
      <w:r>
        <w:rPr>
          <w:rFonts w:hint="eastAsia"/>
          <w:bCs/>
          <w:color w:val="auto"/>
          <w:highlight w:val="none"/>
          <w:lang w:eastAsia="zh-CN"/>
        </w:rPr>
        <w:t>的</w:t>
      </w:r>
      <w:r>
        <w:rPr>
          <w:rFonts w:hint="eastAsia"/>
          <w:bCs/>
          <w:color w:val="auto"/>
          <w:highlight w:val="none"/>
        </w:rPr>
        <w:t>扰动，在采取管理措施后，影响较小，不会破坏生态保护红线的生态功能</w:t>
      </w:r>
      <w:r>
        <w:rPr>
          <w:rFonts w:hint="eastAsia"/>
          <w:color w:val="auto"/>
          <w:highlight w:val="none"/>
        </w:rPr>
        <w:t>。</w:t>
      </w:r>
    </w:p>
    <w:p>
      <w:pPr>
        <w:pStyle w:val="4"/>
        <w:rPr>
          <w:color w:val="auto"/>
          <w:highlight w:val="none"/>
        </w:rPr>
      </w:pPr>
      <w:bookmarkStart w:id="116" w:name="_Toc1440"/>
      <w:r>
        <w:rPr>
          <w:rFonts w:hint="eastAsia"/>
          <w:color w:val="auto"/>
          <w:highlight w:val="none"/>
          <w:lang w:eastAsia="zh-CN"/>
        </w:rPr>
        <w:t>地表水</w:t>
      </w:r>
      <w:r>
        <w:rPr>
          <w:rFonts w:hint="eastAsia"/>
          <w:color w:val="auto"/>
          <w:highlight w:val="none"/>
        </w:rPr>
        <w:t>环境</w:t>
      </w:r>
      <w:r>
        <w:rPr>
          <w:color w:val="auto"/>
          <w:highlight w:val="none"/>
        </w:rPr>
        <w:t>影响预测与评价</w:t>
      </w:r>
      <w:bookmarkEnd w:id="116"/>
    </w:p>
    <w:p>
      <w:pPr>
        <w:pStyle w:val="5"/>
        <w:bidi w:val="0"/>
        <w:rPr>
          <w:color w:val="auto"/>
          <w:highlight w:val="none"/>
        </w:rPr>
      </w:pPr>
      <w:r>
        <w:rPr>
          <w:rFonts w:hint="eastAsia"/>
          <w:color w:val="auto"/>
          <w:highlight w:val="none"/>
        </w:rPr>
        <w:t>水文情势影响预测与评价</w:t>
      </w:r>
    </w:p>
    <w:p>
      <w:pPr>
        <w:bidi w:val="0"/>
        <w:rPr>
          <w:rFonts w:hint="eastAsia"/>
          <w:color w:val="auto"/>
          <w:highlight w:val="none"/>
          <w:lang w:val="en-US" w:eastAsia="zh-CN"/>
        </w:rPr>
      </w:pPr>
      <w:r>
        <w:rPr>
          <w:rFonts w:hint="eastAsia"/>
          <w:color w:val="auto"/>
          <w:highlight w:val="none"/>
          <w:lang w:val="en-US" w:eastAsia="zh-CN"/>
        </w:rPr>
        <w:t>（1）施工期水文情势影响分析</w:t>
      </w:r>
    </w:p>
    <w:p>
      <w:pPr>
        <w:bidi w:val="0"/>
        <w:rPr>
          <w:rFonts w:hint="default"/>
          <w:color w:val="auto"/>
          <w:highlight w:val="none"/>
          <w:lang w:val="en-US" w:eastAsia="zh-CN"/>
        </w:rPr>
      </w:pPr>
      <w:r>
        <w:rPr>
          <w:rFonts w:hint="default"/>
          <w:color w:val="auto"/>
          <w:highlight w:val="none"/>
          <w:lang w:val="en-US" w:eastAsia="zh-CN"/>
        </w:rPr>
        <w:t>本项目施工期水文情势影响</w:t>
      </w:r>
      <w:r>
        <w:rPr>
          <w:rFonts w:hint="eastAsia"/>
          <w:color w:val="auto"/>
          <w:highlight w:val="none"/>
          <w:shd w:val="clear" w:fill="FFFFFF"/>
          <w:lang w:val="en-US" w:eastAsia="zh-CN"/>
        </w:rPr>
        <w:t>主要</w:t>
      </w:r>
      <w:r>
        <w:rPr>
          <w:rFonts w:hint="default"/>
          <w:color w:val="auto"/>
          <w:highlight w:val="none"/>
          <w:lang w:val="en-US" w:eastAsia="zh-CN"/>
        </w:rPr>
        <w:t>表现为对河道水流流向及流量的影响。</w:t>
      </w:r>
    </w:p>
    <w:p>
      <w:pPr>
        <w:bidi w:val="0"/>
        <w:rPr>
          <w:rFonts w:hint="default"/>
          <w:color w:val="auto"/>
          <w:highlight w:val="none"/>
          <w:lang w:val="en-US" w:eastAsia="zh-CN"/>
        </w:rPr>
      </w:pPr>
      <w:r>
        <w:rPr>
          <w:rFonts w:hint="eastAsia"/>
          <w:color w:val="auto"/>
          <w:highlight w:val="none"/>
          <w:lang w:val="en-US" w:eastAsia="zh-CN"/>
        </w:rPr>
        <w:t>本次船闸升级改造工程主要在现有船闸右侧陆域范围内进行建设，项目</w:t>
      </w:r>
      <w:r>
        <w:rPr>
          <w:rFonts w:hint="default"/>
          <w:color w:val="auto"/>
          <w:highlight w:val="none"/>
          <w:lang w:val="en-US" w:eastAsia="zh-CN"/>
        </w:rPr>
        <w:t>船闸主围堰采用滩地开挖料填筑土围堰，</w:t>
      </w:r>
      <w:r>
        <w:rPr>
          <w:rFonts w:hint="eastAsia"/>
          <w:color w:val="auto"/>
          <w:highlight w:val="none"/>
          <w:lang w:val="en-US" w:eastAsia="zh-CN"/>
        </w:rPr>
        <w:t>主体工程施工在围堰内进行，</w:t>
      </w:r>
      <w:r>
        <w:rPr>
          <w:rFonts w:hint="default"/>
          <w:color w:val="auto"/>
          <w:highlight w:val="none"/>
          <w:lang w:val="en-US" w:eastAsia="zh-CN"/>
        </w:rPr>
        <w:t>在正常水文条件下，</w:t>
      </w:r>
      <w:r>
        <w:rPr>
          <w:rFonts w:hint="eastAsia"/>
          <w:color w:val="auto"/>
          <w:highlight w:val="none"/>
          <w:lang w:val="en-US" w:eastAsia="zh-CN"/>
        </w:rPr>
        <w:t>涪江</w:t>
      </w:r>
      <w:r>
        <w:rPr>
          <w:rFonts w:hint="default"/>
          <w:color w:val="auto"/>
          <w:highlight w:val="none"/>
          <w:lang w:val="en-US" w:eastAsia="zh-CN"/>
        </w:rPr>
        <w:t>水位不会上涨至工程范围内，而工程河段流量是由</w:t>
      </w:r>
      <w:r>
        <w:rPr>
          <w:rFonts w:hint="eastAsia"/>
          <w:color w:val="auto"/>
          <w:highlight w:val="none"/>
          <w:lang w:val="en-US" w:eastAsia="zh-CN"/>
        </w:rPr>
        <w:t>渭沱枢纽</w:t>
      </w:r>
      <w:r>
        <w:rPr>
          <w:rFonts w:hint="default"/>
          <w:color w:val="auto"/>
          <w:highlight w:val="none"/>
          <w:lang w:val="en-US" w:eastAsia="zh-CN"/>
        </w:rPr>
        <w:t>泄水闸来调度下泄，本工程施工期间不会改变</w:t>
      </w:r>
      <w:r>
        <w:rPr>
          <w:rFonts w:hint="eastAsia"/>
          <w:color w:val="auto"/>
          <w:highlight w:val="none"/>
          <w:shd w:val="clear" w:fill="FFFFFF"/>
          <w:lang w:val="en-US" w:eastAsia="zh-CN"/>
        </w:rPr>
        <w:t>渭</w:t>
      </w:r>
      <w:r>
        <w:rPr>
          <w:rFonts w:hint="eastAsia"/>
          <w:color w:val="auto"/>
          <w:highlight w:val="none"/>
          <w:lang w:val="en-US" w:eastAsia="zh-CN"/>
        </w:rPr>
        <w:t>沱</w:t>
      </w:r>
      <w:r>
        <w:rPr>
          <w:rFonts w:hint="default"/>
          <w:color w:val="auto"/>
          <w:highlight w:val="none"/>
          <w:lang w:val="en-US" w:eastAsia="zh-CN"/>
        </w:rPr>
        <w:t>纽的调度方式，因此不会对下游流量</w:t>
      </w:r>
      <w:r>
        <w:rPr>
          <w:rFonts w:hint="eastAsia"/>
          <w:color w:val="auto"/>
          <w:highlight w:val="none"/>
          <w:lang w:val="en-US" w:eastAsia="zh-CN"/>
        </w:rPr>
        <w:t>及水流流向</w:t>
      </w:r>
      <w:r>
        <w:rPr>
          <w:rFonts w:hint="default"/>
          <w:color w:val="auto"/>
          <w:highlight w:val="none"/>
          <w:lang w:val="en-US" w:eastAsia="zh-CN"/>
        </w:rPr>
        <w:t>造成</w:t>
      </w:r>
      <w:r>
        <w:rPr>
          <w:rFonts w:hint="eastAsia"/>
          <w:color w:val="auto"/>
          <w:highlight w:val="none"/>
          <w:lang w:val="en-US" w:eastAsia="zh-CN"/>
        </w:rPr>
        <w:t>较大</w:t>
      </w:r>
      <w:r>
        <w:rPr>
          <w:rFonts w:hint="default"/>
          <w:color w:val="auto"/>
          <w:highlight w:val="none"/>
          <w:lang w:val="en-US" w:eastAsia="zh-CN"/>
        </w:rPr>
        <w:t>影响</w:t>
      </w:r>
      <w:r>
        <w:rPr>
          <w:rFonts w:hint="eastAsia"/>
          <w:color w:val="auto"/>
          <w:highlight w:val="none"/>
          <w:lang w:val="en-US" w:eastAsia="zh-CN"/>
        </w:rPr>
        <w:t>。</w:t>
      </w:r>
    </w:p>
    <w:p>
      <w:pPr>
        <w:bidi w:val="0"/>
        <w:rPr>
          <w:rFonts w:hint="default"/>
          <w:color w:val="auto"/>
          <w:highlight w:val="none"/>
          <w:lang w:val="en-US" w:eastAsia="zh-CN"/>
        </w:rPr>
      </w:pPr>
      <w:r>
        <w:rPr>
          <w:rFonts w:hint="eastAsia"/>
          <w:color w:val="auto"/>
          <w:highlight w:val="none"/>
          <w:lang w:val="en-US" w:eastAsia="zh-CN"/>
        </w:rPr>
        <w:t>（2）运营期水文情势影响分析</w:t>
      </w:r>
    </w:p>
    <w:p>
      <w:pPr>
        <w:bidi w:val="0"/>
        <w:rPr>
          <w:rFonts w:hint="eastAsia" w:eastAsia="宋体"/>
          <w:color w:val="auto"/>
          <w:highlight w:val="none"/>
          <w:lang w:eastAsia="zh-CN"/>
        </w:rPr>
      </w:pPr>
      <w:r>
        <w:rPr>
          <w:rFonts w:hint="eastAsia"/>
          <w:color w:val="auto"/>
          <w:highlight w:val="none"/>
        </w:rPr>
        <w:t>本工程在</w:t>
      </w:r>
      <w:r>
        <w:rPr>
          <w:rFonts w:hint="eastAsia"/>
          <w:color w:val="auto"/>
          <w:highlight w:val="none"/>
          <w:lang w:eastAsia="zh-CN"/>
        </w:rPr>
        <w:t>现有船闸右侧建设</w:t>
      </w:r>
      <w:r>
        <w:rPr>
          <w:rFonts w:hint="eastAsia"/>
          <w:color w:val="auto"/>
          <w:highlight w:val="none"/>
        </w:rPr>
        <w:t>，运行期评价区水文情势变化主要由</w:t>
      </w:r>
      <w:r>
        <w:rPr>
          <w:rFonts w:hint="eastAsia"/>
          <w:color w:val="auto"/>
          <w:highlight w:val="none"/>
          <w:lang w:eastAsia="zh-CN"/>
        </w:rPr>
        <w:t>渭沱</w:t>
      </w:r>
      <w:r>
        <w:rPr>
          <w:rFonts w:hint="eastAsia"/>
          <w:color w:val="auto"/>
          <w:highlight w:val="none"/>
        </w:rPr>
        <w:t>枢纽调度运行决定，本工程建设不改变运行期的调度运行方式</w:t>
      </w:r>
      <w:r>
        <w:rPr>
          <w:rFonts w:hint="eastAsia"/>
          <w:color w:val="auto"/>
          <w:highlight w:val="none"/>
          <w:lang w:eastAsia="zh-CN"/>
        </w:rPr>
        <w:t>，不会对流域水文情势造成进一步影响</w:t>
      </w:r>
      <w:r>
        <w:rPr>
          <w:rFonts w:hint="eastAsia"/>
          <w:color w:val="auto"/>
          <w:highlight w:val="none"/>
        </w:rPr>
        <w:t>。</w:t>
      </w:r>
      <w:r>
        <w:rPr>
          <w:rFonts w:hint="eastAsia"/>
          <w:color w:val="auto"/>
          <w:highlight w:val="none"/>
          <w:lang w:eastAsia="zh-CN"/>
        </w:rPr>
        <w:t>运营期水文情势影响主要体现在船闸分流影响以及船闸建成后局部流场改变对上下游的影响。</w:t>
      </w:r>
    </w:p>
    <w:p>
      <w:pPr>
        <w:bidi w:val="0"/>
        <w:rPr>
          <w:rFonts w:hint="eastAsia" w:eastAsia="宋体"/>
          <w:color w:val="auto"/>
          <w:highlight w:val="none"/>
          <w:lang w:eastAsia="zh-CN"/>
        </w:rPr>
      </w:pPr>
      <w:r>
        <w:rPr>
          <w:rFonts w:hint="eastAsia"/>
          <w:color w:val="auto"/>
          <w:highlight w:val="none"/>
        </w:rPr>
        <w:fldChar w:fldCharType="begin"/>
      </w:r>
      <w:r>
        <w:rPr>
          <w:rFonts w:hint="eastAsia"/>
          <w:color w:val="auto"/>
          <w:highlight w:val="none"/>
        </w:rPr>
        <w:instrText xml:space="preserve"> = 1 \* GB3 \* MERGEFORMAT </w:instrText>
      </w:r>
      <w:r>
        <w:rPr>
          <w:rFonts w:hint="eastAsia"/>
          <w:color w:val="auto"/>
          <w:highlight w:val="none"/>
        </w:rPr>
        <w:fldChar w:fldCharType="separate"/>
      </w:r>
      <w:r>
        <w:rPr>
          <w:color w:val="auto"/>
          <w:highlight w:val="none"/>
        </w:rPr>
        <w:t>①</w:t>
      </w:r>
      <w:r>
        <w:rPr>
          <w:rFonts w:hint="eastAsia"/>
          <w:color w:val="auto"/>
          <w:highlight w:val="none"/>
        </w:rPr>
        <w:fldChar w:fldCharType="end"/>
      </w:r>
      <w:r>
        <w:rPr>
          <w:rFonts w:hint="eastAsia"/>
          <w:color w:val="auto"/>
          <w:highlight w:val="none"/>
          <w:lang w:eastAsia="zh-CN"/>
        </w:rPr>
        <w:t>船闸分流影响</w:t>
      </w:r>
    </w:p>
    <w:p>
      <w:pPr>
        <w:bidi w:val="0"/>
        <w:rPr>
          <w:rFonts w:hint="eastAsia"/>
          <w:color w:val="auto"/>
          <w:highlight w:val="none"/>
        </w:rPr>
      </w:pPr>
      <w:r>
        <w:rPr>
          <w:rFonts w:hint="eastAsia"/>
          <w:color w:val="auto"/>
          <w:highlight w:val="none"/>
        </w:rPr>
        <w:t>新建船闸在坝上取水、坝下泄水，</w:t>
      </w:r>
      <w:r>
        <w:rPr>
          <w:rFonts w:hint="eastAsia"/>
          <w:color w:val="auto"/>
          <w:highlight w:val="none"/>
          <w:lang w:eastAsia="zh-CN"/>
        </w:rPr>
        <w:t>总体</w:t>
      </w:r>
      <w:r>
        <w:rPr>
          <w:rFonts w:hint="eastAsia"/>
          <w:color w:val="auto"/>
          <w:highlight w:val="none"/>
        </w:rPr>
        <w:t>不消耗水资源，船闸运行对枢纽径流的影响主要为分流作用。</w:t>
      </w:r>
      <w:r>
        <w:rPr>
          <w:rFonts w:hint="eastAsia"/>
          <w:color w:val="auto"/>
          <w:highlight w:val="none"/>
          <w:lang w:eastAsia="zh-CN"/>
        </w:rPr>
        <w:t>现有船闸正常一闸用水量约4000m³～8000m³，约1.67～3.33m³/s的下泄流量，本次新建</w:t>
      </w:r>
      <w:r>
        <w:rPr>
          <w:rFonts w:hint="eastAsia"/>
          <w:color w:val="auto"/>
          <w:highlight w:val="none"/>
        </w:rPr>
        <w:t>船闸</w:t>
      </w:r>
      <w:r>
        <w:rPr>
          <w:rFonts w:hint="eastAsia"/>
          <w:color w:val="auto"/>
          <w:highlight w:val="none"/>
          <w:lang w:eastAsia="zh-CN"/>
        </w:rPr>
        <w:t>由于设计规模增加，</w:t>
      </w:r>
      <w:r>
        <w:rPr>
          <w:rFonts w:hint="eastAsia"/>
          <w:color w:val="auto"/>
          <w:highlight w:val="none"/>
        </w:rPr>
        <w:t>船闸</w:t>
      </w:r>
      <w:r>
        <w:rPr>
          <w:rFonts w:hint="eastAsia"/>
          <w:color w:val="auto"/>
          <w:highlight w:val="none"/>
          <w:lang w:eastAsia="zh-CN"/>
        </w:rPr>
        <w:t>日平均耗水量约为</w:t>
      </w:r>
      <w:r>
        <w:rPr>
          <w:rFonts w:hint="eastAsia"/>
          <w:color w:val="auto"/>
          <w:highlight w:val="none"/>
          <w:lang w:val="en-US" w:eastAsia="zh-CN"/>
        </w:rPr>
        <w:t>5.28m³/s</w:t>
      </w:r>
      <w:r>
        <w:rPr>
          <w:rFonts w:hint="eastAsia"/>
          <w:color w:val="auto"/>
          <w:highlight w:val="none"/>
        </w:rPr>
        <w:t>，</w:t>
      </w:r>
      <w:r>
        <w:rPr>
          <w:rFonts w:hint="eastAsia"/>
          <w:color w:val="auto"/>
          <w:highlight w:val="none"/>
          <w:lang w:val="en-US" w:eastAsia="zh-CN"/>
        </w:rPr>
        <w:t>略高于现有船闸，但</w:t>
      </w:r>
      <w:r>
        <w:rPr>
          <w:rFonts w:hint="eastAsia"/>
          <w:color w:val="auto"/>
          <w:highlight w:val="none"/>
        </w:rPr>
        <w:t>坝址处多年平均流量</w:t>
      </w:r>
      <w:r>
        <w:rPr>
          <w:rFonts w:hint="eastAsia"/>
          <w:color w:val="auto"/>
          <w:highlight w:val="none"/>
          <w:lang w:val="en-US" w:eastAsia="zh-CN"/>
        </w:rPr>
        <w:t>537m³/s</w:t>
      </w:r>
      <w:r>
        <w:rPr>
          <w:rFonts w:hint="eastAsia"/>
          <w:color w:val="auto"/>
          <w:highlight w:val="none"/>
        </w:rPr>
        <w:t>，船闸</w:t>
      </w:r>
      <w:r>
        <w:rPr>
          <w:rFonts w:hint="eastAsia"/>
          <w:color w:val="auto"/>
          <w:highlight w:val="none"/>
          <w:lang w:eastAsia="zh-CN"/>
        </w:rPr>
        <w:t>建成后</w:t>
      </w:r>
      <w:r>
        <w:rPr>
          <w:rFonts w:hint="eastAsia"/>
          <w:color w:val="auto"/>
          <w:highlight w:val="none"/>
        </w:rPr>
        <w:t>分流比仅为</w:t>
      </w:r>
      <w:r>
        <w:rPr>
          <w:rFonts w:hint="eastAsia"/>
          <w:color w:val="auto"/>
          <w:highlight w:val="none"/>
          <w:lang w:val="en-US" w:eastAsia="zh-CN"/>
        </w:rPr>
        <w:t>0.98</w:t>
      </w:r>
      <w:r>
        <w:rPr>
          <w:rFonts w:hint="eastAsia"/>
          <w:color w:val="auto"/>
          <w:highlight w:val="none"/>
        </w:rPr>
        <w:t>%。不同典型年</w:t>
      </w:r>
      <w:r>
        <w:rPr>
          <w:rFonts w:hint="eastAsia"/>
          <w:color w:val="auto"/>
          <w:highlight w:val="none"/>
          <w:lang w:eastAsia="zh-CN"/>
        </w:rPr>
        <w:t>渭沱</w:t>
      </w:r>
      <w:r>
        <w:rPr>
          <w:rFonts w:hint="eastAsia"/>
          <w:color w:val="auto"/>
          <w:highlight w:val="none"/>
        </w:rPr>
        <w:t>船闸月均分流占比</w:t>
      </w:r>
      <w:r>
        <w:rPr>
          <w:rFonts w:hint="eastAsia"/>
          <w:color w:val="auto"/>
          <w:highlight w:val="none"/>
          <w:lang w:eastAsia="zh-CN"/>
        </w:rPr>
        <w:t>见下表：</w:t>
      </w:r>
    </w:p>
    <w:p>
      <w:pPr>
        <w:pStyle w:val="2"/>
        <w:spacing w:line="240" w:lineRule="auto"/>
        <w:jc w:val="center"/>
        <w:rPr>
          <w:rFonts w:hint="eastAsia"/>
          <w:color w:val="auto"/>
          <w:highlight w:val="none"/>
          <w:lang w:eastAsia="zh-CN"/>
        </w:rPr>
      </w:pPr>
    </w:p>
    <w:p>
      <w:pPr>
        <w:pStyle w:val="2"/>
        <w:spacing w:line="240" w:lineRule="auto"/>
        <w:jc w:val="center"/>
        <w:rPr>
          <w:rFonts w:hint="eastAsia"/>
          <w:color w:val="auto"/>
          <w:sz w:val="26"/>
          <w:szCs w:val="26"/>
          <w:highlight w:val="none"/>
        </w:rPr>
      </w:pPr>
      <w:r>
        <w:rPr>
          <w:rFonts w:hint="eastAsia"/>
          <w:color w:val="auto"/>
          <w:sz w:val="26"/>
          <w:szCs w:val="26"/>
          <w:highlight w:val="none"/>
          <w:lang w:eastAsia="zh-CN"/>
        </w:rPr>
        <w:t>表</w:t>
      </w:r>
      <w:r>
        <w:rPr>
          <w:rFonts w:hint="eastAsia"/>
          <w:color w:val="auto"/>
          <w:sz w:val="26"/>
          <w:szCs w:val="26"/>
          <w:highlight w:val="none"/>
          <w:lang w:val="en-US" w:eastAsia="zh-CN"/>
        </w:rPr>
        <w:t xml:space="preserve">4.2.1-1  </w:t>
      </w:r>
      <w:r>
        <w:rPr>
          <w:rFonts w:hint="eastAsia"/>
          <w:color w:val="auto"/>
          <w:sz w:val="26"/>
          <w:szCs w:val="26"/>
          <w:highlight w:val="none"/>
        </w:rPr>
        <w:t>不同典型年船闸分流占比情况</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4"/>
        <w:gridCol w:w="908"/>
        <w:gridCol w:w="908"/>
        <w:gridCol w:w="908"/>
        <w:gridCol w:w="1"/>
        <w:gridCol w:w="907"/>
        <w:gridCol w:w="908"/>
        <w:gridCol w:w="908"/>
        <w:gridCol w:w="908"/>
        <w:gridCol w:w="908"/>
        <w:gridCol w:w="9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0"/>
                <w:szCs w:val="20"/>
                <w:highlight w:val="none"/>
                <w:vertAlign w:val="baseline"/>
                <w:lang w:eastAsia="zh-CN"/>
              </w:rPr>
            </w:pPr>
            <w:r>
              <w:rPr>
                <w:rFonts w:hint="eastAsia"/>
                <w:color w:val="auto"/>
                <w:sz w:val="20"/>
                <w:szCs w:val="20"/>
                <w:highlight w:val="none"/>
                <w:vertAlign w:val="baseline"/>
                <w:lang w:eastAsia="zh-CN"/>
              </w:rPr>
              <w:t>月份</w:t>
            </w:r>
          </w:p>
        </w:tc>
        <w:tc>
          <w:tcPr>
            <w:tcW w:w="2725" w:type="dxa"/>
            <w:gridSpan w:val="4"/>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0"/>
                <w:szCs w:val="20"/>
                <w:highlight w:val="none"/>
                <w:vertAlign w:val="baseline"/>
                <w:lang w:eastAsia="zh-CN"/>
              </w:rPr>
            </w:pPr>
            <w:r>
              <w:rPr>
                <w:rFonts w:hint="eastAsia" w:eastAsiaTheme="minorEastAsia"/>
                <w:snapToGrid w:val="0"/>
                <w:color w:val="auto"/>
                <w:kern w:val="0"/>
                <w:sz w:val="20"/>
                <w:szCs w:val="20"/>
                <w:highlight w:val="none"/>
                <w:lang w:eastAsia="zh-CN"/>
              </w:rPr>
              <w:t>丰水年（P=10%）</w:t>
            </w:r>
          </w:p>
        </w:tc>
        <w:tc>
          <w:tcPr>
            <w:tcW w:w="2723" w:type="dxa"/>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0"/>
                <w:szCs w:val="20"/>
                <w:highlight w:val="none"/>
                <w:vertAlign w:val="baseline"/>
                <w:lang w:val="en-US" w:eastAsia="zh-CN" w:bidi="ar-SA"/>
              </w:rPr>
            </w:pPr>
            <w:r>
              <w:rPr>
                <w:rFonts w:hint="eastAsia" w:eastAsiaTheme="minorEastAsia"/>
                <w:snapToGrid w:val="0"/>
                <w:color w:val="auto"/>
                <w:kern w:val="0"/>
                <w:sz w:val="20"/>
                <w:szCs w:val="20"/>
                <w:highlight w:val="none"/>
                <w:lang w:eastAsia="zh-CN"/>
              </w:rPr>
              <w:t>平水年（P=50%）</w:t>
            </w:r>
          </w:p>
        </w:tc>
        <w:tc>
          <w:tcPr>
            <w:tcW w:w="2727" w:type="dxa"/>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rPr>
            </w:pPr>
            <w:r>
              <w:rPr>
                <w:rFonts w:hint="eastAsia" w:eastAsiaTheme="minorEastAsia"/>
                <w:snapToGrid w:val="0"/>
                <w:color w:val="auto"/>
                <w:kern w:val="0"/>
                <w:sz w:val="20"/>
                <w:szCs w:val="20"/>
                <w:highlight w:val="none"/>
                <w:lang w:eastAsia="zh-CN"/>
              </w:rPr>
              <w:t>枯水年（P=90%）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rPr>
            </w:pP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rPr>
            </w:pPr>
            <w:r>
              <w:rPr>
                <w:rFonts w:hint="eastAsia"/>
                <w:color w:val="auto"/>
                <w:sz w:val="20"/>
                <w:szCs w:val="20"/>
                <w:highlight w:val="none"/>
                <w:vertAlign w:val="baseline"/>
                <w:lang w:eastAsia="zh-CN"/>
              </w:rPr>
              <w:t>月均下泄流量（</w:t>
            </w:r>
            <w:r>
              <w:rPr>
                <w:rFonts w:hint="eastAsia"/>
                <w:color w:val="auto"/>
                <w:sz w:val="20"/>
                <w:szCs w:val="20"/>
                <w:highlight w:val="none"/>
                <w:vertAlign w:val="baseline"/>
                <w:lang w:val="en-US" w:eastAsia="zh-CN"/>
              </w:rPr>
              <w:t>m³/s</w:t>
            </w:r>
            <w:r>
              <w:rPr>
                <w:rFonts w:hint="eastAsia"/>
                <w:color w:val="auto"/>
                <w:sz w:val="20"/>
                <w:szCs w:val="20"/>
                <w:highlight w:val="none"/>
                <w:vertAlign w:val="baseline"/>
                <w:lang w:eastAsia="zh-CN"/>
              </w:rPr>
              <w:t>）</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0"/>
                <w:szCs w:val="20"/>
                <w:highlight w:val="none"/>
                <w:vertAlign w:val="baseline"/>
                <w:lang w:eastAsia="zh-CN"/>
              </w:rPr>
            </w:pPr>
            <w:r>
              <w:rPr>
                <w:rFonts w:hint="eastAsia"/>
                <w:color w:val="auto"/>
                <w:sz w:val="20"/>
                <w:szCs w:val="20"/>
                <w:highlight w:val="none"/>
                <w:vertAlign w:val="baseline"/>
                <w:lang w:eastAsia="zh-CN"/>
              </w:rPr>
              <w:t>船闸用水量（</w:t>
            </w:r>
            <w:r>
              <w:rPr>
                <w:rFonts w:hint="eastAsia"/>
                <w:color w:val="auto"/>
                <w:sz w:val="20"/>
                <w:szCs w:val="20"/>
                <w:highlight w:val="none"/>
                <w:vertAlign w:val="baseline"/>
                <w:lang w:val="en-US" w:eastAsia="zh-CN"/>
              </w:rPr>
              <w:t>m³/s</w:t>
            </w:r>
            <w:r>
              <w:rPr>
                <w:rFonts w:hint="eastAsia"/>
                <w:color w:val="auto"/>
                <w:sz w:val="20"/>
                <w:szCs w:val="20"/>
                <w:highlight w:val="none"/>
                <w:vertAlign w:val="baseline"/>
                <w:lang w:eastAsia="zh-CN"/>
              </w:rPr>
              <w:t>）</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0"/>
                <w:szCs w:val="20"/>
                <w:highlight w:val="none"/>
                <w:vertAlign w:val="baseline"/>
                <w:lang w:val="en-US" w:eastAsia="zh-CN"/>
              </w:rPr>
            </w:pPr>
            <w:r>
              <w:rPr>
                <w:rFonts w:hint="eastAsia"/>
                <w:color w:val="auto"/>
                <w:sz w:val="20"/>
                <w:szCs w:val="20"/>
                <w:highlight w:val="none"/>
                <w:vertAlign w:val="baseline"/>
                <w:lang w:eastAsia="zh-CN"/>
              </w:rPr>
              <w:t>船闸分流占比（</w:t>
            </w:r>
            <w:r>
              <w:rPr>
                <w:rFonts w:hint="eastAsia"/>
                <w:color w:val="auto"/>
                <w:sz w:val="20"/>
                <w:szCs w:val="20"/>
                <w:highlight w:val="none"/>
                <w:vertAlign w:val="baseline"/>
                <w:lang w:val="en-US" w:eastAsia="zh-CN"/>
              </w:rPr>
              <w:t>%</w:t>
            </w:r>
            <w:r>
              <w:rPr>
                <w:rFonts w:hint="eastAsia"/>
                <w:color w:val="auto"/>
                <w:sz w:val="20"/>
                <w:szCs w:val="20"/>
                <w:highlight w:val="none"/>
                <w:vertAlign w:val="baseline"/>
                <w:lang w:eastAsia="zh-CN"/>
              </w:rPr>
              <w:t>）</w:t>
            </w:r>
          </w:p>
        </w:tc>
        <w:tc>
          <w:tcPr>
            <w:tcW w:w="90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eastAsia="zh-CN"/>
              </w:rPr>
              <w:t>月均下泄流量（</w:t>
            </w:r>
            <w:r>
              <w:rPr>
                <w:rFonts w:hint="eastAsia"/>
                <w:color w:val="auto"/>
                <w:sz w:val="20"/>
                <w:szCs w:val="20"/>
                <w:highlight w:val="none"/>
                <w:vertAlign w:val="baseline"/>
                <w:lang w:val="en-US" w:eastAsia="zh-CN"/>
              </w:rPr>
              <w:t>m³/s</w:t>
            </w:r>
            <w:r>
              <w:rPr>
                <w:rFonts w:hint="eastAsia"/>
                <w:color w:val="auto"/>
                <w:sz w:val="20"/>
                <w:szCs w:val="20"/>
                <w:highlight w:val="none"/>
                <w:vertAlign w:val="baseline"/>
                <w:lang w:eastAsia="zh-CN"/>
              </w:rPr>
              <w:t>）</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eastAsia="zh-CN"/>
              </w:rPr>
              <w:t>船闸用水量（</w:t>
            </w:r>
            <w:r>
              <w:rPr>
                <w:rFonts w:hint="eastAsia"/>
                <w:color w:val="auto"/>
                <w:sz w:val="20"/>
                <w:szCs w:val="20"/>
                <w:highlight w:val="none"/>
                <w:vertAlign w:val="baseline"/>
                <w:lang w:val="en-US" w:eastAsia="zh-CN"/>
              </w:rPr>
              <w:t>m³/s</w:t>
            </w:r>
            <w:r>
              <w:rPr>
                <w:rFonts w:hint="eastAsia"/>
                <w:color w:val="auto"/>
                <w:sz w:val="20"/>
                <w:szCs w:val="20"/>
                <w:highlight w:val="none"/>
                <w:vertAlign w:val="baseline"/>
                <w:lang w:eastAsia="zh-CN"/>
              </w:rPr>
              <w:t>）</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eastAsia="zh-CN"/>
              </w:rPr>
              <w:t>船闸分流占比（</w:t>
            </w:r>
            <w:r>
              <w:rPr>
                <w:rFonts w:hint="eastAsia"/>
                <w:color w:val="auto"/>
                <w:sz w:val="20"/>
                <w:szCs w:val="20"/>
                <w:highlight w:val="none"/>
                <w:vertAlign w:val="baseline"/>
                <w:lang w:val="en-US" w:eastAsia="zh-CN"/>
              </w:rPr>
              <w:t>%</w:t>
            </w:r>
            <w:r>
              <w:rPr>
                <w:rFonts w:hint="eastAsia"/>
                <w:color w:val="auto"/>
                <w:sz w:val="20"/>
                <w:szCs w:val="20"/>
                <w:highlight w:val="none"/>
                <w:vertAlign w:val="baseline"/>
                <w:lang w:eastAsia="zh-CN"/>
              </w:rPr>
              <w:t>）</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eastAsia="zh-CN"/>
              </w:rPr>
              <w:t>月均下泄流量（</w:t>
            </w:r>
            <w:r>
              <w:rPr>
                <w:rFonts w:hint="eastAsia"/>
                <w:color w:val="auto"/>
                <w:sz w:val="20"/>
                <w:szCs w:val="20"/>
                <w:highlight w:val="none"/>
                <w:vertAlign w:val="baseline"/>
                <w:lang w:val="en-US" w:eastAsia="zh-CN"/>
              </w:rPr>
              <w:t>m³/s</w:t>
            </w:r>
            <w:r>
              <w:rPr>
                <w:rFonts w:hint="eastAsia"/>
                <w:color w:val="auto"/>
                <w:sz w:val="20"/>
                <w:szCs w:val="20"/>
                <w:highlight w:val="none"/>
                <w:vertAlign w:val="baseline"/>
                <w:lang w:eastAsia="zh-CN"/>
              </w:rPr>
              <w:t>）</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eastAsia="zh-CN"/>
              </w:rPr>
              <w:t>船闸用水量（</w:t>
            </w:r>
            <w:r>
              <w:rPr>
                <w:rFonts w:hint="eastAsia"/>
                <w:color w:val="auto"/>
                <w:sz w:val="20"/>
                <w:szCs w:val="20"/>
                <w:highlight w:val="none"/>
                <w:vertAlign w:val="baseline"/>
                <w:lang w:val="en-US" w:eastAsia="zh-CN"/>
              </w:rPr>
              <w:t>m³/s</w:t>
            </w:r>
            <w:r>
              <w:rPr>
                <w:rFonts w:hint="eastAsia"/>
                <w:color w:val="auto"/>
                <w:sz w:val="20"/>
                <w:szCs w:val="20"/>
                <w:highlight w:val="none"/>
                <w:vertAlign w:val="baseline"/>
                <w:lang w:eastAsia="zh-CN"/>
              </w:rPr>
              <w:t>）</w:t>
            </w:r>
          </w:p>
        </w:tc>
        <w:tc>
          <w:tcPr>
            <w:tcW w:w="91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0"/>
                <w:szCs w:val="20"/>
                <w:highlight w:val="none"/>
                <w:vertAlign w:val="baseline"/>
                <w:lang w:val="en-US" w:eastAsia="zh-CN" w:bidi="ar-SA"/>
              </w:rPr>
            </w:pPr>
            <w:r>
              <w:rPr>
                <w:rFonts w:hint="eastAsia"/>
                <w:color w:val="auto"/>
                <w:sz w:val="20"/>
                <w:szCs w:val="20"/>
                <w:highlight w:val="none"/>
                <w:vertAlign w:val="baseline"/>
                <w:lang w:eastAsia="zh-CN"/>
              </w:rPr>
              <w:t>船闸分流占比（</w:t>
            </w:r>
            <w:r>
              <w:rPr>
                <w:rFonts w:hint="eastAsia"/>
                <w:color w:val="auto"/>
                <w:sz w:val="20"/>
                <w:szCs w:val="20"/>
                <w:highlight w:val="none"/>
                <w:vertAlign w:val="baseline"/>
                <w:lang w:val="en-US" w:eastAsia="zh-CN"/>
              </w:rPr>
              <w:t>%</w:t>
            </w:r>
            <w:r>
              <w:rPr>
                <w:rFonts w:hint="eastAsia"/>
                <w:color w:val="auto"/>
                <w:sz w:val="20"/>
                <w:szCs w:val="20"/>
                <w:highlight w:val="none"/>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0"/>
                <w:szCs w:val="20"/>
                <w:highlight w:val="none"/>
                <w:vertAlign w:val="baseline"/>
                <w:lang w:val="en-US" w:eastAsia="zh-CN"/>
              </w:rPr>
            </w:pPr>
            <w:r>
              <w:rPr>
                <w:rFonts w:hint="eastAsia"/>
                <w:color w:val="auto"/>
                <w:sz w:val="20"/>
                <w:szCs w:val="20"/>
                <w:highlight w:val="none"/>
                <w:vertAlign w:val="baseline"/>
                <w:lang w:val="en-US" w:eastAsia="zh-CN"/>
              </w:rPr>
              <w:t>5</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1130</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0.47</w:t>
            </w:r>
          </w:p>
        </w:tc>
        <w:tc>
          <w:tcPr>
            <w:tcW w:w="90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292</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1.81</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151</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1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0"/>
                <w:szCs w:val="20"/>
                <w:highlight w:val="none"/>
                <w:vertAlign w:val="baseline"/>
                <w:lang w:val="en-US" w:eastAsia="zh-CN"/>
              </w:rPr>
            </w:pPr>
            <w:r>
              <w:rPr>
                <w:rFonts w:hint="eastAsia"/>
                <w:color w:val="auto"/>
                <w:sz w:val="20"/>
                <w:szCs w:val="20"/>
                <w:highlight w:val="none"/>
                <w:vertAlign w:val="baseline"/>
                <w:lang w:val="en-US" w:eastAsia="zh-CN"/>
              </w:rPr>
              <w:t>6</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854</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0.62</w:t>
            </w:r>
          </w:p>
        </w:tc>
        <w:tc>
          <w:tcPr>
            <w:tcW w:w="90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564</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0.94</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308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1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1.71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0"/>
                <w:szCs w:val="20"/>
                <w:highlight w:val="none"/>
                <w:vertAlign w:val="baseline"/>
                <w:lang w:val="en-US" w:eastAsia="zh-CN"/>
              </w:rPr>
            </w:pPr>
            <w:r>
              <w:rPr>
                <w:rFonts w:hint="eastAsia"/>
                <w:color w:val="auto"/>
                <w:sz w:val="20"/>
                <w:szCs w:val="20"/>
                <w:highlight w:val="none"/>
                <w:vertAlign w:val="baseline"/>
                <w:lang w:val="en-US" w:eastAsia="zh-CN"/>
              </w:rPr>
              <w:t>7</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1610</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0.33</w:t>
            </w:r>
          </w:p>
        </w:tc>
        <w:tc>
          <w:tcPr>
            <w:tcW w:w="90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733</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0.72</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890</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1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0"/>
                <w:szCs w:val="20"/>
                <w:highlight w:val="none"/>
                <w:vertAlign w:val="baseline"/>
                <w:lang w:val="en-US" w:eastAsia="zh-CN"/>
              </w:rPr>
            </w:pPr>
            <w:r>
              <w:rPr>
                <w:rFonts w:hint="eastAsia"/>
                <w:color w:val="auto"/>
                <w:sz w:val="20"/>
                <w:szCs w:val="20"/>
                <w:highlight w:val="none"/>
                <w:vertAlign w:val="baseline"/>
                <w:lang w:val="en-US" w:eastAsia="zh-CN"/>
              </w:rPr>
              <w:t>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2130</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0.25</w:t>
            </w:r>
          </w:p>
        </w:tc>
        <w:tc>
          <w:tcPr>
            <w:tcW w:w="90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2050</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0.26</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1220</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1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0"/>
                <w:szCs w:val="20"/>
                <w:highlight w:val="none"/>
                <w:vertAlign w:val="baseline"/>
                <w:lang w:val="en-US" w:eastAsia="zh-CN"/>
              </w:rPr>
            </w:pPr>
            <w:r>
              <w:rPr>
                <w:rFonts w:hint="eastAsia"/>
                <w:color w:val="auto"/>
                <w:sz w:val="20"/>
                <w:szCs w:val="20"/>
                <w:highlight w:val="none"/>
                <w:vertAlign w:val="baseline"/>
                <w:lang w:val="en-US" w:eastAsia="zh-CN"/>
              </w:rPr>
              <w:t>9</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1470</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0.36</w:t>
            </w:r>
          </w:p>
        </w:tc>
        <w:tc>
          <w:tcPr>
            <w:tcW w:w="90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991</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0.53</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636</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1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0.83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0"/>
                <w:szCs w:val="20"/>
                <w:highlight w:val="none"/>
                <w:vertAlign w:val="baseline"/>
                <w:lang w:val="en-US" w:eastAsia="zh-CN"/>
              </w:rPr>
            </w:pPr>
            <w:r>
              <w:rPr>
                <w:rFonts w:hint="eastAsia"/>
                <w:color w:val="auto"/>
                <w:sz w:val="20"/>
                <w:szCs w:val="20"/>
                <w:highlight w:val="none"/>
                <w:vertAlign w:val="baseline"/>
                <w:lang w:val="en-US" w:eastAsia="zh-CN"/>
              </w:rPr>
              <w:t>10</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474</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1.11</w:t>
            </w:r>
          </w:p>
        </w:tc>
        <w:tc>
          <w:tcPr>
            <w:tcW w:w="90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635</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0.83</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501</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1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0"/>
                <w:szCs w:val="20"/>
                <w:highlight w:val="none"/>
                <w:vertAlign w:val="baseline"/>
                <w:lang w:val="en-US" w:eastAsia="zh-CN"/>
              </w:rPr>
            </w:pPr>
            <w:r>
              <w:rPr>
                <w:rFonts w:hint="eastAsia"/>
                <w:color w:val="auto"/>
                <w:sz w:val="20"/>
                <w:szCs w:val="20"/>
                <w:highlight w:val="none"/>
                <w:vertAlign w:val="baseline"/>
                <w:lang w:val="en-US" w:eastAsia="zh-CN"/>
              </w:rPr>
              <w:t>11</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252</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2.10</w:t>
            </w:r>
          </w:p>
        </w:tc>
        <w:tc>
          <w:tcPr>
            <w:tcW w:w="90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329</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1.60</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228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1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0"/>
                <w:szCs w:val="20"/>
                <w:highlight w:val="none"/>
                <w:vertAlign w:val="baseline"/>
                <w:lang w:val="en-US" w:eastAsia="zh-CN"/>
              </w:rPr>
            </w:pPr>
            <w:r>
              <w:rPr>
                <w:rFonts w:hint="eastAsia"/>
                <w:color w:val="auto"/>
                <w:sz w:val="20"/>
                <w:szCs w:val="20"/>
                <w:highlight w:val="none"/>
                <w:vertAlign w:val="baseline"/>
                <w:lang w:val="en-US" w:eastAsia="zh-CN"/>
              </w:rPr>
              <w:t>12</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146</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3.62</w:t>
            </w:r>
          </w:p>
        </w:tc>
        <w:tc>
          <w:tcPr>
            <w:tcW w:w="90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210</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2.51</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131</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1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4.03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1</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117</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4.51</w:t>
            </w:r>
          </w:p>
        </w:tc>
        <w:tc>
          <w:tcPr>
            <w:tcW w:w="90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149</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3.54</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106</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1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4.98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2</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95.1</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5.55</w:t>
            </w:r>
          </w:p>
        </w:tc>
        <w:tc>
          <w:tcPr>
            <w:tcW w:w="90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131</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4.03</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88.1</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1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3</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104</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5.08</w:t>
            </w:r>
          </w:p>
        </w:tc>
        <w:tc>
          <w:tcPr>
            <w:tcW w:w="90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122</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4.33</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90</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1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0"/>
                <w:szCs w:val="20"/>
                <w:highlight w:val="none"/>
                <w:vertAlign w:val="baseline"/>
                <w:lang w:val="en-US" w:eastAsia="zh-CN"/>
              </w:rPr>
            </w:pPr>
            <w:r>
              <w:rPr>
                <w:rFonts w:hint="eastAsia"/>
                <w:color w:val="auto"/>
                <w:sz w:val="20"/>
                <w:szCs w:val="20"/>
                <w:highlight w:val="none"/>
                <w:vertAlign w:val="baseline"/>
                <w:lang w:val="en-US" w:eastAsia="zh-CN"/>
              </w:rPr>
              <w:t>4</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324</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1.63</w:t>
            </w:r>
          </w:p>
        </w:tc>
        <w:tc>
          <w:tcPr>
            <w:tcW w:w="90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283</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1.87</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202</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1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2.61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均值</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725</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0.73</w:t>
            </w:r>
          </w:p>
        </w:tc>
        <w:tc>
          <w:tcPr>
            <w:tcW w:w="908"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539</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0.98</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default"/>
                <w:color w:val="auto"/>
                <w:sz w:val="20"/>
                <w:szCs w:val="20"/>
                <w:highlight w:val="none"/>
                <w:vertAlign w:val="baseline"/>
                <w:lang w:val="en-US" w:eastAsia="zh-CN"/>
              </w:rPr>
              <w:t>379</w:t>
            </w:r>
          </w:p>
        </w:tc>
        <w:tc>
          <w:tcPr>
            <w:tcW w:w="90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5.28</w:t>
            </w:r>
          </w:p>
        </w:tc>
        <w:tc>
          <w:tcPr>
            <w:tcW w:w="91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0"/>
                <w:szCs w:val="20"/>
                <w:highlight w:val="none"/>
                <w:vertAlign w:val="baseline"/>
                <w:lang w:val="en-US" w:eastAsia="zh-CN"/>
              </w:rPr>
            </w:pPr>
            <w:r>
              <w:rPr>
                <w:rFonts w:hint="eastAsia"/>
                <w:color w:val="auto"/>
                <w:sz w:val="20"/>
                <w:szCs w:val="20"/>
                <w:highlight w:val="none"/>
                <w:vertAlign w:val="baseline"/>
                <w:lang w:val="en-US" w:eastAsia="zh-CN"/>
              </w:rPr>
              <w:t>1.39</w:t>
            </w:r>
          </w:p>
        </w:tc>
      </w:tr>
    </w:tbl>
    <w:p>
      <w:pPr>
        <w:bidi w:val="0"/>
        <w:spacing w:line="240" w:lineRule="auto"/>
        <w:ind w:left="0" w:leftChars="0" w:firstLine="0" w:firstLineChars="0"/>
        <w:jc w:val="center"/>
        <w:rPr>
          <w:rFonts w:hint="eastAsia"/>
          <w:color w:val="auto"/>
          <w:highlight w:val="none"/>
        </w:rPr>
      </w:pPr>
    </w:p>
    <w:p>
      <w:pPr>
        <w:keepNext w:val="0"/>
        <w:keepLines w:val="0"/>
        <w:pageBreakBefore w:val="0"/>
        <w:widowControl w:val="0"/>
        <w:kinsoku/>
        <w:wordWrap/>
        <w:overflowPunct/>
        <w:topLinePunct w:val="0"/>
        <w:autoSpaceDE/>
        <w:autoSpaceDN/>
        <w:bidi w:val="0"/>
        <w:adjustRightInd/>
        <w:snapToGrid w:val="0"/>
        <w:textAlignment w:val="auto"/>
        <w:rPr>
          <w:rFonts w:hint="eastAsia"/>
          <w:color w:val="auto"/>
          <w:highlight w:val="none"/>
        </w:rPr>
      </w:pPr>
      <w:r>
        <w:rPr>
          <w:rFonts w:hint="eastAsia"/>
          <w:color w:val="auto"/>
          <w:highlight w:val="none"/>
          <w:lang w:eastAsia="zh-CN"/>
        </w:rPr>
        <w:t>根据上表可知，</w:t>
      </w:r>
      <w:r>
        <w:rPr>
          <w:rFonts w:hint="eastAsia"/>
          <w:color w:val="auto"/>
          <w:highlight w:val="none"/>
        </w:rPr>
        <w:t>不同典型年船闸分流占比为</w:t>
      </w:r>
      <w:r>
        <w:rPr>
          <w:rFonts w:hint="eastAsia"/>
          <w:color w:val="auto"/>
          <w:highlight w:val="none"/>
          <w:lang w:val="en-US" w:eastAsia="zh-CN"/>
        </w:rPr>
        <w:t>0.25</w:t>
      </w:r>
      <w:r>
        <w:rPr>
          <w:rFonts w:hint="eastAsia"/>
          <w:color w:val="auto"/>
          <w:highlight w:val="none"/>
        </w:rPr>
        <w:t>%～</w:t>
      </w:r>
      <w:r>
        <w:rPr>
          <w:rFonts w:hint="eastAsia"/>
          <w:color w:val="auto"/>
          <w:highlight w:val="none"/>
          <w:lang w:val="en-US" w:eastAsia="zh-CN"/>
        </w:rPr>
        <w:t>5.99</w:t>
      </w:r>
      <w:r>
        <w:rPr>
          <w:rFonts w:hint="eastAsia"/>
          <w:color w:val="auto"/>
          <w:highlight w:val="none"/>
        </w:rPr>
        <w:t>%，最大分流比出现在枯水年2月份。</w:t>
      </w:r>
      <w:r>
        <w:rPr>
          <w:rFonts w:hint="eastAsia"/>
          <w:color w:val="auto"/>
          <w:highlight w:val="none"/>
          <w:lang w:eastAsia="zh-CN"/>
        </w:rPr>
        <w:t>船闸单次灌水持续时间较短，仅约</w:t>
      </w:r>
      <w:r>
        <w:rPr>
          <w:rFonts w:hint="eastAsia"/>
          <w:color w:val="auto"/>
          <w:highlight w:val="none"/>
          <w:lang w:val="en-US" w:eastAsia="zh-CN"/>
        </w:rPr>
        <w:t>8min（一次过闸时间96.6min），不会对上游径流造成持续分流，且</w:t>
      </w:r>
      <w:r>
        <w:rPr>
          <w:rFonts w:hint="eastAsia"/>
          <w:color w:val="auto"/>
          <w:highlight w:val="none"/>
          <w:lang w:eastAsia="zh-CN"/>
        </w:rPr>
        <w:t>船闸进水口位于上游导航墙，下游出水口位于下闸首，距离相隔较近，船舶过闸后及时将船闸内的水排入下游河道内，</w:t>
      </w:r>
      <w:r>
        <w:rPr>
          <w:rFonts w:hint="eastAsia"/>
          <w:color w:val="auto"/>
          <w:highlight w:val="none"/>
        </w:rPr>
        <w:t>船闸分流对库区水位和坝下径流影响较小。</w:t>
      </w:r>
    </w:p>
    <w:p>
      <w:pPr>
        <w:keepNext w:val="0"/>
        <w:keepLines w:val="0"/>
        <w:pageBreakBefore w:val="0"/>
        <w:widowControl w:val="0"/>
        <w:kinsoku/>
        <w:wordWrap/>
        <w:overflowPunct/>
        <w:topLinePunct w:val="0"/>
        <w:autoSpaceDE/>
        <w:autoSpaceDN/>
        <w:bidi w:val="0"/>
        <w:adjustRightInd/>
        <w:snapToGrid w:val="0"/>
        <w:textAlignment w:val="auto"/>
        <w:rPr>
          <w:rFonts w:hint="eastAsia"/>
          <w:color w:val="auto"/>
          <w:highlight w:val="none"/>
          <w:lang w:eastAsia="zh-CN"/>
        </w:rPr>
      </w:pPr>
      <w:r>
        <w:rPr>
          <w:rFonts w:hint="eastAsia"/>
          <w:color w:val="auto"/>
          <w:highlight w:val="none"/>
        </w:rPr>
        <w:fldChar w:fldCharType="begin"/>
      </w:r>
      <w:r>
        <w:rPr>
          <w:rFonts w:hint="eastAsia"/>
          <w:color w:val="auto"/>
          <w:highlight w:val="none"/>
        </w:rPr>
        <w:instrText xml:space="preserve"> = 2 \* GB3 \* MERGEFORMAT </w:instrText>
      </w:r>
      <w:r>
        <w:rPr>
          <w:rFonts w:hint="eastAsia"/>
          <w:color w:val="auto"/>
          <w:highlight w:val="none"/>
        </w:rPr>
        <w:fldChar w:fldCharType="separate"/>
      </w:r>
      <w:r>
        <w:rPr>
          <w:color w:val="auto"/>
          <w:highlight w:val="none"/>
        </w:rPr>
        <w:t>②</w:t>
      </w:r>
      <w:r>
        <w:rPr>
          <w:rFonts w:hint="eastAsia"/>
          <w:color w:val="auto"/>
          <w:highlight w:val="none"/>
        </w:rPr>
        <w:fldChar w:fldCharType="end"/>
      </w:r>
      <w:r>
        <w:rPr>
          <w:rFonts w:hint="eastAsia"/>
          <w:color w:val="auto"/>
          <w:highlight w:val="none"/>
          <w:lang w:eastAsia="zh-CN"/>
        </w:rPr>
        <w:t>流速和水位的影响分析</w:t>
      </w:r>
    </w:p>
    <w:p>
      <w:pPr>
        <w:keepNext w:val="0"/>
        <w:keepLines w:val="0"/>
        <w:pageBreakBefore w:val="0"/>
        <w:widowControl w:val="0"/>
        <w:kinsoku/>
        <w:wordWrap/>
        <w:overflowPunct/>
        <w:topLinePunct w:val="0"/>
        <w:autoSpaceDE/>
        <w:autoSpaceDN/>
        <w:bidi w:val="0"/>
        <w:adjustRightInd/>
        <w:snapToGrid w:val="0"/>
        <w:textAlignment w:val="auto"/>
        <w:rPr>
          <w:rFonts w:hint="eastAsia"/>
          <w:color w:val="auto"/>
          <w:highlight w:val="none"/>
          <w:lang w:val="en-US" w:eastAsia="zh-CN"/>
        </w:rPr>
      </w:pPr>
      <w:r>
        <w:rPr>
          <w:rFonts w:hint="eastAsia"/>
          <w:color w:val="auto"/>
          <w:highlight w:val="none"/>
          <w:lang w:val="en-US" w:eastAsia="zh-CN"/>
        </w:rPr>
        <w:t>《涪江干流渭沱电厂船闸升级改造工程洪水影响评价报告》中采用一维水流数学模型对工程实施后的水位、流速影响进行了预测，评价范围上起于渭沱坝上约3156m，止于渭沱坝下约3600m，评价河道长度为6756km，涉及航道长6456km。预测结果如下：</w:t>
      </w:r>
    </w:p>
    <w:p>
      <w:pPr>
        <w:spacing w:line="240" w:lineRule="exact"/>
        <w:rPr>
          <w:rFonts w:hint="eastAsia" w:ascii="宋体" w:hAnsi="宋体" w:eastAsia="宋体" w:cs="宋体"/>
          <w:color w:val="auto"/>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表4.2.1-2   工程建设前后水利要素统计表（P=10%）</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9"/>
        <w:gridCol w:w="1290"/>
        <w:gridCol w:w="1181"/>
        <w:gridCol w:w="1028"/>
        <w:gridCol w:w="995"/>
        <w:gridCol w:w="797"/>
        <w:gridCol w:w="820"/>
        <w:gridCol w:w="820"/>
        <w:gridCol w:w="827"/>
        <w:gridCol w:w="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Height w:val="340" w:hRule="atLeast"/>
          <w:jc w:val="center"/>
        </w:trPr>
        <w:tc>
          <w:tcPr>
            <w:tcW w:w="529" w:type="pct"/>
            <w:vMerge w:val="restar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断面编号</w:t>
            </w:r>
          </w:p>
        </w:tc>
        <w:tc>
          <w:tcPr>
            <w:tcW w:w="743" w:type="pct"/>
            <w:vMerge w:val="restar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地名</w:t>
            </w:r>
          </w:p>
        </w:tc>
        <w:tc>
          <w:tcPr>
            <w:tcW w:w="680" w:type="pct"/>
            <w:vMerge w:val="restar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里程</w:t>
            </w:r>
          </w:p>
        </w:tc>
        <w:tc>
          <w:tcPr>
            <w:tcW w:w="1624" w:type="pct"/>
            <w:gridSpan w:val="3"/>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水位（m）</w:t>
            </w:r>
          </w:p>
        </w:tc>
        <w:tc>
          <w:tcPr>
            <w:tcW w:w="1420" w:type="pct"/>
            <w:gridSpan w:val="3"/>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流速（m/s）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vMerge w:val="continue"/>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743" w:type="pct"/>
            <w:vMerge w:val="continue"/>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680" w:type="pct"/>
            <w:vMerge w:val="continue"/>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59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建前</w:t>
            </w:r>
          </w:p>
        </w:tc>
        <w:tc>
          <w:tcPr>
            <w:tcW w:w="57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建后</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差值</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建前</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建后</w:t>
            </w:r>
          </w:p>
        </w:tc>
        <w:tc>
          <w:tcPr>
            <w:tcW w:w="476" w:type="pct"/>
            <w:gridSpan w:val="2"/>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CS1</w:t>
            </w:r>
          </w:p>
        </w:tc>
        <w:tc>
          <w:tcPr>
            <w:tcW w:w="74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起推断面</w:t>
            </w:r>
          </w:p>
        </w:tc>
        <w:tc>
          <w:tcPr>
            <w:tcW w:w="680"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K6+756</w:t>
            </w:r>
          </w:p>
        </w:tc>
        <w:tc>
          <w:tcPr>
            <w:tcW w:w="59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215.61</w:t>
            </w:r>
          </w:p>
        </w:tc>
        <w:tc>
          <w:tcPr>
            <w:tcW w:w="57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215.61</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2.33</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2.33</w:t>
            </w:r>
          </w:p>
        </w:tc>
        <w:tc>
          <w:tcPr>
            <w:tcW w:w="476" w:type="pct"/>
            <w:gridSpan w:val="2"/>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CS2</w:t>
            </w:r>
          </w:p>
        </w:tc>
        <w:tc>
          <w:tcPr>
            <w:tcW w:w="74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680"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K6+000</w:t>
            </w:r>
          </w:p>
        </w:tc>
        <w:tc>
          <w:tcPr>
            <w:tcW w:w="59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215.62</w:t>
            </w:r>
          </w:p>
        </w:tc>
        <w:tc>
          <w:tcPr>
            <w:tcW w:w="57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215.62</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2.00</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2.00</w:t>
            </w:r>
          </w:p>
        </w:tc>
        <w:tc>
          <w:tcPr>
            <w:tcW w:w="476" w:type="pct"/>
            <w:gridSpan w:val="2"/>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CS3</w:t>
            </w:r>
          </w:p>
        </w:tc>
        <w:tc>
          <w:tcPr>
            <w:tcW w:w="743"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船闸锚地</w:t>
            </w:r>
          </w:p>
        </w:tc>
        <w:tc>
          <w:tcPr>
            <w:tcW w:w="680"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K5+000</w:t>
            </w:r>
          </w:p>
        </w:tc>
        <w:tc>
          <w:tcPr>
            <w:tcW w:w="59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215.63</w:t>
            </w:r>
          </w:p>
        </w:tc>
        <w:tc>
          <w:tcPr>
            <w:tcW w:w="57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215.63</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2.37</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2.36</w:t>
            </w:r>
          </w:p>
        </w:tc>
        <w:tc>
          <w:tcPr>
            <w:tcW w:w="476" w:type="pct"/>
            <w:gridSpan w:val="2"/>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CS4</w:t>
            </w:r>
          </w:p>
        </w:tc>
        <w:tc>
          <w:tcPr>
            <w:tcW w:w="74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疏浚</w:t>
            </w:r>
          </w:p>
        </w:tc>
        <w:tc>
          <w:tcPr>
            <w:tcW w:w="680"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K4+500</w:t>
            </w:r>
          </w:p>
        </w:tc>
        <w:tc>
          <w:tcPr>
            <w:tcW w:w="59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215.64</w:t>
            </w:r>
          </w:p>
        </w:tc>
        <w:tc>
          <w:tcPr>
            <w:tcW w:w="57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215.64</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2.34</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2.33</w:t>
            </w:r>
          </w:p>
        </w:tc>
        <w:tc>
          <w:tcPr>
            <w:tcW w:w="476" w:type="pct"/>
            <w:gridSpan w:val="2"/>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CS5</w:t>
            </w:r>
          </w:p>
        </w:tc>
        <w:tc>
          <w:tcPr>
            <w:tcW w:w="74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疏浚</w:t>
            </w:r>
          </w:p>
        </w:tc>
        <w:tc>
          <w:tcPr>
            <w:tcW w:w="680"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K4+400</w:t>
            </w:r>
          </w:p>
        </w:tc>
        <w:tc>
          <w:tcPr>
            <w:tcW w:w="59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215.67</w:t>
            </w:r>
          </w:p>
        </w:tc>
        <w:tc>
          <w:tcPr>
            <w:tcW w:w="57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215.67</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2.58</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2.58</w:t>
            </w:r>
          </w:p>
        </w:tc>
        <w:tc>
          <w:tcPr>
            <w:tcW w:w="476" w:type="pct"/>
            <w:gridSpan w:val="2"/>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CS6</w:t>
            </w:r>
          </w:p>
        </w:tc>
        <w:tc>
          <w:tcPr>
            <w:tcW w:w="74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下游导流</w:t>
            </w:r>
          </w:p>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挡墙</w:t>
            </w:r>
          </w:p>
        </w:tc>
        <w:tc>
          <w:tcPr>
            <w:tcW w:w="680"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K3+500</w:t>
            </w:r>
          </w:p>
        </w:tc>
        <w:tc>
          <w:tcPr>
            <w:tcW w:w="59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215.72</w:t>
            </w:r>
          </w:p>
        </w:tc>
        <w:tc>
          <w:tcPr>
            <w:tcW w:w="57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215.72</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2.17</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2.17</w:t>
            </w:r>
          </w:p>
        </w:tc>
        <w:tc>
          <w:tcPr>
            <w:tcW w:w="476" w:type="pct"/>
            <w:gridSpan w:val="2"/>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CS7</w:t>
            </w:r>
          </w:p>
        </w:tc>
        <w:tc>
          <w:tcPr>
            <w:tcW w:w="743"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渭沱电站大坝上游</w:t>
            </w:r>
          </w:p>
        </w:tc>
        <w:tc>
          <w:tcPr>
            <w:tcW w:w="680" w:type="pct"/>
            <w:noWrap/>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K3+161</w:t>
            </w:r>
          </w:p>
        </w:tc>
        <w:tc>
          <w:tcPr>
            <w:tcW w:w="592"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ascii="Times New Roman" w:hAnsi="Times New Roman" w:eastAsia="宋体" w:cs="Times New Roman"/>
                <w:color w:val="auto"/>
                <w:sz w:val="20"/>
                <w:szCs w:val="20"/>
                <w:highlight w:val="none"/>
                <w:lang w:val="en-US" w:eastAsia="zh-CN"/>
              </w:rPr>
              <w:t>216.23</w:t>
            </w:r>
          </w:p>
        </w:tc>
        <w:tc>
          <w:tcPr>
            <w:tcW w:w="57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ascii="Times New Roman" w:hAnsi="Times New Roman" w:eastAsia="宋体" w:cs="Times New Roman"/>
                <w:color w:val="auto"/>
                <w:sz w:val="20"/>
                <w:szCs w:val="20"/>
                <w:highlight w:val="none"/>
                <w:lang w:val="en-US" w:eastAsia="zh-CN"/>
              </w:rPr>
              <w:t>216.23</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2.37</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2.37</w:t>
            </w:r>
          </w:p>
        </w:tc>
        <w:tc>
          <w:tcPr>
            <w:tcW w:w="476" w:type="pct"/>
            <w:gridSpan w:val="2"/>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CS8</w:t>
            </w:r>
          </w:p>
        </w:tc>
        <w:tc>
          <w:tcPr>
            <w:tcW w:w="74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导流挡墙、疏浚</w:t>
            </w:r>
          </w:p>
        </w:tc>
        <w:tc>
          <w:tcPr>
            <w:tcW w:w="680"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K2+500</w:t>
            </w:r>
          </w:p>
        </w:tc>
        <w:tc>
          <w:tcPr>
            <w:tcW w:w="59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ascii="Times New Roman" w:hAnsi="Times New Roman" w:eastAsia="宋体" w:cs="Times New Roman"/>
                <w:color w:val="auto"/>
                <w:sz w:val="20"/>
                <w:szCs w:val="20"/>
                <w:highlight w:val="none"/>
                <w:lang w:val="en-US" w:eastAsia="zh-CN"/>
              </w:rPr>
              <w:t>216.23</w:t>
            </w:r>
          </w:p>
        </w:tc>
        <w:tc>
          <w:tcPr>
            <w:tcW w:w="57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ascii="Times New Roman" w:hAnsi="Times New Roman" w:eastAsia="宋体" w:cs="Times New Roman"/>
                <w:color w:val="auto"/>
                <w:sz w:val="20"/>
                <w:szCs w:val="20"/>
                <w:highlight w:val="none"/>
                <w:lang w:val="en-US" w:eastAsia="zh-CN"/>
              </w:rPr>
              <w:t>216.23</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2.44</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2.56</w:t>
            </w:r>
          </w:p>
        </w:tc>
        <w:tc>
          <w:tcPr>
            <w:tcW w:w="476" w:type="pct"/>
            <w:gridSpan w:val="2"/>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CS9</w:t>
            </w:r>
          </w:p>
        </w:tc>
        <w:tc>
          <w:tcPr>
            <w:tcW w:w="74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切角</w:t>
            </w:r>
          </w:p>
        </w:tc>
        <w:tc>
          <w:tcPr>
            <w:tcW w:w="680"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K2+079</w:t>
            </w:r>
          </w:p>
        </w:tc>
        <w:tc>
          <w:tcPr>
            <w:tcW w:w="59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ascii="Times New Roman" w:hAnsi="Times New Roman" w:eastAsia="宋体" w:cs="Times New Roman"/>
                <w:color w:val="auto"/>
                <w:sz w:val="20"/>
                <w:szCs w:val="20"/>
                <w:highlight w:val="none"/>
                <w:lang w:val="en-US" w:eastAsia="zh-CN"/>
              </w:rPr>
              <w:t>216.24</w:t>
            </w:r>
          </w:p>
        </w:tc>
        <w:tc>
          <w:tcPr>
            <w:tcW w:w="57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ascii="Times New Roman" w:hAnsi="Times New Roman" w:eastAsia="宋体" w:cs="Times New Roman"/>
                <w:color w:val="auto"/>
                <w:sz w:val="20"/>
                <w:szCs w:val="20"/>
                <w:highlight w:val="none"/>
                <w:lang w:val="en-US" w:eastAsia="zh-CN"/>
              </w:rPr>
              <w:t>216.24</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2.32</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2.31</w:t>
            </w:r>
          </w:p>
        </w:tc>
        <w:tc>
          <w:tcPr>
            <w:tcW w:w="476" w:type="pct"/>
            <w:gridSpan w:val="2"/>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CS10</w:t>
            </w:r>
          </w:p>
        </w:tc>
        <w:tc>
          <w:tcPr>
            <w:tcW w:w="743"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丁坝</w:t>
            </w:r>
          </w:p>
        </w:tc>
        <w:tc>
          <w:tcPr>
            <w:tcW w:w="680"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K1+871</w:t>
            </w:r>
          </w:p>
        </w:tc>
        <w:tc>
          <w:tcPr>
            <w:tcW w:w="59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ascii="Times New Roman" w:hAnsi="Times New Roman" w:eastAsia="宋体" w:cs="Times New Roman"/>
                <w:color w:val="auto"/>
                <w:sz w:val="20"/>
                <w:szCs w:val="20"/>
                <w:highlight w:val="none"/>
                <w:lang w:val="en-US" w:eastAsia="zh-CN"/>
              </w:rPr>
              <w:t>216.24</w:t>
            </w:r>
          </w:p>
        </w:tc>
        <w:tc>
          <w:tcPr>
            <w:tcW w:w="57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ascii="Times New Roman" w:hAnsi="Times New Roman" w:eastAsia="宋体" w:cs="Times New Roman"/>
                <w:color w:val="auto"/>
                <w:sz w:val="20"/>
                <w:szCs w:val="20"/>
                <w:highlight w:val="none"/>
                <w:lang w:val="en-US" w:eastAsia="zh-CN"/>
              </w:rPr>
              <w:t>216.24</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2.67</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2.77</w:t>
            </w:r>
          </w:p>
        </w:tc>
        <w:tc>
          <w:tcPr>
            <w:tcW w:w="476" w:type="pct"/>
            <w:gridSpan w:val="2"/>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CS11</w:t>
            </w:r>
          </w:p>
        </w:tc>
        <w:tc>
          <w:tcPr>
            <w:tcW w:w="743"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船闸锚地</w:t>
            </w:r>
          </w:p>
        </w:tc>
        <w:tc>
          <w:tcPr>
            <w:tcW w:w="680"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K1+260</w:t>
            </w:r>
          </w:p>
        </w:tc>
        <w:tc>
          <w:tcPr>
            <w:tcW w:w="59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ascii="Times New Roman" w:hAnsi="Times New Roman" w:eastAsia="宋体" w:cs="Times New Roman"/>
                <w:color w:val="auto"/>
                <w:sz w:val="20"/>
                <w:szCs w:val="20"/>
                <w:highlight w:val="none"/>
                <w:lang w:val="en-US" w:eastAsia="zh-CN"/>
              </w:rPr>
              <w:t>216.25</w:t>
            </w:r>
          </w:p>
        </w:tc>
        <w:tc>
          <w:tcPr>
            <w:tcW w:w="57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ascii="Times New Roman" w:hAnsi="Times New Roman" w:eastAsia="宋体" w:cs="Times New Roman"/>
                <w:color w:val="auto"/>
                <w:sz w:val="20"/>
                <w:szCs w:val="20"/>
                <w:highlight w:val="none"/>
                <w:lang w:val="en-US" w:eastAsia="zh-CN"/>
              </w:rPr>
              <w:t>216.25</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3.20</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3.20</w:t>
            </w:r>
          </w:p>
        </w:tc>
        <w:tc>
          <w:tcPr>
            <w:tcW w:w="476" w:type="pct"/>
            <w:gridSpan w:val="2"/>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CS12</w:t>
            </w:r>
          </w:p>
        </w:tc>
        <w:tc>
          <w:tcPr>
            <w:tcW w:w="743"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680"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K0+540</w:t>
            </w:r>
          </w:p>
        </w:tc>
        <w:tc>
          <w:tcPr>
            <w:tcW w:w="59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ascii="Times New Roman" w:hAnsi="Times New Roman" w:eastAsia="宋体" w:cs="Times New Roman"/>
                <w:color w:val="auto"/>
                <w:sz w:val="20"/>
                <w:szCs w:val="20"/>
                <w:highlight w:val="none"/>
                <w:lang w:val="en-US" w:eastAsia="zh-CN"/>
              </w:rPr>
              <w:t>216.25</w:t>
            </w:r>
          </w:p>
        </w:tc>
        <w:tc>
          <w:tcPr>
            <w:tcW w:w="57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ascii="Times New Roman" w:hAnsi="Times New Roman" w:eastAsia="宋体" w:cs="Times New Roman"/>
                <w:color w:val="auto"/>
                <w:sz w:val="20"/>
                <w:szCs w:val="20"/>
                <w:highlight w:val="none"/>
                <w:lang w:val="en-US" w:eastAsia="zh-CN"/>
              </w:rPr>
              <w:t>216.25</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2.32</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2.32</w:t>
            </w:r>
          </w:p>
        </w:tc>
        <w:tc>
          <w:tcPr>
            <w:tcW w:w="476" w:type="pct"/>
            <w:gridSpan w:val="2"/>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CS13</w:t>
            </w:r>
          </w:p>
        </w:tc>
        <w:tc>
          <w:tcPr>
            <w:tcW w:w="743"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680"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K0+000</w:t>
            </w:r>
          </w:p>
        </w:tc>
        <w:tc>
          <w:tcPr>
            <w:tcW w:w="59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ascii="Times New Roman" w:hAnsi="Times New Roman" w:eastAsia="宋体" w:cs="Times New Roman"/>
                <w:color w:val="auto"/>
                <w:sz w:val="20"/>
                <w:szCs w:val="20"/>
                <w:highlight w:val="none"/>
                <w:lang w:val="en-US" w:eastAsia="zh-CN"/>
              </w:rPr>
              <w:t>216.26</w:t>
            </w:r>
          </w:p>
        </w:tc>
        <w:tc>
          <w:tcPr>
            <w:tcW w:w="57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ascii="Times New Roman" w:hAnsi="Times New Roman" w:eastAsia="宋体" w:cs="Times New Roman"/>
                <w:color w:val="auto"/>
                <w:sz w:val="20"/>
                <w:szCs w:val="20"/>
                <w:highlight w:val="none"/>
                <w:lang w:val="en-US" w:eastAsia="zh-CN"/>
              </w:rPr>
              <w:t>216.26</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1.95</w:t>
            </w:r>
          </w:p>
        </w:tc>
        <w:tc>
          <w:tcPr>
            <w:tcW w:w="472"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1.95</w:t>
            </w:r>
          </w:p>
        </w:tc>
        <w:tc>
          <w:tcPr>
            <w:tcW w:w="476" w:type="pct"/>
            <w:gridSpan w:val="2"/>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bl>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highlight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表4.2.1-3  工程建设前后水利要素统计表（P=5%）</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6"/>
        <w:gridCol w:w="1221"/>
        <w:gridCol w:w="1143"/>
        <w:gridCol w:w="1079"/>
        <w:gridCol w:w="1048"/>
        <w:gridCol w:w="796"/>
        <w:gridCol w:w="862"/>
        <w:gridCol w:w="724"/>
        <w:gridCol w:w="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pct"/>
            <w:vMerge w:val="restar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断面编号</w:t>
            </w:r>
          </w:p>
        </w:tc>
        <w:tc>
          <w:tcPr>
            <w:tcW w:w="703" w:type="pct"/>
            <w:vMerge w:val="restar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地名</w:t>
            </w:r>
          </w:p>
        </w:tc>
        <w:tc>
          <w:tcPr>
            <w:tcW w:w="658" w:type="pct"/>
            <w:vMerge w:val="restar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里程</w:t>
            </w:r>
          </w:p>
        </w:tc>
        <w:tc>
          <w:tcPr>
            <w:tcW w:w="1682" w:type="pct"/>
            <w:gridSpan w:val="3"/>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洪水位（m）</w:t>
            </w:r>
          </w:p>
        </w:tc>
        <w:tc>
          <w:tcPr>
            <w:tcW w:w="1414" w:type="pct"/>
            <w:gridSpan w:val="3"/>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流速（m/s）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pct"/>
            <w:vMerge w:val="continue"/>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703" w:type="pct"/>
            <w:vMerge w:val="continue"/>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658" w:type="pct"/>
            <w:vMerge w:val="continue"/>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62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建前</w:t>
            </w:r>
          </w:p>
        </w:tc>
        <w:tc>
          <w:tcPr>
            <w:tcW w:w="6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建后</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差值</w:t>
            </w:r>
          </w:p>
        </w:tc>
        <w:tc>
          <w:tcPr>
            <w:tcW w:w="49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建前</w:t>
            </w:r>
          </w:p>
        </w:tc>
        <w:tc>
          <w:tcPr>
            <w:tcW w:w="41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建后</w:t>
            </w:r>
          </w:p>
        </w:tc>
        <w:tc>
          <w:tcPr>
            <w:tcW w:w="50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CS1</w:t>
            </w:r>
          </w:p>
        </w:tc>
        <w:tc>
          <w:tcPr>
            <w:tcW w:w="7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起推断面</w:t>
            </w:r>
          </w:p>
        </w:tc>
        <w:tc>
          <w:tcPr>
            <w:tcW w:w="658"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K6+756</w:t>
            </w:r>
          </w:p>
        </w:tc>
        <w:tc>
          <w:tcPr>
            <w:tcW w:w="62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217.44</w:t>
            </w:r>
          </w:p>
        </w:tc>
        <w:tc>
          <w:tcPr>
            <w:tcW w:w="6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217.44</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9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2.53</w:t>
            </w:r>
          </w:p>
        </w:tc>
        <w:tc>
          <w:tcPr>
            <w:tcW w:w="41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2.53</w:t>
            </w:r>
          </w:p>
        </w:tc>
        <w:tc>
          <w:tcPr>
            <w:tcW w:w="50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CS2</w:t>
            </w:r>
          </w:p>
        </w:tc>
        <w:tc>
          <w:tcPr>
            <w:tcW w:w="7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658"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K6+000</w:t>
            </w:r>
          </w:p>
        </w:tc>
        <w:tc>
          <w:tcPr>
            <w:tcW w:w="62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217.45</w:t>
            </w:r>
          </w:p>
        </w:tc>
        <w:tc>
          <w:tcPr>
            <w:tcW w:w="6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217.45</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9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2.24</w:t>
            </w:r>
          </w:p>
        </w:tc>
        <w:tc>
          <w:tcPr>
            <w:tcW w:w="41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2.24</w:t>
            </w:r>
          </w:p>
        </w:tc>
        <w:tc>
          <w:tcPr>
            <w:tcW w:w="50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CS3</w:t>
            </w:r>
          </w:p>
        </w:tc>
        <w:tc>
          <w:tcPr>
            <w:tcW w:w="703"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船闸锚地</w:t>
            </w:r>
          </w:p>
        </w:tc>
        <w:tc>
          <w:tcPr>
            <w:tcW w:w="658"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K5+000</w:t>
            </w:r>
          </w:p>
        </w:tc>
        <w:tc>
          <w:tcPr>
            <w:tcW w:w="62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217.46</w:t>
            </w:r>
          </w:p>
        </w:tc>
        <w:tc>
          <w:tcPr>
            <w:tcW w:w="6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217.46</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9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2.51</w:t>
            </w:r>
          </w:p>
        </w:tc>
        <w:tc>
          <w:tcPr>
            <w:tcW w:w="41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2.51</w:t>
            </w:r>
          </w:p>
        </w:tc>
        <w:tc>
          <w:tcPr>
            <w:tcW w:w="50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CS4</w:t>
            </w:r>
          </w:p>
        </w:tc>
        <w:tc>
          <w:tcPr>
            <w:tcW w:w="7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疏浚</w:t>
            </w:r>
          </w:p>
        </w:tc>
        <w:tc>
          <w:tcPr>
            <w:tcW w:w="658"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K4+500</w:t>
            </w:r>
          </w:p>
        </w:tc>
        <w:tc>
          <w:tcPr>
            <w:tcW w:w="62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217.53</w:t>
            </w:r>
          </w:p>
        </w:tc>
        <w:tc>
          <w:tcPr>
            <w:tcW w:w="6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217.53</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9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2.42</w:t>
            </w:r>
          </w:p>
        </w:tc>
        <w:tc>
          <w:tcPr>
            <w:tcW w:w="41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2.40</w:t>
            </w:r>
          </w:p>
        </w:tc>
        <w:tc>
          <w:tcPr>
            <w:tcW w:w="50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CS5</w:t>
            </w:r>
          </w:p>
        </w:tc>
        <w:tc>
          <w:tcPr>
            <w:tcW w:w="7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疏浚</w:t>
            </w:r>
          </w:p>
        </w:tc>
        <w:tc>
          <w:tcPr>
            <w:tcW w:w="658"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K4+400</w:t>
            </w:r>
          </w:p>
        </w:tc>
        <w:tc>
          <w:tcPr>
            <w:tcW w:w="62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217.76</w:t>
            </w:r>
          </w:p>
        </w:tc>
        <w:tc>
          <w:tcPr>
            <w:tcW w:w="6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217.76</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9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2.80</w:t>
            </w:r>
          </w:p>
        </w:tc>
        <w:tc>
          <w:tcPr>
            <w:tcW w:w="41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2.79</w:t>
            </w:r>
          </w:p>
        </w:tc>
        <w:tc>
          <w:tcPr>
            <w:tcW w:w="50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CS6</w:t>
            </w:r>
          </w:p>
        </w:tc>
        <w:tc>
          <w:tcPr>
            <w:tcW w:w="7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下游导流</w:t>
            </w:r>
          </w:p>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挡墙</w:t>
            </w:r>
          </w:p>
        </w:tc>
        <w:tc>
          <w:tcPr>
            <w:tcW w:w="658"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K3+500</w:t>
            </w:r>
          </w:p>
        </w:tc>
        <w:tc>
          <w:tcPr>
            <w:tcW w:w="62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217.86</w:t>
            </w:r>
          </w:p>
        </w:tc>
        <w:tc>
          <w:tcPr>
            <w:tcW w:w="6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217.86</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9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2.30</w:t>
            </w:r>
          </w:p>
        </w:tc>
        <w:tc>
          <w:tcPr>
            <w:tcW w:w="41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2.30</w:t>
            </w:r>
          </w:p>
        </w:tc>
        <w:tc>
          <w:tcPr>
            <w:tcW w:w="50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CS7</w:t>
            </w:r>
          </w:p>
        </w:tc>
        <w:tc>
          <w:tcPr>
            <w:tcW w:w="703"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渭沱电站大坝上游</w:t>
            </w:r>
          </w:p>
        </w:tc>
        <w:tc>
          <w:tcPr>
            <w:tcW w:w="658" w:type="pct"/>
            <w:noWrap/>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K3+161</w:t>
            </w:r>
          </w:p>
        </w:tc>
        <w:tc>
          <w:tcPr>
            <w:tcW w:w="621"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218.05</w:t>
            </w:r>
          </w:p>
        </w:tc>
        <w:tc>
          <w:tcPr>
            <w:tcW w:w="6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218.05</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9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2.44</w:t>
            </w:r>
          </w:p>
        </w:tc>
        <w:tc>
          <w:tcPr>
            <w:tcW w:w="41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2.44</w:t>
            </w:r>
          </w:p>
        </w:tc>
        <w:tc>
          <w:tcPr>
            <w:tcW w:w="50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CS8</w:t>
            </w:r>
          </w:p>
        </w:tc>
        <w:tc>
          <w:tcPr>
            <w:tcW w:w="7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导流挡墙、疏浚</w:t>
            </w:r>
          </w:p>
        </w:tc>
        <w:tc>
          <w:tcPr>
            <w:tcW w:w="658"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K2+500</w:t>
            </w:r>
          </w:p>
        </w:tc>
        <w:tc>
          <w:tcPr>
            <w:tcW w:w="62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218.83</w:t>
            </w:r>
          </w:p>
        </w:tc>
        <w:tc>
          <w:tcPr>
            <w:tcW w:w="6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218.83</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9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2.61</w:t>
            </w:r>
          </w:p>
        </w:tc>
        <w:tc>
          <w:tcPr>
            <w:tcW w:w="41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2.72</w:t>
            </w:r>
          </w:p>
        </w:tc>
        <w:tc>
          <w:tcPr>
            <w:tcW w:w="50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CS9</w:t>
            </w:r>
          </w:p>
        </w:tc>
        <w:tc>
          <w:tcPr>
            <w:tcW w:w="7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切角</w:t>
            </w:r>
          </w:p>
        </w:tc>
        <w:tc>
          <w:tcPr>
            <w:tcW w:w="658"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K2+079</w:t>
            </w:r>
          </w:p>
        </w:tc>
        <w:tc>
          <w:tcPr>
            <w:tcW w:w="62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218.84</w:t>
            </w:r>
          </w:p>
        </w:tc>
        <w:tc>
          <w:tcPr>
            <w:tcW w:w="6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218.84</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9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2.58</w:t>
            </w:r>
          </w:p>
        </w:tc>
        <w:tc>
          <w:tcPr>
            <w:tcW w:w="41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2.57</w:t>
            </w:r>
          </w:p>
        </w:tc>
        <w:tc>
          <w:tcPr>
            <w:tcW w:w="50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CS10</w:t>
            </w:r>
          </w:p>
        </w:tc>
        <w:tc>
          <w:tcPr>
            <w:tcW w:w="703"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丁坝</w:t>
            </w:r>
          </w:p>
        </w:tc>
        <w:tc>
          <w:tcPr>
            <w:tcW w:w="658"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K1+871</w:t>
            </w:r>
          </w:p>
        </w:tc>
        <w:tc>
          <w:tcPr>
            <w:tcW w:w="62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218.86</w:t>
            </w:r>
          </w:p>
        </w:tc>
        <w:tc>
          <w:tcPr>
            <w:tcW w:w="6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218.86</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9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2.89</w:t>
            </w:r>
          </w:p>
        </w:tc>
        <w:tc>
          <w:tcPr>
            <w:tcW w:w="41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2.98</w:t>
            </w:r>
          </w:p>
        </w:tc>
        <w:tc>
          <w:tcPr>
            <w:tcW w:w="50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CS11</w:t>
            </w:r>
          </w:p>
        </w:tc>
        <w:tc>
          <w:tcPr>
            <w:tcW w:w="703"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船闸锚地</w:t>
            </w:r>
          </w:p>
        </w:tc>
        <w:tc>
          <w:tcPr>
            <w:tcW w:w="658"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K1+260</w:t>
            </w:r>
          </w:p>
        </w:tc>
        <w:tc>
          <w:tcPr>
            <w:tcW w:w="62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218.87</w:t>
            </w:r>
          </w:p>
        </w:tc>
        <w:tc>
          <w:tcPr>
            <w:tcW w:w="6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218.87</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9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2.99</w:t>
            </w:r>
          </w:p>
        </w:tc>
        <w:tc>
          <w:tcPr>
            <w:tcW w:w="41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2.99</w:t>
            </w:r>
          </w:p>
        </w:tc>
        <w:tc>
          <w:tcPr>
            <w:tcW w:w="50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CS12</w:t>
            </w:r>
          </w:p>
        </w:tc>
        <w:tc>
          <w:tcPr>
            <w:tcW w:w="703"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658"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K0+540</w:t>
            </w:r>
          </w:p>
        </w:tc>
        <w:tc>
          <w:tcPr>
            <w:tcW w:w="62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218.87</w:t>
            </w:r>
          </w:p>
        </w:tc>
        <w:tc>
          <w:tcPr>
            <w:tcW w:w="6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218.87</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9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2.22</w:t>
            </w:r>
          </w:p>
        </w:tc>
        <w:tc>
          <w:tcPr>
            <w:tcW w:w="41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2.22</w:t>
            </w:r>
          </w:p>
        </w:tc>
        <w:tc>
          <w:tcPr>
            <w:tcW w:w="50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CS13</w:t>
            </w:r>
          </w:p>
        </w:tc>
        <w:tc>
          <w:tcPr>
            <w:tcW w:w="703"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658"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sz w:val="20"/>
                <w:szCs w:val="20"/>
                <w:highlight w:val="none"/>
                <w:lang w:val="en-US" w:eastAsia="zh-CN"/>
              </w:rPr>
            </w:pPr>
            <w:r>
              <w:rPr>
                <w:rFonts w:hint="eastAsia"/>
                <w:color w:val="auto"/>
                <w:sz w:val="20"/>
                <w:szCs w:val="20"/>
                <w:highlight w:val="none"/>
                <w:lang w:val="en-US" w:eastAsia="zh-CN"/>
              </w:rPr>
              <w:t>K0+000</w:t>
            </w:r>
          </w:p>
        </w:tc>
        <w:tc>
          <w:tcPr>
            <w:tcW w:w="62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218.90</w:t>
            </w:r>
          </w:p>
        </w:tc>
        <w:tc>
          <w:tcPr>
            <w:tcW w:w="603"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218.90</w:t>
            </w:r>
          </w:p>
        </w:tc>
        <w:tc>
          <w:tcPr>
            <w:tcW w:w="45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c>
          <w:tcPr>
            <w:tcW w:w="49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1.96</w:t>
            </w:r>
          </w:p>
        </w:tc>
        <w:tc>
          <w:tcPr>
            <w:tcW w:w="417"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1.96</w:t>
            </w:r>
          </w:p>
        </w:tc>
        <w:tc>
          <w:tcPr>
            <w:tcW w:w="50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0.00</w:t>
            </w:r>
          </w:p>
        </w:tc>
      </w:tr>
    </w:tbl>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highlight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表4.2.1-4  工程建设前后水利要素统计表（P=2%）</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8"/>
        <w:gridCol w:w="1191"/>
        <w:gridCol w:w="1162"/>
        <w:gridCol w:w="1096"/>
        <w:gridCol w:w="1049"/>
        <w:gridCol w:w="797"/>
        <w:gridCol w:w="815"/>
        <w:gridCol w:w="815"/>
        <w:gridCol w:w="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40" w:type="pct"/>
            <w:vMerge w:val="restar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断面编号</w:t>
            </w:r>
          </w:p>
        </w:tc>
        <w:tc>
          <w:tcPr>
            <w:tcW w:w="686" w:type="pct"/>
            <w:vMerge w:val="restar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地名</w:t>
            </w:r>
          </w:p>
        </w:tc>
        <w:tc>
          <w:tcPr>
            <w:tcW w:w="6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1694" w:type="pct"/>
            <w:gridSpan w:val="3"/>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洪水位（m）</w:t>
            </w:r>
          </w:p>
        </w:tc>
        <w:tc>
          <w:tcPr>
            <w:tcW w:w="1408" w:type="pct"/>
            <w:gridSpan w:val="3"/>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流速（m/s）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40" w:type="pct"/>
            <w:vMerge w:val="continue"/>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686" w:type="pct"/>
            <w:vMerge w:val="continue"/>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6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63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建前</w:t>
            </w:r>
          </w:p>
        </w:tc>
        <w:tc>
          <w:tcPr>
            <w:tcW w:w="604"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建后</w:t>
            </w:r>
          </w:p>
        </w:tc>
        <w:tc>
          <w:tcPr>
            <w:tcW w:w="458"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差值</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建前</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建后</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4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CS1</w:t>
            </w:r>
          </w:p>
        </w:tc>
        <w:tc>
          <w:tcPr>
            <w:tcW w:w="68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起推断面</w:t>
            </w:r>
          </w:p>
        </w:tc>
        <w:tc>
          <w:tcPr>
            <w:tcW w:w="669"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val="en-US" w:eastAsia="zh-CN"/>
              </w:rPr>
              <w:t>K6+756</w:t>
            </w:r>
          </w:p>
        </w:tc>
        <w:tc>
          <w:tcPr>
            <w:tcW w:w="63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219.73 </w:t>
            </w:r>
          </w:p>
        </w:tc>
        <w:tc>
          <w:tcPr>
            <w:tcW w:w="604"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219.73 </w:t>
            </w:r>
          </w:p>
        </w:tc>
        <w:tc>
          <w:tcPr>
            <w:tcW w:w="458"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2.55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2.55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4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CS2</w:t>
            </w:r>
          </w:p>
        </w:tc>
        <w:tc>
          <w:tcPr>
            <w:tcW w:w="68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669"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val="en-US" w:eastAsia="zh-CN"/>
              </w:rPr>
              <w:t>K6+000</w:t>
            </w:r>
          </w:p>
        </w:tc>
        <w:tc>
          <w:tcPr>
            <w:tcW w:w="63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219.73 </w:t>
            </w:r>
          </w:p>
        </w:tc>
        <w:tc>
          <w:tcPr>
            <w:tcW w:w="604"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219.73 </w:t>
            </w:r>
          </w:p>
        </w:tc>
        <w:tc>
          <w:tcPr>
            <w:tcW w:w="458"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2.15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2.15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4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CS3</w:t>
            </w:r>
          </w:p>
        </w:tc>
        <w:tc>
          <w:tcPr>
            <w:tcW w:w="686"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船闸锚地</w:t>
            </w:r>
          </w:p>
        </w:tc>
        <w:tc>
          <w:tcPr>
            <w:tcW w:w="669"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val="en-US" w:eastAsia="zh-CN"/>
              </w:rPr>
              <w:t>K5+000</w:t>
            </w:r>
          </w:p>
        </w:tc>
        <w:tc>
          <w:tcPr>
            <w:tcW w:w="63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219.74 </w:t>
            </w:r>
          </w:p>
        </w:tc>
        <w:tc>
          <w:tcPr>
            <w:tcW w:w="604"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219.74 </w:t>
            </w:r>
          </w:p>
        </w:tc>
        <w:tc>
          <w:tcPr>
            <w:tcW w:w="458"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2.51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2.51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4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CS4</w:t>
            </w:r>
          </w:p>
        </w:tc>
        <w:tc>
          <w:tcPr>
            <w:tcW w:w="68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疏浚</w:t>
            </w:r>
          </w:p>
        </w:tc>
        <w:tc>
          <w:tcPr>
            <w:tcW w:w="669"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val="en-US" w:eastAsia="zh-CN"/>
              </w:rPr>
              <w:t>K4+500</w:t>
            </w:r>
          </w:p>
        </w:tc>
        <w:tc>
          <w:tcPr>
            <w:tcW w:w="63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219.76 </w:t>
            </w:r>
          </w:p>
        </w:tc>
        <w:tc>
          <w:tcPr>
            <w:tcW w:w="604"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219.76 </w:t>
            </w:r>
          </w:p>
        </w:tc>
        <w:tc>
          <w:tcPr>
            <w:tcW w:w="458"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2.30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2.29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4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CS5</w:t>
            </w:r>
          </w:p>
        </w:tc>
        <w:tc>
          <w:tcPr>
            <w:tcW w:w="68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疏浚</w:t>
            </w:r>
          </w:p>
        </w:tc>
        <w:tc>
          <w:tcPr>
            <w:tcW w:w="669"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val="en-US" w:eastAsia="zh-CN"/>
              </w:rPr>
              <w:t>K4+400</w:t>
            </w:r>
          </w:p>
        </w:tc>
        <w:tc>
          <w:tcPr>
            <w:tcW w:w="63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219.78 </w:t>
            </w:r>
          </w:p>
        </w:tc>
        <w:tc>
          <w:tcPr>
            <w:tcW w:w="604"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219.78 </w:t>
            </w:r>
          </w:p>
        </w:tc>
        <w:tc>
          <w:tcPr>
            <w:tcW w:w="458"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2.67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2.67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54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CS6</w:t>
            </w:r>
          </w:p>
        </w:tc>
        <w:tc>
          <w:tcPr>
            <w:tcW w:w="68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下游导流挡墙</w:t>
            </w:r>
          </w:p>
        </w:tc>
        <w:tc>
          <w:tcPr>
            <w:tcW w:w="669"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val="en-US" w:eastAsia="zh-CN"/>
              </w:rPr>
              <w:t>K3+500</w:t>
            </w:r>
          </w:p>
        </w:tc>
        <w:tc>
          <w:tcPr>
            <w:tcW w:w="63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219.83 </w:t>
            </w:r>
          </w:p>
        </w:tc>
        <w:tc>
          <w:tcPr>
            <w:tcW w:w="604"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219.83 </w:t>
            </w:r>
          </w:p>
        </w:tc>
        <w:tc>
          <w:tcPr>
            <w:tcW w:w="458"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2.17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2.17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4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CS7</w:t>
            </w:r>
          </w:p>
        </w:tc>
        <w:tc>
          <w:tcPr>
            <w:tcW w:w="686"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渭沱电站大坝上游</w:t>
            </w:r>
          </w:p>
        </w:tc>
        <w:tc>
          <w:tcPr>
            <w:tcW w:w="669" w:type="pct"/>
            <w:noWrap/>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val="en-US" w:eastAsia="zh-CN"/>
              </w:rPr>
              <w:t>K3+161</w:t>
            </w:r>
          </w:p>
        </w:tc>
        <w:tc>
          <w:tcPr>
            <w:tcW w:w="631"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220.16 </w:t>
            </w:r>
          </w:p>
        </w:tc>
        <w:tc>
          <w:tcPr>
            <w:tcW w:w="604"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220.16 </w:t>
            </w:r>
          </w:p>
        </w:tc>
        <w:tc>
          <w:tcPr>
            <w:tcW w:w="458"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2.16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2.16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54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CS8</w:t>
            </w:r>
          </w:p>
        </w:tc>
        <w:tc>
          <w:tcPr>
            <w:tcW w:w="68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导流挡墙、疏浚</w:t>
            </w:r>
          </w:p>
        </w:tc>
        <w:tc>
          <w:tcPr>
            <w:tcW w:w="669"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val="en-US" w:eastAsia="zh-CN"/>
              </w:rPr>
              <w:t>K2+500</w:t>
            </w:r>
          </w:p>
        </w:tc>
        <w:tc>
          <w:tcPr>
            <w:tcW w:w="63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220.19 </w:t>
            </w:r>
          </w:p>
        </w:tc>
        <w:tc>
          <w:tcPr>
            <w:tcW w:w="604"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220.19 </w:t>
            </w:r>
          </w:p>
        </w:tc>
        <w:tc>
          <w:tcPr>
            <w:tcW w:w="458"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2.65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2.73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4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CS9</w:t>
            </w:r>
          </w:p>
        </w:tc>
        <w:tc>
          <w:tcPr>
            <w:tcW w:w="686"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切角</w:t>
            </w:r>
          </w:p>
        </w:tc>
        <w:tc>
          <w:tcPr>
            <w:tcW w:w="669"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val="en-US" w:eastAsia="zh-CN"/>
              </w:rPr>
              <w:t>K2+079</w:t>
            </w:r>
          </w:p>
        </w:tc>
        <w:tc>
          <w:tcPr>
            <w:tcW w:w="63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220.21 </w:t>
            </w:r>
          </w:p>
        </w:tc>
        <w:tc>
          <w:tcPr>
            <w:tcW w:w="604"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220.21 </w:t>
            </w:r>
          </w:p>
        </w:tc>
        <w:tc>
          <w:tcPr>
            <w:tcW w:w="458"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2.10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2.09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4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CS10</w:t>
            </w:r>
          </w:p>
        </w:tc>
        <w:tc>
          <w:tcPr>
            <w:tcW w:w="686"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丁坝</w:t>
            </w:r>
          </w:p>
        </w:tc>
        <w:tc>
          <w:tcPr>
            <w:tcW w:w="669"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val="en-US" w:eastAsia="zh-CN"/>
              </w:rPr>
              <w:t>K1+871</w:t>
            </w:r>
          </w:p>
        </w:tc>
        <w:tc>
          <w:tcPr>
            <w:tcW w:w="63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220.23 </w:t>
            </w:r>
          </w:p>
        </w:tc>
        <w:tc>
          <w:tcPr>
            <w:tcW w:w="604"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220.23 </w:t>
            </w:r>
          </w:p>
        </w:tc>
        <w:tc>
          <w:tcPr>
            <w:tcW w:w="458"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3.00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3.08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4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CS11</w:t>
            </w:r>
          </w:p>
        </w:tc>
        <w:tc>
          <w:tcPr>
            <w:tcW w:w="686"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船闸锚地</w:t>
            </w:r>
          </w:p>
        </w:tc>
        <w:tc>
          <w:tcPr>
            <w:tcW w:w="669"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val="en-US" w:eastAsia="zh-CN"/>
              </w:rPr>
              <w:t>K1+260</w:t>
            </w:r>
          </w:p>
        </w:tc>
        <w:tc>
          <w:tcPr>
            <w:tcW w:w="63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220.23 </w:t>
            </w:r>
          </w:p>
        </w:tc>
        <w:tc>
          <w:tcPr>
            <w:tcW w:w="604"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220.23 </w:t>
            </w:r>
          </w:p>
        </w:tc>
        <w:tc>
          <w:tcPr>
            <w:tcW w:w="458"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2.73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2.73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4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CS12</w:t>
            </w:r>
          </w:p>
        </w:tc>
        <w:tc>
          <w:tcPr>
            <w:tcW w:w="686"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669"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val="en-US" w:eastAsia="zh-CN"/>
              </w:rPr>
              <w:t>K0+540</w:t>
            </w:r>
          </w:p>
        </w:tc>
        <w:tc>
          <w:tcPr>
            <w:tcW w:w="63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220.24 </w:t>
            </w:r>
          </w:p>
        </w:tc>
        <w:tc>
          <w:tcPr>
            <w:tcW w:w="604"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220.24 </w:t>
            </w:r>
          </w:p>
        </w:tc>
        <w:tc>
          <w:tcPr>
            <w:tcW w:w="458"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2.17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2.17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40"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CS13</w:t>
            </w:r>
          </w:p>
        </w:tc>
        <w:tc>
          <w:tcPr>
            <w:tcW w:w="686" w:type="pct"/>
            <w:noWrap/>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left="-130" w:leftChars="-50" w:right="-130" w:rightChars="-50" w:firstLine="0" w:firstLineChars="0"/>
              <w:jc w:val="center"/>
              <w:textAlignment w:val="auto"/>
              <w:rPr>
                <w:rFonts w:hint="eastAsia" w:ascii="Times New Roman" w:hAnsi="Times New Roman" w:eastAsia="宋体" w:cs="Times New Roman"/>
                <w:color w:val="auto"/>
                <w:sz w:val="20"/>
                <w:szCs w:val="20"/>
                <w:highlight w:val="none"/>
                <w:lang w:val="en-US" w:eastAsia="zh-CN"/>
              </w:rPr>
            </w:pPr>
          </w:p>
        </w:tc>
        <w:tc>
          <w:tcPr>
            <w:tcW w:w="669" w:type="pct"/>
            <w:noWrap w:val="0"/>
            <w:vAlign w:val="center"/>
          </w:tcPr>
          <w:p>
            <w:pPr>
              <w:pStyle w:val="243"/>
              <w:keepNext w:val="0"/>
              <w:keepLines w:val="0"/>
              <w:pageBreakBefore w:val="0"/>
              <w:widowControl w:val="0"/>
              <w:kinsoku/>
              <w:wordWrap/>
              <w:overflowPunct/>
              <w:topLinePunct w:val="0"/>
              <w:autoSpaceDE/>
              <w:autoSpaceDN/>
              <w:bidi w:val="0"/>
              <w:adjustRightInd/>
              <w:snapToGrid w:val="0"/>
              <w:spacing w:after="0" w:line="240" w:lineRule="auto"/>
              <w:ind w:firstLine="0" w:firstLineChars="0"/>
              <w:textAlignment w:val="auto"/>
              <w:rPr>
                <w:rFonts w:hint="eastAsia"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val="en-US" w:eastAsia="zh-CN"/>
              </w:rPr>
              <w:t>K0+000</w:t>
            </w:r>
          </w:p>
        </w:tc>
        <w:tc>
          <w:tcPr>
            <w:tcW w:w="631"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220.25 </w:t>
            </w:r>
          </w:p>
        </w:tc>
        <w:tc>
          <w:tcPr>
            <w:tcW w:w="604"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220.25 </w:t>
            </w:r>
          </w:p>
        </w:tc>
        <w:tc>
          <w:tcPr>
            <w:tcW w:w="458"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2.01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2.01 </w:t>
            </w:r>
          </w:p>
        </w:tc>
        <w:tc>
          <w:tcPr>
            <w:tcW w:w="469" w:type="pct"/>
            <w:noWrap w:val="0"/>
            <w:vAlign w:val="center"/>
          </w:tcPr>
          <w:p>
            <w:pPr>
              <w:pStyle w:val="24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color w:val="auto"/>
                <w:sz w:val="20"/>
                <w:szCs w:val="20"/>
                <w:highlight w:val="none"/>
                <w:lang w:val="en-US" w:eastAsia="zh-CN"/>
              </w:rPr>
            </w:pPr>
            <w:r>
              <w:rPr>
                <w:rFonts w:hint="eastAsia" w:ascii="Times New Roman" w:hAnsi="Times New Roman" w:eastAsia="宋体" w:cs="Times New Roman"/>
                <w:color w:val="auto"/>
                <w:sz w:val="20"/>
                <w:szCs w:val="20"/>
                <w:highlight w:val="none"/>
                <w:lang w:val="en-US" w:eastAsia="zh-CN"/>
              </w:rPr>
              <w:t xml:space="preserve">0.00 </w:t>
            </w:r>
          </w:p>
        </w:tc>
      </w:tr>
    </w:tbl>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highlight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default" w:ascii="Times New Roman" w:hAnsi="Times New Roman" w:cs="Times New Roman"/>
          <w:snapToGrid w:val="0"/>
          <w:color w:val="auto"/>
          <w:sz w:val="26"/>
          <w:szCs w:val="26"/>
          <w:highlight w:val="none"/>
          <w:lang w:val="en-US" w:eastAsia="zh-CN"/>
        </w:rPr>
      </w:pPr>
      <w:r>
        <w:rPr>
          <w:rFonts w:hint="default" w:ascii="Times New Roman" w:hAnsi="Times New Roman" w:eastAsia="宋体" w:cs="Times New Roman"/>
          <w:snapToGrid w:val="0"/>
          <w:color w:val="auto"/>
          <w:sz w:val="26"/>
          <w:szCs w:val="26"/>
          <w:highlight w:val="none"/>
        </w:rPr>
        <w:t>由表</w:t>
      </w:r>
      <w:r>
        <w:rPr>
          <w:rFonts w:hint="default" w:ascii="Times New Roman" w:hAnsi="Times New Roman" w:eastAsia="宋体" w:cs="Times New Roman"/>
          <w:color w:val="auto"/>
          <w:sz w:val="26"/>
          <w:szCs w:val="26"/>
          <w:highlight w:val="none"/>
          <w:lang w:val="en-US" w:eastAsia="zh-CN"/>
        </w:rPr>
        <w:t>4.2.1</w:t>
      </w:r>
      <w:r>
        <w:rPr>
          <w:rFonts w:hint="default" w:ascii="Times New Roman" w:hAnsi="Times New Roman" w:cs="Times New Roman"/>
          <w:snapToGrid w:val="0"/>
          <w:color w:val="auto"/>
          <w:sz w:val="26"/>
          <w:szCs w:val="26"/>
          <w:highlight w:val="none"/>
          <w:lang w:val="en-US" w:eastAsia="zh-CN"/>
        </w:rPr>
        <w:t>-</w:t>
      </w:r>
      <w:r>
        <w:rPr>
          <w:rFonts w:hint="eastAsia" w:ascii="Times New Roman" w:hAnsi="Times New Roman" w:cs="Times New Roman"/>
          <w:snapToGrid w:val="0"/>
          <w:color w:val="auto"/>
          <w:sz w:val="26"/>
          <w:szCs w:val="26"/>
          <w:highlight w:val="none"/>
          <w:lang w:val="en-US" w:eastAsia="zh-CN"/>
        </w:rPr>
        <w:t>2</w:t>
      </w:r>
      <w:r>
        <w:rPr>
          <w:rFonts w:hint="default" w:ascii="Times New Roman" w:hAnsi="Times New Roman" w:eastAsia="宋体" w:cs="Times New Roman"/>
          <w:snapToGrid w:val="0"/>
          <w:color w:val="auto"/>
          <w:sz w:val="26"/>
          <w:szCs w:val="26"/>
          <w:highlight w:val="none"/>
        </w:rPr>
        <w:t>可以看出：当</w:t>
      </w:r>
      <w:r>
        <w:rPr>
          <w:rFonts w:hint="default" w:ascii="Times New Roman" w:hAnsi="Times New Roman" w:cs="Times New Roman"/>
          <w:snapToGrid w:val="0"/>
          <w:color w:val="auto"/>
          <w:sz w:val="26"/>
          <w:szCs w:val="26"/>
          <w:highlight w:val="none"/>
          <w:lang w:val="en-US" w:eastAsia="zh-CN"/>
        </w:rPr>
        <w:t>遭遇10年一遇洪水时，工程建设前洪水</w:t>
      </w:r>
      <w:r>
        <w:rPr>
          <w:rFonts w:hint="default" w:ascii="Times New Roman" w:hAnsi="Times New Roman" w:eastAsia="宋体" w:cs="Times New Roman"/>
          <w:snapToGrid w:val="0"/>
          <w:color w:val="auto"/>
          <w:sz w:val="26"/>
          <w:szCs w:val="26"/>
          <w:highlight w:val="none"/>
        </w:rPr>
        <w:t>水位为</w:t>
      </w:r>
      <w:r>
        <w:rPr>
          <w:rFonts w:hint="default" w:ascii="Times New Roman" w:hAnsi="Times New Roman" w:cs="Times New Roman"/>
          <w:snapToGrid w:val="0"/>
          <w:color w:val="auto"/>
          <w:sz w:val="26"/>
          <w:szCs w:val="26"/>
          <w:highlight w:val="none"/>
          <w:lang w:val="en-US" w:eastAsia="zh-CN"/>
        </w:rPr>
        <w:t>215.61</w:t>
      </w:r>
      <w:r>
        <w:rPr>
          <w:rFonts w:hint="default" w:ascii="Times New Roman" w:hAnsi="Times New Roman" w:eastAsia="宋体" w:cs="Times New Roman"/>
          <w:snapToGrid w:val="0"/>
          <w:color w:val="auto"/>
          <w:sz w:val="26"/>
          <w:szCs w:val="26"/>
          <w:highlight w:val="none"/>
        </w:rPr>
        <w:t>m～</w:t>
      </w:r>
      <w:r>
        <w:rPr>
          <w:rFonts w:hint="default" w:ascii="Times New Roman" w:hAnsi="Times New Roman" w:cs="Times New Roman"/>
          <w:snapToGrid w:val="0"/>
          <w:color w:val="auto"/>
          <w:sz w:val="26"/>
          <w:szCs w:val="26"/>
          <w:highlight w:val="none"/>
          <w:lang w:val="en-US" w:eastAsia="zh-CN"/>
        </w:rPr>
        <w:t>216.26</w:t>
      </w:r>
      <w:r>
        <w:rPr>
          <w:rFonts w:hint="default" w:ascii="Times New Roman" w:hAnsi="Times New Roman" w:eastAsia="宋体" w:cs="Times New Roman"/>
          <w:snapToGrid w:val="0"/>
          <w:color w:val="auto"/>
          <w:sz w:val="26"/>
          <w:szCs w:val="26"/>
          <w:highlight w:val="none"/>
        </w:rPr>
        <w:t>m，水深为</w:t>
      </w:r>
      <w:r>
        <w:rPr>
          <w:rFonts w:hint="default" w:ascii="Times New Roman" w:hAnsi="Times New Roman" w:cs="Times New Roman"/>
          <w:snapToGrid w:val="0"/>
          <w:color w:val="auto"/>
          <w:sz w:val="26"/>
          <w:szCs w:val="26"/>
          <w:highlight w:val="none"/>
          <w:lang w:val="en-US" w:eastAsia="zh-CN"/>
        </w:rPr>
        <w:t>14.58</w:t>
      </w:r>
      <w:r>
        <w:rPr>
          <w:rFonts w:hint="default" w:ascii="Times New Roman" w:hAnsi="Times New Roman" w:eastAsia="宋体" w:cs="Times New Roman"/>
          <w:snapToGrid w:val="0"/>
          <w:color w:val="auto"/>
          <w:sz w:val="26"/>
          <w:szCs w:val="26"/>
          <w:highlight w:val="none"/>
        </w:rPr>
        <w:t>m～</w:t>
      </w:r>
      <w:r>
        <w:rPr>
          <w:rFonts w:hint="default" w:ascii="Times New Roman" w:hAnsi="Times New Roman" w:cs="Times New Roman"/>
          <w:snapToGrid w:val="0"/>
          <w:color w:val="auto"/>
          <w:sz w:val="26"/>
          <w:szCs w:val="26"/>
          <w:highlight w:val="none"/>
          <w:lang w:val="en-US" w:eastAsia="zh-CN"/>
        </w:rPr>
        <w:t>29.48</w:t>
      </w:r>
      <w:r>
        <w:rPr>
          <w:rFonts w:hint="default" w:ascii="Times New Roman" w:hAnsi="Times New Roman" w:eastAsia="宋体" w:cs="Times New Roman"/>
          <w:snapToGrid w:val="0"/>
          <w:color w:val="auto"/>
          <w:sz w:val="26"/>
          <w:szCs w:val="26"/>
          <w:highlight w:val="none"/>
        </w:rPr>
        <w:t>m，</w:t>
      </w:r>
      <w:r>
        <w:rPr>
          <w:rFonts w:hint="default" w:ascii="Times New Roman" w:hAnsi="Times New Roman" w:cs="Times New Roman"/>
          <w:snapToGrid w:val="0"/>
          <w:color w:val="auto"/>
          <w:sz w:val="26"/>
          <w:szCs w:val="26"/>
          <w:highlight w:val="none"/>
          <w:lang w:val="en-US" w:eastAsia="zh-CN"/>
        </w:rPr>
        <w:t>工程建设后，洪水</w:t>
      </w:r>
      <w:r>
        <w:rPr>
          <w:rFonts w:hint="default" w:ascii="Times New Roman" w:hAnsi="Times New Roman" w:eastAsia="宋体" w:cs="Times New Roman"/>
          <w:snapToGrid w:val="0"/>
          <w:color w:val="auto"/>
          <w:sz w:val="26"/>
          <w:szCs w:val="26"/>
          <w:highlight w:val="none"/>
        </w:rPr>
        <w:t>水位为</w:t>
      </w:r>
      <w:r>
        <w:rPr>
          <w:rFonts w:hint="default" w:ascii="Times New Roman" w:hAnsi="Times New Roman" w:cs="Times New Roman"/>
          <w:snapToGrid w:val="0"/>
          <w:color w:val="auto"/>
          <w:sz w:val="26"/>
          <w:szCs w:val="26"/>
          <w:highlight w:val="none"/>
          <w:lang w:val="en-US" w:eastAsia="zh-CN"/>
        </w:rPr>
        <w:t>215.61</w:t>
      </w:r>
      <w:r>
        <w:rPr>
          <w:rFonts w:hint="default" w:ascii="Times New Roman" w:hAnsi="Times New Roman" w:eastAsia="宋体" w:cs="Times New Roman"/>
          <w:snapToGrid w:val="0"/>
          <w:color w:val="auto"/>
          <w:sz w:val="26"/>
          <w:szCs w:val="26"/>
          <w:highlight w:val="none"/>
        </w:rPr>
        <w:t>m～</w:t>
      </w:r>
      <w:r>
        <w:rPr>
          <w:rFonts w:hint="default" w:ascii="Times New Roman" w:hAnsi="Times New Roman" w:cs="Times New Roman"/>
          <w:snapToGrid w:val="0"/>
          <w:color w:val="auto"/>
          <w:sz w:val="26"/>
          <w:szCs w:val="26"/>
          <w:highlight w:val="none"/>
          <w:lang w:val="en-US" w:eastAsia="zh-CN"/>
        </w:rPr>
        <w:t>216.26</w:t>
      </w:r>
      <w:r>
        <w:rPr>
          <w:rFonts w:hint="default" w:ascii="Times New Roman" w:hAnsi="Times New Roman" w:eastAsia="宋体" w:cs="Times New Roman"/>
          <w:snapToGrid w:val="0"/>
          <w:color w:val="auto"/>
          <w:sz w:val="26"/>
          <w:szCs w:val="26"/>
          <w:highlight w:val="none"/>
        </w:rPr>
        <w:t>m，水深为</w:t>
      </w:r>
      <w:r>
        <w:rPr>
          <w:rFonts w:hint="default" w:ascii="Times New Roman" w:hAnsi="Times New Roman" w:cs="Times New Roman"/>
          <w:snapToGrid w:val="0"/>
          <w:color w:val="auto"/>
          <w:sz w:val="26"/>
          <w:szCs w:val="26"/>
          <w:highlight w:val="none"/>
          <w:lang w:val="en-US" w:eastAsia="zh-CN"/>
        </w:rPr>
        <w:t>14.58</w:t>
      </w:r>
      <w:r>
        <w:rPr>
          <w:rFonts w:hint="default" w:ascii="Times New Roman" w:hAnsi="Times New Roman" w:eastAsia="宋体" w:cs="Times New Roman"/>
          <w:snapToGrid w:val="0"/>
          <w:color w:val="auto"/>
          <w:sz w:val="26"/>
          <w:szCs w:val="26"/>
          <w:highlight w:val="none"/>
        </w:rPr>
        <w:t>m～</w:t>
      </w:r>
      <w:r>
        <w:rPr>
          <w:rFonts w:hint="default" w:ascii="Times New Roman" w:hAnsi="Times New Roman" w:cs="Times New Roman"/>
          <w:snapToGrid w:val="0"/>
          <w:color w:val="auto"/>
          <w:sz w:val="26"/>
          <w:szCs w:val="26"/>
          <w:highlight w:val="none"/>
          <w:lang w:val="en-US" w:eastAsia="zh-CN"/>
        </w:rPr>
        <w:t>29.48</w:t>
      </w:r>
      <w:r>
        <w:rPr>
          <w:rFonts w:hint="default" w:ascii="Times New Roman" w:hAnsi="Times New Roman" w:eastAsia="宋体" w:cs="Times New Roman"/>
          <w:snapToGrid w:val="0"/>
          <w:color w:val="auto"/>
          <w:sz w:val="26"/>
          <w:szCs w:val="26"/>
          <w:highlight w:val="none"/>
        </w:rPr>
        <w:t>m，</w:t>
      </w:r>
      <w:r>
        <w:rPr>
          <w:rFonts w:hint="default" w:ascii="Times New Roman" w:hAnsi="Times New Roman" w:cs="Times New Roman"/>
          <w:snapToGrid w:val="0"/>
          <w:color w:val="auto"/>
          <w:sz w:val="26"/>
          <w:szCs w:val="26"/>
          <w:highlight w:val="none"/>
          <w:lang w:val="en-US" w:eastAsia="zh-CN"/>
        </w:rPr>
        <w:t>与天然水位基本一致，</w:t>
      </w:r>
      <w:r>
        <w:rPr>
          <w:rFonts w:hint="default" w:ascii="Times New Roman" w:hAnsi="Times New Roman" w:eastAsia="宋体" w:cs="Times New Roman"/>
          <w:snapToGrid w:val="0"/>
          <w:color w:val="auto"/>
          <w:sz w:val="26"/>
          <w:szCs w:val="26"/>
          <w:highlight w:val="none"/>
        </w:rPr>
        <w:t>断面平均流速为</w:t>
      </w:r>
      <w:r>
        <w:rPr>
          <w:rFonts w:hint="default" w:ascii="Times New Roman" w:hAnsi="Times New Roman" w:cs="Times New Roman"/>
          <w:snapToGrid w:val="0"/>
          <w:color w:val="auto"/>
          <w:sz w:val="26"/>
          <w:szCs w:val="26"/>
          <w:highlight w:val="none"/>
          <w:lang w:val="en-US" w:eastAsia="zh-CN"/>
        </w:rPr>
        <w:t>1.95</w:t>
      </w:r>
      <w:r>
        <w:rPr>
          <w:rFonts w:hint="default" w:ascii="Times New Roman" w:hAnsi="Times New Roman" w:eastAsia="宋体" w:cs="Times New Roman"/>
          <w:snapToGrid w:val="0"/>
          <w:color w:val="auto"/>
          <w:sz w:val="26"/>
          <w:szCs w:val="26"/>
          <w:highlight w:val="none"/>
        </w:rPr>
        <w:t>m/s～</w:t>
      </w:r>
      <w:r>
        <w:rPr>
          <w:rFonts w:hint="default" w:ascii="Times New Roman" w:hAnsi="Times New Roman" w:cs="Times New Roman"/>
          <w:snapToGrid w:val="0"/>
          <w:color w:val="auto"/>
          <w:sz w:val="26"/>
          <w:szCs w:val="26"/>
          <w:highlight w:val="none"/>
          <w:lang w:val="en-US" w:eastAsia="zh-CN"/>
        </w:rPr>
        <w:t>2.58</w:t>
      </w:r>
      <w:r>
        <w:rPr>
          <w:rFonts w:hint="default" w:ascii="Times New Roman" w:hAnsi="Times New Roman" w:eastAsia="宋体" w:cs="Times New Roman"/>
          <w:snapToGrid w:val="0"/>
          <w:color w:val="auto"/>
          <w:sz w:val="26"/>
          <w:szCs w:val="26"/>
          <w:highlight w:val="none"/>
        </w:rPr>
        <w:t>m/s</w:t>
      </w:r>
      <w:r>
        <w:rPr>
          <w:rFonts w:hint="default" w:ascii="Times New Roman" w:hAnsi="Times New Roman" w:cs="Times New Roman"/>
          <w:snapToGrid w:val="0"/>
          <w:color w:val="auto"/>
          <w:sz w:val="26"/>
          <w:szCs w:val="26"/>
          <w:highlight w:val="none"/>
          <w:lang w:eastAsia="zh-CN"/>
        </w:rPr>
        <w:t>，</w:t>
      </w:r>
      <w:r>
        <w:rPr>
          <w:rFonts w:hint="default" w:ascii="Times New Roman" w:hAnsi="Times New Roman" w:cs="Times New Roman"/>
          <w:snapToGrid w:val="0"/>
          <w:color w:val="auto"/>
          <w:sz w:val="26"/>
          <w:szCs w:val="26"/>
          <w:highlight w:val="none"/>
          <w:lang w:val="en-US" w:eastAsia="zh-CN"/>
        </w:rPr>
        <w:t>局部河段较工程建设前变化-0.02</w:t>
      </w:r>
      <w:r>
        <w:rPr>
          <w:rFonts w:hint="default" w:ascii="Times New Roman" w:hAnsi="Times New Roman" w:eastAsia="宋体" w:cs="Times New Roman"/>
          <w:snapToGrid w:val="0"/>
          <w:color w:val="auto"/>
          <w:sz w:val="26"/>
          <w:szCs w:val="26"/>
          <w:highlight w:val="none"/>
        </w:rPr>
        <w:t>m/s～</w:t>
      </w:r>
      <w:r>
        <w:rPr>
          <w:rFonts w:hint="default" w:ascii="Times New Roman" w:hAnsi="Times New Roman" w:cs="Times New Roman"/>
          <w:snapToGrid w:val="0"/>
          <w:color w:val="auto"/>
          <w:sz w:val="26"/>
          <w:szCs w:val="26"/>
          <w:highlight w:val="none"/>
          <w:lang w:val="en-US" w:eastAsia="zh-CN"/>
        </w:rPr>
        <w:t>0.12</w:t>
      </w:r>
      <w:r>
        <w:rPr>
          <w:rFonts w:hint="default" w:ascii="Times New Roman" w:hAnsi="Times New Roman" w:eastAsia="宋体" w:cs="Times New Roman"/>
          <w:snapToGrid w:val="0"/>
          <w:color w:val="auto"/>
          <w:sz w:val="26"/>
          <w:szCs w:val="26"/>
          <w:highlight w:val="none"/>
        </w:rPr>
        <w:t>m/s</w:t>
      </w:r>
      <w:r>
        <w:rPr>
          <w:rFonts w:hint="default" w:ascii="Times New Roman" w:hAnsi="Times New Roman" w:cs="Times New Roman"/>
          <w:snapToGrid w:val="0"/>
          <w:color w:val="auto"/>
          <w:sz w:val="26"/>
          <w:szCs w:val="26"/>
          <w:highlight w:val="none"/>
          <w:lang w:eastAsia="zh-CN"/>
        </w:rPr>
        <w:t>，</w:t>
      </w:r>
      <w:r>
        <w:rPr>
          <w:rFonts w:hint="default" w:ascii="Times New Roman" w:hAnsi="Times New Roman" w:cs="Times New Roman"/>
          <w:snapToGrid w:val="0"/>
          <w:color w:val="auto"/>
          <w:sz w:val="26"/>
          <w:szCs w:val="26"/>
          <w:highlight w:val="none"/>
          <w:lang w:val="en-US" w:eastAsia="zh-CN"/>
        </w:rPr>
        <w:t>变化幅度均较小，由此引起的水位变化较小。不会给上游河段带来壅水影响，本工程建设引起的最大流速变化仅0.12m/s，不会给工程河段带来较大淤积影响，因此本工程建设对上下游河段影响较小。</w:t>
      </w:r>
    </w:p>
    <w:p>
      <w:pPr>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default" w:ascii="Times New Roman" w:hAnsi="Times New Roman" w:cs="Times New Roman"/>
          <w:snapToGrid w:val="0"/>
          <w:color w:val="auto"/>
          <w:sz w:val="26"/>
          <w:szCs w:val="26"/>
          <w:highlight w:val="none"/>
          <w:lang w:val="en-US" w:eastAsia="zh-CN"/>
        </w:rPr>
      </w:pPr>
      <w:r>
        <w:rPr>
          <w:rFonts w:hint="default" w:ascii="Times New Roman" w:hAnsi="Times New Roman" w:eastAsia="宋体" w:cs="Times New Roman"/>
          <w:snapToGrid w:val="0"/>
          <w:color w:val="auto"/>
          <w:sz w:val="26"/>
          <w:szCs w:val="26"/>
          <w:highlight w:val="none"/>
        </w:rPr>
        <w:t>由表</w:t>
      </w:r>
      <w:r>
        <w:rPr>
          <w:rFonts w:hint="default" w:ascii="Times New Roman" w:hAnsi="Times New Roman" w:eastAsia="宋体" w:cs="Times New Roman"/>
          <w:color w:val="auto"/>
          <w:sz w:val="26"/>
          <w:szCs w:val="26"/>
          <w:highlight w:val="none"/>
          <w:lang w:val="en-US" w:eastAsia="zh-CN"/>
        </w:rPr>
        <w:t>4.2.1</w:t>
      </w:r>
      <w:r>
        <w:rPr>
          <w:rFonts w:hint="default" w:ascii="Times New Roman" w:hAnsi="Times New Roman" w:cs="Times New Roman"/>
          <w:snapToGrid w:val="0"/>
          <w:color w:val="auto"/>
          <w:sz w:val="26"/>
          <w:szCs w:val="26"/>
          <w:highlight w:val="none"/>
          <w:lang w:val="en-US" w:eastAsia="zh-CN"/>
        </w:rPr>
        <w:t>-3</w:t>
      </w:r>
      <w:r>
        <w:rPr>
          <w:rFonts w:hint="default" w:ascii="Times New Roman" w:hAnsi="Times New Roman" w:eastAsia="宋体" w:cs="Times New Roman"/>
          <w:snapToGrid w:val="0"/>
          <w:color w:val="auto"/>
          <w:sz w:val="26"/>
          <w:szCs w:val="26"/>
          <w:highlight w:val="none"/>
        </w:rPr>
        <w:t>可以看出：当</w:t>
      </w:r>
      <w:r>
        <w:rPr>
          <w:rFonts w:hint="default" w:ascii="Times New Roman" w:hAnsi="Times New Roman" w:cs="Times New Roman"/>
          <w:snapToGrid w:val="0"/>
          <w:color w:val="auto"/>
          <w:sz w:val="26"/>
          <w:szCs w:val="26"/>
          <w:highlight w:val="none"/>
          <w:lang w:val="en-US" w:eastAsia="zh-CN"/>
        </w:rPr>
        <w:t>遭遇20年一遇洪水时，工程建设前洪水</w:t>
      </w:r>
      <w:r>
        <w:rPr>
          <w:rFonts w:hint="default" w:ascii="Times New Roman" w:hAnsi="Times New Roman" w:eastAsia="宋体" w:cs="Times New Roman"/>
          <w:snapToGrid w:val="0"/>
          <w:color w:val="auto"/>
          <w:sz w:val="26"/>
          <w:szCs w:val="26"/>
          <w:highlight w:val="none"/>
        </w:rPr>
        <w:t>水位为</w:t>
      </w:r>
      <w:r>
        <w:rPr>
          <w:rFonts w:hint="default" w:ascii="Times New Roman" w:hAnsi="Times New Roman" w:cs="Times New Roman"/>
          <w:snapToGrid w:val="0"/>
          <w:color w:val="auto"/>
          <w:sz w:val="26"/>
          <w:szCs w:val="26"/>
          <w:highlight w:val="none"/>
          <w:lang w:val="en-US" w:eastAsia="zh-CN"/>
        </w:rPr>
        <w:t>217.44</w:t>
      </w:r>
      <w:r>
        <w:rPr>
          <w:rFonts w:hint="default" w:ascii="Times New Roman" w:hAnsi="Times New Roman" w:eastAsia="宋体" w:cs="Times New Roman"/>
          <w:snapToGrid w:val="0"/>
          <w:color w:val="auto"/>
          <w:sz w:val="26"/>
          <w:szCs w:val="26"/>
          <w:highlight w:val="none"/>
        </w:rPr>
        <w:t>m～</w:t>
      </w:r>
      <w:r>
        <w:rPr>
          <w:rFonts w:hint="default" w:ascii="Times New Roman" w:hAnsi="Times New Roman" w:cs="Times New Roman"/>
          <w:snapToGrid w:val="0"/>
          <w:color w:val="auto"/>
          <w:sz w:val="26"/>
          <w:szCs w:val="26"/>
          <w:highlight w:val="none"/>
          <w:lang w:val="en-US" w:eastAsia="zh-CN"/>
        </w:rPr>
        <w:t>218.90</w:t>
      </w:r>
      <w:r>
        <w:rPr>
          <w:rFonts w:hint="default" w:ascii="Times New Roman" w:hAnsi="Times New Roman" w:eastAsia="宋体" w:cs="Times New Roman"/>
          <w:snapToGrid w:val="0"/>
          <w:color w:val="auto"/>
          <w:sz w:val="26"/>
          <w:szCs w:val="26"/>
          <w:highlight w:val="none"/>
        </w:rPr>
        <w:t>m，水深为</w:t>
      </w:r>
      <w:r>
        <w:rPr>
          <w:rFonts w:hint="default" w:ascii="Times New Roman" w:hAnsi="Times New Roman" w:cs="Times New Roman"/>
          <w:snapToGrid w:val="0"/>
          <w:color w:val="auto"/>
          <w:sz w:val="26"/>
          <w:szCs w:val="26"/>
          <w:highlight w:val="none"/>
          <w:lang w:val="en-US" w:eastAsia="zh-CN"/>
        </w:rPr>
        <w:t>17.15</w:t>
      </w:r>
      <w:r>
        <w:rPr>
          <w:rFonts w:hint="default" w:ascii="Times New Roman" w:hAnsi="Times New Roman" w:eastAsia="宋体" w:cs="Times New Roman"/>
          <w:snapToGrid w:val="0"/>
          <w:color w:val="auto"/>
          <w:sz w:val="26"/>
          <w:szCs w:val="26"/>
          <w:highlight w:val="none"/>
        </w:rPr>
        <w:t>m～</w:t>
      </w:r>
      <w:r>
        <w:rPr>
          <w:rFonts w:hint="default" w:ascii="Times New Roman" w:hAnsi="Times New Roman" w:cs="Times New Roman"/>
          <w:snapToGrid w:val="0"/>
          <w:color w:val="auto"/>
          <w:sz w:val="26"/>
          <w:szCs w:val="26"/>
          <w:highlight w:val="none"/>
          <w:lang w:val="en-US" w:eastAsia="zh-CN"/>
        </w:rPr>
        <w:t>31.98</w:t>
      </w:r>
      <w:r>
        <w:rPr>
          <w:rFonts w:hint="default" w:ascii="Times New Roman" w:hAnsi="Times New Roman" w:eastAsia="宋体" w:cs="Times New Roman"/>
          <w:snapToGrid w:val="0"/>
          <w:color w:val="auto"/>
          <w:sz w:val="26"/>
          <w:szCs w:val="26"/>
          <w:highlight w:val="none"/>
        </w:rPr>
        <w:t>m，断面平均流速为</w:t>
      </w:r>
      <w:r>
        <w:rPr>
          <w:rFonts w:hint="default" w:ascii="Times New Roman" w:hAnsi="Times New Roman" w:cs="Times New Roman"/>
          <w:snapToGrid w:val="0"/>
          <w:color w:val="auto"/>
          <w:sz w:val="26"/>
          <w:szCs w:val="26"/>
          <w:highlight w:val="none"/>
          <w:lang w:val="en-US" w:eastAsia="zh-CN"/>
        </w:rPr>
        <w:t>1.96</w:t>
      </w:r>
      <w:r>
        <w:rPr>
          <w:rFonts w:hint="default" w:ascii="Times New Roman" w:hAnsi="Times New Roman" w:eastAsia="宋体" w:cs="Times New Roman"/>
          <w:snapToGrid w:val="0"/>
          <w:color w:val="auto"/>
          <w:sz w:val="26"/>
          <w:szCs w:val="26"/>
          <w:highlight w:val="none"/>
        </w:rPr>
        <w:t>m/s～</w:t>
      </w:r>
      <w:r>
        <w:rPr>
          <w:rFonts w:hint="default" w:ascii="Times New Roman" w:hAnsi="Times New Roman" w:cs="Times New Roman"/>
          <w:snapToGrid w:val="0"/>
          <w:color w:val="auto"/>
          <w:sz w:val="26"/>
          <w:szCs w:val="26"/>
          <w:highlight w:val="none"/>
          <w:lang w:val="en-US" w:eastAsia="zh-CN"/>
        </w:rPr>
        <w:t>2.99</w:t>
      </w:r>
      <w:r>
        <w:rPr>
          <w:rFonts w:hint="default" w:ascii="Times New Roman" w:hAnsi="Times New Roman" w:eastAsia="宋体" w:cs="Times New Roman"/>
          <w:snapToGrid w:val="0"/>
          <w:color w:val="auto"/>
          <w:sz w:val="26"/>
          <w:szCs w:val="26"/>
          <w:highlight w:val="none"/>
        </w:rPr>
        <w:t>m/s</w:t>
      </w:r>
      <w:r>
        <w:rPr>
          <w:rFonts w:hint="default" w:ascii="Times New Roman" w:hAnsi="Times New Roman" w:cs="Times New Roman"/>
          <w:snapToGrid w:val="0"/>
          <w:color w:val="auto"/>
          <w:sz w:val="26"/>
          <w:szCs w:val="26"/>
          <w:highlight w:val="none"/>
          <w:lang w:eastAsia="zh-CN"/>
        </w:rPr>
        <w:t>，</w:t>
      </w:r>
      <w:r>
        <w:rPr>
          <w:rFonts w:hint="default" w:ascii="Times New Roman" w:hAnsi="Times New Roman" w:cs="Times New Roman"/>
          <w:snapToGrid w:val="0"/>
          <w:color w:val="auto"/>
          <w:sz w:val="26"/>
          <w:szCs w:val="26"/>
          <w:highlight w:val="none"/>
          <w:lang w:val="en-US" w:eastAsia="zh-CN"/>
        </w:rPr>
        <w:t>工程建设后，洪水</w:t>
      </w:r>
      <w:r>
        <w:rPr>
          <w:rFonts w:hint="default" w:ascii="Times New Roman" w:hAnsi="Times New Roman" w:eastAsia="宋体" w:cs="Times New Roman"/>
          <w:snapToGrid w:val="0"/>
          <w:color w:val="auto"/>
          <w:sz w:val="26"/>
          <w:szCs w:val="26"/>
          <w:highlight w:val="none"/>
        </w:rPr>
        <w:t>水位为</w:t>
      </w:r>
      <w:r>
        <w:rPr>
          <w:rFonts w:hint="default" w:ascii="Times New Roman" w:hAnsi="Times New Roman" w:cs="Times New Roman"/>
          <w:snapToGrid w:val="0"/>
          <w:color w:val="auto"/>
          <w:sz w:val="26"/>
          <w:szCs w:val="26"/>
          <w:highlight w:val="none"/>
          <w:lang w:val="en-US" w:eastAsia="zh-CN"/>
        </w:rPr>
        <w:t>217.44</w:t>
      </w:r>
      <w:r>
        <w:rPr>
          <w:rFonts w:hint="default" w:ascii="Times New Roman" w:hAnsi="Times New Roman" w:eastAsia="宋体" w:cs="Times New Roman"/>
          <w:snapToGrid w:val="0"/>
          <w:color w:val="auto"/>
          <w:sz w:val="26"/>
          <w:szCs w:val="26"/>
          <w:highlight w:val="none"/>
        </w:rPr>
        <w:t>m～</w:t>
      </w:r>
      <w:r>
        <w:rPr>
          <w:rFonts w:hint="default" w:ascii="Times New Roman" w:hAnsi="Times New Roman" w:cs="Times New Roman"/>
          <w:snapToGrid w:val="0"/>
          <w:color w:val="auto"/>
          <w:sz w:val="26"/>
          <w:szCs w:val="26"/>
          <w:highlight w:val="none"/>
          <w:lang w:val="en-US" w:eastAsia="zh-CN"/>
        </w:rPr>
        <w:t>218.90</w:t>
      </w:r>
      <w:r>
        <w:rPr>
          <w:rFonts w:hint="default" w:ascii="Times New Roman" w:hAnsi="Times New Roman" w:eastAsia="宋体" w:cs="Times New Roman"/>
          <w:snapToGrid w:val="0"/>
          <w:color w:val="auto"/>
          <w:sz w:val="26"/>
          <w:szCs w:val="26"/>
          <w:highlight w:val="none"/>
        </w:rPr>
        <w:t>m，水深为</w:t>
      </w:r>
      <w:r>
        <w:rPr>
          <w:rFonts w:hint="default" w:ascii="Times New Roman" w:hAnsi="Times New Roman" w:cs="Times New Roman"/>
          <w:snapToGrid w:val="0"/>
          <w:color w:val="auto"/>
          <w:sz w:val="26"/>
          <w:szCs w:val="26"/>
          <w:highlight w:val="none"/>
          <w:lang w:val="en-US" w:eastAsia="zh-CN"/>
        </w:rPr>
        <w:t>17.15</w:t>
      </w:r>
      <w:r>
        <w:rPr>
          <w:rFonts w:hint="default" w:ascii="Times New Roman" w:hAnsi="Times New Roman" w:eastAsia="宋体" w:cs="Times New Roman"/>
          <w:snapToGrid w:val="0"/>
          <w:color w:val="auto"/>
          <w:sz w:val="26"/>
          <w:szCs w:val="26"/>
          <w:highlight w:val="none"/>
        </w:rPr>
        <w:t>m～</w:t>
      </w:r>
      <w:r>
        <w:rPr>
          <w:rFonts w:hint="default" w:ascii="Times New Roman" w:hAnsi="Times New Roman" w:cs="Times New Roman"/>
          <w:snapToGrid w:val="0"/>
          <w:color w:val="auto"/>
          <w:sz w:val="26"/>
          <w:szCs w:val="26"/>
          <w:highlight w:val="none"/>
          <w:lang w:val="en-US" w:eastAsia="zh-CN"/>
        </w:rPr>
        <w:t>31.98</w:t>
      </w:r>
      <w:r>
        <w:rPr>
          <w:rFonts w:hint="default" w:ascii="Times New Roman" w:hAnsi="Times New Roman" w:eastAsia="宋体" w:cs="Times New Roman"/>
          <w:snapToGrid w:val="0"/>
          <w:color w:val="auto"/>
          <w:sz w:val="26"/>
          <w:szCs w:val="26"/>
          <w:highlight w:val="none"/>
        </w:rPr>
        <w:t>m，</w:t>
      </w:r>
      <w:r>
        <w:rPr>
          <w:rFonts w:hint="default" w:ascii="Times New Roman" w:hAnsi="Times New Roman" w:cs="Times New Roman"/>
          <w:snapToGrid w:val="0"/>
          <w:color w:val="auto"/>
          <w:sz w:val="26"/>
          <w:szCs w:val="26"/>
          <w:highlight w:val="none"/>
          <w:lang w:val="en-US" w:eastAsia="zh-CN"/>
        </w:rPr>
        <w:t>与天然水位基本一致，</w:t>
      </w:r>
      <w:r>
        <w:rPr>
          <w:rFonts w:hint="default" w:ascii="Times New Roman" w:hAnsi="Times New Roman" w:eastAsia="宋体" w:cs="Times New Roman"/>
          <w:snapToGrid w:val="0"/>
          <w:color w:val="auto"/>
          <w:sz w:val="26"/>
          <w:szCs w:val="26"/>
          <w:highlight w:val="none"/>
        </w:rPr>
        <w:t>断面平均流速为</w:t>
      </w:r>
      <w:r>
        <w:rPr>
          <w:rFonts w:hint="default" w:ascii="Times New Roman" w:hAnsi="Times New Roman" w:cs="Times New Roman"/>
          <w:snapToGrid w:val="0"/>
          <w:color w:val="auto"/>
          <w:sz w:val="26"/>
          <w:szCs w:val="26"/>
          <w:highlight w:val="none"/>
          <w:lang w:val="en-US" w:eastAsia="zh-CN"/>
        </w:rPr>
        <w:t>1.96</w:t>
      </w:r>
      <w:r>
        <w:rPr>
          <w:rFonts w:hint="default" w:ascii="Times New Roman" w:hAnsi="Times New Roman" w:eastAsia="宋体" w:cs="Times New Roman"/>
          <w:snapToGrid w:val="0"/>
          <w:color w:val="auto"/>
          <w:sz w:val="26"/>
          <w:szCs w:val="26"/>
          <w:highlight w:val="none"/>
        </w:rPr>
        <w:t>m/s～</w:t>
      </w:r>
      <w:r>
        <w:rPr>
          <w:rFonts w:hint="default" w:ascii="Times New Roman" w:hAnsi="Times New Roman" w:cs="Times New Roman"/>
          <w:snapToGrid w:val="0"/>
          <w:color w:val="auto"/>
          <w:sz w:val="26"/>
          <w:szCs w:val="26"/>
          <w:highlight w:val="none"/>
          <w:lang w:val="en-US" w:eastAsia="zh-CN"/>
        </w:rPr>
        <w:t>2.99</w:t>
      </w:r>
      <w:r>
        <w:rPr>
          <w:rFonts w:hint="default" w:ascii="Times New Roman" w:hAnsi="Times New Roman" w:eastAsia="宋体" w:cs="Times New Roman"/>
          <w:snapToGrid w:val="0"/>
          <w:color w:val="auto"/>
          <w:sz w:val="26"/>
          <w:szCs w:val="26"/>
          <w:highlight w:val="none"/>
        </w:rPr>
        <w:t>m/s</w:t>
      </w:r>
      <w:r>
        <w:rPr>
          <w:rFonts w:hint="default" w:ascii="Times New Roman" w:hAnsi="Times New Roman" w:cs="Times New Roman"/>
          <w:snapToGrid w:val="0"/>
          <w:color w:val="auto"/>
          <w:sz w:val="26"/>
          <w:szCs w:val="26"/>
          <w:highlight w:val="none"/>
          <w:lang w:eastAsia="zh-CN"/>
        </w:rPr>
        <w:t>，</w:t>
      </w:r>
      <w:r>
        <w:rPr>
          <w:rFonts w:hint="default" w:ascii="Times New Roman" w:hAnsi="Times New Roman" w:cs="Times New Roman"/>
          <w:snapToGrid w:val="0"/>
          <w:color w:val="auto"/>
          <w:sz w:val="26"/>
          <w:szCs w:val="26"/>
          <w:highlight w:val="none"/>
          <w:lang w:val="en-US" w:eastAsia="zh-CN"/>
        </w:rPr>
        <w:t>局部河段较工程建设前变化-0.01</w:t>
      </w:r>
      <w:r>
        <w:rPr>
          <w:rFonts w:hint="default" w:ascii="Times New Roman" w:hAnsi="Times New Roman" w:eastAsia="宋体" w:cs="Times New Roman"/>
          <w:snapToGrid w:val="0"/>
          <w:color w:val="auto"/>
          <w:sz w:val="26"/>
          <w:szCs w:val="26"/>
          <w:highlight w:val="none"/>
        </w:rPr>
        <w:t>m/s～</w:t>
      </w:r>
      <w:r>
        <w:rPr>
          <w:rFonts w:hint="default" w:ascii="Times New Roman" w:hAnsi="Times New Roman" w:cs="Times New Roman"/>
          <w:snapToGrid w:val="0"/>
          <w:color w:val="auto"/>
          <w:sz w:val="26"/>
          <w:szCs w:val="26"/>
          <w:highlight w:val="none"/>
          <w:lang w:val="en-US" w:eastAsia="zh-CN"/>
        </w:rPr>
        <w:t>0.11</w:t>
      </w:r>
      <w:r>
        <w:rPr>
          <w:rFonts w:hint="default" w:ascii="Times New Roman" w:hAnsi="Times New Roman" w:eastAsia="宋体" w:cs="Times New Roman"/>
          <w:snapToGrid w:val="0"/>
          <w:color w:val="auto"/>
          <w:sz w:val="26"/>
          <w:szCs w:val="26"/>
          <w:highlight w:val="none"/>
        </w:rPr>
        <w:t>m/s</w:t>
      </w:r>
      <w:r>
        <w:rPr>
          <w:rFonts w:hint="default" w:ascii="Times New Roman" w:hAnsi="Times New Roman" w:cs="Times New Roman"/>
          <w:snapToGrid w:val="0"/>
          <w:color w:val="auto"/>
          <w:sz w:val="26"/>
          <w:szCs w:val="26"/>
          <w:highlight w:val="none"/>
          <w:lang w:eastAsia="zh-CN"/>
        </w:rPr>
        <w:t>，</w:t>
      </w:r>
      <w:r>
        <w:rPr>
          <w:rFonts w:hint="default" w:ascii="Times New Roman" w:hAnsi="Times New Roman" w:cs="Times New Roman"/>
          <w:snapToGrid w:val="0"/>
          <w:color w:val="auto"/>
          <w:sz w:val="26"/>
          <w:szCs w:val="26"/>
          <w:highlight w:val="none"/>
          <w:lang w:val="en-US" w:eastAsia="zh-CN"/>
        </w:rPr>
        <w:t>变化幅度均较小，由此引起的水位变化较小。不会给上游河段带来壅水影响，本工程建设引起的最大流速变化仅0.12m/s，不会给工程河段带来较大淤积影响，因此本工程建设对上下游河段影响较小。</w:t>
      </w:r>
    </w:p>
    <w:p>
      <w:pPr>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default" w:ascii="Times New Roman" w:hAnsi="Times New Roman" w:cs="Times New Roman"/>
          <w:snapToGrid w:val="0"/>
          <w:color w:val="auto"/>
          <w:sz w:val="26"/>
          <w:szCs w:val="26"/>
          <w:highlight w:val="none"/>
          <w:lang w:val="en-US" w:eastAsia="zh-CN"/>
        </w:rPr>
      </w:pPr>
      <w:r>
        <w:rPr>
          <w:rFonts w:hint="default" w:ascii="Times New Roman" w:hAnsi="Times New Roman" w:eastAsia="宋体" w:cs="Times New Roman"/>
          <w:snapToGrid w:val="0"/>
          <w:color w:val="auto"/>
          <w:sz w:val="26"/>
          <w:szCs w:val="26"/>
          <w:highlight w:val="none"/>
        </w:rPr>
        <w:t>由表</w:t>
      </w:r>
      <w:r>
        <w:rPr>
          <w:rFonts w:hint="default" w:ascii="Times New Roman" w:hAnsi="Times New Roman" w:eastAsia="宋体" w:cs="Times New Roman"/>
          <w:color w:val="auto"/>
          <w:sz w:val="26"/>
          <w:szCs w:val="26"/>
          <w:highlight w:val="none"/>
          <w:lang w:val="en-US" w:eastAsia="zh-CN"/>
        </w:rPr>
        <w:t>4.2.1</w:t>
      </w:r>
      <w:r>
        <w:rPr>
          <w:rFonts w:hint="default" w:ascii="Times New Roman" w:hAnsi="Times New Roman" w:cs="Times New Roman"/>
          <w:snapToGrid w:val="0"/>
          <w:color w:val="auto"/>
          <w:sz w:val="26"/>
          <w:szCs w:val="26"/>
          <w:highlight w:val="none"/>
          <w:lang w:val="en-US" w:eastAsia="zh-CN"/>
        </w:rPr>
        <w:t>-4</w:t>
      </w:r>
      <w:r>
        <w:rPr>
          <w:rFonts w:hint="default" w:ascii="Times New Roman" w:hAnsi="Times New Roman" w:eastAsia="宋体" w:cs="Times New Roman"/>
          <w:snapToGrid w:val="0"/>
          <w:color w:val="auto"/>
          <w:sz w:val="26"/>
          <w:szCs w:val="26"/>
          <w:highlight w:val="none"/>
        </w:rPr>
        <w:t>可以看出：当</w:t>
      </w:r>
      <w:r>
        <w:rPr>
          <w:rFonts w:hint="default" w:ascii="Times New Roman" w:hAnsi="Times New Roman" w:cs="Times New Roman"/>
          <w:snapToGrid w:val="0"/>
          <w:color w:val="auto"/>
          <w:sz w:val="26"/>
          <w:szCs w:val="26"/>
          <w:highlight w:val="none"/>
          <w:lang w:val="en-US" w:eastAsia="zh-CN"/>
        </w:rPr>
        <w:t>遭遇50年一遇洪水时，工程建设前洪水</w:t>
      </w:r>
      <w:r>
        <w:rPr>
          <w:rFonts w:hint="default" w:ascii="Times New Roman" w:hAnsi="Times New Roman" w:eastAsia="宋体" w:cs="Times New Roman"/>
          <w:snapToGrid w:val="0"/>
          <w:color w:val="auto"/>
          <w:sz w:val="26"/>
          <w:szCs w:val="26"/>
          <w:highlight w:val="none"/>
        </w:rPr>
        <w:t>水位为</w:t>
      </w:r>
      <w:r>
        <w:rPr>
          <w:rFonts w:hint="default" w:ascii="Times New Roman" w:hAnsi="Times New Roman" w:cs="Times New Roman"/>
          <w:snapToGrid w:val="0"/>
          <w:color w:val="auto"/>
          <w:sz w:val="26"/>
          <w:szCs w:val="26"/>
          <w:highlight w:val="none"/>
          <w:lang w:val="en-US" w:eastAsia="zh-CN"/>
        </w:rPr>
        <w:t>219.73</w:t>
      </w:r>
      <w:r>
        <w:rPr>
          <w:rFonts w:hint="default" w:ascii="Times New Roman" w:hAnsi="Times New Roman" w:eastAsia="宋体" w:cs="Times New Roman"/>
          <w:snapToGrid w:val="0"/>
          <w:color w:val="auto"/>
          <w:sz w:val="26"/>
          <w:szCs w:val="26"/>
          <w:highlight w:val="none"/>
        </w:rPr>
        <w:t>m～</w:t>
      </w:r>
      <w:r>
        <w:rPr>
          <w:rFonts w:hint="default" w:ascii="Times New Roman" w:hAnsi="Times New Roman" w:cs="Times New Roman"/>
          <w:snapToGrid w:val="0"/>
          <w:color w:val="auto"/>
          <w:sz w:val="26"/>
          <w:szCs w:val="26"/>
          <w:highlight w:val="none"/>
          <w:lang w:val="en-US" w:eastAsia="zh-CN"/>
        </w:rPr>
        <w:t>220.25</w:t>
      </w:r>
      <w:r>
        <w:rPr>
          <w:rFonts w:hint="default" w:ascii="Times New Roman" w:hAnsi="Times New Roman" w:eastAsia="宋体" w:cs="Times New Roman"/>
          <w:snapToGrid w:val="0"/>
          <w:color w:val="auto"/>
          <w:sz w:val="26"/>
          <w:szCs w:val="26"/>
          <w:highlight w:val="none"/>
        </w:rPr>
        <w:t>m，水深为</w:t>
      </w:r>
      <w:r>
        <w:rPr>
          <w:rFonts w:hint="default" w:ascii="Times New Roman" w:hAnsi="Times New Roman" w:cs="Times New Roman"/>
          <w:snapToGrid w:val="0"/>
          <w:color w:val="auto"/>
          <w:sz w:val="26"/>
          <w:szCs w:val="26"/>
          <w:highlight w:val="none"/>
          <w:lang w:val="en-US" w:eastAsia="zh-CN"/>
        </w:rPr>
        <w:t>18.51</w:t>
      </w:r>
      <w:r>
        <w:rPr>
          <w:rFonts w:hint="default" w:ascii="Times New Roman" w:hAnsi="Times New Roman" w:eastAsia="宋体" w:cs="Times New Roman"/>
          <w:snapToGrid w:val="0"/>
          <w:color w:val="auto"/>
          <w:sz w:val="26"/>
          <w:szCs w:val="26"/>
          <w:highlight w:val="none"/>
        </w:rPr>
        <w:t>m～</w:t>
      </w:r>
      <w:r>
        <w:rPr>
          <w:rFonts w:hint="default" w:ascii="Times New Roman" w:hAnsi="Times New Roman" w:cs="Times New Roman"/>
          <w:snapToGrid w:val="0"/>
          <w:color w:val="auto"/>
          <w:sz w:val="26"/>
          <w:szCs w:val="26"/>
          <w:highlight w:val="none"/>
          <w:lang w:val="en-US" w:eastAsia="zh-CN"/>
        </w:rPr>
        <w:t>33.06</w:t>
      </w:r>
      <w:r>
        <w:rPr>
          <w:rFonts w:hint="default" w:ascii="Times New Roman" w:hAnsi="Times New Roman" w:eastAsia="宋体" w:cs="Times New Roman"/>
          <w:snapToGrid w:val="0"/>
          <w:color w:val="auto"/>
          <w:sz w:val="26"/>
          <w:szCs w:val="26"/>
          <w:highlight w:val="none"/>
        </w:rPr>
        <w:t>m，断面平均流速为</w:t>
      </w:r>
      <w:r>
        <w:rPr>
          <w:rFonts w:hint="default" w:ascii="Times New Roman" w:hAnsi="Times New Roman" w:cs="Times New Roman"/>
          <w:snapToGrid w:val="0"/>
          <w:color w:val="auto"/>
          <w:sz w:val="26"/>
          <w:szCs w:val="26"/>
          <w:highlight w:val="none"/>
          <w:lang w:val="en-US" w:eastAsia="zh-CN"/>
        </w:rPr>
        <w:t>2.01</w:t>
      </w:r>
      <w:r>
        <w:rPr>
          <w:rFonts w:hint="default" w:ascii="Times New Roman" w:hAnsi="Times New Roman" w:eastAsia="宋体" w:cs="Times New Roman"/>
          <w:snapToGrid w:val="0"/>
          <w:color w:val="auto"/>
          <w:sz w:val="26"/>
          <w:szCs w:val="26"/>
          <w:highlight w:val="none"/>
        </w:rPr>
        <w:t>m/s～</w:t>
      </w:r>
      <w:r>
        <w:rPr>
          <w:rFonts w:hint="default" w:ascii="Times New Roman" w:hAnsi="Times New Roman" w:cs="Times New Roman"/>
          <w:snapToGrid w:val="0"/>
          <w:color w:val="auto"/>
          <w:sz w:val="26"/>
          <w:szCs w:val="26"/>
          <w:highlight w:val="none"/>
          <w:lang w:val="en-US" w:eastAsia="zh-CN"/>
        </w:rPr>
        <w:t>3.00</w:t>
      </w:r>
      <w:r>
        <w:rPr>
          <w:rFonts w:hint="default" w:ascii="Times New Roman" w:hAnsi="Times New Roman" w:eastAsia="宋体" w:cs="Times New Roman"/>
          <w:snapToGrid w:val="0"/>
          <w:color w:val="auto"/>
          <w:sz w:val="26"/>
          <w:szCs w:val="26"/>
          <w:highlight w:val="none"/>
        </w:rPr>
        <w:t>m/s</w:t>
      </w:r>
      <w:r>
        <w:rPr>
          <w:rFonts w:hint="default" w:ascii="Times New Roman" w:hAnsi="Times New Roman" w:cs="Times New Roman"/>
          <w:snapToGrid w:val="0"/>
          <w:color w:val="auto"/>
          <w:sz w:val="26"/>
          <w:szCs w:val="26"/>
          <w:highlight w:val="none"/>
          <w:lang w:eastAsia="zh-CN"/>
        </w:rPr>
        <w:t>，</w:t>
      </w:r>
      <w:r>
        <w:rPr>
          <w:rFonts w:hint="default" w:ascii="Times New Roman" w:hAnsi="Times New Roman" w:cs="Times New Roman"/>
          <w:snapToGrid w:val="0"/>
          <w:color w:val="auto"/>
          <w:sz w:val="26"/>
          <w:szCs w:val="26"/>
          <w:highlight w:val="none"/>
          <w:lang w:val="en-US" w:eastAsia="zh-CN"/>
        </w:rPr>
        <w:t>工程建设后，洪水</w:t>
      </w:r>
      <w:r>
        <w:rPr>
          <w:rFonts w:hint="default" w:ascii="Times New Roman" w:hAnsi="Times New Roman" w:eastAsia="宋体" w:cs="Times New Roman"/>
          <w:snapToGrid w:val="0"/>
          <w:color w:val="auto"/>
          <w:sz w:val="26"/>
          <w:szCs w:val="26"/>
          <w:highlight w:val="none"/>
        </w:rPr>
        <w:t>水位为</w:t>
      </w:r>
      <w:r>
        <w:rPr>
          <w:rFonts w:hint="default" w:ascii="Times New Roman" w:hAnsi="Times New Roman" w:cs="Times New Roman"/>
          <w:snapToGrid w:val="0"/>
          <w:color w:val="auto"/>
          <w:sz w:val="26"/>
          <w:szCs w:val="26"/>
          <w:highlight w:val="none"/>
          <w:lang w:val="en-US" w:eastAsia="zh-CN"/>
        </w:rPr>
        <w:t>219.73</w:t>
      </w:r>
      <w:r>
        <w:rPr>
          <w:rFonts w:hint="default" w:ascii="Times New Roman" w:hAnsi="Times New Roman" w:eastAsia="宋体" w:cs="Times New Roman"/>
          <w:snapToGrid w:val="0"/>
          <w:color w:val="auto"/>
          <w:sz w:val="26"/>
          <w:szCs w:val="26"/>
          <w:highlight w:val="none"/>
        </w:rPr>
        <w:t>m～</w:t>
      </w:r>
      <w:r>
        <w:rPr>
          <w:rFonts w:hint="default" w:ascii="Times New Roman" w:hAnsi="Times New Roman" w:cs="Times New Roman"/>
          <w:snapToGrid w:val="0"/>
          <w:color w:val="auto"/>
          <w:sz w:val="26"/>
          <w:szCs w:val="26"/>
          <w:highlight w:val="none"/>
          <w:lang w:val="en-US" w:eastAsia="zh-CN"/>
        </w:rPr>
        <w:t>220.25</w:t>
      </w:r>
      <w:r>
        <w:rPr>
          <w:rFonts w:hint="default" w:ascii="Times New Roman" w:hAnsi="Times New Roman" w:eastAsia="宋体" w:cs="Times New Roman"/>
          <w:snapToGrid w:val="0"/>
          <w:color w:val="auto"/>
          <w:sz w:val="26"/>
          <w:szCs w:val="26"/>
          <w:highlight w:val="none"/>
        </w:rPr>
        <w:t>m，水深为</w:t>
      </w:r>
      <w:r>
        <w:rPr>
          <w:rFonts w:hint="default" w:ascii="Times New Roman" w:hAnsi="Times New Roman" w:cs="Times New Roman"/>
          <w:snapToGrid w:val="0"/>
          <w:color w:val="auto"/>
          <w:sz w:val="26"/>
          <w:szCs w:val="26"/>
          <w:highlight w:val="none"/>
          <w:lang w:val="en-US" w:eastAsia="zh-CN"/>
        </w:rPr>
        <w:t>18.51</w:t>
      </w:r>
      <w:r>
        <w:rPr>
          <w:rFonts w:hint="default" w:ascii="Times New Roman" w:hAnsi="Times New Roman" w:eastAsia="宋体" w:cs="Times New Roman"/>
          <w:snapToGrid w:val="0"/>
          <w:color w:val="auto"/>
          <w:sz w:val="26"/>
          <w:szCs w:val="26"/>
          <w:highlight w:val="none"/>
        </w:rPr>
        <w:t>m～</w:t>
      </w:r>
      <w:r>
        <w:rPr>
          <w:rFonts w:hint="default" w:ascii="Times New Roman" w:hAnsi="Times New Roman" w:cs="Times New Roman"/>
          <w:snapToGrid w:val="0"/>
          <w:color w:val="auto"/>
          <w:sz w:val="26"/>
          <w:szCs w:val="26"/>
          <w:highlight w:val="none"/>
          <w:lang w:val="en-US" w:eastAsia="zh-CN"/>
        </w:rPr>
        <w:t>33.06</w:t>
      </w:r>
      <w:r>
        <w:rPr>
          <w:rFonts w:hint="default" w:ascii="Times New Roman" w:hAnsi="Times New Roman" w:eastAsia="宋体" w:cs="Times New Roman"/>
          <w:snapToGrid w:val="0"/>
          <w:color w:val="auto"/>
          <w:sz w:val="26"/>
          <w:szCs w:val="26"/>
          <w:highlight w:val="none"/>
        </w:rPr>
        <w:t>m，</w:t>
      </w:r>
      <w:r>
        <w:rPr>
          <w:rFonts w:hint="default" w:ascii="Times New Roman" w:hAnsi="Times New Roman" w:cs="Times New Roman"/>
          <w:snapToGrid w:val="0"/>
          <w:color w:val="auto"/>
          <w:sz w:val="26"/>
          <w:szCs w:val="26"/>
          <w:highlight w:val="none"/>
          <w:lang w:val="en-US" w:eastAsia="zh-CN"/>
        </w:rPr>
        <w:t>与天然水位基本一致，</w:t>
      </w:r>
      <w:r>
        <w:rPr>
          <w:rFonts w:hint="default" w:ascii="Times New Roman" w:hAnsi="Times New Roman" w:eastAsia="宋体" w:cs="Times New Roman"/>
          <w:snapToGrid w:val="0"/>
          <w:color w:val="auto"/>
          <w:sz w:val="26"/>
          <w:szCs w:val="26"/>
          <w:highlight w:val="none"/>
        </w:rPr>
        <w:t>断面平均流速为</w:t>
      </w:r>
      <w:r>
        <w:rPr>
          <w:rFonts w:hint="default" w:ascii="Times New Roman" w:hAnsi="Times New Roman" w:cs="Times New Roman"/>
          <w:snapToGrid w:val="0"/>
          <w:color w:val="auto"/>
          <w:sz w:val="26"/>
          <w:szCs w:val="26"/>
          <w:highlight w:val="none"/>
          <w:lang w:val="en-US" w:eastAsia="zh-CN"/>
        </w:rPr>
        <w:t>2.01</w:t>
      </w:r>
      <w:r>
        <w:rPr>
          <w:rFonts w:hint="default" w:ascii="Times New Roman" w:hAnsi="Times New Roman" w:eastAsia="宋体" w:cs="Times New Roman"/>
          <w:snapToGrid w:val="0"/>
          <w:color w:val="auto"/>
          <w:sz w:val="26"/>
          <w:szCs w:val="26"/>
          <w:highlight w:val="none"/>
        </w:rPr>
        <w:t>m/s～</w:t>
      </w:r>
      <w:r>
        <w:rPr>
          <w:rFonts w:hint="default" w:ascii="Times New Roman" w:hAnsi="Times New Roman" w:cs="Times New Roman"/>
          <w:snapToGrid w:val="0"/>
          <w:color w:val="auto"/>
          <w:sz w:val="26"/>
          <w:szCs w:val="26"/>
          <w:highlight w:val="none"/>
          <w:lang w:val="en-US" w:eastAsia="zh-CN"/>
        </w:rPr>
        <w:t>3.08</w:t>
      </w:r>
      <w:r>
        <w:rPr>
          <w:rFonts w:hint="default" w:ascii="Times New Roman" w:hAnsi="Times New Roman" w:eastAsia="宋体" w:cs="Times New Roman"/>
          <w:snapToGrid w:val="0"/>
          <w:color w:val="auto"/>
          <w:sz w:val="26"/>
          <w:szCs w:val="26"/>
          <w:highlight w:val="none"/>
        </w:rPr>
        <w:t>m/s</w:t>
      </w:r>
      <w:r>
        <w:rPr>
          <w:rFonts w:hint="default" w:ascii="Times New Roman" w:hAnsi="Times New Roman" w:cs="Times New Roman"/>
          <w:snapToGrid w:val="0"/>
          <w:color w:val="auto"/>
          <w:sz w:val="26"/>
          <w:szCs w:val="26"/>
          <w:highlight w:val="none"/>
          <w:lang w:eastAsia="zh-CN"/>
        </w:rPr>
        <w:t>，</w:t>
      </w:r>
      <w:r>
        <w:rPr>
          <w:rFonts w:hint="default" w:ascii="Times New Roman" w:hAnsi="Times New Roman" w:cs="Times New Roman"/>
          <w:snapToGrid w:val="0"/>
          <w:color w:val="auto"/>
          <w:sz w:val="26"/>
          <w:szCs w:val="26"/>
          <w:highlight w:val="none"/>
          <w:lang w:val="en-US" w:eastAsia="zh-CN"/>
        </w:rPr>
        <w:t>局部河段较工程建设前变化-0.01</w:t>
      </w:r>
      <w:r>
        <w:rPr>
          <w:rFonts w:hint="default" w:ascii="Times New Roman" w:hAnsi="Times New Roman" w:eastAsia="宋体" w:cs="Times New Roman"/>
          <w:snapToGrid w:val="0"/>
          <w:color w:val="auto"/>
          <w:sz w:val="26"/>
          <w:szCs w:val="26"/>
          <w:highlight w:val="none"/>
        </w:rPr>
        <w:t>m/s～</w:t>
      </w:r>
      <w:r>
        <w:rPr>
          <w:rFonts w:hint="default" w:ascii="Times New Roman" w:hAnsi="Times New Roman" w:cs="Times New Roman"/>
          <w:snapToGrid w:val="0"/>
          <w:color w:val="auto"/>
          <w:sz w:val="26"/>
          <w:szCs w:val="26"/>
          <w:highlight w:val="none"/>
          <w:lang w:val="en-US" w:eastAsia="zh-CN"/>
        </w:rPr>
        <w:t>0.09</w:t>
      </w:r>
      <w:r>
        <w:rPr>
          <w:rFonts w:hint="default" w:ascii="Times New Roman" w:hAnsi="Times New Roman" w:eastAsia="宋体" w:cs="Times New Roman"/>
          <w:snapToGrid w:val="0"/>
          <w:color w:val="auto"/>
          <w:sz w:val="26"/>
          <w:szCs w:val="26"/>
          <w:highlight w:val="none"/>
        </w:rPr>
        <w:t>m/s</w:t>
      </w:r>
      <w:r>
        <w:rPr>
          <w:rFonts w:hint="default" w:ascii="Times New Roman" w:hAnsi="Times New Roman" w:cs="Times New Roman"/>
          <w:snapToGrid w:val="0"/>
          <w:color w:val="auto"/>
          <w:sz w:val="26"/>
          <w:szCs w:val="26"/>
          <w:highlight w:val="none"/>
          <w:lang w:eastAsia="zh-CN"/>
        </w:rPr>
        <w:t>，</w:t>
      </w:r>
      <w:r>
        <w:rPr>
          <w:rFonts w:hint="default" w:ascii="Times New Roman" w:hAnsi="Times New Roman" w:cs="Times New Roman"/>
          <w:snapToGrid w:val="0"/>
          <w:color w:val="auto"/>
          <w:sz w:val="26"/>
          <w:szCs w:val="26"/>
          <w:highlight w:val="none"/>
          <w:lang w:val="en-US" w:eastAsia="zh-CN"/>
        </w:rPr>
        <w:t>变化幅度均较小，由此引起的水位变化较小。不会给上游河段带来壅水影响，本工程建设引起的最大流速变化仅0.09m/s，不会给工程河段带来较大淤积影响，因此本工程建设对上下游河段影响较小。</w:t>
      </w:r>
    </w:p>
    <w:p>
      <w:pPr>
        <w:keepNext w:val="0"/>
        <w:keepLines w:val="0"/>
        <w:pageBreakBefore w:val="0"/>
        <w:widowControl w:val="0"/>
        <w:kinsoku/>
        <w:wordWrap/>
        <w:overflowPunct/>
        <w:topLinePunct w:val="0"/>
        <w:autoSpaceDE/>
        <w:autoSpaceDN/>
        <w:bidi w:val="0"/>
        <w:adjustRightInd w:val="0"/>
        <w:snapToGrid w:val="0"/>
        <w:spacing w:line="480" w:lineRule="exact"/>
        <w:textAlignment w:val="auto"/>
        <w:rPr>
          <w:rFonts w:hint="default" w:ascii="Times New Roman" w:hAnsi="Times New Roman" w:eastAsia="宋体" w:cs="Times New Roman"/>
          <w:color w:val="auto"/>
          <w:sz w:val="26"/>
          <w:szCs w:val="26"/>
          <w:highlight w:val="none"/>
          <w:lang w:val="en-US" w:eastAsia="zh-CN"/>
        </w:rPr>
      </w:pPr>
      <w:r>
        <w:rPr>
          <w:rFonts w:hint="default" w:ascii="Times New Roman" w:hAnsi="Times New Roman" w:cs="Times New Roman"/>
          <w:snapToGrid w:val="0"/>
          <w:color w:val="auto"/>
          <w:sz w:val="26"/>
          <w:szCs w:val="26"/>
          <w:highlight w:val="none"/>
          <w:lang w:val="en-US" w:eastAsia="zh-CN"/>
        </w:rPr>
        <w:t>本工程在渭沱坝址上游布置有丁坝、航道隔</w:t>
      </w:r>
      <w:r>
        <w:rPr>
          <w:rFonts w:hint="eastAsia" w:cs="Times New Roman"/>
          <w:snapToGrid w:val="0"/>
          <w:color w:val="auto"/>
          <w:sz w:val="26"/>
          <w:szCs w:val="26"/>
          <w:highlight w:val="none"/>
          <w:shd w:val="clear" w:fill="FFFFFF"/>
          <w:lang w:val="en-US" w:eastAsia="zh-CN"/>
        </w:rPr>
        <w:t>流淌</w:t>
      </w:r>
      <w:r>
        <w:rPr>
          <w:rFonts w:hint="default" w:ascii="Times New Roman" w:hAnsi="Times New Roman" w:cs="Times New Roman"/>
          <w:snapToGrid w:val="0"/>
          <w:color w:val="auto"/>
          <w:sz w:val="26"/>
          <w:szCs w:val="26"/>
          <w:highlight w:val="none"/>
          <w:lang w:val="en-US" w:eastAsia="zh-CN"/>
        </w:rPr>
        <w:t>，下游布置航道隔</w:t>
      </w:r>
      <w:r>
        <w:rPr>
          <w:rFonts w:hint="eastAsia" w:cs="Times New Roman"/>
          <w:snapToGrid w:val="0"/>
          <w:color w:val="auto"/>
          <w:sz w:val="26"/>
          <w:szCs w:val="26"/>
          <w:highlight w:val="none"/>
          <w:shd w:val="clear" w:fill="FFFFFF"/>
          <w:lang w:val="en-US" w:eastAsia="zh-CN"/>
        </w:rPr>
        <w:t>流淌</w:t>
      </w:r>
      <w:r>
        <w:rPr>
          <w:rFonts w:hint="default" w:ascii="Times New Roman" w:hAnsi="Times New Roman" w:cs="Times New Roman"/>
          <w:snapToGrid w:val="0"/>
          <w:color w:val="auto"/>
          <w:sz w:val="26"/>
          <w:szCs w:val="26"/>
          <w:highlight w:val="none"/>
          <w:lang w:val="en-US" w:eastAsia="zh-CN"/>
        </w:rPr>
        <w:t>、鱼道。同时在坝址上下游均有清淤措施，因此各建筑建设减少的过水断面被清淤补偿后，引起所在断面过水断面面积变化不大</w:t>
      </w:r>
      <w:r>
        <w:rPr>
          <w:rFonts w:hint="eastAsia" w:ascii="Times New Roman" w:hAnsi="Times New Roman" w:cs="Times New Roman"/>
          <w:snapToGrid w:val="0"/>
          <w:color w:val="auto"/>
          <w:sz w:val="26"/>
          <w:szCs w:val="26"/>
          <w:highlight w:val="none"/>
          <w:lang w:val="en-US" w:eastAsia="zh-CN"/>
        </w:rPr>
        <w:t>，</w:t>
      </w:r>
      <w:r>
        <w:rPr>
          <w:rFonts w:hint="default" w:ascii="Times New Roman" w:hAnsi="Times New Roman" w:cs="Times New Roman"/>
          <w:snapToGrid w:val="0"/>
          <w:color w:val="auto"/>
          <w:sz w:val="26"/>
          <w:szCs w:val="26"/>
          <w:highlight w:val="none"/>
          <w:lang w:val="en-US" w:eastAsia="zh-CN"/>
        </w:rPr>
        <w:t>因此</w:t>
      </w:r>
      <w:r>
        <w:rPr>
          <w:rFonts w:hint="eastAsia" w:ascii="Times New Roman" w:hAnsi="Times New Roman" w:cs="Times New Roman"/>
          <w:snapToGrid w:val="0"/>
          <w:color w:val="auto"/>
          <w:sz w:val="26"/>
          <w:szCs w:val="26"/>
          <w:highlight w:val="none"/>
          <w:lang w:val="en-US" w:eastAsia="zh-CN"/>
        </w:rPr>
        <w:t>项目建设</w:t>
      </w:r>
      <w:r>
        <w:rPr>
          <w:rFonts w:hint="default" w:ascii="Times New Roman" w:hAnsi="Times New Roman" w:cs="Times New Roman"/>
          <w:snapToGrid w:val="0"/>
          <w:color w:val="auto"/>
          <w:sz w:val="26"/>
          <w:szCs w:val="26"/>
          <w:highlight w:val="none"/>
          <w:lang w:val="en-US" w:eastAsia="zh-CN"/>
        </w:rPr>
        <w:t>对工程河段水位、断面平均流速等影响较小。</w:t>
      </w:r>
    </w:p>
    <w:p>
      <w:pPr>
        <w:pStyle w:val="5"/>
        <w:bidi w:val="0"/>
        <w:rPr>
          <w:color w:val="auto"/>
          <w:highlight w:val="none"/>
        </w:rPr>
      </w:pPr>
      <w:r>
        <w:rPr>
          <w:rFonts w:hint="eastAsia"/>
          <w:color w:val="auto"/>
          <w:highlight w:val="none"/>
          <w:lang w:eastAsia="zh-CN"/>
        </w:rPr>
        <w:t>水污染影响预测与评价</w:t>
      </w: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ascii="Times New Roman" w:hAnsi="Times New Roman" w:eastAsia="宋体" w:cs="Times New Roman"/>
          <w:snapToGrid w:val="0"/>
          <w:color w:val="auto"/>
          <w:kern w:val="2"/>
          <w:sz w:val="26"/>
          <w:szCs w:val="24"/>
          <w:highlight w:val="none"/>
          <w:lang w:val="en-US" w:eastAsia="zh-CN" w:bidi="ar-SA"/>
        </w:rPr>
      </w:pPr>
      <w:r>
        <w:rPr>
          <w:rFonts w:hint="eastAsia" w:ascii="Times New Roman" w:hAnsi="Times New Roman" w:eastAsia="宋体" w:cs="Times New Roman"/>
          <w:snapToGrid w:val="0"/>
          <w:color w:val="auto"/>
          <w:kern w:val="2"/>
          <w:sz w:val="26"/>
          <w:szCs w:val="24"/>
          <w:highlight w:val="none"/>
          <w:lang w:val="en-US" w:eastAsia="zh-CN" w:bidi="ar-SA"/>
        </w:rPr>
        <w:t>（1）施工期</w:t>
      </w: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ascii="Times New Roman" w:hAnsi="Times New Roman" w:eastAsia="宋体" w:cs="Times New Roman"/>
          <w:snapToGrid w:val="0"/>
          <w:color w:val="auto"/>
          <w:kern w:val="2"/>
          <w:sz w:val="26"/>
          <w:szCs w:val="24"/>
          <w:highlight w:val="none"/>
          <w:lang w:val="en-US" w:eastAsia="zh-CN" w:bidi="ar-SA"/>
        </w:rPr>
      </w:pPr>
      <w:r>
        <w:rPr>
          <w:rFonts w:hint="eastAsia" w:ascii="Times New Roman" w:hAnsi="Times New Roman" w:eastAsia="宋体" w:cs="Times New Roman"/>
          <w:snapToGrid w:val="0"/>
          <w:color w:val="auto"/>
          <w:kern w:val="2"/>
          <w:sz w:val="26"/>
          <w:szCs w:val="24"/>
          <w:highlight w:val="none"/>
          <w:lang w:val="en-US" w:eastAsia="zh-CN" w:bidi="ar-SA"/>
        </w:rPr>
        <w:t>项目施工期主体工程在围堰内进行，故船闸主体工程施工期间对地表水污染影响较小，施工期影响主要体现在航道疏浚过程中施工扰动的影响，以及施工废水、生活污水的影响。</w:t>
      </w:r>
    </w:p>
    <w:p>
      <w:pPr>
        <w:keepNext w:val="0"/>
        <w:keepLines w:val="0"/>
        <w:pageBreakBefore w:val="0"/>
        <w:widowControl w:val="0"/>
        <w:kinsoku/>
        <w:wordWrap/>
        <w:overflowPunct/>
        <w:topLinePunct w:val="0"/>
        <w:autoSpaceDE/>
        <w:autoSpaceDN/>
        <w:bidi w:val="0"/>
        <w:adjustRightInd w:val="0"/>
        <w:snapToGrid w:val="0"/>
        <w:jc w:val="left"/>
        <w:textAlignment w:val="auto"/>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1 \* GB3 \* MERGEFORMAT </w:instrText>
      </w:r>
      <w:r>
        <w:rPr>
          <w:rFonts w:hint="eastAsia"/>
          <w:color w:val="auto"/>
          <w:highlight w:val="none"/>
          <w:lang w:eastAsia="zh-CN"/>
        </w:rPr>
        <w:fldChar w:fldCharType="separate"/>
      </w:r>
      <w:r>
        <w:rPr>
          <w:color w:val="auto"/>
          <w:highlight w:val="none"/>
        </w:rPr>
        <w:t>①</w:t>
      </w:r>
      <w:r>
        <w:rPr>
          <w:rFonts w:hint="eastAsia"/>
          <w:color w:val="auto"/>
          <w:highlight w:val="none"/>
          <w:lang w:eastAsia="zh-CN"/>
        </w:rPr>
        <w:fldChar w:fldCharType="end"/>
      </w:r>
      <w:r>
        <w:rPr>
          <w:rFonts w:hint="eastAsia"/>
          <w:color w:val="auto"/>
          <w:highlight w:val="none"/>
          <w:lang w:eastAsia="zh-CN"/>
        </w:rPr>
        <w:t>施工扰动影响分析</w:t>
      </w:r>
    </w:p>
    <w:p>
      <w:pPr>
        <w:pStyle w:val="197"/>
        <w:keepNext w:val="0"/>
        <w:keepLines w:val="0"/>
        <w:pageBreakBefore w:val="0"/>
        <w:widowControl w:val="0"/>
        <w:kinsoku/>
        <w:wordWrap/>
        <w:overflowPunct/>
        <w:topLinePunct w:val="0"/>
        <w:autoSpaceDE/>
        <w:autoSpaceDN/>
        <w:bidi w:val="0"/>
        <w:adjustRightInd w:val="0"/>
        <w:snapToGrid w:val="0"/>
        <w:ind w:firstLine="520"/>
        <w:jc w:val="left"/>
        <w:textAlignment w:val="auto"/>
        <w:rPr>
          <w:color w:val="auto"/>
          <w:highlight w:val="none"/>
        </w:rPr>
      </w:pPr>
      <w:r>
        <w:rPr>
          <w:rFonts w:hint="eastAsia"/>
          <w:color w:val="auto"/>
          <w:highlight w:val="none"/>
        </w:rPr>
        <w:t>本项目航道疏浚、</w:t>
      </w:r>
      <w:r>
        <w:rPr>
          <w:rFonts w:hint="eastAsia"/>
          <w:color w:val="auto"/>
          <w:highlight w:val="none"/>
          <w:lang w:eastAsia="zh-CN"/>
        </w:rPr>
        <w:t>围堰施工等过程</w:t>
      </w:r>
      <w:r>
        <w:rPr>
          <w:rFonts w:hint="eastAsia"/>
          <w:color w:val="auto"/>
          <w:highlight w:val="none"/>
        </w:rPr>
        <w:t>中搅动水体产生悬浮泥量，将造成施工水域悬浮物浓度增高。其中对水质影响最大的为水下河道</w:t>
      </w:r>
      <w:r>
        <w:rPr>
          <w:rFonts w:hint="eastAsia"/>
          <w:color w:val="auto"/>
          <w:highlight w:val="none"/>
          <w:lang w:eastAsia="zh-CN"/>
        </w:rPr>
        <w:t>疏浚</w:t>
      </w:r>
      <w:r>
        <w:rPr>
          <w:rFonts w:hint="eastAsia"/>
          <w:color w:val="auto"/>
          <w:highlight w:val="none"/>
        </w:rPr>
        <w:t>的影响</w:t>
      </w:r>
      <w:r>
        <w:rPr>
          <w:rFonts w:hint="eastAsia"/>
          <w:color w:val="auto"/>
          <w:highlight w:val="none"/>
          <w:lang w:eastAsia="zh-CN"/>
        </w:rPr>
        <w:t>，根据</w:t>
      </w:r>
      <w:r>
        <w:rPr>
          <w:rFonts w:hint="eastAsia"/>
          <w:color w:val="auto"/>
          <w:highlight w:val="none"/>
        </w:rPr>
        <w:t>长江干流九龙坡至</w:t>
      </w:r>
      <w:r>
        <w:rPr>
          <w:color w:val="auto"/>
          <w:highlight w:val="none"/>
        </w:rPr>
        <w:t>朝天门河段</w:t>
      </w:r>
      <w:r>
        <w:rPr>
          <w:rFonts w:hint="eastAsia"/>
          <w:color w:val="auto"/>
          <w:highlight w:val="none"/>
        </w:rPr>
        <w:t>航道、宜宾合江门至泸州纳溪航道整治工程</w:t>
      </w:r>
      <w:r>
        <w:rPr>
          <w:rFonts w:hint="eastAsia"/>
          <w:color w:val="auto"/>
          <w:highlight w:val="none"/>
          <w:lang w:eastAsia="zh-CN"/>
        </w:rPr>
        <w:t>及其他同类型项目</w:t>
      </w:r>
      <w:r>
        <w:rPr>
          <w:rFonts w:hint="eastAsia"/>
          <w:color w:val="auto"/>
          <w:highlight w:val="none"/>
        </w:rPr>
        <w:t>施工期水质监测</w:t>
      </w:r>
      <w:r>
        <w:rPr>
          <w:rFonts w:hint="eastAsia"/>
          <w:color w:val="auto"/>
          <w:highlight w:val="none"/>
          <w:lang w:eastAsia="zh-CN"/>
        </w:rPr>
        <w:t>结果</w:t>
      </w:r>
      <w:r>
        <w:rPr>
          <w:rFonts w:hint="eastAsia"/>
          <w:color w:val="auto"/>
          <w:highlight w:val="none"/>
        </w:rPr>
        <w:t>，航道整治作业主要对作业区周边局部水域产生一定的悬浮物污染影响，但其影响较小，影响范围一般可控制在作业点周围</w:t>
      </w:r>
      <w:r>
        <w:rPr>
          <w:color w:val="auto"/>
          <w:highlight w:val="none"/>
        </w:rPr>
        <w:t>500m</w:t>
      </w:r>
      <w:r>
        <w:rPr>
          <w:rFonts w:hint="eastAsia"/>
          <w:color w:val="auto"/>
          <w:highlight w:val="none"/>
        </w:rPr>
        <w:t>以内。航道疏浚、炸礁、筑坝抛石作业产生的悬浮物仅对局部水质产生影响，且影响有限，施工作业停止2小时后下游水质基本可以恢复到原有水平。</w:t>
      </w:r>
    </w:p>
    <w:p>
      <w:pPr>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2 \* GB3 \* MERGEFORMAT </w:instrText>
      </w:r>
      <w:r>
        <w:rPr>
          <w:rFonts w:hint="eastAsia"/>
          <w:color w:val="auto"/>
          <w:highlight w:val="none"/>
          <w:lang w:eastAsia="zh-CN"/>
        </w:rPr>
        <w:fldChar w:fldCharType="separate"/>
      </w:r>
      <w:r>
        <w:rPr>
          <w:color w:val="auto"/>
          <w:highlight w:val="none"/>
        </w:rPr>
        <w:t>②</w:t>
      </w:r>
      <w:r>
        <w:rPr>
          <w:rFonts w:hint="eastAsia"/>
          <w:color w:val="auto"/>
          <w:highlight w:val="none"/>
          <w:lang w:eastAsia="zh-CN"/>
        </w:rPr>
        <w:fldChar w:fldCharType="end"/>
      </w:r>
      <w:r>
        <w:rPr>
          <w:rFonts w:hint="eastAsia"/>
          <w:color w:val="auto"/>
          <w:highlight w:val="none"/>
          <w:lang w:eastAsia="zh-CN"/>
        </w:rPr>
        <w:t>生产废水影响分析</w:t>
      </w: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default" w:ascii="Times New Roman" w:hAnsi="Times New Roman" w:eastAsia="宋体" w:cs="Times New Roman"/>
          <w:snapToGrid w:val="0"/>
          <w:color w:val="auto"/>
          <w:kern w:val="2"/>
          <w:sz w:val="26"/>
          <w:szCs w:val="24"/>
          <w:highlight w:val="none"/>
          <w:lang w:val="en-US" w:eastAsia="zh-CN" w:bidi="ar-SA"/>
        </w:rPr>
      </w:pPr>
      <w:r>
        <w:rPr>
          <w:rFonts w:hint="eastAsia" w:ascii="Times New Roman" w:hAnsi="Times New Roman" w:eastAsia="宋体" w:cs="Times New Roman"/>
          <w:snapToGrid w:val="0"/>
          <w:color w:val="auto"/>
          <w:kern w:val="2"/>
          <w:sz w:val="26"/>
          <w:szCs w:val="24"/>
          <w:highlight w:val="none"/>
          <w:lang w:val="en-US" w:eastAsia="zh-CN" w:bidi="ar-SA"/>
        </w:rPr>
        <w:t>项目施工期生产废水主要包括混凝土</w:t>
      </w:r>
      <w:r>
        <w:rPr>
          <w:rFonts w:hint="eastAsia" w:ascii="Times New Roman" w:hAnsi="Times New Roman" w:eastAsia="宋体" w:cs="Times New Roman"/>
          <w:snapToGrid w:val="0"/>
          <w:color w:val="auto"/>
          <w:kern w:val="2"/>
          <w:sz w:val="26"/>
          <w:szCs w:val="24"/>
          <w:highlight w:val="none"/>
          <w:shd w:val="clear" w:fill="FFFFFF"/>
          <w:lang w:val="en-US" w:eastAsia="zh-CN" w:bidi="ar-SA"/>
        </w:rPr>
        <w:t>拌和</w:t>
      </w:r>
      <w:r>
        <w:rPr>
          <w:rFonts w:hint="eastAsia" w:ascii="Times New Roman" w:hAnsi="Times New Roman" w:eastAsia="宋体" w:cs="Times New Roman"/>
          <w:snapToGrid w:val="0"/>
          <w:color w:val="auto"/>
          <w:kern w:val="2"/>
          <w:sz w:val="26"/>
          <w:szCs w:val="24"/>
          <w:highlight w:val="none"/>
          <w:lang w:val="en-US" w:eastAsia="zh-CN" w:bidi="ar-SA"/>
        </w:rPr>
        <w:t>系统冲洗废水、基坑排水、</w:t>
      </w:r>
      <w:r>
        <w:rPr>
          <w:rFonts w:hint="eastAsia" w:cs="Times New Roman"/>
          <w:snapToGrid w:val="0"/>
          <w:color w:val="auto"/>
          <w:kern w:val="2"/>
          <w:sz w:val="26"/>
          <w:szCs w:val="24"/>
          <w:highlight w:val="none"/>
          <w:lang w:val="en-US" w:eastAsia="zh-CN" w:bidi="ar-SA"/>
        </w:rPr>
        <w:t>车辆冲洗废水、疏浚渣堆场余水、</w:t>
      </w:r>
      <w:r>
        <w:rPr>
          <w:rFonts w:hint="eastAsia" w:ascii="Times New Roman" w:hAnsi="Times New Roman" w:eastAsia="宋体" w:cs="Times New Roman"/>
          <w:snapToGrid w:val="0"/>
          <w:color w:val="auto"/>
          <w:kern w:val="2"/>
          <w:sz w:val="26"/>
          <w:szCs w:val="24"/>
          <w:highlight w:val="none"/>
          <w:lang w:val="en-US" w:eastAsia="zh-CN" w:bidi="ar-SA"/>
        </w:rPr>
        <w:t>施工船舶含油废水等。</w:t>
      </w:r>
    </w:p>
    <w:p>
      <w:pPr>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ascii="Times New Roman" w:hAnsi="Times New Roman" w:eastAsia="宋体" w:cs="Times New Roman"/>
          <w:snapToGrid w:val="0"/>
          <w:color w:val="auto"/>
          <w:kern w:val="2"/>
          <w:sz w:val="26"/>
          <w:szCs w:val="24"/>
          <w:highlight w:val="none"/>
          <w:lang w:val="en-US" w:eastAsia="zh-CN" w:bidi="ar-SA"/>
        </w:rPr>
      </w:pPr>
      <w:r>
        <w:rPr>
          <w:rFonts w:hint="eastAsia" w:ascii="Times New Roman" w:hAnsi="Times New Roman" w:eastAsia="宋体" w:cs="Times New Roman"/>
          <w:snapToGrid w:val="0"/>
          <w:color w:val="auto"/>
          <w:kern w:val="2"/>
          <w:sz w:val="26"/>
          <w:szCs w:val="24"/>
          <w:highlight w:val="none"/>
          <w:lang w:val="en-US" w:eastAsia="zh-CN" w:bidi="ar-SA"/>
        </w:rPr>
        <w:t>混凝土</w:t>
      </w:r>
      <w:r>
        <w:rPr>
          <w:rFonts w:hint="eastAsia" w:ascii="Times New Roman" w:hAnsi="Times New Roman" w:eastAsia="宋体" w:cs="Times New Roman"/>
          <w:snapToGrid w:val="0"/>
          <w:color w:val="auto"/>
          <w:kern w:val="2"/>
          <w:sz w:val="26"/>
          <w:szCs w:val="24"/>
          <w:highlight w:val="none"/>
          <w:shd w:val="clear" w:fill="FFFFFF"/>
          <w:lang w:val="en-US" w:eastAsia="zh-CN" w:bidi="ar-SA"/>
        </w:rPr>
        <w:t>拌和</w:t>
      </w:r>
      <w:r>
        <w:rPr>
          <w:rFonts w:hint="eastAsia" w:ascii="Times New Roman" w:hAnsi="Times New Roman" w:eastAsia="宋体" w:cs="Times New Roman"/>
          <w:snapToGrid w:val="0"/>
          <w:color w:val="auto"/>
          <w:kern w:val="2"/>
          <w:sz w:val="26"/>
          <w:szCs w:val="24"/>
          <w:highlight w:val="none"/>
          <w:lang w:val="en-US" w:eastAsia="zh-CN" w:bidi="ar-SA"/>
        </w:rPr>
        <w:t>系统废水来源于混凝土转筒、料罐、搅拌机等重新废水，排放方式为间歇式，通过在混凝土</w:t>
      </w:r>
      <w:r>
        <w:rPr>
          <w:rFonts w:hint="eastAsia" w:ascii="Times New Roman" w:hAnsi="Times New Roman" w:eastAsia="宋体" w:cs="Times New Roman"/>
          <w:snapToGrid w:val="0"/>
          <w:color w:val="auto"/>
          <w:kern w:val="2"/>
          <w:sz w:val="26"/>
          <w:szCs w:val="24"/>
          <w:highlight w:val="none"/>
          <w:shd w:val="clear" w:fill="FFFFFF"/>
          <w:lang w:val="en-US" w:eastAsia="zh-CN" w:bidi="ar-SA"/>
        </w:rPr>
        <w:t>拌合系统</w:t>
      </w:r>
      <w:r>
        <w:rPr>
          <w:rFonts w:hint="eastAsia" w:ascii="Times New Roman" w:hAnsi="Times New Roman" w:eastAsia="宋体" w:cs="Times New Roman"/>
          <w:snapToGrid w:val="0"/>
          <w:color w:val="auto"/>
          <w:kern w:val="2"/>
          <w:sz w:val="26"/>
          <w:szCs w:val="24"/>
          <w:highlight w:val="none"/>
          <w:lang w:val="en-US" w:eastAsia="zh-CN" w:bidi="ar-SA"/>
        </w:rPr>
        <w:t>生产区设置沉淀池，对</w:t>
      </w:r>
      <w:r>
        <w:rPr>
          <w:rFonts w:hint="eastAsia" w:ascii="Times New Roman" w:hAnsi="Times New Roman" w:eastAsia="宋体" w:cs="Times New Roman"/>
          <w:snapToGrid w:val="0"/>
          <w:color w:val="auto"/>
          <w:kern w:val="2"/>
          <w:sz w:val="26"/>
          <w:szCs w:val="24"/>
          <w:highlight w:val="none"/>
          <w:shd w:val="clear" w:fill="FFFFFF"/>
          <w:lang w:val="en-US" w:eastAsia="zh-CN" w:bidi="ar-SA"/>
        </w:rPr>
        <w:t>拌合系统</w:t>
      </w:r>
      <w:r>
        <w:rPr>
          <w:rFonts w:hint="eastAsia" w:ascii="Times New Roman" w:hAnsi="Times New Roman" w:eastAsia="宋体" w:cs="Times New Roman"/>
          <w:snapToGrid w:val="0"/>
          <w:color w:val="auto"/>
          <w:kern w:val="2"/>
          <w:sz w:val="26"/>
          <w:szCs w:val="24"/>
          <w:highlight w:val="none"/>
          <w:lang w:val="en-US" w:eastAsia="zh-CN" w:bidi="ar-SA"/>
        </w:rPr>
        <w:t>废水沉淀处理后，用于混凝土</w:t>
      </w:r>
      <w:r>
        <w:rPr>
          <w:rFonts w:hint="eastAsia" w:ascii="Times New Roman" w:hAnsi="Times New Roman" w:eastAsia="宋体" w:cs="Times New Roman"/>
          <w:snapToGrid w:val="0"/>
          <w:color w:val="auto"/>
          <w:kern w:val="2"/>
          <w:sz w:val="26"/>
          <w:szCs w:val="24"/>
          <w:highlight w:val="none"/>
          <w:shd w:val="clear" w:fill="FFFFFF"/>
          <w:lang w:val="en-US" w:eastAsia="zh-CN" w:bidi="ar-SA"/>
        </w:rPr>
        <w:t>拌和</w:t>
      </w:r>
      <w:r>
        <w:rPr>
          <w:rFonts w:hint="eastAsia" w:ascii="Times New Roman" w:hAnsi="Times New Roman" w:eastAsia="宋体" w:cs="Times New Roman"/>
          <w:snapToGrid w:val="0"/>
          <w:color w:val="auto"/>
          <w:kern w:val="2"/>
          <w:sz w:val="26"/>
          <w:szCs w:val="24"/>
          <w:highlight w:val="none"/>
          <w:lang w:val="en-US" w:eastAsia="zh-CN" w:bidi="ar-SA"/>
        </w:rPr>
        <w:t>系统的冲洗和混凝土的生产，不外排，则对周边地表水环境不利影响较小。</w:t>
      </w:r>
    </w:p>
    <w:p>
      <w:pPr>
        <w:keepNext w:val="0"/>
        <w:keepLines w:val="0"/>
        <w:pageBreakBefore w:val="0"/>
        <w:widowControl w:val="0"/>
        <w:kinsoku/>
        <w:wordWrap/>
        <w:overflowPunct/>
        <w:topLinePunct w:val="0"/>
        <w:autoSpaceDE/>
        <w:autoSpaceDN/>
        <w:bidi w:val="0"/>
        <w:adjustRightInd w:val="0"/>
        <w:snapToGrid w:val="0"/>
        <w:spacing w:line="480" w:lineRule="exact"/>
        <w:ind w:firstLineChars="200"/>
        <w:textAlignment w:val="auto"/>
        <w:rPr>
          <w:rFonts w:hint="eastAsia" w:ascii="Times New Roman" w:hAnsi="Times New Roman" w:eastAsia="宋体" w:cs="Times New Roman"/>
          <w:snapToGrid w:val="0"/>
          <w:color w:val="auto"/>
          <w:kern w:val="2"/>
          <w:sz w:val="26"/>
          <w:szCs w:val="24"/>
          <w:highlight w:val="none"/>
          <w:lang w:val="en-US" w:eastAsia="zh-CN" w:bidi="ar-SA"/>
        </w:rPr>
      </w:pPr>
      <w:r>
        <w:rPr>
          <w:rFonts w:hint="eastAsia" w:cs="Times New Roman"/>
          <w:snapToGrid w:val="0"/>
          <w:color w:val="auto"/>
          <w:highlight w:val="none"/>
          <w:lang w:eastAsia="zh-CN"/>
        </w:rPr>
        <w:t>车辆冲洗废水经收集沉淀处理后，回用于车辆冲洗；</w:t>
      </w:r>
      <w:r>
        <w:rPr>
          <w:rFonts w:hint="eastAsia" w:cs="Times New Roman"/>
          <w:snapToGrid w:val="0"/>
          <w:color w:val="auto"/>
          <w:kern w:val="2"/>
          <w:sz w:val="26"/>
          <w:szCs w:val="24"/>
          <w:highlight w:val="none"/>
          <w:lang w:val="en-US" w:eastAsia="zh-CN" w:bidi="ar-SA"/>
        </w:rPr>
        <w:t>疏浚渣堆场余水经截水沟收集，沉淀处理后回用于施工期洒水抑尘，不外排，不会对地表水环境造成较大影响。此外，疏浚渣</w:t>
      </w:r>
      <w:r>
        <w:rPr>
          <w:rFonts w:hint="eastAsia"/>
          <w:color w:val="auto"/>
          <w:highlight w:val="none"/>
        </w:rPr>
        <w:t>泥驳</w:t>
      </w:r>
      <w:r>
        <w:rPr>
          <w:rFonts w:hint="eastAsia"/>
          <w:color w:val="auto"/>
          <w:highlight w:val="none"/>
          <w:lang w:eastAsia="zh-CN"/>
        </w:rPr>
        <w:t>、汽车</w:t>
      </w:r>
      <w:r>
        <w:rPr>
          <w:rFonts w:hint="eastAsia"/>
          <w:color w:val="auto"/>
          <w:highlight w:val="none"/>
        </w:rPr>
        <w:t>运输过程溢流</w:t>
      </w:r>
      <w:r>
        <w:rPr>
          <w:rFonts w:hint="eastAsia"/>
          <w:color w:val="auto"/>
          <w:highlight w:val="none"/>
          <w:lang w:eastAsia="zh-CN"/>
        </w:rPr>
        <w:t>可能会对地表水环境造成</w:t>
      </w:r>
      <w:r>
        <w:rPr>
          <w:rFonts w:hint="eastAsia"/>
          <w:color w:val="auto"/>
          <w:highlight w:val="none"/>
        </w:rPr>
        <w:t>影响，泥驳在运输前必须溢流彻底，并且保证运输中泥舱处于密封状态，由于疏浚底质以卵石为主，泥沙量少，运输过程对水环境影响很小</w:t>
      </w:r>
      <w:r>
        <w:rPr>
          <w:rFonts w:hint="eastAsia"/>
          <w:color w:val="auto"/>
          <w:highlight w:val="none"/>
          <w:lang w:eastAsia="zh-CN"/>
        </w:rPr>
        <w:t>；疏浚渣由车辆运输至弃渣场之前，已经在临时堆料区进行堆存，</w:t>
      </w:r>
      <w:r>
        <w:rPr>
          <w:rFonts w:hint="eastAsia" w:ascii="Times New Roman" w:hAnsi="Times New Roman"/>
          <w:color w:val="auto"/>
          <w:highlight w:val="none"/>
          <w:lang w:eastAsia="zh-CN"/>
        </w:rPr>
        <w:t>经临时堆存后的疏浚渣含水率较低，车辆拉运过程中基本无废水产生，</w:t>
      </w:r>
      <w:r>
        <w:rPr>
          <w:rFonts w:hint="eastAsia"/>
          <w:color w:val="auto"/>
          <w:highlight w:val="none"/>
          <w:lang w:eastAsia="zh-CN"/>
        </w:rPr>
        <w:t>运输过程中加强车辆密闭，避免余水渗漏，</w:t>
      </w:r>
      <w:r>
        <w:rPr>
          <w:rFonts w:hint="eastAsia" w:ascii="Times New Roman" w:hAnsi="Times New Roman"/>
          <w:color w:val="auto"/>
          <w:highlight w:val="none"/>
          <w:lang w:eastAsia="zh-CN"/>
        </w:rPr>
        <w:t>对沿线地表水环境影响较小</w:t>
      </w:r>
      <w:r>
        <w:rPr>
          <w:rFonts w:hint="eastAsia"/>
          <w:color w:val="auto"/>
          <w:highlight w:val="none"/>
        </w:rPr>
        <w:t>。</w:t>
      </w: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ascii="Times New Roman" w:hAnsi="Times New Roman" w:eastAsia="宋体" w:cs="Times New Roman"/>
          <w:snapToGrid w:val="0"/>
          <w:color w:val="auto"/>
          <w:kern w:val="2"/>
          <w:sz w:val="26"/>
          <w:szCs w:val="24"/>
          <w:highlight w:val="none"/>
          <w:lang w:val="en-US" w:eastAsia="zh-CN" w:bidi="ar-SA"/>
        </w:rPr>
      </w:pPr>
      <w:r>
        <w:rPr>
          <w:rFonts w:hint="eastAsia" w:ascii="Times New Roman" w:hAnsi="Times New Roman" w:eastAsia="宋体" w:cs="Times New Roman"/>
          <w:snapToGrid w:val="0"/>
          <w:color w:val="auto"/>
          <w:kern w:val="2"/>
          <w:sz w:val="26"/>
          <w:szCs w:val="24"/>
          <w:highlight w:val="none"/>
          <w:lang w:val="en-US" w:eastAsia="zh-CN" w:bidi="ar-SA"/>
        </w:rPr>
        <w:t>由于本工程是由河滩进行开挖，基坑排水包括初期排水和经常性排水两部分，初期排水为原涪江河道水体，水质与涪江天然水体水质基本相同，对水体水质影响很小。经常性排水包括基坑渗水、降雨积水等，基坑排水主要产生于围堰施工期，考虑到经常性排水包含了大量的渗水及降水，并非真正意义的施工废水。根据类似工程对基坑排水的处理经验，通过添加絮凝剂，调节废水pH值并</w:t>
      </w:r>
      <w:r>
        <w:rPr>
          <w:rFonts w:hint="eastAsia" w:cs="Times New Roman"/>
          <w:snapToGrid w:val="0"/>
          <w:color w:val="auto"/>
          <w:kern w:val="2"/>
          <w:sz w:val="26"/>
          <w:szCs w:val="24"/>
          <w:highlight w:val="none"/>
          <w:shd w:val="clear" w:fill="FFFFFF"/>
          <w:lang w:val="en-US" w:eastAsia="zh-CN" w:bidi="ar-SA"/>
        </w:rPr>
        <w:t>在</w:t>
      </w:r>
      <w:r>
        <w:rPr>
          <w:rFonts w:hint="eastAsia" w:cs="Times New Roman"/>
          <w:snapToGrid w:val="0"/>
          <w:color w:val="auto"/>
          <w:kern w:val="2"/>
          <w:sz w:val="26"/>
          <w:szCs w:val="24"/>
          <w:highlight w:val="none"/>
          <w:lang w:val="en-US" w:eastAsia="zh-CN" w:bidi="ar-SA"/>
        </w:rPr>
        <w:t>基坑</w:t>
      </w:r>
      <w:r>
        <w:rPr>
          <w:rFonts w:hint="eastAsia" w:ascii="Times New Roman" w:hAnsi="Times New Roman" w:eastAsia="宋体" w:cs="Times New Roman"/>
          <w:snapToGrid w:val="0"/>
          <w:color w:val="auto"/>
          <w:kern w:val="2"/>
          <w:sz w:val="26"/>
          <w:szCs w:val="24"/>
          <w:highlight w:val="none"/>
          <w:lang w:val="en-US" w:eastAsia="zh-CN" w:bidi="ar-SA"/>
        </w:rPr>
        <w:t>内加絮凝剂静置2h后，悬浮物的浓度便可降到70mg/L以下，经处理后的基坑排水上层清液</w:t>
      </w:r>
      <w:r>
        <w:rPr>
          <w:rFonts w:hint="eastAsia" w:cs="Times New Roman"/>
          <w:snapToGrid w:val="0"/>
          <w:color w:val="auto"/>
          <w:kern w:val="2"/>
          <w:sz w:val="26"/>
          <w:szCs w:val="24"/>
          <w:highlight w:val="none"/>
          <w:lang w:val="en-US" w:eastAsia="zh-CN" w:bidi="ar-SA"/>
        </w:rPr>
        <w:t>优先回用于场地洒水抑尘，不能</w:t>
      </w:r>
      <w:r>
        <w:rPr>
          <w:rFonts w:hint="eastAsia" w:cs="Times New Roman"/>
          <w:snapToGrid w:val="0"/>
          <w:color w:val="auto"/>
          <w:kern w:val="2"/>
          <w:sz w:val="26"/>
          <w:szCs w:val="24"/>
          <w:highlight w:val="none"/>
          <w:shd w:val="clear" w:fill="FFFFFF"/>
          <w:lang w:val="en-US" w:eastAsia="zh-CN" w:bidi="ar-SA"/>
        </w:rPr>
        <w:t>回用</w:t>
      </w:r>
      <w:r>
        <w:rPr>
          <w:rFonts w:hint="eastAsia" w:cs="Times New Roman"/>
          <w:snapToGrid w:val="0"/>
          <w:color w:val="auto"/>
          <w:kern w:val="2"/>
          <w:sz w:val="26"/>
          <w:szCs w:val="24"/>
          <w:highlight w:val="none"/>
          <w:lang w:val="en-US" w:eastAsia="zh-CN" w:bidi="ar-SA"/>
        </w:rPr>
        <w:t>的</w:t>
      </w:r>
      <w:r>
        <w:rPr>
          <w:rFonts w:hint="eastAsia" w:ascii="Times New Roman" w:hAnsi="Times New Roman" w:eastAsia="宋体" w:cs="Times New Roman"/>
          <w:snapToGrid w:val="0"/>
          <w:color w:val="auto"/>
          <w:kern w:val="2"/>
          <w:sz w:val="26"/>
          <w:szCs w:val="24"/>
          <w:highlight w:val="none"/>
          <w:lang w:val="en-US" w:eastAsia="zh-CN" w:bidi="ar-SA"/>
        </w:rPr>
        <w:t>排放到周边水体中，对涪江水环境质量影响较小。</w:t>
      </w:r>
    </w:p>
    <w:p>
      <w:pPr>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ascii="Times New Roman" w:hAnsi="Times New Roman" w:eastAsia="宋体" w:cs="Times New Roman"/>
          <w:snapToGrid w:val="0"/>
          <w:color w:val="auto"/>
          <w:highlight w:val="none"/>
          <w:lang w:val="en-US" w:eastAsia="zh-CN"/>
        </w:rPr>
      </w:pPr>
      <w:r>
        <w:rPr>
          <w:rFonts w:hint="eastAsia" w:ascii="Times New Roman" w:hAnsi="Times New Roman" w:eastAsia="宋体" w:cs="Times New Roman"/>
          <w:snapToGrid w:val="0"/>
          <w:color w:val="auto"/>
          <w:highlight w:val="none"/>
        </w:rPr>
        <w:t>施工船舶含油废水主要为舱底油污水，应遵守《中华人民共和国防治船舶污染内河水域环境管理规定》《重庆市船舶污染防治条例》，由船舶自带的油水分离器处理后交由港口、码头、装卸站、水上服务区或者其他水污染物接收单位依法处理，禁止向水体排放。施工船舶舱底油污水</w:t>
      </w:r>
      <w:r>
        <w:rPr>
          <w:rFonts w:hint="eastAsia" w:ascii="Times New Roman" w:hAnsi="Times New Roman" w:eastAsia="宋体" w:cs="Times New Roman"/>
          <w:snapToGrid w:val="0"/>
          <w:color w:val="auto"/>
          <w:highlight w:val="none"/>
          <w:lang w:eastAsia="zh-CN"/>
        </w:rPr>
        <w:t>产生</w:t>
      </w:r>
      <w:r>
        <w:rPr>
          <w:rFonts w:hint="eastAsia" w:cs="Times New Roman"/>
          <w:snapToGrid w:val="0"/>
          <w:color w:val="auto"/>
          <w:highlight w:val="none"/>
          <w:shd w:val="clear" w:fill="FFFFFF"/>
          <w:lang w:eastAsia="zh-CN"/>
        </w:rPr>
        <w:t>量</w:t>
      </w:r>
      <w:r>
        <w:rPr>
          <w:rFonts w:hint="eastAsia" w:ascii="Times New Roman" w:hAnsi="Times New Roman" w:eastAsia="宋体" w:cs="Times New Roman"/>
          <w:snapToGrid w:val="0"/>
          <w:color w:val="auto"/>
          <w:highlight w:val="none"/>
        </w:rPr>
        <w:t>相对较小，通过收集处理后对水环境基本不产生污染影响。</w:t>
      </w:r>
    </w:p>
    <w:p>
      <w:pPr>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ascii="Times New Roman" w:hAnsi="Times New Roman" w:eastAsia="宋体" w:cs="Times New Roman"/>
          <w:color w:val="auto"/>
          <w:kern w:val="2"/>
          <w:sz w:val="26"/>
          <w:szCs w:val="24"/>
          <w:highlight w:val="none"/>
          <w:lang w:val="en-US" w:eastAsia="zh-CN" w:bidi="ar-SA"/>
        </w:rPr>
      </w:pPr>
      <w:r>
        <w:rPr>
          <w:rFonts w:hint="eastAsia" w:ascii="Times New Roman" w:hAnsi="Times New Roman" w:eastAsia="宋体" w:cs="Times New Roman"/>
          <w:color w:val="auto"/>
          <w:kern w:val="2"/>
          <w:sz w:val="26"/>
          <w:szCs w:val="24"/>
          <w:highlight w:val="none"/>
          <w:lang w:val="en-US" w:eastAsia="zh-CN" w:bidi="ar-SA"/>
        </w:rPr>
        <w:fldChar w:fldCharType="begin"/>
      </w:r>
      <w:r>
        <w:rPr>
          <w:rFonts w:hint="eastAsia" w:ascii="Times New Roman" w:hAnsi="Times New Roman" w:eastAsia="宋体" w:cs="Times New Roman"/>
          <w:color w:val="auto"/>
          <w:kern w:val="2"/>
          <w:sz w:val="26"/>
          <w:szCs w:val="24"/>
          <w:highlight w:val="none"/>
          <w:lang w:val="en-US" w:eastAsia="zh-CN" w:bidi="ar-SA"/>
        </w:rPr>
        <w:instrText xml:space="preserve"> = 3 \* GB3 \* MERGEFORMAT </w:instrText>
      </w:r>
      <w:r>
        <w:rPr>
          <w:rFonts w:hint="eastAsia" w:ascii="Times New Roman" w:hAnsi="Times New Roman" w:eastAsia="宋体" w:cs="Times New Roman"/>
          <w:color w:val="auto"/>
          <w:kern w:val="2"/>
          <w:sz w:val="26"/>
          <w:szCs w:val="24"/>
          <w:highlight w:val="none"/>
          <w:lang w:val="en-US" w:eastAsia="zh-CN" w:bidi="ar-SA"/>
        </w:rPr>
        <w:fldChar w:fldCharType="separate"/>
      </w:r>
      <w:r>
        <w:rPr>
          <w:rFonts w:hint="eastAsia" w:ascii="Times New Roman" w:hAnsi="Times New Roman" w:eastAsia="宋体" w:cs="Times New Roman"/>
          <w:color w:val="auto"/>
          <w:kern w:val="2"/>
          <w:sz w:val="26"/>
          <w:szCs w:val="24"/>
          <w:highlight w:val="none"/>
          <w:lang w:val="en-US" w:eastAsia="zh-CN" w:bidi="ar-SA"/>
        </w:rPr>
        <w:t>③</w:t>
      </w:r>
      <w:r>
        <w:rPr>
          <w:rFonts w:hint="eastAsia" w:ascii="Times New Roman" w:hAnsi="Times New Roman" w:eastAsia="宋体" w:cs="Times New Roman"/>
          <w:color w:val="auto"/>
          <w:kern w:val="2"/>
          <w:sz w:val="26"/>
          <w:szCs w:val="24"/>
          <w:highlight w:val="none"/>
          <w:lang w:val="en-US" w:eastAsia="zh-CN" w:bidi="ar-SA"/>
        </w:rPr>
        <w:fldChar w:fldCharType="end"/>
      </w:r>
      <w:r>
        <w:rPr>
          <w:rFonts w:hint="eastAsia" w:ascii="Times New Roman" w:hAnsi="Times New Roman" w:eastAsia="宋体" w:cs="Times New Roman"/>
          <w:color w:val="auto"/>
          <w:kern w:val="2"/>
          <w:sz w:val="26"/>
          <w:szCs w:val="24"/>
          <w:highlight w:val="none"/>
          <w:lang w:val="en-US" w:eastAsia="zh-CN" w:bidi="ar-SA"/>
        </w:rPr>
        <w:t>生活污水影响分析</w:t>
      </w:r>
    </w:p>
    <w:p>
      <w:pPr>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color w:val="auto"/>
          <w:highlight w:val="none"/>
          <w:lang w:eastAsia="zh-CN"/>
        </w:rPr>
      </w:pPr>
      <w:r>
        <w:rPr>
          <w:rFonts w:hint="eastAsia"/>
          <w:color w:val="auto"/>
          <w:highlight w:val="none"/>
          <w:lang w:eastAsia="zh-CN"/>
        </w:rPr>
        <w:t>生活污水主要产生于施工营地，其呈点源连续排放的特点。根据源强核算，工程区生活污水最高产生量为</w:t>
      </w:r>
      <w:r>
        <w:rPr>
          <w:rFonts w:hint="eastAsia"/>
          <w:color w:val="auto"/>
          <w:highlight w:val="none"/>
          <w:lang w:val="en-US" w:eastAsia="zh-CN"/>
        </w:rPr>
        <w:t>60</w:t>
      </w:r>
      <w:r>
        <w:rPr>
          <w:rFonts w:hint="eastAsia"/>
          <w:color w:val="auto"/>
          <w:highlight w:val="none"/>
          <w:lang w:eastAsia="zh-CN"/>
        </w:rPr>
        <w:t>m³/d，主要污染物为COD、BOD</w:t>
      </w:r>
      <w:r>
        <w:rPr>
          <w:rFonts w:hint="eastAsia"/>
          <w:color w:val="auto"/>
          <w:highlight w:val="none"/>
          <w:vertAlign w:val="subscript"/>
          <w:lang w:eastAsia="zh-CN"/>
        </w:rPr>
        <w:t>5</w:t>
      </w:r>
      <w:r>
        <w:rPr>
          <w:rFonts w:hint="eastAsia"/>
          <w:color w:val="auto"/>
          <w:highlight w:val="none"/>
          <w:lang w:eastAsia="zh-CN"/>
        </w:rPr>
        <w:t>、NH</w:t>
      </w:r>
      <w:r>
        <w:rPr>
          <w:rFonts w:hint="eastAsia"/>
          <w:color w:val="auto"/>
          <w:highlight w:val="none"/>
          <w:vertAlign w:val="subscript"/>
          <w:lang w:eastAsia="zh-CN"/>
        </w:rPr>
        <w:t>3</w:t>
      </w:r>
      <w:r>
        <w:rPr>
          <w:rFonts w:hint="eastAsia"/>
          <w:color w:val="auto"/>
          <w:highlight w:val="none"/>
          <w:lang w:eastAsia="zh-CN"/>
        </w:rPr>
        <w:t>-N、SS等，施工期在施工营地设置生活污水一体化处理设备，生活污水经处理后用于施工场地内车辆冲洗、洒水除尘或周边绿化，不外排，对周边地表水环境影响较小。</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）运营期</w:t>
      </w:r>
    </w:p>
    <w:p>
      <w:pPr>
        <w:snapToGrid w:val="0"/>
        <w:ind w:firstLine="520"/>
        <w:rPr>
          <w:rFonts w:hint="default" w:ascii="Times New Roman" w:hAnsi="Times New Roman" w:cs="Times New Roman"/>
          <w:color w:val="auto"/>
          <w:szCs w:val="26"/>
          <w:highlight w:val="none"/>
        </w:rPr>
      </w:pPr>
      <w:r>
        <w:rPr>
          <w:rFonts w:hint="default" w:ascii="Times New Roman" w:hAnsi="Times New Roman" w:cs="Times New Roman"/>
          <w:color w:val="auto"/>
          <w:szCs w:val="26"/>
          <w:highlight w:val="none"/>
        </w:rPr>
        <w:t>本项目为船闸项目，仅供船舶通航，不提供船舶</w:t>
      </w:r>
      <w:r>
        <w:rPr>
          <w:rFonts w:hint="default" w:ascii="Times New Roman" w:hAnsi="Times New Roman" w:cs="Times New Roman"/>
          <w:color w:val="auto"/>
          <w:szCs w:val="26"/>
          <w:highlight w:val="none"/>
          <w:shd w:val="clear" w:fill="FFFFFF"/>
        </w:rPr>
        <w:t>停驻</w:t>
      </w:r>
      <w:r>
        <w:rPr>
          <w:rFonts w:hint="default" w:ascii="Times New Roman" w:hAnsi="Times New Roman" w:cs="Times New Roman"/>
          <w:color w:val="auto"/>
          <w:szCs w:val="26"/>
          <w:highlight w:val="none"/>
        </w:rPr>
        <w:t>和维护工作，不涉及船舶水污染物，运行期</w:t>
      </w:r>
      <w:r>
        <w:rPr>
          <w:rFonts w:hint="eastAsia" w:cs="Times New Roman"/>
          <w:color w:val="auto"/>
          <w:szCs w:val="26"/>
          <w:highlight w:val="none"/>
          <w:lang w:eastAsia="zh-CN"/>
        </w:rPr>
        <w:t>废水</w:t>
      </w:r>
      <w:r>
        <w:rPr>
          <w:rFonts w:hint="default" w:ascii="Times New Roman" w:hAnsi="Times New Roman" w:cs="Times New Roman"/>
          <w:color w:val="auto"/>
          <w:szCs w:val="26"/>
          <w:highlight w:val="none"/>
        </w:rPr>
        <w:t>主要为船闸管理人员产生的生活污水。</w:t>
      </w:r>
    </w:p>
    <w:p>
      <w:pPr>
        <w:bidi w:val="0"/>
        <w:rPr>
          <w:rFonts w:hint="eastAsia"/>
          <w:color w:val="auto"/>
          <w:highlight w:val="none"/>
          <w:lang w:val="en-US" w:eastAsia="zh-CN"/>
        </w:rPr>
      </w:pPr>
      <w:r>
        <w:rPr>
          <w:rFonts w:hint="eastAsia"/>
          <w:color w:val="auto"/>
          <w:highlight w:val="none"/>
          <w:lang w:val="en-US" w:eastAsia="zh-CN"/>
        </w:rPr>
        <w:t>根据《交通运输部关于修改&lt;中华人民共和国防治船舶污染内河水域环境管理规定&gt;的决定》，船舶排放船舶污染物应申请有资质的船舶污染物接收船接收处理，不得任意排放。运行期船舶应设置与生活污水和油污水产生量相适应的收集储存装置，禁止在航道内随意排放未经处理的船舶生活污水和油污水。运行</w:t>
      </w:r>
      <w:r>
        <w:rPr>
          <w:rFonts w:hint="eastAsia"/>
          <w:color w:val="auto"/>
          <w:highlight w:val="none"/>
          <w:shd w:val="clear" w:fill="FFFFFF"/>
          <w:lang w:val="en-US" w:eastAsia="zh-CN"/>
        </w:rPr>
        <w:t>期</w:t>
      </w:r>
      <w:r>
        <w:rPr>
          <w:rFonts w:hint="eastAsia"/>
          <w:color w:val="auto"/>
          <w:highlight w:val="none"/>
          <w:lang w:val="en-US" w:eastAsia="zh-CN"/>
        </w:rPr>
        <w:t>海事部门应加强对航道内船舶污水的管理，只要管理到位，船舶污水基本不会对涪江水环境造成污染影响。</w:t>
      </w:r>
    </w:p>
    <w:p>
      <w:pPr>
        <w:bidi w:val="0"/>
        <w:rPr>
          <w:rFonts w:hint="eastAsia"/>
          <w:color w:val="auto"/>
          <w:highlight w:val="none"/>
          <w:lang w:val="en-US" w:eastAsia="zh-CN"/>
        </w:rPr>
      </w:pPr>
      <w:r>
        <w:rPr>
          <w:rFonts w:hint="eastAsia"/>
          <w:color w:val="auto"/>
          <w:highlight w:val="none"/>
          <w:lang w:val="en-US" w:eastAsia="zh-CN"/>
        </w:rPr>
        <w:t>本次在管理区设置生活</w:t>
      </w:r>
      <w:r>
        <w:rPr>
          <w:rFonts w:hint="eastAsia"/>
          <w:color w:val="auto"/>
          <w:highlight w:val="none"/>
          <w:shd w:val="clear" w:fill="FFFFFF"/>
          <w:lang w:val="en-US" w:eastAsia="zh-CN"/>
        </w:rPr>
        <w:t>污水</w:t>
      </w:r>
      <w:r>
        <w:rPr>
          <w:rFonts w:hint="eastAsia"/>
          <w:bCs/>
          <w:snapToGrid w:val="0"/>
          <w:color w:val="auto"/>
          <w:kern w:val="0"/>
          <w:highlight w:val="none"/>
        </w:rPr>
        <w:t>处理站</w:t>
      </w:r>
      <w:r>
        <w:rPr>
          <w:rFonts w:hint="eastAsia"/>
          <w:color w:val="auto"/>
          <w:highlight w:val="none"/>
          <w:lang w:val="en-US" w:eastAsia="zh-CN"/>
        </w:rPr>
        <w:t>，内设一体化污水处理设备，</w:t>
      </w:r>
      <w:r>
        <w:rPr>
          <w:rFonts w:hint="eastAsia"/>
          <w:bCs/>
          <w:snapToGrid w:val="0"/>
          <w:color w:val="auto"/>
          <w:kern w:val="0"/>
          <w:highlight w:val="none"/>
        </w:rPr>
        <w:t>闸管区工作人员生活污水经化粪池排入生活污水处理站，食堂含油废水</w:t>
      </w:r>
      <w:r>
        <w:rPr>
          <w:rFonts w:hint="eastAsia"/>
          <w:bCs/>
          <w:snapToGrid w:val="0"/>
          <w:color w:val="auto"/>
          <w:kern w:val="0"/>
          <w:highlight w:val="none"/>
          <w:lang w:eastAsia="zh-CN"/>
        </w:rPr>
        <w:t>经隔油池处理后进入污水处理站，生活污水、食堂废水</w:t>
      </w:r>
      <w:r>
        <w:rPr>
          <w:rFonts w:hint="eastAsia"/>
          <w:bCs/>
          <w:snapToGrid w:val="0"/>
          <w:color w:val="auto"/>
          <w:kern w:val="0"/>
          <w:highlight w:val="none"/>
        </w:rPr>
        <w:t>经污水处理站一体化污水处理</w:t>
      </w:r>
      <w:r>
        <w:rPr>
          <w:rFonts w:hint="eastAsia"/>
          <w:bCs/>
          <w:snapToGrid w:val="0"/>
          <w:color w:val="auto"/>
          <w:kern w:val="0"/>
          <w:highlight w:val="none"/>
          <w:lang w:eastAsia="zh-CN"/>
        </w:rPr>
        <w:t>设备</w:t>
      </w:r>
      <w:r>
        <w:rPr>
          <w:rFonts w:hint="eastAsia"/>
          <w:bCs/>
          <w:snapToGrid w:val="0"/>
          <w:color w:val="auto"/>
          <w:kern w:val="0"/>
          <w:highlight w:val="none"/>
        </w:rPr>
        <w:t>处理达《城市污水再生利用</w:t>
      </w:r>
      <w:r>
        <w:rPr>
          <w:rFonts w:hint="eastAsia"/>
          <w:bCs/>
          <w:snapToGrid w:val="0"/>
          <w:color w:val="auto"/>
          <w:kern w:val="0"/>
          <w:highlight w:val="none"/>
          <w:lang w:val="en-US" w:eastAsia="zh-CN"/>
        </w:rPr>
        <w:t xml:space="preserve"> </w:t>
      </w:r>
      <w:r>
        <w:rPr>
          <w:rFonts w:hint="eastAsia"/>
          <w:bCs/>
          <w:snapToGrid w:val="0"/>
          <w:color w:val="auto"/>
          <w:kern w:val="0"/>
          <w:highlight w:val="none"/>
        </w:rPr>
        <w:t>城市杂用水水质》(GB/T</w:t>
      </w:r>
      <w:r>
        <w:rPr>
          <w:rFonts w:hint="eastAsia"/>
          <w:bCs/>
          <w:snapToGrid w:val="0"/>
          <w:color w:val="auto"/>
          <w:kern w:val="0"/>
          <w:highlight w:val="none"/>
          <w:lang w:val="en-US" w:eastAsia="zh-CN"/>
        </w:rPr>
        <w:t xml:space="preserve"> </w:t>
      </w:r>
      <w:r>
        <w:rPr>
          <w:rFonts w:hint="eastAsia"/>
          <w:bCs/>
          <w:snapToGrid w:val="0"/>
          <w:color w:val="auto"/>
          <w:kern w:val="0"/>
          <w:highlight w:val="none"/>
        </w:rPr>
        <w:t>18920-2020)相应标准后回用于绿化，不外排</w:t>
      </w:r>
      <w:r>
        <w:rPr>
          <w:rFonts w:hint="eastAsia"/>
          <w:color w:val="auto"/>
          <w:highlight w:val="none"/>
          <w:lang w:val="en-US" w:eastAsia="zh-CN"/>
        </w:rPr>
        <w:t>，对周边地表水环境影响较小。</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）对饮用水源取水口的影响</w:t>
      </w:r>
    </w:p>
    <w:p>
      <w:pPr>
        <w:bidi w:val="0"/>
        <w:rPr>
          <w:rFonts w:hint="eastAsia"/>
          <w:color w:val="auto"/>
          <w:highlight w:val="none"/>
          <w:lang w:val="en-US" w:eastAsia="zh-CN"/>
        </w:rPr>
      </w:pPr>
      <w:r>
        <w:rPr>
          <w:rFonts w:hint="eastAsia"/>
          <w:color w:val="auto"/>
          <w:highlight w:val="none"/>
          <w:lang w:eastAsia="zh-CN"/>
        </w:rPr>
        <w:t>项目上游分布有涪江铜溪镇圣灯村河流型水源地，该饮用水源保护区边界距离项目最近施工区域为上游锚地，最近距离约</w:t>
      </w:r>
      <w:r>
        <w:rPr>
          <w:rFonts w:hint="eastAsia"/>
          <w:color w:val="auto"/>
          <w:highlight w:val="none"/>
          <w:lang w:val="en-US" w:eastAsia="zh-CN"/>
        </w:rPr>
        <w:t>2.16km，距离取水口最近距离2.36km；</w:t>
      </w:r>
      <w:r>
        <w:rPr>
          <w:rFonts w:hint="eastAsia"/>
          <w:color w:val="auto"/>
          <w:highlight w:val="none"/>
          <w:lang w:eastAsia="zh-CN"/>
        </w:rPr>
        <w:t>下游分布有铜溪镇涪江重庆农安村镇供水管路有限公司（金沙水厂）水源地、渭沱镇合川城区第二水源水厂水源地，饮用水源边界距离最近施工区域为下游锚地，最近距离约</w:t>
      </w:r>
      <w:r>
        <w:rPr>
          <w:rFonts w:hint="eastAsia"/>
          <w:color w:val="auto"/>
          <w:highlight w:val="none"/>
          <w:lang w:val="en-US" w:eastAsia="zh-CN"/>
        </w:rPr>
        <w:t>1.52km，距离取水口最近距离4.52km。</w:t>
      </w:r>
    </w:p>
    <w:p>
      <w:pPr>
        <w:bidi w:val="0"/>
        <w:rPr>
          <w:rFonts w:hint="default"/>
          <w:color w:val="auto"/>
          <w:highlight w:val="none"/>
          <w:lang w:val="en-US" w:eastAsia="zh-CN"/>
        </w:rPr>
      </w:pPr>
      <w:r>
        <w:rPr>
          <w:rFonts w:hint="eastAsia"/>
          <w:color w:val="auto"/>
          <w:highlight w:val="none"/>
          <w:lang w:eastAsia="zh-CN"/>
        </w:rPr>
        <w:t>项目施工期、运营期产生的各类污水经处理</w:t>
      </w:r>
      <w:r>
        <w:rPr>
          <w:rFonts w:hint="eastAsia"/>
          <w:color w:val="auto"/>
          <w:highlight w:val="none"/>
          <w:shd w:val="clear" w:fill="FFFFFF"/>
          <w:lang w:eastAsia="zh-CN"/>
        </w:rPr>
        <w:t>达</w:t>
      </w:r>
      <w:r>
        <w:rPr>
          <w:rFonts w:hint="eastAsia"/>
          <w:color w:val="auto"/>
          <w:highlight w:val="none"/>
          <w:lang w:eastAsia="zh-CN"/>
        </w:rPr>
        <w:t>相应标准后回用，不外排，对饮用水源的影响主要体现在施工扰动导致水体悬浮物增加，可能会对饮用水源水质造成短暂影响。根据同类项目施工期水质监测结果，施工过程对周边悬浮物影响范围较小，主要沿纵向下游扩散，影响范围一般可控制在作业点周围500m以内，距离上下游饮用水源取水口较远，不会导致下游取水口SS浓度升高，对饮用水源水质影响较小。</w:t>
      </w:r>
    </w:p>
    <w:p>
      <w:pPr>
        <w:pStyle w:val="4"/>
        <w:bidi w:val="0"/>
        <w:rPr>
          <w:color w:val="auto"/>
          <w:highlight w:val="none"/>
        </w:rPr>
      </w:pPr>
      <w:bookmarkStart w:id="117" w:name="_Toc12706"/>
      <w:r>
        <w:rPr>
          <w:rFonts w:hint="eastAsia"/>
          <w:color w:val="auto"/>
          <w:highlight w:val="none"/>
        </w:rPr>
        <w:t>大气</w:t>
      </w:r>
      <w:r>
        <w:rPr>
          <w:color w:val="auto"/>
          <w:highlight w:val="none"/>
        </w:rPr>
        <w:t>环境影响</w:t>
      </w:r>
      <w:r>
        <w:rPr>
          <w:rFonts w:hint="eastAsia"/>
          <w:color w:val="auto"/>
          <w:highlight w:val="none"/>
        </w:rPr>
        <w:t>预测</w:t>
      </w:r>
      <w:r>
        <w:rPr>
          <w:color w:val="auto"/>
          <w:highlight w:val="none"/>
        </w:rPr>
        <w:t>与</w:t>
      </w:r>
      <w:r>
        <w:rPr>
          <w:rFonts w:hint="eastAsia"/>
          <w:color w:val="auto"/>
          <w:highlight w:val="none"/>
        </w:rPr>
        <w:t>评价</w:t>
      </w:r>
      <w:bookmarkEnd w:id="117"/>
    </w:p>
    <w:p>
      <w:pPr>
        <w:pStyle w:val="5"/>
        <w:bidi w:val="0"/>
        <w:rPr>
          <w:color w:val="auto"/>
          <w:highlight w:val="none"/>
        </w:rPr>
      </w:pPr>
      <w:r>
        <w:rPr>
          <w:rFonts w:hint="eastAsia"/>
          <w:color w:val="auto"/>
          <w:highlight w:val="none"/>
          <w:lang w:eastAsia="zh-CN"/>
        </w:rPr>
        <w:t>施工期</w:t>
      </w:r>
    </w:p>
    <w:p>
      <w:pPr>
        <w:rPr>
          <w:rFonts w:hint="eastAsia"/>
          <w:color w:val="auto"/>
          <w:highlight w:val="none"/>
          <w:lang w:eastAsia="zh-CN"/>
        </w:rPr>
      </w:pPr>
      <w:r>
        <w:rPr>
          <w:rFonts w:hint="eastAsia"/>
          <w:color w:val="auto"/>
          <w:highlight w:val="none"/>
          <w:lang w:eastAsia="zh-CN"/>
        </w:rPr>
        <w:t>项目施工期大气污染源主要为土方开挖引起的扬尘、物料运输扬尘、燃油机械设备废气等。</w:t>
      </w:r>
    </w:p>
    <w:p>
      <w:pPr>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）施工扬尘</w:t>
      </w:r>
    </w:p>
    <w:p>
      <w:pPr>
        <w:rPr>
          <w:rFonts w:hint="eastAsia"/>
          <w:color w:val="auto"/>
          <w:highlight w:val="none"/>
          <w:lang w:eastAsia="zh-CN"/>
        </w:rPr>
      </w:pPr>
      <w:r>
        <w:rPr>
          <w:rFonts w:hint="eastAsia"/>
          <w:color w:val="auto"/>
          <w:highlight w:val="none"/>
          <w:lang w:eastAsia="zh-CN"/>
        </w:rPr>
        <w:t>施工期主要污染环节主要为土石方的开挖和回填等作业过程、弃土及材料的运输和堆放、施工车辆行驶产生扬尘等。</w:t>
      </w:r>
    </w:p>
    <w:p>
      <w:pPr>
        <w:rPr>
          <w:rFonts w:hint="eastAsia"/>
          <w:color w:val="auto"/>
          <w:highlight w:val="none"/>
          <w:lang w:val="en-US" w:eastAsia="zh-CN"/>
        </w:rPr>
      </w:pPr>
      <w:r>
        <w:rPr>
          <w:rFonts w:hint="eastAsia"/>
          <w:color w:val="auto"/>
          <w:highlight w:val="none"/>
          <w:lang w:eastAsia="zh-CN"/>
        </w:rPr>
        <w:t>工程施工土石方开挖、建筑物拆除、建筑物施工、混凝土拌合过程产生的粉尘是影响施工区及周边地区大气环境质量的主要影响源，在气候干燥的晴天进行土方开挖与建筑物拆除及施工时，易造成空气中TSP 浓度增高，对评价范围内大气环境敏感目标产生影响。根据对同类工程施工区及周边大气环境质量的监测资料分析，施工场地周边地区TSP浓度值在40m范围内呈明显下降趋势，50m之外TSP浓度值基本趋于稳定，根据调查，项目周边</w:t>
      </w:r>
      <w:r>
        <w:rPr>
          <w:rFonts w:hint="eastAsia"/>
          <w:color w:val="auto"/>
          <w:highlight w:val="none"/>
          <w:lang w:val="en-US" w:eastAsia="zh-CN"/>
        </w:rPr>
        <w:t>500m范围内及运输道路分布有渭沱镇镇区、铜溪镇镇区和农村散户居民点，若不采取扬尘控制措施，将会对区域大气环境质量产生一定影响。</w:t>
      </w:r>
    </w:p>
    <w:p>
      <w:pPr>
        <w:rPr>
          <w:rFonts w:hint="eastAsia"/>
          <w:color w:val="auto"/>
          <w:highlight w:val="none"/>
          <w:lang w:eastAsia="zh-CN"/>
        </w:rPr>
      </w:pPr>
      <w:r>
        <w:rPr>
          <w:rFonts w:hint="eastAsia"/>
          <w:color w:val="auto"/>
          <w:highlight w:val="none"/>
          <w:lang w:val="en-US" w:eastAsia="zh-CN"/>
        </w:rPr>
        <w:t>根据同类型项目经验，通过设置围挡、湿法作业、洒水抑尘等措施后，项目施工扬尘对大气环境影响较小，且周边居民点与施工场地之间有树木进行阻隔，进一步减少了施工扬尘对居民点的影响。</w:t>
      </w:r>
      <w:r>
        <w:rPr>
          <w:rFonts w:hint="eastAsia"/>
          <w:color w:val="auto"/>
          <w:highlight w:val="none"/>
          <w:lang w:eastAsia="zh-CN"/>
        </w:rPr>
        <w:t>为了</w:t>
      </w:r>
      <w:r>
        <w:rPr>
          <w:rFonts w:hint="eastAsia"/>
          <w:color w:val="auto"/>
          <w:highlight w:val="none"/>
          <w:shd w:val="clear" w:fill="FFFFFF"/>
          <w:lang w:eastAsia="zh-CN"/>
        </w:rPr>
        <w:t>进一步</w:t>
      </w:r>
      <w:r>
        <w:rPr>
          <w:rFonts w:hint="eastAsia"/>
          <w:color w:val="auto"/>
          <w:highlight w:val="none"/>
          <w:lang w:eastAsia="zh-CN"/>
        </w:rPr>
        <w:t>减轻施工期间的扬尘影响，要求加强运输车辆环境管理，同时加强运输车辆集中经过路段清扫和洒水工作，降低扬尘对居民的影响。弃渣场施工时应适当洒水抑尘，堆土过程中如遇长时间停工时，应采取遮盖防护措施，施工结束后应尽快复耕和绿化。</w:t>
      </w:r>
    </w:p>
    <w:p>
      <w:pPr>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）施工机械及运输车辆废气</w:t>
      </w:r>
    </w:p>
    <w:p>
      <w:pPr>
        <w:rPr>
          <w:rFonts w:hint="eastAsia"/>
          <w:color w:val="auto"/>
          <w:highlight w:val="none"/>
          <w:lang w:eastAsia="zh-CN"/>
        </w:rPr>
      </w:pPr>
      <w:r>
        <w:rPr>
          <w:rFonts w:hint="eastAsia"/>
          <w:color w:val="auto"/>
          <w:highlight w:val="none"/>
          <w:lang w:eastAsia="zh-CN"/>
        </w:rPr>
        <w:t>工程施工机械多为燃油机械，主要包括施工船舶、机械、自卸汽车等，在运行过程中会产生少量的燃油废气，废气中主要污染物有CO、NOx和HC等。</w:t>
      </w:r>
    </w:p>
    <w:p>
      <w:pPr>
        <w:rPr>
          <w:rFonts w:hint="eastAsia"/>
          <w:color w:val="auto"/>
          <w:highlight w:val="none"/>
          <w:lang w:eastAsia="zh-CN"/>
        </w:rPr>
      </w:pPr>
      <w:r>
        <w:rPr>
          <w:rFonts w:hint="eastAsia"/>
          <w:color w:val="auto"/>
          <w:highlight w:val="none"/>
          <w:lang w:eastAsia="zh-CN"/>
        </w:rPr>
        <w:t>根据施工组织设计，本工程主体工程施工期为</w:t>
      </w:r>
      <w:r>
        <w:rPr>
          <w:rFonts w:hint="eastAsia"/>
          <w:color w:val="auto"/>
          <w:highlight w:val="none"/>
          <w:lang w:val="en-US" w:eastAsia="zh-CN"/>
        </w:rPr>
        <w:t>42</w:t>
      </w:r>
      <w:r>
        <w:rPr>
          <w:rFonts w:hint="eastAsia"/>
          <w:color w:val="auto"/>
          <w:highlight w:val="none"/>
          <w:lang w:eastAsia="zh-CN"/>
        </w:rPr>
        <w:t>个月，工程施工期间使用机械主要为挖掘机、推土机、自卸汽车、载重汽车等，其中车辆主要集中于施工道路沿线，其他机械主要布置于各施工场地。由于本工程施工期燃油废气多为流动性、间歇性排放，污染强度不大，因此燃油废气排放强度十分有限。此外，考虑工程施工场地位于农村旷野，地势平坦开阔，大气扩散条件好，大气污染物背景值低，工程施工燃油废气不会对周围环境产生明显影响。</w:t>
      </w:r>
    </w:p>
    <w:p>
      <w:pPr>
        <w:pStyle w:val="5"/>
        <w:bidi w:val="0"/>
        <w:rPr>
          <w:color w:val="auto"/>
          <w:highlight w:val="none"/>
        </w:rPr>
      </w:pPr>
      <w:r>
        <w:rPr>
          <w:rFonts w:hint="eastAsia"/>
          <w:color w:val="auto"/>
          <w:highlight w:val="none"/>
          <w:lang w:eastAsia="zh-CN"/>
        </w:rPr>
        <w:t>运营期</w:t>
      </w:r>
    </w:p>
    <w:p>
      <w:pPr>
        <w:rPr>
          <w:rFonts w:hint="eastAsia" w:eastAsia="宋体"/>
          <w:color w:val="auto"/>
          <w:highlight w:val="none"/>
          <w:lang w:eastAsia="zh-CN"/>
        </w:rPr>
      </w:pPr>
      <w:r>
        <w:rPr>
          <w:rFonts w:hint="eastAsia"/>
          <w:color w:val="auto"/>
          <w:highlight w:val="none"/>
        </w:rPr>
        <w:t>根据工程分析，运行期大气污染源主要是航行船舶无组织排放船舶废气</w:t>
      </w:r>
      <w:r>
        <w:rPr>
          <w:rFonts w:hint="eastAsia"/>
          <w:color w:val="auto"/>
          <w:highlight w:val="none"/>
          <w:lang w:eastAsia="zh-CN"/>
        </w:rPr>
        <w:t>及食堂油烟</w:t>
      </w:r>
      <w:r>
        <w:rPr>
          <w:rFonts w:hint="eastAsia"/>
          <w:color w:val="auto"/>
          <w:highlight w:val="none"/>
        </w:rPr>
        <w:t>，随着工程实施和经济的发展，一方面通过区域货物运量增大，废气的排放量也相应增大，将对环境空气产生一定的影响，但这种影响范围仅局限于航道内，不会对航道两侧环境空气保护目标产生影响。</w:t>
      </w:r>
      <w:r>
        <w:rPr>
          <w:rFonts w:hint="eastAsia"/>
          <w:color w:val="auto"/>
          <w:highlight w:val="none"/>
          <w:lang w:eastAsia="zh-CN"/>
        </w:rPr>
        <w:t>食堂规模较小，食堂油烟经油烟净化器处理后对周边环境影响较小。</w:t>
      </w:r>
    </w:p>
    <w:p>
      <w:pPr>
        <w:pStyle w:val="4"/>
        <w:bidi w:val="0"/>
        <w:rPr>
          <w:color w:val="auto"/>
          <w:highlight w:val="none"/>
        </w:rPr>
      </w:pPr>
      <w:bookmarkStart w:id="118" w:name="_Toc4982"/>
      <w:r>
        <w:rPr>
          <w:rFonts w:hint="eastAsia"/>
          <w:color w:val="auto"/>
          <w:highlight w:val="none"/>
          <w:lang w:eastAsia="zh-CN"/>
        </w:rPr>
        <w:t>声</w:t>
      </w:r>
      <w:r>
        <w:rPr>
          <w:color w:val="auto"/>
          <w:highlight w:val="none"/>
        </w:rPr>
        <w:t>环境影响</w:t>
      </w:r>
      <w:r>
        <w:rPr>
          <w:rFonts w:hint="eastAsia"/>
          <w:color w:val="auto"/>
          <w:highlight w:val="none"/>
        </w:rPr>
        <w:t>预测</w:t>
      </w:r>
      <w:r>
        <w:rPr>
          <w:color w:val="auto"/>
          <w:highlight w:val="none"/>
        </w:rPr>
        <w:t>与评价</w:t>
      </w:r>
      <w:bookmarkEnd w:id="118"/>
    </w:p>
    <w:p>
      <w:pPr>
        <w:pStyle w:val="5"/>
        <w:bidi w:val="0"/>
        <w:rPr>
          <w:rFonts w:hint="eastAsia"/>
          <w:color w:val="auto"/>
          <w:highlight w:val="none"/>
        </w:rPr>
      </w:pPr>
      <w:r>
        <w:rPr>
          <w:rFonts w:hint="eastAsia"/>
          <w:color w:val="auto"/>
          <w:highlight w:val="none"/>
          <w:lang w:eastAsia="zh-CN"/>
        </w:rPr>
        <w:t>施工期</w:t>
      </w:r>
    </w:p>
    <w:p>
      <w:pPr>
        <w:snapToGrid w:val="0"/>
        <w:spacing w:line="460" w:lineRule="exact"/>
        <w:ind w:firstLine="520" w:firstLineChars="200"/>
        <w:rPr>
          <w:bCs/>
          <w:color w:val="auto"/>
          <w:highlight w:val="none"/>
        </w:rPr>
      </w:pPr>
      <w:r>
        <w:rPr>
          <w:rFonts w:hint="eastAsia"/>
          <w:color w:val="auto"/>
          <w:kern w:val="10"/>
          <w:szCs w:val="24"/>
          <w:highlight w:val="none"/>
          <w:lang w:eastAsia="zh-CN"/>
        </w:rPr>
        <w:t>（</w:t>
      </w:r>
      <w:r>
        <w:rPr>
          <w:rFonts w:hint="eastAsia"/>
          <w:color w:val="auto"/>
          <w:kern w:val="10"/>
          <w:szCs w:val="24"/>
          <w:highlight w:val="none"/>
          <w:lang w:val="en-US" w:eastAsia="zh-CN"/>
        </w:rPr>
        <w:t>1</w:t>
      </w:r>
      <w:r>
        <w:rPr>
          <w:rFonts w:hint="eastAsia"/>
          <w:color w:val="auto"/>
          <w:kern w:val="10"/>
          <w:szCs w:val="24"/>
          <w:highlight w:val="none"/>
          <w:lang w:eastAsia="zh-CN"/>
        </w:rPr>
        <w:t>）</w:t>
      </w:r>
      <w:r>
        <w:rPr>
          <w:bCs/>
          <w:color w:val="auto"/>
          <w:highlight w:val="none"/>
        </w:rPr>
        <w:t>预测模型</w:t>
      </w:r>
    </w:p>
    <w:p>
      <w:pPr>
        <w:snapToGrid w:val="0"/>
        <w:spacing w:line="460" w:lineRule="exact"/>
        <w:ind w:firstLine="520" w:firstLineChars="200"/>
        <w:rPr>
          <w:color w:val="auto"/>
          <w:kern w:val="10"/>
          <w:szCs w:val="24"/>
          <w:highlight w:val="none"/>
        </w:rPr>
      </w:pPr>
      <w:r>
        <w:rPr>
          <w:bCs/>
          <w:color w:val="auto"/>
          <w:highlight w:val="none"/>
        </w:rPr>
        <w:fldChar w:fldCharType="begin"/>
      </w:r>
      <w:r>
        <w:rPr>
          <w:bCs/>
          <w:color w:val="auto"/>
          <w:highlight w:val="none"/>
        </w:rPr>
        <w:instrText xml:space="preserve"> = 1 \* GB3 \* MERGEFORMAT </w:instrText>
      </w:r>
      <w:r>
        <w:rPr>
          <w:bCs/>
          <w:color w:val="auto"/>
          <w:highlight w:val="none"/>
        </w:rPr>
        <w:fldChar w:fldCharType="separate"/>
      </w:r>
      <w:r>
        <w:rPr>
          <w:color w:val="auto"/>
          <w:highlight w:val="none"/>
        </w:rPr>
        <w:t>①</w:t>
      </w:r>
      <w:r>
        <w:rPr>
          <w:bCs/>
          <w:color w:val="auto"/>
          <w:highlight w:val="none"/>
        </w:rPr>
        <w:fldChar w:fldCharType="end"/>
      </w:r>
      <w:r>
        <w:rPr>
          <w:bCs/>
          <w:color w:val="auto"/>
          <w:highlight w:val="none"/>
        </w:rPr>
        <w:t>固定噪声</w:t>
      </w:r>
    </w:p>
    <w:p>
      <w:pPr>
        <w:snapToGrid w:val="0"/>
        <w:spacing w:line="460" w:lineRule="exact"/>
        <w:ind w:firstLine="520" w:firstLineChars="200"/>
        <w:rPr>
          <w:color w:val="auto"/>
          <w:kern w:val="10"/>
          <w:szCs w:val="24"/>
          <w:highlight w:val="none"/>
        </w:rPr>
      </w:pPr>
      <w:r>
        <w:rPr>
          <w:color w:val="auto"/>
          <w:kern w:val="10"/>
          <w:szCs w:val="24"/>
          <w:highlight w:val="none"/>
        </w:rPr>
        <w:t>根据施工组织布置，</w:t>
      </w:r>
      <w:r>
        <w:rPr>
          <w:rFonts w:hint="eastAsia"/>
          <w:color w:val="auto"/>
          <w:kern w:val="10"/>
          <w:szCs w:val="24"/>
          <w:highlight w:val="none"/>
          <w:shd w:val="clear" w:fill="FFFFFF"/>
          <w:lang w:eastAsia="zh-CN"/>
        </w:rPr>
        <w:t>确定</w:t>
      </w:r>
      <w:r>
        <w:rPr>
          <w:color w:val="auto"/>
          <w:kern w:val="10"/>
          <w:szCs w:val="24"/>
          <w:highlight w:val="none"/>
        </w:rPr>
        <w:t>施工</w:t>
      </w:r>
      <w:r>
        <w:rPr>
          <w:rFonts w:hint="eastAsia"/>
          <w:color w:val="auto"/>
          <w:kern w:val="10"/>
          <w:szCs w:val="24"/>
          <w:highlight w:val="none"/>
          <w:lang w:eastAsia="zh-CN"/>
        </w:rPr>
        <w:t>过程</w:t>
      </w:r>
      <w:r>
        <w:rPr>
          <w:color w:val="auto"/>
          <w:kern w:val="10"/>
          <w:szCs w:val="24"/>
          <w:highlight w:val="none"/>
        </w:rPr>
        <w:t>中产生的噪声源分布和强度，结合地形条件和障碍物以及</w:t>
      </w:r>
      <w:r>
        <w:rPr>
          <w:rFonts w:hint="eastAsia"/>
          <w:color w:val="auto"/>
          <w:kern w:val="10"/>
          <w:szCs w:val="24"/>
          <w:highlight w:val="none"/>
          <w:lang w:eastAsia="zh-CN"/>
        </w:rPr>
        <w:t>噪声源</w:t>
      </w:r>
      <w:r>
        <w:rPr>
          <w:color w:val="auto"/>
          <w:kern w:val="10"/>
          <w:szCs w:val="24"/>
          <w:highlight w:val="none"/>
        </w:rPr>
        <w:t>与敏感点的相对位置，采用《环境影响评价</w:t>
      </w:r>
      <w:r>
        <w:rPr>
          <w:rFonts w:hint="eastAsia"/>
          <w:color w:val="auto"/>
          <w:kern w:val="10"/>
          <w:szCs w:val="24"/>
          <w:highlight w:val="none"/>
          <w:lang w:eastAsia="zh-CN"/>
        </w:rPr>
        <w:t>技术</w:t>
      </w:r>
      <w:r>
        <w:rPr>
          <w:color w:val="auto"/>
          <w:kern w:val="10"/>
          <w:szCs w:val="24"/>
          <w:highlight w:val="none"/>
        </w:rPr>
        <w:t>导则</w:t>
      </w:r>
      <w:r>
        <w:rPr>
          <w:rFonts w:hint="eastAsia"/>
          <w:color w:val="auto"/>
          <w:kern w:val="10"/>
          <w:szCs w:val="24"/>
          <w:highlight w:val="none"/>
          <w:lang w:val="en-US" w:eastAsia="zh-CN"/>
        </w:rPr>
        <w:t xml:space="preserve"> 声环境</w:t>
      </w:r>
      <w:r>
        <w:rPr>
          <w:color w:val="auto"/>
          <w:kern w:val="10"/>
          <w:szCs w:val="24"/>
          <w:highlight w:val="none"/>
        </w:rPr>
        <w:t>》</w:t>
      </w:r>
      <w:r>
        <w:rPr>
          <w:rFonts w:hint="eastAsia"/>
          <w:color w:val="auto"/>
          <w:kern w:val="10"/>
          <w:szCs w:val="24"/>
          <w:highlight w:val="none"/>
          <w:lang w:eastAsia="zh-CN"/>
        </w:rPr>
        <w:t>（</w:t>
      </w:r>
      <w:r>
        <w:rPr>
          <w:color w:val="auto"/>
          <w:kern w:val="10"/>
          <w:szCs w:val="24"/>
          <w:highlight w:val="none"/>
        </w:rPr>
        <w:t>HJ</w:t>
      </w:r>
      <w:r>
        <w:rPr>
          <w:rFonts w:hint="eastAsia"/>
          <w:color w:val="auto"/>
          <w:kern w:val="10"/>
          <w:szCs w:val="24"/>
          <w:highlight w:val="none"/>
          <w:lang w:val="en-US" w:eastAsia="zh-CN"/>
        </w:rPr>
        <w:t xml:space="preserve"> </w:t>
      </w:r>
      <w:r>
        <w:rPr>
          <w:color w:val="auto"/>
          <w:kern w:val="10"/>
          <w:szCs w:val="24"/>
          <w:highlight w:val="none"/>
        </w:rPr>
        <w:t>2.4-</w:t>
      </w:r>
      <w:r>
        <w:rPr>
          <w:rFonts w:hint="eastAsia"/>
          <w:color w:val="auto"/>
          <w:kern w:val="10"/>
          <w:szCs w:val="24"/>
          <w:highlight w:val="none"/>
          <w:lang w:val="en-US" w:eastAsia="zh-CN"/>
        </w:rPr>
        <w:t>2021</w:t>
      </w:r>
      <w:r>
        <w:rPr>
          <w:rFonts w:hint="eastAsia"/>
          <w:color w:val="auto"/>
          <w:kern w:val="10"/>
          <w:szCs w:val="24"/>
          <w:highlight w:val="none"/>
          <w:lang w:eastAsia="zh-CN"/>
        </w:rPr>
        <w:t>）</w:t>
      </w:r>
      <w:r>
        <w:rPr>
          <w:color w:val="auto"/>
          <w:kern w:val="10"/>
          <w:szCs w:val="24"/>
          <w:highlight w:val="none"/>
        </w:rPr>
        <w:t>中推荐的无指向性点源几何发散衰减模式，计算公式如下：</w:t>
      </w:r>
    </w:p>
    <w:p>
      <w:pPr>
        <w:spacing w:before="120" w:beforeLines="50"/>
        <w:jc w:val="center"/>
        <w:rPr>
          <w:bCs/>
          <w:color w:val="auto"/>
          <w:sz w:val="26"/>
          <w:szCs w:val="26"/>
          <w:highlight w:val="none"/>
        </w:rPr>
      </w:pPr>
      <w:r>
        <w:rPr>
          <w:bCs/>
          <w:color w:val="auto"/>
          <w:sz w:val="26"/>
          <w:szCs w:val="26"/>
          <w:highlight w:val="none"/>
        </w:rPr>
        <w:drawing>
          <wp:inline distT="0" distB="0" distL="0" distR="0">
            <wp:extent cx="1397000" cy="241300"/>
            <wp:effectExtent l="0" t="0" r="0" b="635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1397000" cy="241300"/>
                    </a:xfrm>
                    <a:prstGeom prst="rect">
                      <a:avLst/>
                    </a:prstGeom>
                    <a:noFill/>
                    <a:ln>
                      <a:noFill/>
                    </a:ln>
                  </pic:spPr>
                </pic:pic>
              </a:graphicData>
            </a:graphic>
          </wp:inline>
        </w:drawing>
      </w:r>
    </w:p>
    <w:p>
      <w:pPr>
        <w:spacing w:line="500" w:lineRule="exact"/>
        <w:ind w:firstLine="520"/>
        <w:rPr>
          <w:bCs/>
          <w:color w:val="auto"/>
          <w:sz w:val="26"/>
          <w:szCs w:val="26"/>
          <w:highlight w:val="none"/>
        </w:rPr>
      </w:pPr>
      <w:r>
        <w:rPr>
          <w:bCs/>
          <w:color w:val="auto"/>
          <w:sz w:val="26"/>
          <w:szCs w:val="26"/>
          <w:highlight w:val="none"/>
        </w:rPr>
        <w:t>式中：</w:t>
      </w:r>
      <w:r>
        <w:rPr>
          <w:bCs/>
          <w:i/>
          <w:color w:val="auto"/>
          <w:sz w:val="26"/>
          <w:szCs w:val="26"/>
          <w:highlight w:val="none"/>
        </w:rPr>
        <w:t>L</w:t>
      </w:r>
      <w:r>
        <w:rPr>
          <w:bCs/>
          <w:i/>
          <w:color w:val="auto"/>
          <w:sz w:val="26"/>
          <w:szCs w:val="26"/>
          <w:highlight w:val="none"/>
          <w:vertAlign w:val="subscript"/>
        </w:rPr>
        <w:t>P</w:t>
      </w:r>
      <w:r>
        <w:rPr>
          <w:bCs/>
          <w:i/>
          <w:color w:val="auto"/>
          <w:sz w:val="26"/>
          <w:szCs w:val="26"/>
          <w:highlight w:val="none"/>
        </w:rPr>
        <w:t>—</w:t>
      </w:r>
      <w:r>
        <w:rPr>
          <w:bCs/>
          <w:color w:val="auto"/>
          <w:sz w:val="26"/>
          <w:szCs w:val="26"/>
          <w:highlight w:val="none"/>
        </w:rPr>
        <w:t>距声源</w:t>
      </w:r>
      <w:r>
        <w:rPr>
          <w:bCs/>
          <w:i/>
          <w:color w:val="auto"/>
          <w:sz w:val="26"/>
          <w:szCs w:val="26"/>
          <w:highlight w:val="none"/>
        </w:rPr>
        <w:t>r（m）</w:t>
      </w:r>
      <w:r>
        <w:rPr>
          <w:bCs/>
          <w:color w:val="auto"/>
          <w:sz w:val="26"/>
          <w:szCs w:val="26"/>
          <w:highlight w:val="none"/>
        </w:rPr>
        <w:t>处声压级，dB（A）；</w:t>
      </w:r>
    </w:p>
    <w:p>
      <w:pPr>
        <w:spacing w:line="500" w:lineRule="exact"/>
        <w:ind w:firstLine="1300" w:firstLineChars="500"/>
        <w:rPr>
          <w:bCs/>
          <w:color w:val="auto"/>
          <w:sz w:val="26"/>
          <w:szCs w:val="26"/>
          <w:highlight w:val="none"/>
        </w:rPr>
      </w:pPr>
      <w:r>
        <w:rPr>
          <w:bCs/>
          <w:i/>
          <w:color w:val="auto"/>
          <w:sz w:val="26"/>
          <w:szCs w:val="26"/>
          <w:highlight w:val="none"/>
        </w:rPr>
        <w:t>L</w:t>
      </w:r>
      <w:r>
        <w:rPr>
          <w:bCs/>
          <w:i/>
          <w:color w:val="auto"/>
          <w:sz w:val="26"/>
          <w:szCs w:val="26"/>
          <w:highlight w:val="none"/>
          <w:vertAlign w:val="subscript"/>
        </w:rPr>
        <w:t>PO</w:t>
      </w:r>
      <w:r>
        <w:rPr>
          <w:bCs/>
          <w:color w:val="auto"/>
          <w:sz w:val="26"/>
          <w:szCs w:val="26"/>
          <w:highlight w:val="none"/>
        </w:rPr>
        <w:t>—距声源</w:t>
      </w:r>
      <w:r>
        <w:rPr>
          <w:bCs/>
          <w:i/>
          <w:color w:val="auto"/>
          <w:sz w:val="26"/>
          <w:szCs w:val="26"/>
          <w:highlight w:val="none"/>
        </w:rPr>
        <w:t>r</w:t>
      </w:r>
      <w:r>
        <w:rPr>
          <w:bCs/>
          <w:i/>
          <w:color w:val="auto"/>
          <w:sz w:val="26"/>
          <w:szCs w:val="26"/>
          <w:highlight w:val="none"/>
          <w:vertAlign w:val="subscript"/>
        </w:rPr>
        <w:t>o</w:t>
      </w:r>
      <w:r>
        <w:rPr>
          <w:bCs/>
          <w:i/>
          <w:color w:val="auto"/>
          <w:sz w:val="26"/>
          <w:szCs w:val="26"/>
          <w:highlight w:val="none"/>
        </w:rPr>
        <w:t>（m）</w:t>
      </w:r>
      <w:r>
        <w:rPr>
          <w:bCs/>
          <w:color w:val="auto"/>
          <w:sz w:val="26"/>
          <w:szCs w:val="26"/>
          <w:highlight w:val="none"/>
        </w:rPr>
        <w:t>处声压级，dB（A）；</w:t>
      </w:r>
    </w:p>
    <w:p>
      <w:pPr>
        <w:spacing w:line="500" w:lineRule="exact"/>
        <w:ind w:firstLine="520"/>
        <w:rPr>
          <w:bCs/>
          <w:color w:val="auto"/>
          <w:sz w:val="26"/>
          <w:szCs w:val="26"/>
          <w:highlight w:val="none"/>
        </w:rPr>
      </w:pPr>
      <w:r>
        <w:rPr>
          <w:bCs/>
          <w:color w:val="auto"/>
          <w:sz w:val="26"/>
          <w:szCs w:val="26"/>
          <w:highlight w:val="none"/>
        </w:rPr>
        <w:fldChar w:fldCharType="begin"/>
      </w:r>
      <w:r>
        <w:rPr>
          <w:bCs/>
          <w:color w:val="auto"/>
          <w:sz w:val="26"/>
          <w:szCs w:val="26"/>
          <w:highlight w:val="none"/>
        </w:rPr>
        <w:instrText xml:space="preserve"> = 3 \* GB3 \* MERGEFORMAT </w:instrText>
      </w:r>
      <w:r>
        <w:rPr>
          <w:bCs/>
          <w:color w:val="auto"/>
          <w:sz w:val="26"/>
          <w:szCs w:val="26"/>
          <w:highlight w:val="none"/>
        </w:rPr>
        <w:fldChar w:fldCharType="separate"/>
      </w:r>
      <w:r>
        <w:rPr>
          <w:color w:val="auto"/>
          <w:sz w:val="26"/>
          <w:szCs w:val="26"/>
          <w:highlight w:val="none"/>
        </w:rPr>
        <w:t>③</w:t>
      </w:r>
      <w:r>
        <w:rPr>
          <w:bCs/>
          <w:color w:val="auto"/>
          <w:sz w:val="26"/>
          <w:szCs w:val="26"/>
          <w:highlight w:val="none"/>
        </w:rPr>
        <w:fldChar w:fldCharType="end"/>
      </w:r>
      <w:r>
        <w:rPr>
          <w:bCs/>
          <w:color w:val="auto"/>
          <w:sz w:val="26"/>
          <w:szCs w:val="26"/>
          <w:highlight w:val="none"/>
        </w:rPr>
        <w:t>预测点的预测等效声级(</w:t>
      </w:r>
      <w:r>
        <w:rPr>
          <w:bCs/>
          <w:i/>
          <w:iCs/>
          <w:color w:val="auto"/>
          <w:sz w:val="26"/>
          <w:szCs w:val="26"/>
          <w:highlight w:val="none"/>
          <w:shd w:val="clear" w:fill="FFFFFF"/>
        </w:rPr>
        <w:t>L</w:t>
      </w:r>
      <w:r>
        <w:rPr>
          <w:bCs/>
          <w:i/>
          <w:iCs/>
          <w:color w:val="auto"/>
          <w:sz w:val="26"/>
          <w:szCs w:val="26"/>
          <w:highlight w:val="none"/>
          <w:shd w:val="clear" w:fill="FFFFFF"/>
          <w:vertAlign w:val="subscript"/>
        </w:rPr>
        <w:t>eq</w:t>
      </w:r>
      <w:r>
        <w:rPr>
          <w:bCs/>
          <w:i/>
          <w:iCs/>
          <w:color w:val="auto"/>
          <w:sz w:val="26"/>
          <w:szCs w:val="26"/>
          <w:highlight w:val="none"/>
        </w:rPr>
        <w:t xml:space="preserve"> </w:t>
      </w:r>
      <w:r>
        <w:rPr>
          <w:bCs/>
          <w:color w:val="auto"/>
          <w:sz w:val="26"/>
          <w:szCs w:val="26"/>
          <w:highlight w:val="none"/>
        </w:rPr>
        <w:t>)计算公式：</w:t>
      </w:r>
    </w:p>
    <w:p>
      <w:pPr>
        <w:spacing w:before="120" w:beforeLines="50" w:line="240" w:lineRule="auto"/>
        <w:jc w:val="center"/>
        <w:rPr>
          <w:bCs/>
          <w:color w:val="auto"/>
          <w:sz w:val="26"/>
          <w:szCs w:val="26"/>
          <w:highlight w:val="none"/>
        </w:rPr>
      </w:pPr>
      <w:r>
        <w:rPr>
          <w:bCs/>
          <w:color w:val="auto"/>
          <w:sz w:val="26"/>
          <w:szCs w:val="26"/>
          <w:highlight w:val="none"/>
        </w:rPr>
        <w:drawing>
          <wp:inline distT="0" distB="0" distL="0" distR="0">
            <wp:extent cx="1714500" cy="26670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1714500" cy="266700"/>
                    </a:xfrm>
                    <a:prstGeom prst="rect">
                      <a:avLst/>
                    </a:prstGeom>
                    <a:noFill/>
                    <a:ln>
                      <a:noFill/>
                    </a:ln>
                  </pic:spPr>
                </pic:pic>
              </a:graphicData>
            </a:graphic>
          </wp:inline>
        </w:drawing>
      </w:r>
      <w:r>
        <w:rPr>
          <w:bCs/>
          <w:color w:val="auto"/>
          <w:sz w:val="26"/>
          <w:szCs w:val="26"/>
          <w:highlight w:val="none"/>
        </w:rPr>
        <w:t xml:space="preserve"> </w:t>
      </w:r>
    </w:p>
    <w:p>
      <w:pPr>
        <w:snapToGrid w:val="0"/>
        <w:ind w:firstLine="520"/>
        <w:rPr>
          <w:rFonts w:hint="default" w:ascii="Times New Roman" w:hAnsi="Times New Roman" w:cs="Times New Roman"/>
          <w:bCs/>
          <w:color w:val="auto"/>
          <w:sz w:val="26"/>
          <w:szCs w:val="26"/>
          <w:highlight w:val="none"/>
        </w:rPr>
      </w:pPr>
      <w:r>
        <w:rPr>
          <w:bCs/>
          <w:color w:val="auto"/>
          <w:sz w:val="26"/>
          <w:szCs w:val="26"/>
          <w:highlight w:val="none"/>
        </w:rPr>
        <w:t>式中：</w:t>
      </w:r>
      <w:r>
        <w:rPr>
          <w:bCs/>
          <w:i/>
          <w:iCs/>
          <w:color w:val="auto"/>
          <w:sz w:val="26"/>
          <w:szCs w:val="26"/>
          <w:highlight w:val="none"/>
          <w:shd w:val="clear" w:fill="FFFFFF"/>
        </w:rPr>
        <w:t>L</w:t>
      </w:r>
      <w:r>
        <w:rPr>
          <w:bCs/>
          <w:i/>
          <w:iCs/>
          <w:color w:val="auto"/>
          <w:sz w:val="26"/>
          <w:szCs w:val="26"/>
          <w:highlight w:val="none"/>
          <w:shd w:val="clear" w:fill="FFFFFF"/>
          <w:vertAlign w:val="subscript"/>
        </w:rPr>
        <w:t>eqg</w:t>
      </w:r>
      <w:r>
        <w:rPr>
          <w:bCs/>
          <w:i/>
          <w:iCs/>
          <w:color w:val="auto"/>
          <w:sz w:val="26"/>
          <w:szCs w:val="26"/>
          <w:highlight w:val="none"/>
        </w:rPr>
        <w:t xml:space="preserve"> </w:t>
      </w:r>
      <w:r>
        <w:rPr>
          <w:rFonts w:hint="default" w:ascii="Times New Roman" w:hAnsi="Times New Roman" w:cs="Times New Roman"/>
          <w:bCs/>
          <w:color w:val="auto"/>
          <w:sz w:val="26"/>
          <w:szCs w:val="26"/>
          <w:highlight w:val="none"/>
        </w:rPr>
        <w:t>— 建设项目声源在预测点的等效声级贡献值，dB(A)；</w:t>
      </w:r>
    </w:p>
    <w:p>
      <w:pPr>
        <w:pStyle w:val="222"/>
        <w:spacing w:line="460" w:lineRule="exact"/>
        <w:ind w:firstLine="1300" w:firstLineChars="500"/>
        <w:rPr>
          <w:rFonts w:ascii="Times New Roman" w:hAnsi="Times New Roman"/>
          <w:color w:val="auto"/>
          <w:highlight w:val="none"/>
        </w:rPr>
      </w:pPr>
      <w:r>
        <w:rPr>
          <w:rFonts w:hint="default" w:ascii="Times New Roman" w:hAnsi="Times New Roman" w:cs="Times New Roman"/>
          <w:bCs/>
          <w:i/>
          <w:iCs/>
          <w:color w:val="auto"/>
          <w:sz w:val="26"/>
          <w:szCs w:val="26"/>
          <w:highlight w:val="none"/>
          <w:shd w:val="clear" w:fill="FFFFFF"/>
        </w:rPr>
        <w:t>L</w:t>
      </w:r>
      <w:r>
        <w:rPr>
          <w:rFonts w:hint="default" w:ascii="Times New Roman" w:hAnsi="Times New Roman" w:cs="Times New Roman"/>
          <w:bCs/>
          <w:i/>
          <w:iCs/>
          <w:color w:val="auto"/>
          <w:sz w:val="26"/>
          <w:szCs w:val="26"/>
          <w:highlight w:val="none"/>
          <w:shd w:val="clear" w:fill="FFFFFF"/>
          <w:vertAlign w:val="subscript"/>
        </w:rPr>
        <w:t>eqb</w:t>
      </w:r>
      <w:r>
        <w:rPr>
          <w:rFonts w:hint="default" w:ascii="Times New Roman" w:hAnsi="Times New Roman" w:cs="Times New Roman"/>
          <w:bCs/>
          <w:i/>
          <w:iCs/>
          <w:color w:val="auto"/>
          <w:sz w:val="26"/>
          <w:szCs w:val="26"/>
          <w:highlight w:val="none"/>
        </w:rPr>
        <w:t xml:space="preserve"> </w:t>
      </w:r>
      <w:r>
        <w:rPr>
          <w:rFonts w:hint="default" w:ascii="Times New Roman" w:hAnsi="Times New Roman" w:cs="Times New Roman"/>
          <w:bCs/>
          <w:color w:val="auto"/>
          <w:sz w:val="26"/>
          <w:szCs w:val="26"/>
          <w:highlight w:val="none"/>
        </w:rPr>
        <w:t>— 预测点的背景值，dB(A)。</w:t>
      </w:r>
    </w:p>
    <w:p>
      <w:pPr>
        <w:snapToGrid w:val="0"/>
        <w:spacing w:line="460" w:lineRule="exact"/>
        <w:ind w:firstLine="520" w:firstLineChars="200"/>
        <w:rPr>
          <w:rFonts w:hint="eastAsia" w:eastAsia="宋体"/>
          <w:color w:val="auto"/>
          <w:kern w:val="10"/>
          <w:szCs w:val="24"/>
          <w:highlight w:val="none"/>
          <w:lang w:eastAsia="zh-CN"/>
        </w:rPr>
      </w:pPr>
      <w:r>
        <w:rPr>
          <w:rFonts w:hint="eastAsia"/>
          <w:color w:val="auto"/>
          <w:kern w:val="10"/>
          <w:szCs w:val="24"/>
          <w:highlight w:val="none"/>
          <w:lang w:eastAsia="zh-CN"/>
        </w:rPr>
        <w:t>（</w:t>
      </w:r>
      <w:r>
        <w:rPr>
          <w:rFonts w:hint="eastAsia"/>
          <w:color w:val="auto"/>
          <w:kern w:val="10"/>
          <w:szCs w:val="24"/>
          <w:highlight w:val="none"/>
          <w:lang w:val="en-US" w:eastAsia="zh-CN"/>
        </w:rPr>
        <w:t>2</w:t>
      </w:r>
      <w:r>
        <w:rPr>
          <w:rFonts w:hint="eastAsia"/>
          <w:color w:val="auto"/>
          <w:kern w:val="10"/>
          <w:szCs w:val="24"/>
          <w:highlight w:val="none"/>
          <w:lang w:eastAsia="zh-CN"/>
        </w:rPr>
        <w:t>）预测结果</w:t>
      </w:r>
    </w:p>
    <w:p>
      <w:pPr>
        <w:snapToGrid w:val="0"/>
        <w:spacing w:line="460" w:lineRule="exact"/>
        <w:ind w:firstLine="520" w:firstLineChars="200"/>
        <w:rPr>
          <w:rFonts w:hint="eastAsia"/>
          <w:color w:val="auto"/>
          <w:kern w:val="10"/>
          <w:szCs w:val="24"/>
          <w:highlight w:val="none"/>
        </w:rPr>
      </w:pPr>
      <w:r>
        <w:rPr>
          <w:color w:val="auto"/>
          <w:kern w:val="10"/>
          <w:szCs w:val="24"/>
          <w:highlight w:val="none"/>
        </w:rPr>
        <w:t>工程施工主要产生噪声的机械设备为挖掘机、推土机、</w:t>
      </w:r>
      <w:r>
        <w:rPr>
          <w:rFonts w:hint="eastAsia"/>
          <w:color w:val="auto"/>
          <w:kern w:val="10"/>
          <w:szCs w:val="24"/>
          <w:highlight w:val="none"/>
          <w:lang w:eastAsia="zh-CN"/>
        </w:rPr>
        <w:t>打桩机、</w:t>
      </w:r>
      <w:r>
        <w:rPr>
          <w:color w:val="auto"/>
          <w:kern w:val="10"/>
          <w:szCs w:val="24"/>
          <w:highlight w:val="none"/>
        </w:rPr>
        <w:t>钻机、搅拌机、拌合楼</w:t>
      </w:r>
      <w:r>
        <w:rPr>
          <w:rFonts w:hint="eastAsia"/>
          <w:color w:val="auto"/>
          <w:kern w:val="10"/>
          <w:szCs w:val="24"/>
          <w:highlight w:val="none"/>
          <w:lang w:eastAsia="zh-CN"/>
        </w:rPr>
        <w:t>、运输设备等</w:t>
      </w:r>
      <w:r>
        <w:rPr>
          <w:color w:val="auto"/>
          <w:kern w:val="10"/>
          <w:szCs w:val="24"/>
          <w:highlight w:val="none"/>
        </w:rPr>
        <w:t>，</w:t>
      </w:r>
      <w:r>
        <w:rPr>
          <w:rFonts w:hint="eastAsia"/>
          <w:color w:val="auto"/>
          <w:kern w:val="10"/>
          <w:szCs w:val="24"/>
          <w:highlight w:val="none"/>
          <w:lang w:eastAsia="zh-CN"/>
        </w:rPr>
        <w:t>多为移动设备。</w:t>
      </w:r>
      <w:r>
        <w:rPr>
          <w:color w:val="auto"/>
          <w:kern w:val="10"/>
          <w:szCs w:val="24"/>
          <w:highlight w:val="none"/>
        </w:rPr>
        <w:t>从</w:t>
      </w:r>
      <w:r>
        <w:rPr>
          <w:rFonts w:hint="eastAsia"/>
          <w:color w:val="auto"/>
          <w:kern w:val="10"/>
          <w:szCs w:val="24"/>
          <w:highlight w:val="none"/>
          <w:lang w:eastAsia="zh-CN"/>
        </w:rPr>
        <w:t>前文施工期噪声源强统计</w:t>
      </w:r>
      <w:r>
        <w:rPr>
          <w:color w:val="auto"/>
          <w:kern w:val="10"/>
          <w:szCs w:val="24"/>
          <w:highlight w:val="none"/>
        </w:rPr>
        <w:t>可以看出，工程施工期间</w:t>
      </w:r>
      <w:r>
        <w:rPr>
          <w:rFonts w:hint="eastAsia"/>
          <w:color w:val="auto"/>
          <w:kern w:val="10"/>
          <w:szCs w:val="24"/>
          <w:highlight w:val="none"/>
        </w:rPr>
        <w:t>冲孔桩机</w:t>
      </w:r>
      <w:r>
        <w:rPr>
          <w:rFonts w:hint="eastAsia"/>
          <w:color w:val="auto"/>
          <w:kern w:val="10"/>
          <w:szCs w:val="24"/>
          <w:highlight w:val="none"/>
          <w:lang w:eastAsia="zh-CN"/>
        </w:rPr>
        <w:t>、</w:t>
      </w:r>
      <w:r>
        <w:rPr>
          <w:rFonts w:hint="eastAsia"/>
          <w:color w:val="auto"/>
          <w:kern w:val="10"/>
          <w:szCs w:val="24"/>
          <w:highlight w:val="none"/>
          <w:shd w:val="clear" w:fill="FFFFFF"/>
          <w:lang w:eastAsia="zh-CN"/>
        </w:rPr>
        <w:t>立式打夯机</w:t>
      </w:r>
      <w:r>
        <w:rPr>
          <w:rFonts w:hint="eastAsia"/>
          <w:color w:val="auto"/>
          <w:kern w:val="10"/>
          <w:szCs w:val="24"/>
          <w:highlight w:val="none"/>
          <w:lang w:eastAsia="zh-CN"/>
        </w:rPr>
        <w:t>、柴油发电机</w:t>
      </w:r>
      <w:r>
        <w:rPr>
          <w:color w:val="auto"/>
          <w:kern w:val="10"/>
          <w:szCs w:val="24"/>
          <w:highlight w:val="none"/>
        </w:rPr>
        <w:t>等噪声影响范围较大</w:t>
      </w:r>
      <w:r>
        <w:rPr>
          <w:rFonts w:hint="eastAsia"/>
          <w:color w:val="auto"/>
          <w:kern w:val="10"/>
          <w:szCs w:val="24"/>
          <w:highlight w:val="none"/>
          <w:lang w:eastAsia="zh-CN"/>
        </w:rPr>
        <w:t>，</w:t>
      </w:r>
      <w:r>
        <w:rPr>
          <w:color w:val="auto"/>
          <w:kern w:val="10"/>
          <w:szCs w:val="24"/>
          <w:highlight w:val="none"/>
        </w:rPr>
        <w:t>昼间在</w:t>
      </w:r>
      <w:r>
        <w:rPr>
          <w:rFonts w:hint="eastAsia"/>
          <w:color w:val="auto"/>
          <w:kern w:val="10"/>
          <w:szCs w:val="24"/>
          <w:highlight w:val="none"/>
          <w:lang w:val="en-US" w:eastAsia="zh-CN"/>
        </w:rPr>
        <w:t>158m</w:t>
      </w:r>
      <w:r>
        <w:rPr>
          <w:color w:val="auto"/>
          <w:kern w:val="10"/>
          <w:szCs w:val="24"/>
          <w:highlight w:val="none"/>
        </w:rPr>
        <w:t>范围内噪声</w:t>
      </w:r>
      <w:r>
        <w:rPr>
          <w:rFonts w:hint="eastAsia"/>
          <w:color w:val="auto"/>
          <w:kern w:val="10"/>
          <w:szCs w:val="24"/>
          <w:highlight w:val="none"/>
          <w:lang w:eastAsia="zh-CN"/>
        </w:rPr>
        <w:t>可满足《建筑施工场界环境噪声排放标准》</w:t>
      </w:r>
      <w:r>
        <w:rPr>
          <w:color w:val="auto"/>
          <w:kern w:val="10"/>
          <w:szCs w:val="24"/>
          <w:highlight w:val="none"/>
        </w:rPr>
        <w:t>，夜间达标距离</w:t>
      </w:r>
      <w:r>
        <w:rPr>
          <w:rFonts w:hint="eastAsia"/>
          <w:color w:val="auto"/>
          <w:kern w:val="10"/>
          <w:szCs w:val="24"/>
          <w:highlight w:val="none"/>
          <w:lang w:eastAsia="zh-CN"/>
        </w:rPr>
        <w:t>约</w:t>
      </w:r>
      <w:r>
        <w:rPr>
          <w:rFonts w:hint="eastAsia"/>
          <w:color w:val="auto"/>
          <w:kern w:val="10"/>
          <w:szCs w:val="24"/>
          <w:highlight w:val="none"/>
          <w:lang w:val="en-US" w:eastAsia="zh-CN"/>
        </w:rPr>
        <w:t>889m</w:t>
      </w:r>
      <w:r>
        <w:rPr>
          <w:color w:val="auto"/>
          <w:kern w:val="10"/>
          <w:szCs w:val="24"/>
          <w:highlight w:val="none"/>
        </w:rPr>
        <w:t>，</w:t>
      </w:r>
      <w:r>
        <w:rPr>
          <w:rFonts w:hint="eastAsia"/>
          <w:color w:val="auto"/>
          <w:kern w:val="10"/>
          <w:szCs w:val="24"/>
          <w:highlight w:val="none"/>
          <w:lang w:eastAsia="zh-CN"/>
        </w:rPr>
        <w:t>其他</w:t>
      </w:r>
      <w:r>
        <w:rPr>
          <w:color w:val="auto"/>
          <w:kern w:val="10"/>
          <w:szCs w:val="24"/>
          <w:highlight w:val="none"/>
        </w:rPr>
        <w:t>一般施工机械昼间在</w:t>
      </w:r>
      <w:r>
        <w:rPr>
          <w:rFonts w:hint="eastAsia"/>
          <w:color w:val="auto"/>
          <w:kern w:val="10"/>
          <w:szCs w:val="24"/>
          <w:highlight w:val="none"/>
          <w:lang w:val="en-US" w:eastAsia="zh-CN"/>
        </w:rPr>
        <w:t>50</w:t>
      </w:r>
      <w:r>
        <w:rPr>
          <w:color w:val="auto"/>
          <w:kern w:val="10"/>
          <w:szCs w:val="24"/>
          <w:highlight w:val="none"/>
        </w:rPr>
        <w:t>m范围内噪声即可达标，夜间达标</w:t>
      </w:r>
      <w:r>
        <w:rPr>
          <w:color w:val="auto"/>
          <w:kern w:val="10"/>
          <w:szCs w:val="24"/>
          <w:highlight w:val="none"/>
          <w:shd w:val="clear" w:fill="FFFFFF"/>
        </w:rPr>
        <w:t>距离则</w:t>
      </w:r>
      <w:r>
        <w:rPr>
          <w:color w:val="auto"/>
          <w:kern w:val="10"/>
          <w:szCs w:val="24"/>
          <w:highlight w:val="none"/>
        </w:rPr>
        <w:t>较远，一般情况下在</w:t>
      </w:r>
      <w:r>
        <w:rPr>
          <w:rFonts w:hint="eastAsia"/>
          <w:color w:val="auto"/>
          <w:kern w:val="10"/>
          <w:szCs w:val="24"/>
          <w:highlight w:val="none"/>
          <w:lang w:val="en-US" w:eastAsia="zh-CN"/>
        </w:rPr>
        <w:t>250</w:t>
      </w:r>
      <w:r>
        <w:rPr>
          <w:color w:val="auto"/>
          <w:kern w:val="10"/>
          <w:szCs w:val="24"/>
          <w:highlight w:val="none"/>
        </w:rPr>
        <w:t>m范围内。</w:t>
      </w:r>
      <w:r>
        <w:rPr>
          <w:rFonts w:hint="eastAsia"/>
          <w:color w:val="auto"/>
          <w:kern w:val="10"/>
          <w:szCs w:val="24"/>
          <w:highlight w:val="none"/>
        </w:rPr>
        <w:t>施工区主要噪声预测成果见</w:t>
      </w:r>
      <w:r>
        <w:rPr>
          <w:rFonts w:hint="eastAsia"/>
          <w:color w:val="auto"/>
          <w:kern w:val="10"/>
          <w:szCs w:val="24"/>
          <w:highlight w:val="none"/>
          <w:lang w:eastAsia="zh-CN"/>
        </w:rPr>
        <w:t>下表：</w:t>
      </w:r>
    </w:p>
    <w:p>
      <w:pPr>
        <w:pStyle w:val="22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baseline"/>
        <w:rPr>
          <w:rFonts w:ascii="Times New Roman" w:hAnsi="Times New Roman" w:eastAsia="宋体" w:cs="Times New Roman"/>
          <w:b w:val="0"/>
          <w:color w:val="auto"/>
          <w:kern w:val="10"/>
          <w:sz w:val="26"/>
          <w:szCs w:val="24"/>
          <w:highlight w:val="none"/>
          <w:u w:val="none"/>
          <w:lang w:val="en-US" w:eastAsia="zh-CN" w:bidi="ar-SA"/>
        </w:rPr>
      </w:pPr>
    </w:p>
    <w:p>
      <w:pPr>
        <w:pStyle w:val="22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baseline"/>
        <w:rPr>
          <w:rFonts w:ascii="Times New Roman" w:hAnsi="Times New Roman" w:eastAsia="宋体" w:cs="Times New Roman"/>
          <w:b w:val="0"/>
          <w:color w:val="auto"/>
          <w:kern w:val="10"/>
          <w:sz w:val="26"/>
          <w:szCs w:val="24"/>
          <w:highlight w:val="none"/>
          <w:u w:val="none"/>
          <w:lang w:val="en-US" w:eastAsia="zh-CN" w:bidi="ar-SA"/>
        </w:rPr>
      </w:pPr>
      <w:r>
        <w:rPr>
          <w:rFonts w:ascii="Times New Roman" w:hAnsi="Times New Roman" w:eastAsia="宋体" w:cs="Times New Roman"/>
          <w:b w:val="0"/>
          <w:color w:val="auto"/>
          <w:kern w:val="10"/>
          <w:sz w:val="26"/>
          <w:szCs w:val="24"/>
          <w:highlight w:val="none"/>
          <w:u w:val="none"/>
          <w:lang w:val="en-US" w:eastAsia="zh-CN" w:bidi="ar-SA"/>
        </w:rPr>
        <w:t>表</w:t>
      </w:r>
      <w:r>
        <w:rPr>
          <w:rFonts w:hint="eastAsia" w:eastAsia="宋体" w:cs="Times New Roman"/>
          <w:b w:val="0"/>
          <w:color w:val="auto"/>
          <w:kern w:val="10"/>
          <w:sz w:val="26"/>
          <w:szCs w:val="24"/>
          <w:highlight w:val="none"/>
          <w:u w:val="none"/>
          <w:lang w:val="en-US" w:eastAsia="zh-CN" w:bidi="ar-SA"/>
        </w:rPr>
        <w:t xml:space="preserve">4.4.1-1  </w:t>
      </w:r>
      <w:r>
        <w:rPr>
          <w:rFonts w:ascii="Times New Roman" w:hAnsi="Times New Roman" w:eastAsia="宋体" w:cs="Times New Roman"/>
          <w:b w:val="0"/>
          <w:color w:val="auto"/>
          <w:kern w:val="10"/>
          <w:sz w:val="26"/>
          <w:szCs w:val="24"/>
          <w:highlight w:val="none"/>
          <w:u w:val="none"/>
          <w:lang w:val="en-US" w:eastAsia="zh-CN" w:bidi="ar-SA"/>
        </w:rPr>
        <w:t>工程施工区主要噪声源衰减预测表</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4"/>
        <w:gridCol w:w="528"/>
        <w:gridCol w:w="1265"/>
        <w:gridCol w:w="642"/>
        <w:gridCol w:w="571"/>
        <w:gridCol w:w="689"/>
        <w:gridCol w:w="689"/>
        <w:gridCol w:w="689"/>
        <w:gridCol w:w="689"/>
        <w:gridCol w:w="689"/>
        <w:gridCol w:w="767"/>
        <w:gridCol w:w="7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auto"/>
                <w:sz w:val="20"/>
                <w:szCs w:val="20"/>
                <w:highlight w:val="none"/>
                <w:lang w:eastAsia="zh-CN"/>
              </w:rPr>
            </w:pPr>
            <w:r>
              <w:rPr>
                <w:rFonts w:hint="eastAsia"/>
                <w:b w:val="0"/>
                <w:bCs w:val="0"/>
                <w:color w:val="auto"/>
                <w:sz w:val="20"/>
                <w:szCs w:val="20"/>
                <w:highlight w:val="none"/>
                <w:lang w:eastAsia="zh-CN"/>
              </w:rPr>
              <w:t>施工区域</w:t>
            </w:r>
          </w:p>
        </w:tc>
        <w:tc>
          <w:tcPr>
            <w:tcW w:w="535"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eastAsia"/>
                <w:b w:val="0"/>
                <w:bCs w:val="0"/>
                <w:color w:val="auto"/>
                <w:sz w:val="20"/>
                <w:szCs w:val="20"/>
                <w:highlight w:val="none"/>
                <w:lang w:eastAsia="zh-CN"/>
              </w:rPr>
              <w:t>施工阶段</w:t>
            </w:r>
          </w:p>
        </w:tc>
        <w:tc>
          <w:tcPr>
            <w:tcW w:w="128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r>
              <w:rPr>
                <w:b w:val="0"/>
                <w:bCs w:val="0"/>
                <w:color w:val="auto"/>
                <w:sz w:val="20"/>
                <w:szCs w:val="20"/>
                <w:highlight w:val="none"/>
              </w:rPr>
              <w:t>声源</w:t>
            </w:r>
          </w:p>
        </w:tc>
        <w:tc>
          <w:tcPr>
            <w:tcW w:w="651"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宋体"/>
                <w:b w:val="0"/>
                <w:bCs w:val="0"/>
                <w:color w:val="auto"/>
                <w:sz w:val="20"/>
                <w:szCs w:val="20"/>
                <w:highlight w:val="none"/>
              </w:rPr>
            </w:pPr>
            <w:r>
              <w:rPr>
                <w:rFonts w:eastAsia="宋体"/>
                <w:b w:val="0"/>
                <w:bCs w:val="0"/>
                <w:color w:val="auto"/>
                <w:sz w:val="20"/>
                <w:szCs w:val="20"/>
                <w:highlight w:val="none"/>
              </w:rPr>
              <w:t>测点声源距离(m)</w:t>
            </w:r>
          </w:p>
        </w:tc>
        <w:tc>
          <w:tcPr>
            <w:tcW w:w="57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宋体"/>
                <w:b w:val="0"/>
                <w:bCs w:val="0"/>
                <w:color w:val="auto"/>
                <w:sz w:val="20"/>
                <w:szCs w:val="20"/>
                <w:highlight w:val="none"/>
              </w:rPr>
            </w:pPr>
            <w:r>
              <w:rPr>
                <w:rFonts w:eastAsia="宋体"/>
                <w:b w:val="0"/>
                <w:bCs w:val="0"/>
                <w:color w:val="auto"/>
                <w:sz w:val="20"/>
                <w:szCs w:val="20"/>
                <w:highlight w:val="none"/>
              </w:rPr>
              <w:t>源强</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宋体"/>
                <w:b w:val="0"/>
                <w:bCs w:val="0"/>
                <w:color w:val="auto"/>
                <w:sz w:val="20"/>
                <w:szCs w:val="20"/>
                <w:highlight w:val="none"/>
              </w:rPr>
            </w:pPr>
            <w:r>
              <w:rPr>
                <w:rFonts w:hint="default" w:eastAsia="宋体"/>
                <w:b w:val="0"/>
                <w:bCs w:val="0"/>
                <w:color w:val="auto"/>
                <w:sz w:val="20"/>
                <w:szCs w:val="20"/>
                <w:highlight w:val="none"/>
              </w:rPr>
              <w:t>dB(A)</w:t>
            </w:r>
          </w:p>
        </w:tc>
        <w:tc>
          <w:tcPr>
            <w:tcW w:w="3495" w:type="dxa"/>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r>
              <w:rPr>
                <w:b w:val="0"/>
                <w:bCs w:val="0"/>
                <w:color w:val="auto"/>
                <w:sz w:val="20"/>
                <w:szCs w:val="20"/>
                <w:highlight w:val="none"/>
              </w:rPr>
              <w:t>离声源不同距离的噪声预测值(</w:t>
            </w:r>
            <w:r>
              <w:rPr>
                <w:rFonts w:hint="eastAsia"/>
                <w:b w:val="0"/>
                <w:bCs w:val="0"/>
                <w:color w:val="auto"/>
                <w:sz w:val="20"/>
                <w:szCs w:val="20"/>
                <w:highlight w:val="none"/>
              </w:rPr>
              <w:t>dB(A</w:t>
            </w:r>
            <w:r>
              <w:rPr>
                <w:rFonts w:hint="eastAsia"/>
                <w:b w:val="0"/>
                <w:bCs w:val="0"/>
                <w:color w:val="auto"/>
                <w:sz w:val="20"/>
                <w:szCs w:val="20"/>
                <w:highlight w:val="none"/>
                <w:shd w:val="clear" w:fill="FFFFFF"/>
              </w:rPr>
              <w:t>)</w:t>
            </w:r>
            <w:r>
              <w:rPr>
                <w:b w:val="0"/>
                <w:bCs w:val="0"/>
                <w:color w:val="auto"/>
                <w:sz w:val="20"/>
                <w:szCs w:val="20"/>
                <w:highlight w:val="none"/>
                <w:shd w:val="clear" w:fill="FFFFFF"/>
              </w:rPr>
              <w:t>)</w:t>
            </w:r>
          </w:p>
        </w:tc>
        <w:tc>
          <w:tcPr>
            <w:tcW w:w="1554"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r>
              <w:rPr>
                <w:rFonts w:hint="eastAsia"/>
                <w:b w:val="0"/>
                <w:bCs w:val="0"/>
                <w:color w:val="auto"/>
                <w:sz w:val="20"/>
                <w:szCs w:val="20"/>
                <w:highlight w:val="none"/>
              </w:rPr>
              <w:t>《建筑施工场界环境噪声排放标准》</w:t>
            </w:r>
            <w:r>
              <w:rPr>
                <w:rFonts w:hint="eastAsia"/>
                <w:b w:val="0"/>
                <w:bCs w:val="0"/>
                <w:color w:val="auto"/>
                <w:sz w:val="20"/>
                <w:szCs w:val="20"/>
                <w:highlight w:val="none"/>
                <w:lang w:eastAsia="zh-CN"/>
              </w:rPr>
              <w:t>达标</w:t>
            </w:r>
            <w:r>
              <w:rPr>
                <w:rFonts w:hint="eastAsia"/>
                <w:b w:val="0"/>
                <w:bCs w:val="0"/>
                <w:color w:val="auto"/>
                <w:sz w:val="20"/>
                <w:szCs w:val="20"/>
                <w:highlight w:val="none"/>
              </w:rPr>
              <w:t>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65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7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r>
              <w:rPr>
                <w:b w:val="0"/>
                <w:bCs w:val="0"/>
                <w:color w:val="auto"/>
                <w:sz w:val="20"/>
                <w:szCs w:val="20"/>
                <w:highlight w:val="none"/>
              </w:rPr>
              <w:t>50m</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r>
              <w:rPr>
                <w:b w:val="0"/>
                <w:bCs w:val="0"/>
                <w:color w:val="auto"/>
                <w:sz w:val="20"/>
                <w:szCs w:val="20"/>
                <w:highlight w:val="none"/>
              </w:rPr>
              <w:t>100m</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auto"/>
                <w:kern w:val="2"/>
                <w:sz w:val="20"/>
                <w:szCs w:val="20"/>
                <w:highlight w:val="none"/>
                <w:lang w:val="en-US" w:eastAsia="zh-CN" w:bidi="ar-SA"/>
              </w:rPr>
            </w:pPr>
            <w:r>
              <w:rPr>
                <w:b w:val="0"/>
                <w:bCs w:val="0"/>
                <w:color w:val="auto"/>
                <w:sz w:val="20"/>
                <w:szCs w:val="20"/>
                <w:highlight w:val="none"/>
              </w:rPr>
              <w:t>200m</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auto"/>
                <w:kern w:val="2"/>
                <w:sz w:val="20"/>
                <w:szCs w:val="20"/>
                <w:highlight w:val="none"/>
                <w:lang w:val="en-US" w:eastAsia="zh-CN" w:bidi="ar-SA"/>
              </w:rPr>
            </w:pPr>
            <w:r>
              <w:rPr>
                <w:b w:val="0"/>
                <w:bCs w:val="0"/>
                <w:color w:val="auto"/>
                <w:sz w:val="20"/>
                <w:szCs w:val="20"/>
                <w:highlight w:val="none"/>
              </w:rPr>
              <w:t>300m</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kern w:val="2"/>
                <w:sz w:val="20"/>
                <w:szCs w:val="20"/>
                <w:highlight w:val="none"/>
                <w:lang w:val="en-US" w:eastAsia="zh-CN" w:bidi="ar-SA"/>
              </w:rPr>
            </w:pPr>
            <w:r>
              <w:rPr>
                <w:rFonts w:hint="eastAsia"/>
                <w:b w:val="0"/>
                <w:bCs w:val="0"/>
                <w:color w:val="auto"/>
                <w:sz w:val="20"/>
                <w:szCs w:val="20"/>
                <w:highlight w:val="none"/>
                <w:lang w:val="en-US" w:eastAsia="zh-CN"/>
              </w:rPr>
              <w:t>500m</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b w:val="0"/>
                <w:bCs w:val="0"/>
                <w:color w:val="auto"/>
                <w:sz w:val="20"/>
                <w:szCs w:val="20"/>
                <w:highlight w:val="none"/>
                <w:lang w:val="en-US" w:eastAsia="zh-CN"/>
              </w:rPr>
              <w:t>昼间</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auto"/>
                <w:sz w:val="20"/>
                <w:szCs w:val="20"/>
                <w:highlight w:val="none"/>
                <w:lang w:val="en-US" w:eastAsia="zh-CN"/>
              </w:rPr>
            </w:pPr>
            <w:r>
              <w:rPr>
                <w:rFonts w:hint="eastAsia"/>
                <w:b w:val="0"/>
                <w:bCs w:val="0"/>
                <w:color w:val="auto"/>
                <w:sz w:val="20"/>
                <w:szCs w:val="20"/>
                <w:highlight w:val="non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auto"/>
                <w:sz w:val="20"/>
                <w:szCs w:val="20"/>
                <w:highlight w:val="none"/>
                <w:lang w:eastAsia="zh-CN"/>
              </w:rPr>
            </w:pPr>
            <w:r>
              <w:rPr>
                <w:rFonts w:hint="eastAsia"/>
                <w:b w:val="0"/>
                <w:bCs w:val="0"/>
                <w:color w:val="auto"/>
                <w:sz w:val="20"/>
                <w:szCs w:val="20"/>
                <w:highlight w:val="none"/>
                <w:lang w:eastAsia="zh-CN"/>
              </w:rPr>
              <w:t>船闸施工区域</w:t>
            </w:r>
          </w:p>
        </w:tc>
        <w:tc>
          <w:tcPr>
            <w:tcW w:w="535"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eastAsia"/>
                <w:b w:val="0"/>
                <w:bCs w:val="0"/>
                <w:color w:val="auto"/>
                <w:sz w:val="20"/>
                <w:szCs w:val="20"/>
                <w:highlight w:val="none"/>
                <w:lang w:eastAsia="zh-CN"/>
              </w:rPr>
              <w:t>围堰施工、土石方开挖</w:t>
            </w:r>
          </w:p>
        </w:tc>
        <w:tc>
          <w:tcPr>
            <w:tcW w:w="1283"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b w:val="0"/>
                <w:bCs w:val="0"/>
                <w:color w:val="auto"/>
                <w:sz w:val="20"/>
                <w:szCs w:val="20"/>
                <w:highlight w:val="none"/>
              </w:rPr>
            </w:pPr>
            <w:r>
              <w:rPr>
                <w:rFonts w:hint="eastAsia"/>
                <w:b w:val="0"/>
                <w:bCs w:val="0"/>
                <w:snapToGrid w:val="0"/>
                <w:color w:val="auto"/>
                <w:sz w:val="20"/>
                <w:szCs w:val="20"/>
                <w:highlight w:val="none"/>
                <w:lang w:eastAsia="zh-CN"/>
              </w:rPr>
              <w:t>挖掘机</w:t>
            </w:r>
          </w:p>
        </w:tc>
        <w:tc>
          <w:tcPr>
            <w:tcW w:w="6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eastAsia" w:eastAsia="宋体"/>
                <w:b w:val="0"/>
                <w:bCs w:val="0"/>
                <w:color w:val="auto"/>
                <w:sz w:val="20"/>
                <w:szCs w:val="20"/>
                <w:highlight w:val="none"/>
                <w:lang w:eastAsia="zh-CN"/>
              </w:rPr>
              <w:t>5</w:t>
            </w:r>
          </w:p>
        </w:tc>
        <w:tc>
          <w:tcPr>
            <w:tcW w:w="5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eastAsia="zh-CN"/>
              </w:rPr>
              <w:t>82</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62.00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55.98</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49.96</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46.44</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42.00</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20</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b w:val="0"/>
                <w:bCs w:val="0"/>
                <w:color w:val="auto"/>
                <w:sz w:val="20"/>
                <w:szCs w:val="20"/>
                <w:highlight w:val="none"/>
              </w:rPr>
            </w:pPr>
            <w:r>
              <w:rPr>
                <w:rFonts w:hint="eastAsia"/>
                <w:b w:val="0"/>
                <w:bCs w:val="0"/>
                <w:snapToGrid w:val="0"/>
                <w:color w:val="auto"/>
                <w:sz w:val="20"/>
                <w:szCs w:val="20"/>
                <w:highlight w:val="none"/>
                <w:lang w:val="zh-CN"/>
              </w:rPr>
              <w:t>装载机</w:t>
            </w:r>
          </w:p>
        </w:tc>
        <w:tc>
          <w:tcPr>
            <w:tcW w:w="6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eastAsia" w:eastAsia="宋体"/>
                <w:b w:val="0"/>
                <w:bCs w:val="0"/>
                <w:color w:val="auto"/>
                <w:sz w:val="20"/>
                <w:szCs w:val="20"/>
                <w:highlight w:val="none"/>
                <w:lang w:eastAsia="zh-CN"/>
              </w:rPr>
              <w:t>5</w:t>
            </w:r>
          </w:p>
        </w:tc>
        <w:tc>
          <w:tcPr>
            <w:tcW w:w="5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zh-CN" w:eastAsia="zh-CN"/>
              </w:rPr>
            </w:pPr>
            <w:r>
              <w:rPr>
                <w:rFonts w:hint="eastAsia" w:eastAsia="宋体"/>
                <w:b w:val="0"/>
                <w:bCs w:val="0"/>
                <w:color w:val="auto"/>
                <w:sz w:val="20"/>
                <w:szCs w:val="20"/>
                <w:highlight w:val="none"/>
                <w:lang w:eastAsia="zh-CN"/>
              </w:rPr>
              <w:t>82</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62.00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55.98</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49.96</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46.44</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42.00</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20</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b w:val="0"/>
                <w:bCs w:val="0"/>
                <w:color w:val="auto"/>
                <w:sz w:val="20"/>
                <w:szCs w:val="20"/>
                <w:highlight w:val="none"/>
              </w:rPr>
            </w:pPr>
            <w:r>
              <w:rPr>
                <w:b w:val="0"/>
                <w:bCs w:val="0"/>
                <w:snapToGrid w:val="0"/>
                <w:color w:val="auto"/>
                <w:sz w:val="20"/>
                <w:szCs w:val="20"/>
                <w:highlight w:val="none"/>
                <w:lang w:val="zh-CN"/>
              </w:rPr>
              <w:t>推土机</w:t>
            </w:r>
          </w:p>
        </w:tc>
        <w:tc>
          <w:tcPr>
            <w:tcW w:w="6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eastAsia" w:eastAsia="宋体"/>
                <w:b w:val="0"/>
                <w:bCs w:val="0"/>
                <w:color w:val="auto"/>
                <w:sz w:val="20"/>
                <w:szCs w:val="20"/>
                <w:highlight w:val="none"/>
                <w:lang w:eastAsia="zh-CN"/>
              </w:rPr>
              <w:t>5</w:t>
            </w:r>
          </w:p>
        </w:tc>
        <w:tc>
          <w:tcPr>
            <w:tcW w:w="5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eastAsia="zh-CN"/>
              </w:rPr>
              <w:t>83</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63.00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56.98</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50.96</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47.44</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43.00</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22</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b w:val="0"/>
                <w:bCs w:val="0"/>
                <w:color w:val="auto"/>
                <w:sz w:val="20"/>
                <w:szCs w:val="20"/>
                <w:highlight w:val="none"/>
              </w:rPr>
            </w:pPr>
            <w:r>
              <w:rPr>
                <w:rFonts w:hint="eastAsia"/>
                <w:b w:val="0"/>
                <w:bCs w:val="0"/>
                <w:snapToGrid w:val="0"/>
                <w:color w:val="auto"/>
                <w:sz w:val="20"/>
                <w:szCs w:val="20"/>
                <w:highlight w:val="none"/>
                <w:lang w:val="zh-CN"/>
              </w:rPr>
              <w:t>手</w:t>
            </w:r>
            <w:r>
              <w:rPr>
                <w:b w:val="0"/>
                <w:bCs w:val="0"/>
                <w:snapToGrid w:val="0"/>
                <w:color w:val="auto"/>
                <w:sz w:val="20"/>
                <w:szCs w:val="20"/>
                <w:highlight w:val="none"/>
                <w:lang w:val="zh-CN"/>
              </w:rPr>
              <w:t>风钻</w:t>
            </w:r>
          </w:p>
        </w:tc>
        <w:tc>
          <w:tcPr>
            <w:tcW w:w="6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eastAsia" w:eastAsia="宋体"/>
                <w:b w:val="0"/>
                <w:bCs w:val="0"/>
                <w:color w:val="auto"/>
                <w:sz w:val="20"/>
                <w:szCs w:val="20"/>
                <w:highlight w:val="none"/>
                <w:lang w:val="en-US" w:eastAsia="zh-CN"/>
              </w:rPr>
              <w:t>1</w:t>
            </w:r>
          </w:p>
        </w:tc>
        <w:tc>
          <w:tcPr>
            <w:tcW w:w="5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eastAsia="zh-CN"/>
              </w:rPr>
              <w:t>90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56.02</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50.00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43.98</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40.46</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36.02</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10</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b w:val="0"/>
                <w:bCs w:val="0"/>
                <w:color w:val="auto"/>
                <w:sz w:val="20"/>
                <w:szCs w:val="20"/>
                <w:highlight w:val="none"/>
              </w:rPr>
            </w:pPr>
            <w:r>
              <w:rPr>
                <w:b w:val="0"/>
                <w:bCs w:val="0"/>
                <w:snapToGrid w:val="0"/>
                <w:color w:val="auto"/>
                <w:sz w:val="20"/>
                <w:szCs w:val="20"/>
                <w:highlight w:val="none"/>
              </w:rPr>
              <w:t>潜孔钻</w:t>
            </w:r>
          </w:p>
        </w:tc>
        <w:tc>
          <w:tcPr>
            <w:tcW w:w="6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eastAsia" w:eastAsia="宋体"/>
                <w:b w:val="0"/>
                <w:bCs w:val="0"/>
                <w:color w:val="auto"/>
                <w:sz w:val="20"/>
                <w:szCs w:val="20"/>
                <w:highlight w:val="none"/>
                <w:lang w:val="en-US" w:eastAsia="zh-CN"/>
              </w:rPr>
              <w:t>1</w:t>
            </w:r>
          </w:p>
        </w:tc>
        <w:tc>
          <w:tcPr>
            <w:tcW w:w="5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zh-CN" w:eastAsia="zh-CN"/>
              </w:rPr>
            </w:pPr>
            <w:r>
              <w:rPr>
                <w:rFonts w:hint="eastAsia" w:eastAsia="宋体"/>
                <w:b w:val="0"/>
                <w:bCs w:val="0"/>
                <w:color w:val="auto"/>
                <w:sz w:val="20"/>
                <w:szCs w:val="20"/>
                <w:highlight w:val="none"/>
                <w:lang w:val="zh-CN" w:eastAsia="zh-CN"/>
              </w:rPr>
              <w:t>90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56.02</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50.00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43.98</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40.46</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36.02</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10</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auto"/>
                <w:sz w:val="20"/>
                <w:szCs w:val="20"/>
                <w:highlight w:val="none"/>
              </w:rPr>
            </w:pPr>
          </w:p>
        </w:tc>
        <w:tc>
          <w:tcPr>
            <w:tcW w:w="53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auto"/>
                <w:sz w:val="20"/>
                <w:szCs w:val="20"/>
                <w:highlight w:val="none"/>
              </w:rPr>
            </w:pPr>
          </w:p>
        </w:tc>
        <w:tc>
          <w:tcPr>
            <w:tcW w:w="1283"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b w:val="0"/>
                <w:bCs w:val="0"/>
                <w:color w:val="auto"/>
                <w:sz w:val="20"/>
                <w:szCs w:val="20"/>
                <w:highlight w:val="none"/>
              </w:rPr>
            </w:pPr>
            <w:r>
              <w:rPr>
                <w:b w:val="0"/>
                <w:bCs w:val="0"/>
                <w:snapToGrid w:val="0"/>
                <w:color w:val="auto"/>
                <w:sz w:val="20"/>
                <w:szCs w:val="20"/>
                <w:highlight w:val="none"/>
              </w:rPr>
              <w:t>空气压缩机</w:t>
            </w:r>
          </w:p>
        </w:tc>
        <w:tc>
          <w:tcPr>
            <w:tcW w:w="6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eastAsia" w:eastAsia="宋体"/>
                <w:b w:val="0"/>
                <w:bCs w:val="0"/>
                <w:color w:val="auto"/>
                <w:sz w:val="20"/>
                <w:szCs w:val="20"/>
                <w:highlight w:val="none"/>
                <w:lang w:val="en-US" w:eastAsia="zh-CN"/>
              </w:rPr>
              <w:t>5</w:t>
            </w:r>
          </w:p>
        </w:tc>
        <w:tc>
          <w:tcPr>
            <w:tcW w:w="5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eastAsia="zh-CN"/>
              </w:rPr>
              <w:t>8</w:t>
            </w:r>
            <w:r>
              <w:rPr>
                <w:rFonts w:hint="eastAsia" w:eastAsia="宋体"/>
                <w:b w:val="0"/>
                <w:bCs w:val="0"/>
                <w:color w:val="auto"/>
                <w:sz w:val="20"/>
                <w:szCs w:val="20"/>
                <w:highlight w:val="none"/>
                <w:lang w:val="en-US" w:eastAsia="zh-CN"/>
              </w:rPr>
              <w:t>8</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68.00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61.98</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55.96</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52.44</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48.00</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40</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b w:val="0"/>
                <w:bCs w:val="0"/>
                <w:color w:val="auto"/>
                <w:sz w:val="20"/>
                <w:szCs w:val="20"/>
                <w:highlight w:val="none"/>
              </w:rPr>
            </w:pPr>
            <w:r>
              <w:rPr>
                <w:b w:val="0"/>
                <w:bCs w:val="0"/>
                <w:snapToGrid w:val="0"/>
                <w:color w:val="auto"/>
                <w:sz w:val="20"/>
                <w:szCs w:val="20"/>
                <w:highlight w:val="none"/>
              </w:rPr>
              <w:t>压路机</w:t>
            </w:r>
          </w:p>
        </w:tc>
        <w:tc>
          <w:tcPr>
            <w:tcW w:w="6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eastAsia" w:eastAsia="宋体"/>
                <w:b w:val="0"/>
                <w:bCs w:val="0"/>
                <w:color w:val="auto"/>
                <w:sz w:val="20"/>
                <w:szCs w:val="20"/>
                <w:highlight w:val="none"/>
                <w:lang w:val="en-US" w:eastAsia="zh-CN"/>
              </w:rPr>
              <w:t>5</w:t>
            </w:r>
          </w:p>
        </w:tc>
        <w:tc>
          <w:tcPr>
            <w:tcW w:w="5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80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60.00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53.98</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47.96</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44.44</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40.00</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16</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r>
              <w:rPr>
                <w:b w:val="0"/>
                <w:bCs w:val="0"/>
                <w:snapToGrid w:val="0"/>
                <w:color w:val="auto"/>
                <w:sz w:val="20"/>
                <w:szCs w:val="20"/>
                <w:highlight w:val="none"/>
              </w:rPr>
              <w:t>立式打夯机</w:t>
            </w:r>
          </w:p>
        </w:tc>
        <w:tc>
          <w:tcPr>
            <w:tcW w:w="6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eastAsia" w:eastAsia="宋体"/>
                <w:b w:val="0"/>
                <w:bCs w:val="0"/>
                <w:color w:val="auto"/>
                <w:sz w:val="20"/>
                <w:szCs w:val="20"/>
                <w:highlight w:val="none"/>
                <w:lang w:val="en-US" w:eastAsia="zh-CN"/>
              </w:rPr>
              <w:t>5</w:t>
            </w:r>
          </w:p>
        </w:tc>
        <w:tc>
          <w:tcPr>
            <w:tcW w:w="5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92</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72.00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65.98</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59.96</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56.44</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52.00</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63</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354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auto"/>
                <w:sz w:val="20"/>
                <w:szCs w:val="20"/>
                <w:highlight w:val="none"/>
                <w:lang w:eastAsia="zh-CN"/>
              </w:rPr>
            </w:pPr>
          </w:p>
        </w:tc>
        <w:tc>
          <w:tcPr>
            <w:tcW w:w="535"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eastAsia"/>
                <w:b w:val="0"/>
                <w:bCs w:val="0"/>
                <w:color w:val="auto"/>
                <w:sz w:val="20"/>
                <w:szCs w:val="20"/>
                <w:highlight w:val="none"/>
                <w:lang w:eastAsia="zh-CN"/>
              </w:rPr>
              <w:t>主体工程施工</w:t>
            </w:r>
          </w:p>
        </w:tc>
        <w:tc>
          <w:tcPr>
            <w:tcW w:w="1283"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pacing w:val="-7"/>
                <w:kern w:val="2"/>
                <w:sz w:val="20"/>
                <w:szCs w:val="20"/>
                <w:highlight w:val="none"/>
                <w:lang w:val="en-US" w:eastAsia="en-US" w:bidi="ar-SA"/>
              </w:rPr>
            </w:pPr>
            <w:r>
              <w:rPr>
                <w:rFonts w:hint="default" w:ascii="Times New Roman" w:hAnsi="Times New Roman" w:cs="Times New Roman"/>
                <w:b w:val="0"/>
                <w:bCs w:val="0"/>
                <w:color w:val="auto"/>
                <w:spacing w:val="-7"/>
                <w:sz w:val="20"/>
                <w:szCs w:val="20"/>
                <w:highlight w:val="none"/>
              </w:rPr>
              <w:t>钻机</w:t>
            </w:r>
          </w:p>
        </w:tc>
        <w:tc>
          <w:tcPr>
            <w:tcW w:w="6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w:t>
            </w:r>
          </w:p>
        </w:tc>
        <w:tc>
          <w:tcPr>
            <w:tcW w:w="5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90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86.02</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80.00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73.98</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70.46</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eastAsia" w:eastAsia="宋体"/>
                <w:b w:val="0"/>
                <w:bCs w:val="0"/>
                <w:color w:val="auto"/>
                <w:sz w:val="20"/>
                <w:szCs w:val="20"/>
                <w:highlight w:val="none"/>
                <w:lang w:val="en-US" w:eastAsia="zh-CN"/>
              </w:rPr>
              <w:t>36</w:t>
            </w:r>
            <w:r>
              <w:rPr>
                <w:rFonts w:hint="default" w:eastAsia="宋体"/>
                <w:b w:val="0"/>
                <w:bCs w:val="0"/>
                <w:color w:val="auto"/>
                <w:sz w:val="20"/>
                <w:szCs w:val="20"/>
                <w:highlight w:val="none"/>
                <w:lang w:val="en-US" w:eastAsia="zh-CN"/>
              </w:rPr>
              <w:t>.02</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10</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pacing w:val="-7"/>
                <w:kern w:val="2"/>
                <w:sz w:val="20"/>
                <w:szCs w:val="20"/>
                <w:highlight w:val="none"/>
                <w:lang w:val="en-US" w:eastAsia="en-US" w:bidi="ar-SA"/>
              </w:rPr>
            </w:pPr>
            <w:r>
              <w:rPr>
                <w:rFonts w:hint="default" w:ascii="Times New Roman" w:hAnsi="Times New Roman" w:cs="Times New Roman"/>
                <w:b w:val="0"/>
                <w:bCs w:val="0"/>
                <w:color w:val="auto"/>
                <w:spacing w:val="-7"/>
                <w:sz w:val="20"/>
                <w:szCs w:val="20"/>
                <w:highlight w:val="none"/>
              </w:rPr>
              <w:t>冲孔桩机</w:t>
            </w:r>
          </w:p>
        </w:tc>
        <w:tc>
          <w:tcPr>
            <w:tcW w:w="6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5</w:t>
            </w:r>
          </w:p>
        </w:tc>
        <w:tc>
          <w:tcPr>
            <w:tcW w:w="5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en-US"/>
              </w:rPr>
            </w:pPr>
            <w:r>
              <w:rPr>
                <w:rFonts w:hint="eastAsia" w:eastAsia="宋体"/>
                <w:b w:val="0"/>
                <w:bCs w:val="0"/>
                <w:color w:val="auto"/>
                <w:sz w:val="20"/>
                <w:szCs w:val="20"/>
                <w:highlight w:val="none"/>
                <w:lang w:val="en-US" w:eastAsia="zh-CN"/>
              </w:rPr>
              <w:t>100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80.00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73.98</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67.96</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64.44</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60.00</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158</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889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noWrap w:val="0"/>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pacing w:val="-7"/>
                <w:kern w:val="2"/>
                <w:sz w:val="20"/>
                <w:szCs w:val="20"/>
                <w:highlight w:val="none"/>
                <w:lang w:val="en-US" w:eastAsia="en-US" w:bidi="ar-SA"/>
              </w:rPr>
            </w:pPr>
            <w:r>
              <w:rPr>
                <w:rFonts w:hint="default" w:ascii="Times New Roman" w:hAnsi="Times New Roman" w:cs="Times New Roman"/>
                <w:b w:val="0"/>
                <w:bCs w:val="0"/>
                <w:color w:val="auto"/>
                <w:spacing w:val="-7"/>
                <w:sz w:val="20"/>
                <w:szCs w:val="20"/>
                <w:highlight w:val="none"/>
              </w:rPr>
              <w:t>泥浆搅拌机</w:t>
            </w:r>
          </w:p>
        </w:tc>
        <w:tc>
          <w:tcPr>
            <w:tcW w:w="6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w:t>
            </w:r>
          </w:p>
        </w:tc>
        <w:tc>
          <w:tcPr>
            <w:tcW w:w="5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en-US"/>
              </w:rPr>
            </w:pPr>
            <w:r>
              <w:rPr>
                <w:rFonts w:hint="default" w:eastAsia="宋体"/>
                <w:b w:val="0"/>
                <w:bCs w:val="0"/>
                <w:color w:val="auto"/>
                <w:sz w:val="20"/>
                <w:szCs w:val="20"/>
                <w:highlight w:val="none"/>
                <w:lang w:val="en-US" w:eastAsia="en-US"/>
              </w:rPr>
              <w:t>90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56.02</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50.00</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43.98</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40.46</w:t>
            </w:r>
          </w:p>
        </w:tc>
        <w:tc>
          <w:tcPr>
            <w:tcW w:w="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36.02</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10</w:t>
            </w:r>
          </w:p>
        </w:tc>
        <w:tc>
          <w:tcPr>
            <w:tcW w:w="7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pacing w:val="-7"/>
                <w:kern w:val="2"/>
                <w:sz w:val="20"/>
                <w:szCs w:val="20"/>
                <w:highlight w:val="none"/>
                <w:lang w:val="en-US" w:eastAsia="en-US" w:bidi="ar-SA"/>
              </w:rPr>
            </w:pPr>
            <w:r>
              <w:rPr>
                <w:rFonts w:hint="default" w:ascii="Times New Roman" w:hAnsi="Times New Roman" w:cs="Times New Roman"/>
                <w:b w:val="0"/>
                <w:bCs w:val="0"/>
                <w:color w:val="auto"/>
                <w:spacing w:val="-7"/>
                <w:sz w:val="20"/>
                <w:szCs w:val="20"/>
                <w:highlight w:val="none"/>
              </w:rPr>
              <w:t>灌浆机</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default" w:eastAsia="宋体"/>
                <w:b w:val="0"/>
                <w:bCs w:val="0"/>
                <w:color w:val="auto"/>
                <w:sz w:val="20"/>
                <w:szCs w:val="20"/>
                <w:highlight w:val="none"/>
                <w:lang w:eastAsia="zh-CN"/>
              </w:rPr>
              <w:t>88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68.00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61.98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55.96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52.44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48.00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40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pacing w:val="-7"/>
                <w:kern w:val="2"/>
                <w:sz w:val="20"/>
                <w:szCs w:val="20"/>
                <w:highlight w:val="none"/>
                <w:lang w:val="en-US" w:eastAsia="en-US" w:bidi="ar-SA"/>
              </w:rPr>
            </w:pPr>
            <w:r>
              <w:rPr>
                <w:rFonts w:hint="default" w:ascii="Times New Roman" w:hAnsi="Times New Roman" w:cs="Times New Roman"/>
                <w:b w:val="0"/>
                <w:bCs w:val="0"/>
                <w:color w:val="auto"/>
                <w:spacing w:val="-7"/>
                <w:sz w:val="20"/>
                <w:szCs w:val="20"/>
                <w:highlight w:val="none"/>
              </w:rPr>
              <w:t>灰浆泵</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default" w:eastAsia="宋体"/>
                <w:b w:val="0"/>
                <w:bCs w:val="0"/>
                <w:color w:val="auto"/>
                <w:sz w:val="20"/>
                <w:szCs w:val="20"/>
                <w:highlight w:val="none"/>
                <w:lang w:eastAsia="zh-CN"/>
              </w:rPr>
              <w:t>88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68.00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61.98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55.96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52.44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48.00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40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pacing w:val="-7"/>
                <w:kern w:val="2"/>
                <w:sz w:val="20"/>
                <w:szCs w:val="20"/>
                <w:highlight w:val="none"/>
                <w:lang w:val="zh-CN" w:eastAsia="en-US" w:bidi="ar-SA"/>
              </w:rPr>
            </w:pPr>
            <w:r>
              <w:rPr>
                <w:rFonts w:hint="default" w:ascii="Times New Roman" w:hAnsi="Times New Roman" w:cs="Times New Roman"/>
                <w:b w:val="0"/>
                <w:bCs w:val="0"/>
                <w:color w:val="auto"/>
                <w:spacing w:val="-7"/>
                <w:sz w:val="20"/>
                <w:szCs w:val="20"/>
                <w:highlight w:val="none"/>
              </w:rPr>
              <w:t>电动卷扬机</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zh-CN" w:eastAsia="en-US"/>
              </w:rPr>
            </w:pPr>
            <w:r>
              <w:rPr>
                <w:rFonts w:hint="default" w:eastAsia="宋体"/>
                <w:b w:val="0"/>
                <w:bCs w:val="0"/>
                <w:color w:val="auto"/>
                <w:sz w:val="20"/>
                <w:szCs w:val="20"/>
                <w:highlight w:val="none"/>
                <w:lang w:eastAsia="zh-CN"/>
              </w:rPr>
              <w:t>85</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65.00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58.98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52.96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49.44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45.00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28</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pacing w:val="-7"/>
                <w:kern w:val="2"/>
                <w:sz w:val="20"/>
                <w:szCs w:val="20"/>
                <w:highlight w:val="none"/>
                <w:lang w:val="en-US" w:eastAsia="en-US" w:bidi="ar-SA"/>
              </w:rPr>
            </w:pPr>
            <w:r>
              <w:rPr>
                <w:rFonts w:hint="default" w:ascii="Times New Roman" w:hAnsi="Times New Roman" w:cs="Times New Roman"/>
                <w:b w:val="0"/>
                <w:bCs w:val="0"/>
                <w:color w:val="auto"/>
                <w:spacing w:val="-7"/>
                <w:sz w:val="20"/>
                <w:szCs w:val="20"/>
                <w:highlight w:val="none"/>
              </w:rPr>
              <w:t>砼拌楼</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85</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51.02</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45.00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38.98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35.46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31.02</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6</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pacing w:val="-7"/>
                <w:kern w:val="2"/>
                <w:sz w:val="20"/>
                <w:szCs w:val="20"/>
                <w:highlight w:val="none"/>
                <w:lang w:val="en-US" w:eastAsia="en-US" w:bidi="ar-SA"/>
              </w:rPr>
            </w:pPr>
            <w:r>
              <w:rPr>
                <w:rFonts w:hint="default" w:ascii="Times New Roman" w:hAnsi="Times New Roman" w:cs="Times New Roman"/>
                <w:b w:val="0"/>
                <w:bCs w:val="0"/>
                <w:color w:val="auto"/>
                <w:spacing w:val="-7"/>
                <w:sz w:val="20"/>
                <w:szCs w:val="20"/>
                <w:highlight w:val="none"/>
              </w:rPr>
              <w:t>砼泵</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default" w:eastAsia="宋体"/>
                <w:b w:val="0"/>
                <w:bCs w:val="0"/>
                <w:color w:val="auto"/>
                <w:sz w:val="20"/>
                <w:szCs w:val="20"/>
                <w:highlight w:val="none"/>
                <w:lang w:val="en-US" w:eastAsia="zh-CN"/>
              </w:rPr>
              <w:t>88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68.00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61.98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55.96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52.44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48.00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40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pacing w:val="-7"/>
                <w:kern w:val="2"/>
                <w:sz w:val="20"/>
                <w:szCs w:val="20"/>
                <w:highlight w:val="none"/>
                <w:lang w:val="en-US" w:eastAsia="en-US" w:bidi="ar-SA"/>
              </w:rPr>
            </w:pPr>
            <w:r>
              <w:rPr>
                <w:rFonts w:hint="default" w:ascii="Times New Roman" w:hAnsi="Times New Roman" w:cs="Times New Roman"/>
                <w:b w:val="0"/>
                <w:bCs w:val="0"/>
                <w:color w:val="auto"/>
                <w:spacing w:val="-7"/>
                <w:sz w:val="20"/>
                <w:szCs w:val="20"/>
                <w:highlight w:val="none"/>
              </w:rPr>
              <w:t>移动式搅拌机</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80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46.02</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40.00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33.98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30.46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26.02</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3</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pacing w:val="-7"/>
                <w:kern w:val="2"/>
                <w:sz w:val="20"/>
                <w:szCs w:val="20"/>
                <w:highlight w:val="none"/>
                <w:lang w:val="zh-CN" w:eastAsia="en-US" w:bidi="ar-SA"/>
              </w:rPr>
            </w:pPr>
            <w:r>
              <w:rPr>
                <w:rFonts w:hint="default" w:ascii="Times New Roman" w:hAnsi="Times New Roman" w:cs="Times New Roman"/>
                <w:b w:val="0"/>
                <w:bCs w:val="0"/>
                <w:color w:val="auto"/>
                <w:spacing w:val="-7"/>
                <w:sz w:val="20"/>
                <w:szCs w:val="20"/>
                <w:highlight w:val="none"/>
              </w:rPr>
              <w:t>混凝土输送泵</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88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68.00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61.98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55.96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52.44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48.00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40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53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color w:val="auto"/>
                <w:sz w:val="20"/>
                <w:szCs w:val="20"/>
                <w:highlight w:val="none"/>
              </w:rPr>
            </w:pPr>
          </w:p>
        </w:tc>
        <w:tc>
          <w:tcPr>
            <w:tcW w:w="12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spacing w:val="-7"/>
                <w:kern w:val="2"/>
                <w:sz w:val="20"/>
                <w:szCs w:val="20"/>
                <w:highlight w:val="none"/>
                <w:lang w:val="en-US" w:eastAsia="zh-CN" w:bidi="ar-SA"/>
              </w:rPr>
            </w:pPr>
            <w:r>
              <w:rPr>
                <w:rFonts w:hint="eastAsia" w:ascii="Times New Roman" w:hAnsi="Times New Roman" w:cs="Times New Roman"/>
                <w:b w:val="0"/>
                <w:bCs w:val="0"/>
                <w:color w:val="auto"/>
                <w:spacing w:val="-7"/>
                <w:sz w:val="20"/>
                <w:szCs w:val="20"/>
                <w:highlight w:val="none"/>
                <w:lang w:eastAsia="zh-CN"/>
              </w:rPr>
              <w:t>振捣器</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80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46.02</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40.00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33.98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30.46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26.02</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3</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auto"/>
                <w:sz w:val="20"/>
                <w:szCs w:val="20"/>
                <w:highlight w:val="none"/>
                <w:lang w:eastAsia="zh-CN"/>
              </w:rPr>
            </w:pPr>
          </w:p>
        </w:tc>
        <w:tc>
          <w:tcPr>
            <w:tcW w:w="535"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eastAsia"/>
                <w:b w:val="0"/>
                <w:bCs w:val="0"/>
                <w:color w:val="auto"/>
                <w:sz w:val="20"/>
                <w:szCs w:val="20"/>
                <w:highlight w:val="none"/>
                <w:lang w:eastAsia="zh-CN"/>
              </w:rPr>
              <w:t>运输机械</w:t>
            </w:r>
          </w:p>
        </w:tc>
        <w:tc>
          <w:tcPr>
            <w:tcW w:w="12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spacing w:val="-7"/>
                <w:kern w:val="2"/>
                <w:sz w:val="20"/>
                <w:szCs w:val="20"/>
                <w:highlight w:val="none"/>
                <w:lang w:val="en-US" w:eastAsia="zh-CN" w:bidi="ar-SA"/>
              </w:rPr>
            </w:pPr>
            <w:r>
              <w:rPr>
                <w:rFonts w:hint="default" w:ascii="Times New Roman" w:hAnsi="Times New Roman" w:cs="Times New Roman"/>
                <w:b w:val="0"/>
                <w:bCs w:val="0"/>
                <w:color w:val="auto"/>
                <w:spacing w:val="-7"/>
                <w:sz w:val="20"/>
                <w:szCs w:val="20"/>
                <w:highlight w:val="none"/>
              </w:rPr>
              <w:t>自卸汽车</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default" w:eastAsia="宋体"/>
                <w:b w:val="0"/>
                <w:bCs w:val="0"/>
                <w:color w:val="auto"/>
                <w:sz w:val="20"/>
                <w:szCs w:val="20"/>
                <w:highlight w:val="none"/>
                <w:lang w:eastAsia="zh-CN"/>
              </w:rPr>
              <w:t>82</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62.00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55.98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49.96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46.44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42.00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20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p>
        </w:tc>
        <w:tc>
          <w:tcPr>
            <w:tcW w:w="53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p>
        </w:tc>
        <w:tc>
          <w:tcPr>
            <w:tcW w:w="12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spacing w:val="-7"/>
                <w:kern w:val="2"/>
                <w:sz w:val="20"/>
                <w:szCs w:val="20"/>
                <w:highlight w:val="none"/>
                <w:lang w:val="en-US" w:eastAsia="zh-CN" w:bidi="ar-SA"/>
              </w:rPr>
            </w:pPr>
            <w:r>
              <w:rPr>
                <w:rFonts w:hint="default" w:ascii="Times New Roman" w:hAnsi="Times New Roman" w:cs="Times New Roman"/>
                <w:b w:val="0"/>
                <w:bCs w:val="0"/>
                <w:color w:val="auto"/>
                <w:spacing w:val="-7"/>
                <w:sz w:val="20"/>
                <w:szCs w:val="20"/>
                <w:highlight w:val="none"/>
              </w:rPr>
              <w:t>砼搅拌运输车</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en-US"/>
              </w:rPr>
            </w:pPr>
            <w:r>
              <w:rPr>
                <w:rFonts w:hint="default" w:eastAsia="宋体"/>
                <w:b w:val="0"/>
                <w:bCs w:val="0"/>
                <w:color w:val="auto"/>
                <w:sz w:val="20"/>
                <w:szCs w:val="20"/>
                <w:highlight w:val="none"/>
                <w:lang w:eastAsia="zh-CN"/>
              </w:rPr>
              <w:t>82</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62.00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55.98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49.96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46.44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42.00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20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p>
        </w:tc>
        <w:tc>
          <w:tcPr>
            <w:tcW w:w="53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p>
        </w:tc>
        <w:tc>
          <w:tcPr>
            <w:tcW w:w="12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spacing w:val="-7"/>
                <w:kern w:val="2"/>
                <w:sz w:val="20"/>
                <w:szCs w:val="20"/>
                <w:highlight w:val="none"/>
                <w:lang w:val="zh-CN" w:eastAsia="zh-CN" w:bidi="ar-SA"/>
              </w:rPr>
            </w:pPr>
            <w:r>
              <w:rPr>
                <w:rFonts w:hint="default" w:ascii="Times New Roman" w:hAnsi="Times New Roman" w:cs="Times New Roman"/>
                <w:b w:val="0"/>
                <w:bCs w:val="0"/>
                <w:color w:val="auto"/>
                <w:spacing w:val="-7"/>
                <w:sz w:val="20"/>
                <w:szCs w:val="20"/>
                <w:highlight w:val="none"/>
              </w:rPr>
              <w:t>载</w:t>
            </w:r>
            <w:r>
              <w:rPr>
                <w:rFonts w:hint="eastAsia" w:ascii="Times New Roman" w:hAnsi="Times New Roman" w:cs="Times New Roman"/>
                <w:b w:val="0"/>
                <w:bCs w:val="0"/>
                <w:color w:val="auto"/>
                <w:spacing w:val="-7"/>
                <w:sz w:val="20"/>
                <w:szCs w:val="20"/>
                <w:highlight w:val="none"/>
                <w:lang w:eastAsia="zh-CN"/>
              </w:rPr>
              <w:t>重</w:t>
            </w:r>
            <w:r>
              <w:rPr>
                <w:rFonts w:hint="default" w:ascii="Times New Roman" w:hAnsi="Times New Roman" w:cs="Times New Roman"/>
                <w:b w:val="0"/>
                <w:bCs w:val="0"/>
                <w:color w:val="auto"/>
                <w:spacing w:val="-7"/>
                <w:sz w:val="20"/>
                <w:szCs w:val="20"/>
                <w:highlight w:val="none"/>
              </w:rPr>
              <w:t>汽车</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zh-CN" w:eastAsia="zh-CN"/>
              </w:rPr>
            </w:pPr>
            <w:r>
              <w:rPr>
                <w:rFonts w:hint="eastAsia" w:eastAsia="宋体"/>
                <w:b w:val="0"/>
                <w:bCs w:val="0"/>
                <w:color w:val="auto"/>
                <w:sz w:val="20"/>
                <w:szCs w:val="20"/>
                <w:highlight w:val="none"/>
                <w:lang w:val="en-US" w:eastAsia="zh-CN"/>
              </w:rPr>
              <w:t>82</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62.00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55.98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49.96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46.44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42.00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20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p>
        </w:tc>
        <w:tc>
          <w:tcPr>
            <w:tcW w:w="53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p>
        </w:tc>
        <w:tc>
          <w:tcPr>
            <w:tcW w:w="12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spacing w:val="-7"/>
                <w:kern w:val="2"/>
                <w:sz w:val="20"/>
                <w:szCs w:val="20"/>
                <w:highlight w:val="none"/>
                <w:lang w:val="zh-CN" w:eastAsia="zh-CN" w:bidi="ar-SA"/>
              </w:rPr>
            </w:pPr>
            <w:r>
              <w:rPr>
                <w:rFonts w:hint="eastAsia" w:ascii="Times New Roman" w:hAnsi="Times New Roman" w:cs="Times New Roman"/>
                <w:b w:val="0"/>
                <w:bCs w:val="0"/>
                <w:color w:val="auto"/>
                <w:spacing w:val="-7"/>
                <w:sz w:val="20"/>
                <w:szCs w:val="20"/>
                <w:highlight w:val="none"/>
                <w:lang w:eastAsia="zh-CN"/>
              </w:rPr>
              <w:t>施工船舶</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zh-CN" w:eastAsia="en-US"/>
              </w:rPr>
            </w:pPr>
            <w:r>
              <w:rPr>
                <w:rFonts w:hint="default" w:eastAsia="宋体"/>
                <w:b w:val="0"/>
                <w:bCs w:val="0"/>
                <w:color w:val="auto"/>
                <w:sz w:val="20"/>
                <w:szCs w:val="20"/>
                <w:highlight w:val="none"/>
                <w:lang w:val="zh-CN" w:eastAsia="zh-CN"/>
              </w:rPr>
              <w:t>65</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54.54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48.52</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42.50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38.98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34.54</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8</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pacing w:val="-7"/>
                <w:sz w:val="20"/>
                <w:szCs w:val="20"/>
                <w:highlight w:val="none"/>
                <w:lang w:eastAsia="zh-CN"/>
              </w:rPr>
            </w:pPr>
          </w:p>
        </w:tc>
        <w:tc>
          <w:tcPr>
            <w:tcW w:w="535"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eastAsia" w:ascii="Times New Roman" w:hAnsi="Times New Roman" w:cs="Times New Roman"/>
                <w:b w:val="0"/>
                <w:bCs w:val="0"/>
                <w:color w:val="auto"/>
                <w:spacing w:val="-7"/>
                <w:sz w:val="20"/>
                <w:szCs w:val="20"/>
                <w:highlight w:val="none"/>
                <w:lang w:eastAsia="zh-CN"/>
              </w:rPr>
              <w:t>供水供电设备</w:t>
            </w:r>
          </w:p>
        </w:tc>
        <w:tc>
          <w:tcPr>
            <w:tcW w:w="12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spacing w:val="-7"/>
                <w:kern w:val="2"/>
                <w:sz w:val="20"/>
                <w:szCs w:val="20"/>
                <w:highlight w:val="none"/>
                <w:lang w:val="en-US" w:eastAsia="zh-CN" w:bidi="ar-SA"/>
              </w:rPr>
            </w:pPr>
            <w:r>
              <w:rPr>
                <w:rFonts w:hint="default" w:ascii="Times New Roman" w:hAnsi="Times New Roman" w:cs="Times New Roman"/>
                <w:b w:val="0"/>
                <w:bCs w:val="0"/>
                <w:color w:val="auto"/>
                <w:spacing w:val="-7"/>
                <w:sz w:val="20"/>
                <w:szCs w:val="20"/>
                <w:highlight w:val="none"/>
              </w:rPr>
              <w:t>潜水泵</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80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default" w:eastAsia="宋体"/>
                <w:b w:val="0"/>
                <w:bCs w:val="0"/>
                <w:color w:val="auto"/>
                <w:sz w:val="20"/>
                <w:szCs w:val="20"/>
                <w:highlight w:val="none"/>
                <w:lang w:val="en-US" w:eastAsia="zh-CN"/>
              </w:rPr>
              <w:t>46.02</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40.00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33.98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30.46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26.02</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3</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p>
        </w:tc>
        <w:tc>
          <w:tcPr>
            <w:tcW w:w="53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p>
        </w:tc>
        <w:tc>
          <w:tcPr>
            <w:tcW w:w="12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spacing w:val="-7"/>
                <w:kern w:val="2"/>
                <w:sz w:val="20"/>
                <w:szCs w:val="20"/>
                <w:highlight w:val="none"/>
                <w:lang w:val="en-US" w:eastAsia="zh-CN" w:bidi="ar-SA"/>
              </w:rPr>
            </w:pPr>
            <w:r>
              <w:rPr>
                <w:rFonts w:hint="default" w:ascii="Times New Roman" w:hAnsi="Times New Roman" w:cs="Times New Roman"/>
                <w:b w:val="0"/>
                <w:bCs w:val="0"/>
                <w:color w:val="auto"/>
                <w:spacing w:val="-7"/>
                <w:sz w:val="20"/>
                <w:szCs w:val="20"/>
                <w:highlight w:val="none"/>
              </w:rPr>
              <w:t>离心泵</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zh-CN" w:eastAsia="en-US"/>
              </w:rPr>
            </w:pPr>
            <w:r>
              <w:rPr>
                <w:rFonts w:hint="eastAsia" w:eastAsia="宋体"/>
                <w:b w:val="0"/>
                <w:bCs w:val="0"/>
                <w:color w:val="auto"/>
                <w:sz w:val="20"/>
                <w:szCs w:val="20"/>
                <w:highlight w:val="none"/>
                <w:lang w:val="en-US" w:eastAsia="zh-CN"/>
              </w:rPr>
              <w:t>80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46.02</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40.00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33.98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30.46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26.02</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3</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p>
        </w:tc>
        <w:tc>
          <w:tcPr>
            <w:tcW w:w="53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p>
        </w:tc>
        <w:tc>
          <w:tcPr>
            <w:tcW w:w="1283" w:type="dxa"/>
            <w:vAlign w:val="center"/>
          </w:tcPr>
          <w:p>
            <w:pPr>
              <w:pStyle w:val="23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spacing w:val="-7"/>
                <w:kern w:val="2"/>
                <w:sz w:val="20"/>
                <w:szCs w:val="20"/>
                <w:highlight w:val="none"/>
                <w:lang w:val="en-US" w:eastAsia="zh-CN" w:bidi="ar-SA"/>
              </w:rPr>
            </w:pPr>
            <w:r>
              <w:rPr>
                <w:rFonts w:hint="default" w:ascii="Times New Roman" w:hAnsi="Times New Roman" w:cs="Times New Roman"/>
                <w:b w:val="0"/>
                <w:bCs w:val="0"/>
                <w:color w:val="auto"/>
                <w:spacing w:val="-7"/>
                <w:sz w:val="20"/>
                <w:szCs w:val="20"/>
                <w:highlight w:val="none"/>
              </w:rPr>
              <w:t>柴油发电机</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95</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75.00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default" w:eastAsia="宋体"/>
                <w:b w:val="0"/>
                <w:bCs w:val="0"/>
                <w:color w:val="auto"/>
                <w:sz w:val="20"/>
                <w:szCs w:val="20"/>
                <w:highlight w:val="none"/>
                <w:lang w:val="en-US" w:eastAsia="zh-CN"/>
              </w:rPr>
              <w:t>68.98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62.96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59.44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kern w:val="2"/>
                <w:sz w:val="20"/>
                <w:szCs w:val="20"/>
                <w:highlight w:val="none"/>
                <w:lang w:val="en-US" w:eastAsia="zh-CN" w:bidi="ar-SA"/>
              </w:rPr>
            </w:pPr>
            <w:r>
              <w:rPr>
                <w:rFonts w:hint="default" w:eastAsia="宋体"/>
                <w:b w:val="0"/>
                <w:bCs w:val="0"/>
                <w:color w:val="auto"/>
                <w:sz w:val="20"/>
                <w:szCs w:val="20"/>
                <w:highlight w:val="none"/>
                <w:lang w:val="en-US" w:eastAsia="zh-CN"/>
              </w:rPr>
              <w:t>55.00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89</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val="0"/>
                <w:color w:val="auto"/>
                <w:sz w:val="20"/>
                <w:szCs w:val="20"/>
                <w:highlight w:val="none"/>
                <w:lang w:val="en-US" w:eastAsia="zh-CN"/>
              </w:rPr>
            </w:pPr>
            <w:r>
              <w:rPr>
                <w:rFonts w:hint="eastAsia" w:eastAsia="宋体"/>
                <w:b w:val="0"/>
                <w:bCs w:val="0"/>
                <w:color w:val="auto"/>
                <w:sz w:val="20"/>
                <w:szCs w:val="20"/>
                <w:highlight w:val="none"/>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36" w:type="dxa"/>
            <w:gridSpan w:val="2"/>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eastAsia"/>
                <w:b w:val="0"/>
                <w:bCs w:val="0"/>
                <w:color w:val="auto"/>
                <w:sz w:val="20"/>
                <w:szCs w:val="20"/>
                <w:highlight w:val="none"/>
                <w:lang w:eastAsia="zh-CN"/>
              </w:rPr>
              <w:t>航道疏浚</w:t>
            </w:r>
          </w:p>
        </w:tc>
        <w:tc>
          <w:tcPr>
            <w:tcW w:w="1283" w:type="dxa"/>
            <w:vAlign w:val="center"/>
          </w:tcPr>
          <w:p>
            <w:pPr>
              <w:widowControl/>
              <w:adjustRightInd w:val="0"/>
              <w:snapToGrid w:val="0"/>
              <w:spacing w:line="320" w:lineRule="exact"/>
              <w:ind w:firstLine="0" w:firstLineChars="0"/>
              <w:jc w:val="center"/>
              <w:rPr>
                <w:rFonts w:hint="default"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rPr>
              <w:t>钻孔清礁船</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90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70.00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63.98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57.96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54.44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50.00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50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281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36" w:type="dxa"/>
            <w:gridSpan w:val="2"/>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p>
        </w:tc>
        <w:tc>
          <w:tcPr>
            <w:tcW w:w="1283" w:type="dxa"/>
            <w:vAlign w:val="center"/>
          </w:tcPr>
          <w:p>
            <w:pPr>
              <w:widowControl/>
              <w:adjustRightInd w:val="0"/>
              <w:snapToGrid w:val="0"/>
              <w:spacing w:line="320" w:lineRule="exact"/>
              <w:ind w:firstLine="0" w:firstLineChars="0"/>
              <w:jc w:val="center"/>
              <w:rPr>
                <w:rFonts w:hint="default"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rPr>
              <w:t>泥驳、铁驳</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15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65</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54.54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48.52</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42.50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38.98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34.54</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8</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36" w:type="dxa"/>
            <w:gridSpan w:val="2"/>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p>
        </w:tc>
        <w:tc>
          <w:tcPr>
            <w:tcW w:w="1283" w:type="dxa"/>
            <w:vAlign w:val="center"/>
          </w:tcPr>
          <w:p>
            <w:pPr>
              <w:widowControl/>
              <w:adjustRightInd w:val="0"/>
              <w:snapToGrid w:val="0"/>
              <w:spacing w:line="320" w:lineRule="exact"/>
              <w:ind w:firstLine="0" w:firstLineChars="0"/>
              <w:jc w:val="center"/>
              <w:rPr>
                <w:rFonts w:hint="default"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rPr>
              <w:t>挖泥船</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15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65</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54.54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48.52</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42.50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38.98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34.54</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8</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36" w:type="dxa"/>
            <w:gridSpan w:val="2"/>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r>
              <w:rPr>
                <w:rFonts w:hint="eastAsia"/>
                <w:b w:val="0"/>
                <w:bCs w:val="0"/>
                <w:color w:val="auto"/>
                <w:sz w:val="20"/>
                <w:szCs w:val="20"/>
                <w:highlight w:val="none"/>
                <w:lang w:eastAsia="zh-CN"/>
              </w:rPr>
              <w:t>临时弃渣场</w:t>
            </w:r>
          </w:p>
        </w:tc>
        <w:tc>
          <w:tcPr>
            <w:tcW w:w="1283" w:type="dxa"/>
            <w:vAlign w:val="center"/>
          </w:tcPr>
          <w:p>
            <w:pPr>
              <w:widowControl/>
              <w:adjustRightInd w:val="0"/>
              <w:snapToGrid w:val="0"/>
              <w:spacing w:line="320" w:lineRule="exact"/>
              <w:ind w:firstLine="0" w:firstLineChars="0"/>
              <w:jc w:val="center"/>
              <w:rPr>
                <w:rFonts w:hint="default" w:ascii="Times New Roman" w:hAnsi="Times New Roman" w:eastAsia="宋体" w:cs="Times New Roman"/>
                <w:color w:val="auto"/>
                <w:kern w:val="2"/>
                <w:sz w:val="20"/>
                <w:szCs w:val="20"/>
                <w:highlight w:val="none"/>
                <w:lang w:val="en-US" w:eastAsia="zh-CN" w:bidi="ar-SA"/>
              </w:rPr>
            </w:pPr>
            <w:r>
              <w:rPr>
                <w:rFonts w:hint="eastAsia"/>
                <w:color w:val="auto"/>
                <w:sz w:val="20"/>
                <w:szCs w:val="20"/>
                <w:highlight w:val="none"/>
                <w:lang w:eastAsia="zh-CN"/>
              </w:rPr>
              <w:t>载重汽车</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82</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62.00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55.98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49.96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46.44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42.00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20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36" w:type="dxa"/>
            <w:gridSpan w:val="2"/>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p>
        </w:tc>
        <w:tc>
          <w:tcPr>
            <w:tcW w:w="1283" w:type="dxa"/>
            <w:vAlign w:val="center"/>
          </w:tcPr>
          <w:p>
            <w:pPr>
              <w:widowControl/>
              <w:adjustRightInd w:val="0"/>
              <w:snapToGrid w:val="0"/>
              <w:spacing w:line="320" w:lineRule="exact"/>
              <w:ind w:firstLine="0" w:firstLineChars="0"/>
              <w:jc w:val="center"/>
              <w:rPr>
                <w:rFonts w:hint="default" w:ascii="Times New Roman" w:hAnsi="Times New Roman" w:eastAsia="宋体" w:cs="Times New Roman"/>
                <w:color w:val="auto"/>
                <w:kern w:val="2"/>
                <w:sz w:val="20"/>
                <w:szCs w:val="20"/>
                <w:highlight w:val="none"/>
                <w:lang w:val="en-US" w:eastAsia="zh-CN" w:bidi="ar-SA"/>
              </w:rPr>
            </w:pPr>
            <w:r>
              <w:rPr>
                <w:color w:val="auto"/>
                <w:sz w:val="20"/>
                <w:szCs w:val="20"/>
                <w:highlight w:val="none"/>
              </w:rPr>
              <w:t>挖掘机</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82</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62.00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55.98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49.96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46.44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42.00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20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36" w:type="dxa"/>
            <w:gridSpan w:val="2"/>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p>
        </w:tc>
        <w:tc>
          <w:tcPr>
            <w:tcW w:w="1283" w:type="dxa"/>
            <w:vAlign w:val="center"/>
          </w:tcPr>
          <w:p>
            <w:pPr>
              <w:widowControl/>
              <w:adjustRightInd w:val="0"/>
              <w:snapToGrid w:val="0"/>
              <w:spacing w:line="320" w:lineRule="exact"/>
              <w:ind w:firstLine="0" w:firstLineChars="0"/>
              <w:jc w:val="center"/>
              <w:rPr>
                <w:rFonts w:hint="default" w:ascii="Times New Roman" w:hAnsi="Times New Roman" w:eastAsia="宋体" w:cs="Times New Roman"/>
                <w:color w:val="auto"/>
                <w:kern w:val="2"/>
                <w:sz w:val="20"/>
                <w:szCs w:val="20"/>
                <w:highlight w:val="none"/>
                <w:lang w:val="en-US" w:eastAsia="zh-CN" w:bidi="ar-SA"/>
              </w:rPr>
            </w:pPr>
            <w:r>
              <w:rPr>
                <w:color w:val="auto"/>
                <w:sz w:val="20"/>
                <w:szCs w:val="20"/>
                <w:highlight w:val="none"/>
              </w:rPr>
              <w:t>装载机</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82</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62.00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55.98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49.96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46.44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42.00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20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36" w:type="dxa"/>
            <w:gridSpan w:val="2"/>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color w:val="auto"/>
                <w:sz w:val="20"/>
                <w:szCs w:val="20"/>
                <w:highlight w:val="none"/>
                <w:lang w:eastAsia="zh-CN"/>
              </w:rPr>
            </w:pPr>
          </w:p>
        </w:tc>
        <w:tc>
          <w:tcPr>
            <w:tcW w:w="1283" w:type="dxa"/>
            <w:vAlign w:val="center"/>
          </w:tcPr>
          <w:p>
            <w:pPr>
              <w:widowControl/>
              <w:adjustRightInd w:val="0"/>
              <w:snapToGrid w:val="0"/>
              <w:spacing w:line="320" w:lineRule="exact"/>
              <w:ind w:firstLine="0" w:firstLineChars="0"/>
              <w:jc w:val="center"/>
              <w:rPr>
                <w:rFonts w:hint="default" w:ascii="Times New Roman" w:hAnsi="Times New Roman" w:eastAsia="宋体" w:cs="Times New Roman"/>
                <w:color w:val="auto"/>
                <w:kern w:val="2"/>
                <w:sz w:val="20"/>
                <w:szCs w:val="20"/>
                <w:highlight w:val="none"/>
                <w:lang w:val="en-US" w:eastAsia="zh-CN" w:bidi="ar-SA"/>
              </w:rPr>
            </w:pPr>
            <w:r>
              <w:rPr>
                <w:color w:val="auto"/>
                <w:sz w:val="20"/>
                <w:szCs w:val="20"/>
                <w:highlight w:val="none"/>
              </w:rPr>
              <w:t>推土机</w:t>
            </w:r>
          </w:p>
        </w:tc>
        <w:tc>
          <w:tcPr>
            <w:tcW w:w="65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5</w:t>
            </w:r>
          </w:p>
        </w:tc>
        <w:tc>
          <w:tcPr>
            <w:tcW w:w="57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83</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63.00</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56.98</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50.96</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47.44</w:t>
            </w:r>
          </w:p>
        </w:tc>
        <w:tc>
          <w:tcPr>
            <w:tcW w:w="69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0"/>
                <w:szCs w:val="20"/>
                <w:highlight w:val="none"/>
                <w:lang w:val="en-US" w:eastAsia="zh-CN"/>
              </w:rPr>
            </w:pPr>
            <w:r>
              <w:rPr>
                <w:rFonts w:hint="default" w:ascii="Times New Roman" w:hAnsi="Times New Roman" w:eastAsia="宋体" w:cs="Times New Roman"/>
                <w:b w:val="0"/>
                <w:bCs w:val="0"/>
                <w:color w:val="auto"/>
                <w:sz w:val="20"/>
                <w:szCs w:val="20"/>
                <w:highlight w:val="none"/>
                <w:lang w:val="en-US" w:eastAsia="zh-CN"/>
              </w:rPr>
              <w:t>43.00</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22</w:t>
            </w:r>
          </w:p>
        </w:tc>
        <w:tc>
          <w:tcPr>
            <w:tcW w:w="7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0"/>
                <w:szCs w:val="20"/>
                <w:highlight w:val="none"/>
                <w:lang w:val="en-US" w:eastAsia="zh-CN"/>
              </w:rPr>
            </w:pPr>
            <w:r>
              <w:rPr>
                <w:rFonts w:hint="eastAsia" w:ascii="Times New Roman" w:hAnsi="Times New Roman" w:eastAsia="宋体" w:cs="Times New Roman"/>
                <w:b w:val="0"/>
                <w:bCs w:val="0"/>
                <w:color w:val="auto"/>
                <w:sz w:val="20"/>
                <w:szCs w:val="20"/>
                <w:highlight w:val="none"/>
                <w:lang w:val="en-US" w:eastAsia="zh-CN"/>
              </w:rPr>
              <w:t>126</w:t>
            </w:r>
          </w:p>
        </w:tc>
      </w:tr>
    </w:tbl>
    <w:p>
      <w:pPr>
        <w:snapToGrid w:val="0"/>
        <w:spacing w:line="240" w:lineRule="auto"/>
        <w:ind w:firstLine="520" w:firstLineChars="200"/>
        <w:rPr>
          <w:rFonts w:hint="eastAsia"/>
          <w:color w:val="auto"/>
          <w:kern w:val="10"/>
          <w:szCs w:val="24"/>
          <w:highlight w:val="none"/>
          <w:lang w:eastAsia="zh-CN"/>
        </w:rPr>
      </w:pPr>
    </w:p>
    <w:p>
      <w:pPr>
        <w:snapToGrid w:val="0"/>
        <w:spacing w:line="460" w:lineRule="exact"/>
        <w:ind w:firstLine="520" w:firstLineChars="200"/>
        <w:rPr>
          <w:rFonts w:hint="eastAsia"/>
          <w:color w:val="auto"/>
          <w:kern w:val="10"/>
          <w:szCs w:val="24"/>
          <w:highlight w:val="none"/>
          <w:lang w:eastAsia="zh-CN"/>
        </w:rPr>
      </w:pPr>
      <w:r>
        <w:rPr>
          <w:rFonts w:hint="eastAsia"/>
          <w:color w:val="auto"/>
          <w:kern w:val="10"/>
          <w:szCs w:val="24"/>
          <w:highlight w:val="none"/>
          <w:lang w:eastAsia="zh-CN"/>
        </w:rPr>
        <w:t>由于项目施工期施工设备较多，存在一定的叠加影响，达标距离可能更远，且多为非固定声源，当施工设备临近厂界处施工时，可能会导致</w:t>
      </w:r>
      <w:r>
        <w:rPr>
          <w:rFonts w:hint="eastAsia"/>
          <w:color w:val="auto"/>
          <w:kern w:val="10"/>
          <w:szCs w:val="24"/>
          <w:highlight w:val="none"/>
          <w:shd w:val="clear" w:fill="FFFFFF"/>
          <w:lang w:eastAsia="zh-CN"/>
        </w:rPr>
        <w:t>场</w:t>
      </w:r>
      <w:r>
        <w:rPr>
          <w:rFonts w:hint="eastAsia"/>
          <w:color w:val="auto"/>
          <w:kern w:val="10"/>
          <w:szCs w:val="24"/>
          <w:highlight w:val="none"/>
          <w:lang w:eastAsia="zh-CN"/>
        </w:rPr>
        <w:t>界噪声超标。</w:t>
      </w:r>
      <w:r>
        <w:rPr>
          <w:rFonts w:hint="eastAsia"/>
          <w:color w:val="auto"/>
          <w:kern w:val="10"/>
          <w:szCs w:val="24"/>
          <w:highlight w:val="none"/>
          <w:shd w:val="clear" w:fill="FFFFFF"/>
          <w:lang w:eastAsia="zh-CN"/>
        </w:rPr>
        <w:t>但</w:t>
      </w:r>
      <w:r>
        <w:rPr>
          <w:rFonts w:hint="eastAsia"/>
          <w:color w:val="auto"/>
          <w:kern w:val="10"/>
          <w:szCs w:val="24"/>
          <w:highlight w:val="none"/>
          <w:lang w:eastAsia="zh-CN"/>
        </w:rPr>
        <w:t>上述设备</w:t>
      </w:r>
      <w:r>
        <w:rPr>
          <w:rFonts w:hint="eastAsia"/>
          <w:color w:val="auto"/>
          <w:kern w:val="10"/>
          <w:szCs w:val="24"/>
          <w:highlight w:val="none"/>
          <w:shd w:val="clear" w:fill="FFFFFF"/>
          <w:lang w:eastAsia="zh-CN"/>
        </w:rPr>
        <w:t>使用</w:t>
      </w:r>
      <w:r>
        <w:rPr>
          <w:rFonts w:hint="eastAsia"/>
          <w:color w:val="auto"/>
          <w:kern w:val="10"/>
          <w:szCs w:val="24"/>
          <w:highlight w:val="none"/>
          <w:lang w:eastAsia="zh-CN"/>
        </w:rPr>
        <w:t>时间较短，不会造成持续影响。</w:t>
      </w:r>
    </w:p>
    <w:p>
      <w:pPr>
        <w:bidi w:val="0"/>
        <w:rPr>
          <w:color w:val="auto"/>
          <w:highlight w:val="none"/>
        </w:rPr>
      </w:pPr>
      <w:r>
        <w:rPr>
          <w:rFonts w:hint="eastAsia"/>
          <w:color w:val="auto"/>
          <w:kern w:val="10"/>
          <w:szCs w:val="24"/>
          <w:highlight w:val="none"/>
          <w:lang w:eastAsia="zh-CN"/>
        </w:rPr>
        <w:t>此外，工程土石方</w:t>
      </w:r>
      <w:r>
        <w:rPr>
          <w:color w:val="auto"/>
          <w:kern w:val="10"/>
          <w:szCs w:val="24"/>
          <w:highlight w:val="none"/>
        </w:rPr>
        <w:t>开挖施工过程中有爆破活动，爆破噪声具有短时、定时、定点的特征。爆破噪声源为1</w:t>
      </w:r>
      <w:r>
        <w:rPr>
          <w:color w:val="auto"/>
          <w:highlight w:val="none"/>
        </w:rPr>
        <w:t>25dB，距离声源</w:t>
      </w:r>
      <w:r>
        <w:rPr>
          <w:rFonts w:hint="eastAsia"/>
          <w:color w:val="auto"/>
          <w:highlight w:val="none"/>
          <w:lang w:val="en-US" w:eastAsia="zh-CN"/>
        </w:rPr>
        <w:t>3.5k</w:t>
      </w:r>
      <w:r>
        <w:rPr>
          <w:color w:val="auto"/>
          <w:highlight w:val="none"/>
        </w:rPr>
        <w:t>m</w:t>
      </w:r>
      <w:r>
        <w:rPr>
          <w:rFonts w:hint="eastAsia"/>
          <w:color w:val="auto"/>
          <w:highlight w:val="none"/>
        </w:rPr>
        <w:t>左右</w:t>
      </w:r>
      <w:r>
        <w:rPr>
          <w:color w:val="auto"/>
          <w:highlight w:val="none"/>
        </w:rPr>
        <w:t>处</w:t>
      </w:r>
      <w:r>
        <w:rPr>
          <w:rFonts w:hint="eastAsia"/>
          <w:color w:val="auto"/>
          <w:highlight w:val="none"/>
        </w:rPr>
        <w:t>才基本衰减</w:t>
      </w:r>
      <w:r>
        <w:rPr>
          <w:color w:val="auto"/>
          <w:highlight w:val="none"/>
        </w:rPr>
        <w:t>达到</w:t>
      </w:r>
      <w:r>
        <w:rPr>
          <w:rFonts w:hint="eastAsia"/>
          <w:color w:val="auto"/>
          <w:highlight w:val="none"/>
        </w:rPr>
        <w:t>声环境质量标准，因此，</w:t>
      </w:r>
      <w:r>
        <w:rPr>
          <w:rFonts w:hint="eastAsia"/>
          <w:color w:val="auto"/>
          <w:highlight w:val="none"/>
          <w:lang w:eastAsia="zh-CN"/>
        </w:rPr>
        <w:t>项目</w:t>
      </w:r>
      <w:r>
        <w:rPr>
          <w:rFonts w:hint="eastAsia"/>
          <w:color w:val="auto"/>
          <w:highlight w:val="none"/>
        </w:rPr>
        <w:t>附近的各居民点</w:t>
      </w:r>
      <w:r>
        <w:rPr>
          <w:rFonts w:hint="eastAsia"/>
          <w:color w:val="auto"/>
          <w:highlight w:val="none"/>
          <w:lang w:eastAsia="zh-CN"/>
        </w:rPr>
        <w:t>一定程度上</w:t>
      </w:r>
      <w:r>
        <w:rPr>
          <w:rFonts w:hint="eastAsia"/>
          <w:color w:val="auto"/>
          <w:highlight w:val="none"/>
        </w:rPr>
        <w:t>均会</w:t>
      </w:r>
      <w:r>
        <w:rPr>
          <w:rFonts w:hint="eastAsia"/>
          <w:color w:val="auto"/>
          <w:highlight w:val="none"/>
          <w:lang w:eastAsia="zh-CN"/>
        </w:rPr>
        <w:t>受</w:t>
      </w:r>
      <w:r>
        <w:rPr>
          <w:rFonts w:hint="eastAsia"/>
          <w:color w:val="auto"/>
          <w:highlight w:val="none"/>
        </w:rPr>
        <w:t>到施工爆破噪声的影响</w:t>
      </w:r>
      <w:r>
        <w:rPr>
          <w:color w:val="auto"/>
          <w:highlight w:val="none"/>
        </w:rPr>
        <w:t>。</w:t>
      </w:r>
      <w:r>
        <w:rPr>
          <w:rFonts w:hint="eastAsia"/>
          <w:color w:val="auto"/>
          <w:highlight w:val="none"/>
        </w:rPr>
        <w:t>但</w:t>
      </w:r>
      <w:r>
        <w:rPr>
          <w:color w:val="auto"/>
          <w:highlight w:val="none"/>
        </w:rPr>
        <w:t>爆破的时段很短，时间固定，爆炸</w:t>
      </w:r>
      <w:r>
        <w:rPr>
          <w:rFonts w:hint="eastAsia"/>
          <w:color w:val="auto"/>
          <w:highlight w:val="none"/>
          <w:shd w:val="clear" w:fill="FFFFFF"/>
          <w:lang w:eastAsia="zh-CN"/>
        </w:rPr>
        <w:t>完成</w:t>
      </w:r>
      <w:r>
        <w:rPr>
          <w:color w:val="auto"/>
          <w:highlight w:val="none"/>
        </w:rPr>
        <w:t>后噪声即消失，因此，在规划好爆破方案，安排好爆破时间</w:t>
      </w:r>
      <w:r>
        <w:rPr>
          <w:rFonts w:hint="eastAsia"/>
          <w:color w:val="auto"/>
          <w:highlight w:val="none"/>
        </w:rPr>
        <w:t>，做好提前告知和沟通</w:t>
      </w:r>
      <w:r>
        <w:rPr>
          <w:color w:val="auto"/>
          <w:highlight w:val="none"/>
        </w:rPr>
        <w:t>的前提下，</w:t>
      </w:r>
      <w:r>
        <w:rPr>
          <w:rFonts w:hint="eastAsia"/>
          <w:color w:val="auto"/>
          <w:highlight w:val="none"/>
          <w:lang w:eastAsia="zh-CN"/>
        </w:rPr>
        <w:t>工程周边各</w:t>
      </w:r>
      <w:r>
        <w:rPr>
          <w:color w:val="auto"/>
          <w:highlight w:val="none"/>
        </w:rPr>
        <w:t>居民点受爆破噪声影响的程度有限。</w:t>
      </w:r>
    </w:p>
    <w:p>
      <w:pPr>
        <w:bidi w:val="0"/>
        <w:rPr>
          <w:rFonts w:hint="eastAsia"/>
          <w:color w:val="auto"/>
          <w:highlight w:val="none"/>
          <w:lang w:val="en-US" w:eastAsia="zh-CN"/>
        </w:rPr>
      </w:pPr>
      <w:r>
        <w:rPr>
          <w:rFonts w:hint="eastAsia"/>
          <w:color w:val="auto"/>
          <w:highlight w:val="none"/>
          <w:lang w:val="en-US" w:eastAsia="zh-CN"/>
        </w:rPr>
        <w:t>（3）施工对周边敏感点</w:t>
      </w:r>
      <w:r>
        <w:rPr>
          <w:rFonts w:hint="eastAsia"/>
          <w:color w:val="auto"/>
          <w:highlight w:val="none"/>
          <w:shd w:val="clear" w:fill="FFFFFF"/>
          <w:lang w:val="en-US" w:eastAsia="zh-CN"/>
        </w:rPr>
        <w:t>影响</w:t>
      </w:r>
      <w:r>
        <w:rPr>
          <w:rFonts w:hint="eastAsia"/>
          <w:color w:val="auto"/>
          <w:highlight w:val="none"/>
          <w:lang w:val="en-US" w:eastAsia="zh-CN"/>
        </w:rPr>
        <w:t>预测</w:t>
      </w:r>
    </w:p>
    <w:p>
      <w:pPr>
        <w:bidi w:val="0"/>
        <w:rPr>
          <w:rFonts w:hint="eastAsia"/>
          <w:color w:val="auto"/>
          <w:highlight w:val="none"/>
          <w:lang w:eastAsia="zh-CN"/>
        </w:rPr>
      </w:pPr>
      <w:r>
        <w:rPr>
          <w:rFonts w:hint="eastAsia"/>
          <w:color w:val="auto"/>
          <w:highlight w:val="none"/>
          <w:lang w:eastAsia="zh-CN"/>
        </w:rPr>
        <w:t>根据项目施工对周边敏感点预测结果可知：对于船闸施工区域，在不采取任何土建施工噪声防治措施的情况下，由于施工机械设备较多，且高噪声源较多，同时施工作业时会造成施工场地周边敏感点声环境质量超标，但各施工机械同时施工作业的概率较低，通过采取合理布置施工机械，尽量将高噪声设备远离周边居民点的位置布置，设置围挡等降噪措施，可进一步降低施工噪声影响，并选择合理的施工时间，避开周边居民休息时间进行施工，可将施工噪声对居民的影响降到最小；对于航道整治工程，施工机械设备较少，且距离周边敏感点较远，不会造成周边居民点声环境超标；</w:t>
      </w:r>
      <w:r>
        <w:rPr>
          <w:rFonts w:hint="eastAsia"/>
          <w:color w:val="auto"/>
          <w:highlight w:val="none"/>
          <w:shd w:val="clear" w:fill="FFFFFF"/>
          <w:lang w:eastAsia="zh-CN"/>
        </w:rPr>
        <w:t>对于</w:t>
      </w:r>
      <w:r>
        <w:rPr>
          <w:rFonts w:hint="eastAsia"/>
          <w:color w:val="auto"/>
          <w:highlight w:val="none"/>
          <w:lang w:eastAsia="zh-CN"/>
        </w:rPr>
        <w:t>弃渣场区域，四周分布有较大居民点，</w:t>
      </w:r>
      <w:r>
        <w:rPr>
          <w:rFonts w:hint="eastAsia"/>
          <w:color w:val="auto"/>
          <w:highlight w:val="none"/>
          <w:shd w:val="clear" w:fill="FFFFFF"/>
          <w:lang w:eastAsia="zh-CN"/>
        </w:rPr>
        <w:t>弃渣设备</w:t>
      </w:r>
      <w:r>
        <w:rPr>
          <w:rFonts w:hint="eastAsia"/>
          <w:color w:val="auto"/>
          <w:highlight w:val="none"/>
          <w:lang w:eastAsia="zh-CN"/>
        </w:rPr>
        <w:t>同时工作时，会造成部分敏感点超标，根据同类弃渣场运行经验，弃渣场机械设备较少，通过采取围挡等隔声措施后，弃渣场噪声对周边敏感点较小，不会造成噪声扰民的情况。</w:t>
      </w:r>
    </w:p>
    <w:p>
      <w:pPr>
        <w:bidi w:val="0"/>
        <w:rPr>
          <w:rFonts w:hint="eastAsia"/>
          <w:color w:val="auto"/>
          <w:highlight w:val="none"/>
        </w:rPr>
      </w:pPr>
      <w:r>
        <w:rPr>
          <w:rFonts w:hint="eastAsia"/>
          <w:color w:val="auto"/>
          <w:highlight w:val="none"/>
        </w:rPr>
        <w:t>总的来说，项目施工噪声会对周边</w:t>
      </w:r>
      <w:r>
        <w:rPr>
          <w:rFonts w:hint="eastAsia"/>
          <w:color w:val="auto"/>
          <w:highlight w:val="none"/>
          <w:lang w:eastAsia="zh-CN"/>
        </w:rPr>
        <w:t>较近的敏感点产生</w:t>
      </w:r>
      <w:r>
        <w:rPr>
          <w:rFonts w:hint="eastAsia"/>
          <w:color w:val="auto"/>
          <w:highlight w:val="none"/>
        </w:rPr>
        <w:t>一定程度的影响，通过采取高噪设备远离居民点、禁止长时间运行高噪设备、提前告知受影响的居民点，以及禁止夜间施工等措施后，</w:t>
      </w:r>
      <w:r>
        <w:rPr>
          <w:rFonts w:hint="eastAsia"/>
          <w:color w:val="auto"/>
          <w:highlight w:val="none"/>
          <w:shd w:val="clear" w:fill="FFFFFF"/>
        </w:rPr>
        <w:t>可</w:t>
      </w:r>
      <w:r>
        <w:rPr>
          <w:rFonts w:hint="eastAsia"/>
          <w:color w:val="auto"/>
          <w:highlight w:val="none"/>
        </w:rPr>
        <w:t>最大限度地减少施工噪声对周围环境的影响，</w:t>
      </w:r>
      <w:r>
        <w:rPr>
          <w:rFonts w:hint="eastAsia"/>
          <w:color w:val="auto"/>
          <w:highlight w:val="none"/>
          <w:lang w:eastAsia="zh-CN"/>
        </w:rPr>
        <w:t>项目</w:t>
      </w:r>
      <w:r>
        <w:rPr>
          <w:rFonts w:hint="eastAsia"/>
          <w:color w:val="auto"/>
          <w:highlight w:val="none"/>
        </w:rPr>
        <w:t>施工期噪声对周边敏感点的影响是可以接受的，且随着施工的结束，噪声影响随之消失。</w:t>
      </w:r>
    </w:p>
    <w:p>
      <w:pPr>
        <w:bidi w:val="0"/>
        <w:rPr>
          <w:color w:val="auto"/>
          <w:highlight w:val="none"/>
        </w:rPr>
      </w:pPr>
      <w:r>
        <w:rPr>
          <w:rFonts w:hint="eastAsia"/>
          <w:color w:val="auto"/>
          <w:highlight w:val="none"/>
        </w:rPr>
        <w:t>（</w:t>
      </w:r>
      <w:r>
        <w:rPr>
          <w:color w:val="auto"/>
          <w:highlight w:val="none"/>
        </w:rPr>
        <w:t>4</w:t>
      </w:r>
      <w:r>
        <w:rPr>
          <w:rFonts w:hint="eastAsia"/>
          <w:color w:val="auto"/>
          <w:highlight w:val="none"/>
        </w:rPr>
        <w:t>）运输道路沿线噪声影响分析</w:t>
      </w:r>
    </w:p>
    <w:p>
      <w:pPr>
        <w:bidi w:val="0"/>
        <w:rPr>
          <w:color w:val="auto"/>
          <w:highlight w:val="none"/>
        </w:rPr>
      </w:pPr>
      <w:r>
        <w:rPr>
          <w:rFonts w:hint="eastAsia"/>
          <w:color w:val="auto"/>
          <w:highlight w:val="none"/>
          <w:lang w:eastAsia="zh-CN"/>
        </w:rPr>
        <w:t>项目施工期土石方转运量较大，</w:t>
      </w:r>
      <w:r>
        <w:rPr>
          <w:rFonts w:hint="eastAsia"/>
          <w:color w:val="auto"/>
          <w:highlight w:val="none"/>
        </w:rPr>
        <w:t>场外运输主要利用</w:t>
      </w:r>
      <w:r>
        <w:rPr>
          <w:rFonts w:hint="eastAsia"/>
          <w:color w:val="auto"/>
          <w:highlight w:val="none"/>
          <w:lang w:eastAsia="zh-CN"/>
        </w:rPr>
        <w:t>乡村道路及省道S451，沿线会经过铜溪镇及较多的农村居民点</w:t>
      </w:r>
      <w:r>
        <w:rPr>
          <w:rFonts w:hint="eastAsia"/>
          <w:color w:val="auto"/>
          <w:highlight w:val="none"/>
        </w:rPr>
        <w:t>，运输噪声将导致道路沿线1</w:t>
      </w:r>
      <w:r>
        <w:rPr>
          <w:color w:val="auto"/>
          <w:highlight w:val="none"/>
        </w:rPr>
        <w:t>00m</w:t>
      </w:r>
      <w:r>
        <w:rPr>
          <w:rFonts w:hint="eastAsia"/>
          <w:color w:val="auto"/>
          <w:highlight w:val="none"/>
        </w:rPr>
        <w:t>范围噪声值超2类标准，如果不注重车辆管理和优化运输频次，将对道路沿线居民生活造成明显不利影响。</w:t>
      </w:r>
      <w:r>
        <w:rPr>
          <w:rFonts w:hint="eastAsia"/>
          <w:color w:val="auto"/>
          <w:highlight w:val="none"/>
          <w:lang w:eastAsia="zh-CN"/>
        </w:rPr>
        <w:t>故运输车辆应采取限速、禁鸣等措施，降低运输车辆噪声对沿线居民的影响。</w:t>
      </w:r>
    </w:p>
    <w:p>
      <w:pPr>
        <w:pStyle w:val="229"/>
        <w:spacing w:line="240" w:lineRule="auto"/>
        <w:rPr>
          <w:b w:val="0"/>
          <w:color w:val="auto"/>
          <w:highlight w:val="none"/>
          <w:u w:val="none"/>
        </w:rPr>
      </w:pPr>
    </w:p>
    <w:p>
      <w:pPr>
        <w:pStyle w:val="229"/>
        <w:spacing w:line="240" w:lineRule="auto"/>
        <w:ind w:left="0" w:leftChars="0" w:firstLine="0" w:firstLineChars="0"/>
        <w:jc w:val="center"/>
        <w:rPr>
          <w:rFonts w:hint="eastAsia" w:ascii="Times New Roman" w:hAnsi="Times New Roman" w:eastAsia="宋体" w:cs="Times New Roman"/>
          <w:b w:val="0"/>
          <w:color w:val="auto"/>
          <w:kern w:val="2"/>
          <w:sz w:val="26"/>
          <w:szCs w:val="24"/>
          <w:highlight w:val="none"/>
          <w:u w:val="none"/>
          <w:lang w:val="en-US" w:eastAsia="zh-CN" w:bidi="ar-SA"/>
        </w:rPr>
        <w:sectPr>
          <w:pgSz w:w="11907" w:h="16840"/>
          <w:pgMar w:top="1701" w:right="1588" w:bottom="1588" w:left="1588" w:header="1304" w:footer="1247" w:gutter="0"/>
          <w:cols w:space="425" w:num="1"/>
          <w:docGrid w:linePitch="354" w:charSpace="0"/>
        </w:sectPr>
      </w:pPr>
    </w:p>
    <w:p>
      <w:pPr>
        <w:autoSpaceDE w:val="0"/>
        <w:autoSpaceDN w:val="0"/>
        <w:adjustRightInd w:val="0"/>
        <w:snapToGrid w:val="0"/>
        <w:spacing w:line="240" w:lineRule="auto"/>
        <w:ind w:left="0" w:leftChars="0" w:firstLine="0" w:firstLineChars="0"/>
        <w:jc w:val="right"/>
        <w:rPr>
          <w:color w:val="auto"/>
          <w:sz w:val="22"/>
          <w:szCs w:val="22"/>
          <w:highlight w:val="none"/>
        </w:rPr>
      </w:pPr>
      <w:r>
        <w:rPr>
          <w:rFonts w:hint="eastAsia"/>
          <w:color w:val="auto"/>
          <w:szCs w:val="26"/>
          <w:highlight w:val="none"/>
        </w:rPr>
        <w:t>表</w:t>
      </w:r>
      <w:r>
        <w:rPr>
          <w:rFonts w:hint="eastAsia"/>
          <w:color w:val="auto"/>
          <w:szCs w:val="26"/>
          <w:highlight w:val="none"/>
          <w:lang w:val="en-US" w:eastAsia="zh-CN"/>
        </w:rPr>
        <w:t>4.4.1-2  施工期</w:t>
      </w:r>
      <w:r>
        <w:rPr>
          <w:rFonts w:hint="eastAsia"/>
          <w:color w:val="auto"/>
          <w:szCs w:val="26"/>
          <w:highlight w:val="none"/>
        </w:rPr>
        <w:t>声环境保护</w:t>
      </w:r>
      <w:r>
        <w:rPr>
          <w:color w:val="auto"/>
          <w:szCs w:val="26"/>
          <w:highlight w:val="none"/>
        </w:rPr>
        <w:t>目标</w:t>
      </w:r>
      <w:r>
        <w:rPr>
          <w:rFonts w:hint="eastAsia"/>
          <w:color w:val="auto"/>
          <w:szCs w:val="26"/>
          <w:highlight w:val="none"/>
        </w:rPr>
        <w:t>噪声预测结果与</w:t>
      </w:r>
      <w:r>
        <w:rPr>
          <w:color w:val="auto"/>
          <w:szCs w:val="26"/>
          <w:highlight w:val="none"/>
        </w:rPr>
        <w:t>达标分析</w:t>
      </w:r>
      <w:r>
        <w:rPr>
          <w:rFonts w:hint="eastAsia"/>
          <w:color w:val="auto"/>
          <w:szCs w:val="26"/>
          <w:highlight w:val="none"/>
        </w:rPr>
        <w:t xml:space="preserve">表   </w:t>
      </w:r>
      <w:r>
        <w:rPr>
          <w:color w:val="auto"/>
          <w:szCs w:val="26"/>
          <w:highlight w:val="none"/>
        </w:rPr>
        <w:t xml:space="preserve">                   </w:t>
      </w:r>
      <w:r>
        <w:rPr>
          <w:rFonts w:hint="eastAsia"/>
          <w:color w:val="auto"/>
          <w:sz w:val="22"/>
          <w:szCs w:val="22"/>
          <w:highlight w:val="none"/>
        </w:rPr>
        <w:t>单位：dB(A)</w:t>
      </w:r>
    </w:p>
    <w:tbl>
      <w:tblPr>
        <w:tblStyle w:val="28"/>
        <w:tblW w:w="499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803"/>
        <w:gridCol w:w="2486"/>
        <w:gridCol w:w="1352"/>
        <w:gridCol w:w="1148"/>
        <w:gridCol w:w="1390"/>
        <w:gridCol w:w="1390"/>
        <w:gridCol w:w="1710"/>
        <w:gridCol w:w="1237"/>
        <w:gridCol w:w="124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restart"/>
            <w:vAlign w:val="center"/>
          </w:tcPr>
          <w:p>
            <w:pPr>
              <w:widowControl/>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eastAsia"/>
                <w:color w:val="auto"/>
                <w:sz w:val="22"/>
                <w:szCs w:val="22"/>
                <w:highlight w:val="none"/>
                <w:lang w:eastAsia="zh-CN"/>
              </w:rPr>
              <w:t>施工区域名称</w:t>
            </w:r>
          </w:p>
        </w:tc>
        <w:tc>
          <w:tcPr>
            <w:tcW w:w="903" w:type="pct"/>
            <w:vMerge w:val="restar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声环境保护目标名称</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噪声现状值</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噪声标准</w:t>
            </w:r>
          </w:p>
        </w:tc>
        <w:tc>
          <w:tcPr>
            <w:tcW w:w="505" w:type="pct"/>
            <w:vMerge w:val="restar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噪声贡献值</w:t>
            </w:r>
          </w:p>
        </w:tc>
        <w:tc>
          <w:tcPr>
            <w:tcW w:w="505"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噪声预测值</w:t>
            </w:r>
          </w:p>
        </w:tc>
        <w:tc>
          <w:tcPr>
            <w:tcW w:w="62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较现状值增量</w:t>
            </w:r>
          </w:p>
        </w:tc>
        <w:tc>
          <w:tcPr>
            <w:tcW w:w="900" w:type="pct"/>
            <w:gridSpan w:val="2"/>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eastAsia" w:cs="Times New Roman"/>
                <w:color w:val="auto"/>
                <w:sz w:val="22"/>
                <w:szCs w:val="22"/>
                <w:highlight w:val="none"/>
                <w:lang w:eastAsia="zh-CN"/>
              </w:rPr>
              <w:t>超标和</w:t>
            </w:r>
            <w:r>
              <w:rPr>
                <w:rFonts w:hint="default" w:ascii="Times New Roman" w:hAnsi="Times New Roman" w:cs="Times New Roman"/>
                <w:color w:val="auto"/>
                <w:sz w:val="22"/>
                <w:szCs w:val="22"/>
                <w:highlight w:val="none"/>
              </w:rPr>
              <w:t>达标情况</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昼间</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昼间</w:t>
            </w:r>
          </w:p>
        </w:tc>
        <w:tc>
          <w:tcPr>
            <w:tcW w:w="50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505"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昼间</w:t>
            </w:r>
          </w:p>
        </w:tc>
        <w:tc>
          <w:tcPr>
            <w:tcW w:w="62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昼间</w:t>
            </w:r>
          </w:p>
        </w:tc>
        <w:tc>
          <w:tcPr>
            <w:tcW w:w="449"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ascii="Times New Roman" w:hAnsi="Times New Roman" w:cs="Times New Roman"/>
                <w:color w:val="auto"/>
                <w:kern w:val="2"/>
                <w:sz w:val="22"/>
                <w:szCs w:val="22"/>
                <w:highlight w:val="none"/>
                <w:lang w:val="en-US" w:eastAsia="zh-CN" w:bidi="ar-SA"/>
              </w:rPr>
              <w:t>达标情况</w:t>
            </w:r>
          </w:p>
        </w:tc>
        <w:tc>
          <w:tcPr>
            <w:tcW w:w="450"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lang w:eastAsia="zh-CN"/>
              </w:rPr>
            </w:pPr>
            <w:r>
              <w:rPr>
                <w:rFonts w:hint="eastAsia" w:cs="Times New Roman"/>
                <w:color w:val="auto"/>
                <w:sz w:val="22"/>
                <w:szCs w:val="22"/>
                <w:highlight w:val="none"/>
                <w:lang w:eastAsia="zh-CN"/>
              </w:rPr>
              <w:t>超标量</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restart"/>
            <w:vAlign w:val="center"/>
          </w:tcPr>
          <w:p>
            <w:pPr>
              <w:widowControl/>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rPr>
            </w:pPr>
            <w:r>
              <w:rPr>
                <w:rFonts w:hint="eastAsia"/>
                <w:color w:val="auto"/>
                <w:sz w:val="22"/>
                <w:szCs w:val="22"/>
                <w:highlight w:val="none"/>
                <w:lang w:eastAsia="zh-CN"/>
              </w:rPr>
              <w:t>船闸及</w:t>
            </w:r>
            <w:r>
              <w:rPr>
                <w:rFonts w:hint="eastAsia"/>
                <w:color w:val="auto"/>
                <w:sz w:val="22"/>
                <w:szCs w:val="22"/>
                <w:highlight w:val="none"/>
                <w:lang w:val="en-US" w:eastAsia="zh-CN"/>
              </w:rPr>
              <w:t>1#弃渣场</w:t>
            </w: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color w:val="auto"/>
                <w:kern w:val="0"/>
                <w:sz w:val="22"/>
                <w:highlight w:val="none"/>
              </w:rPr>
              <w:t>1#</w:t>
            </w:r>
            <w:r>
              <w:rPr>
                <w:rFonts w:hint="eastAsia"/>
                <w:color w:val="auto"/>
                <w:kern w:val="0"/>
                <w:sz w:val="22"/>
                <w:highlight w:val="none"/>
              </w:rPr>
              <w:t>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49</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86.2</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86.2</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37.2</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26.2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color w:val="auto"/>
                <w:kern w:val="0"/>
                <w:sz w:val="22"/>
                <w:highlight w:val="none"/>
              </w:rPr>
              <w:t>2#</w:t>
            </w:r>
            <w:r>
              <w:rPr>
                <w:rFonts w:hint="eastAsia"/>
                <w:color w:val="auto"/>
                <w:kern w:val="0"/>
                <w:sz w:val="22"/>
                <w:highlight w:val="none"/>
              </w:rPr>
              <w:t>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49</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80.1</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80.1</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31.1</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20.1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color w:val="auto"/>
                <w:kern w:val="0"/>
                <w:sz w:val="22"/>
                <w:highlight w:val="none"/>
              </w:rPr>
              <w:t>3#</w:t>
            </w:r>
            <w:r>
              <w:rPr>
                <w:rFonts w:hint="eastAsia"/>
                <w:color w:val="auto"/>
                <w:kern w:val="0"/>
                <w:sz w:val="22"/>
                <w:highlight w:val="none"/>
              </w:rPr>
              <w:t>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eastAsia" w:cs="Times New Roman"/>
                <w:color w:val="auto"/>
                <w:sz w:val="22"/>
                <w:szCs w:val="22"/>
                <w:highlight w:val="none"/>
                <w:lang w:val="en-US" w:eastAsia="zh-CN"/>
              </w:rPr>
              <w:t>49</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76.2</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76.2</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27.2</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16.2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color w:val="auto"/>
                <w:kern w:val="0"/>
                <w:sz w:val="22"/>
                <w:highlight w:val="none"/>
              </w:rPr>
              <w:t>4#</w:t>
            </w:r>
            <w:r>
              <w:rPr>
                <w:rFonts w:hint="eastAsia"/>
                <w:color w:val="auto"/>
                <w:kern w:val="0"/>
                <w:sz w:val="22"/>
                <w:highlight w:val="none"/>
              </w:rPr>
              <w:t>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eastAsia" w:cs="Times New Roman"/>
                <w:color w:val="auto"/>
                <w:sz w:val="22"/>
                <w:szCs w:val="22"/>
                <w:highlight w:val="none"/>
                <w:lang w:val="en-US" w:eastAsia="zh-CN"/>
              </w:rPr>
              <w:t>49</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82.2</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82.2</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33.2</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22.2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color w:val="auto"/>
                <w:kern w:val="0"/>
                <w:sz w:val="22"/>
                <w:highlight w:val="none"/>
              </w:rPr>
              <w:t>5#</w:t>
            </w:r>
            <w:r>
              <w:rPr>
                <w:rFonts w:hint="eastAsia"/>
                <w:color w:val="auto"/>
                <w:kern w:val="0"/>
                <w:sz w:val="22"/>
                <w:highlight w:val="none"/>
              </w:rPr>
              <w:t>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eastAsia" w:cs="Times New Roman"/>
                <w:color w:val="auto"/>
                <w:sz w:val="22"/>
                <w:szCs w:val="22"/>
                <w:highlight w:val="none"/>
                <w:lang w:val="en-US" w:eastAsia="zh-CN"/>
              </w:rPr>
              <w:t>49</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72.5</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72.5</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23.5</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12.5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color w:val="auto"/>
                <w:kern w:val="0"/>
                <w:sz w:val="22"/>
                <w:highlight w:val="none"/>
              </w:rPr>
              <w:t>6#</w:t>
            </w:r>
            <w:r>
              <w:rPr>
                <w:rFonts w:hint="eastAsia"/>
                <w:color w:val="auto"/>
                <w:kern w:val="0"/>
                <w:sz w:val="22"/>
                <w:highlight w:val="none"/>
              </w:rPr>
              <w:t>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eastAsia" w:cs="Times New Roman"/>
                <w:color w:val="auto"/>
                <w:sz w:val="22"/>
                <w:szCs w:val="22"/>
                <w:highlight w:val="none"/>
                <w:lang w:val="en-US" w:eastAsia="zh-CN"/>
              </w:rPr>
              <w:t>49</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86.2</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86.2</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37.2</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26.2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color w:val="auto"/>
                <w:kern w:val="0"/>
                <w:sz w:val="22"/>
                <w:highlight w:val="none"/>
              </w:rPr>
              <w:t>7#</w:t>
            </w:r>
            <w:r>
              <w:rPr>
                <w:rFonts w:hint="eastAsia"/>
                <w:color w:val="auto"/>
                <w:kern w:val="0"/>
                <w:sz w:val="22"/>
                <w:highlight w:val="none"/>
              </w:rPr>
              <w:t>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eastAsia" w:cs="Times New Roman"/>
                <w:color w:val="auto"/>
                <w:sz w:val="22"/>
                <w:szCs w:val="22"/>
                <w:highlight w:val="none"/>
                <w:lang w:val="en-US" w:eastAsia="zh-CN"/>
              </w:rPr>
              <w:t>49</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84.7</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84.7</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35.7</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24.7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8</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eastAsia" w:cs="Times New Roman"/>
                <w:color w:val="auto"/>
                <w:sz w:val="22"/>
                <w:szCs w:val="22"/>
                <w:highlight w:val="none"/>
                <w:lang w:val="en-US" w:eastAsia="zh-CN"/>
              </w:rPr>
              <w:t>49</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73.5</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73.5</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24.5</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13.5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9</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eastAsia" w:cs="Times New Roman"/>
                <w:color w:val="auto"/>
                <w:sz w:val="22"/>
                <w:szCs w:val="22"/>
                <w:highlight w:val="none"/>
                <w:lang w:val="en-US" w:eastAsia="zh-CN"/>
              </w:rPr>
              <w:t>49</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71.6</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71.6</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22.6</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11.6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10</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eastAsia" w:cs="Times New Roman"/>
                <w:color w:val="auto"/>
                <w:sz w:val="22"/>
                <w:szCs w:val="22"/>
                <w:highlight w:val="none"/>
                <w:lang w:val="en-US" w:eastAsia="zh-CN"/>
              </w:rPr>
              <w:t>49</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70.4</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70.4</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21.4</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10.4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11</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eastAsia" w:cs="Times New Roman"/>
                <w:color w:val="auto"/>
                <w:sz w:val="22"/>
                <w:szCs w:val="22"/>
                <w:highlight w:val="none"/>
                <w:lang w:val="en-US" w:eastAsia="zh-CN"/>
              </w:rPr>
              <w:t>49</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70.7</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70.8</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21.8</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10.8</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restar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r>
              <w:rPr>
                <w:rFonts w:hint="eastAsia"/>
                <w:color w:val="auto"/>
                <w:kern w:val="0"/>
                <w:sz w:val="22"/>
                <w:highlight w:val="none"/>
                <w:lang w:eastAsia="zh-CN"/>
              </w:rPr>
              <w:t>上游疏浚区</w:t>
            </w: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12</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54</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eastAsia" w:cs="Times New Roman"/>
                <w:color w:val="auto"/>
                <w:sz w:val="22"/>
                <w:szCs w:val="22"/>
                <w:highlight w:val="none"/>
                <w:lang w:val="en-US" w:eastAsia="zh-CN"/>
              </w:rPr>
              <w:t>70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69.4</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69.5</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15.5</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达标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9.5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13</w:t>
            </w:r>
            <w:r>
              <w:rPr>
                <w:color w:val="auto"/>
                <w:kern w:val="0"/>
                <w:sz w:val="22"/>
                <w:highlight w:val="none"/>
              </w:rPr>
              <w:t>#</w:t>
            </w:r>
            <w:r>
              <w:rPr>
                <w:rFonts w:hint="eastAsia"/>
                <w:color w:val="auto"/>
                <w:kern w:val="0"/>
                <w:sz w:val="22"/>
                <w:highlight w:val="none"/>
              </w:rPr>
              <w:t>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51</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58.6</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59.3</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8.3</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达标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14#散户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54</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eastAsia" w:cs="Times New Roman"/>
                <w:color w:val="auto"/>
                <w:sz w:val="22"/>
                <w:szCs w:val="22"/>
                <w:highlight w:val="none"/>
                <w:lang w:val="en-US" w:eastAsia="zh-CN"/>
              </w:rPr>
              <w:t>70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60.8</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61.6</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7.6</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达标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15#散户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51</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59.7</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60.3</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9.3</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达标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16#散户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51</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58.3</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59.0</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8.0</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达标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lang w:eastAsia="zh-CN"/>
              </w:rPr>
            </w:pPr>
            <w:r>
              <w:rPr>
                <w:rFonts w:hint="eastAsia" w:cs="Times New Roman"/>
                <w:color w:val="auto"/>
                <w:sz w:val="22"/>
                <w:szCs w:val="22"/>
                <w:highlight w:val="none"/>
                <w:lang w:eastAsia="zh-CN"/>
              </w:rPr>
              <w:t>锚地</w:t>
            </w: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rFonts w:hint="eastAsia"/>
                <w:color w:val="auto"/>
                <w:kern w:val="0"/>
                <w:sz w:val="22"/>
                <w:highlight w:val="none"/>
              </w:rPr>
              <w:t>17#散户</w:t>
            </w:r>
            <w:r>
              <w:rPr>
                <w:color w:val="auto"/>
                <w:kern w:val="0"/>
                <w:sz w:val="22"/>
                <w:highlight w:val="none"/>
              </w:rPr>
              <w:t>居民点</w:t>
            </w:r>
          </w:p>
        </w:tc>
        <w:tc>
          <w:tcPr>
            <w:tcW w:w="491"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51</w:t>
            </w:r>
          </w:p>
        </w:tc>
        <w:tc>
          <w:tcPr>
            <w:tcW w:w="417" w:type="pc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lang w:val="en-US" w:eastAsia="zh-CN"/>
              </w:rPr>
            </w:pPr>
            <w:r>
              <w:rPr>
                <w:rFonts w:hint="default" w:ascii="Times New Roman" w:hAnsi="Times New Roman" w:cs="Times New Roman"/>
                <w:color w:val="auto"/>
                <w:sz w:val="22"/>
                <w:szCs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57.1</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58.1</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cs="Times New Roman"/>
                <w:color w:val="auto"/>
                <w:kern w:val="0"/>
                <w:sz w:val="22"/>
                <w:highlight w:val="none"/>
                <w:lang w:val="en-US" w:eastAsia="zh-CN"/>
              </w:rPr>
            </w:pPr>
            <w:r>
              <w:rPr>
                <w:rFonts w:hint="default" w:ascii="Times New Roman" w:hAnsi="Times New Roman" w:cs="Times New Roman"/>
                <w:color w:val="auto"/>
                <w:kern w:val="0"/>
                <w:sz w:val="22"/>
                <w:highlight w:val="none"/>
                <w:lang w:val="en-US" w:eastAsia="zh-CN"/>
              </w:rPr>
              <w:t>7.1</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达标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restart"/>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Times New Roman"/>
                <w:color w:val="auto"/>
                <w:sz w:val="22"/>
                <w:szCs w:val="22"/>
                <w:highlight w:val="none"/>
                <w:lang w:eastAsia="zh-CN"/>
              </w:rPr>
            </w:pPr>
            <w:r>
              <w:rPr>
                <w:rFonts w:hint="eastAsia" w:cs="Times New Roman"/>
                <w:color w:val="auto"/>
                <w:sz w:val="22"/>
                <w:szCs w:val="22"/>
                <w:highlight w:val="none"/>
                <w:lang w:val="en-US" w:eastAsia="zh-CN"/>
              </w:rPr>
              <w:t>2#</w:t>
            </w:r>
            <w:r>
              <w:rPr>
                <w:rFonts w:hint="eastAsia" w:cs="Times New Roman"/>
                <w:color w:val="auto"/>
                <w:sz w:val="22"/>
                <w:szCs w:val="22"/>
                <w:highlight w:val="none"/>
                <w:lang w:eastAsia="zh-CN"/>
              </w:rPr>
              <w:t>弃渣场</w:t>
            </w: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18#</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76.0</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26.0</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16.0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19#</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72.5</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72.5</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22.5</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12.5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20#</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79.5</w:t>
            </w:r>
          </w:p>
        </w:tc>
        <w:tc>
          <w:tcPr>
            <w:tcW w:w="505"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79.5</w:t>
            </w:r>
          </w:p>
        </w:tc>
        <w:tc>
          <w:tcPr>
            <w:tcW w:w="621" w:type="pct"/>
            <w:shd w:val="clear" w:color="auto" w:fill="auto"/>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29.5</w:t>
            </w:r>
          </w:p>
        </w:tc>
        <w:tc>
          <w:tcPr>
            <w:tcW w:w="44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19.5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21#</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49.5</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60.0</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60.0</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达标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22#</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71.6</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71.6</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21.6</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11.6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23#</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67.7</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67.7</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17.7</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7.7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24#</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59.2</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59.7</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9.7</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达标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25#</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rFonts w:hint="eastAsia" w:ascii="Times New Roman" w:hAnsi="Times New Roman" w:eastAsia="宋体" w:cs="Times New Roman"/>
                <w:color w:val="auto"/>
                <w:kern w:val="0"/>
                <w:sz w:val="22"/>
                <w:highlight w:val="none"/>
                <w:lang w:val="en-US" w:eastAsia="zh-CN"/>
              </w:rPr>
              <w:t>59.1</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szCs w:val="24"/>
                <w:highlight w:val="none"/>
                <w:lang w:val="en-US" w:eastAsia="zh-CN" w:bidi="ar-SA"/>
              </w:rPr>
            </w:pPr>
            <w:r>
              <w:rPr>
                <w:rFonts w:hint="eastAsia" w:ascii="Times New Roman" w:hAnsi="Times New Roman" w:eastAsia="宋体" w:cs="Times New Roman"/>
                <w:color w:val="auto"/>
                <w:kern w:val="0"/>
                <w:sz w:val="22"/>
                <w:highlight w:val="none"/>
                <w:lang w:val="en-US" w:eastAsia="zh-CN"/>
              </w:rPr>
              <w:t>59.6</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9.6</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达标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26#</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69.5</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69.6</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19.6</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9.6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27#</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68.6</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68.7</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18.7</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8.7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28#</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64.2</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64.4</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14.4</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4.4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29#</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71.0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71.0</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21.0</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11.0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30#</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75.1</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75.1</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25.1</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15.1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31#</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77.6</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77.6</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27.6</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17.6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32#</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69.1</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69.1</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19.1</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9.1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33#</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72.2</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72.2</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22.2</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12.2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34#</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71.0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71.0</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21.0</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11.0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35#</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70.2</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70.3</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20.3</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10.3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36#</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70.2</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70.3</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20.3</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10.3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37#</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57.2</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58.0</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8.0</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达标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55" w:type="pct"/>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2"/>
                <w:szCs w:val="22"/>
                <w:highlight w:val="none"/>
              </w:rPr>
            </w:pPr>
          </w:p>
        </w:tc>
        <w:tc>
          <w:tcPr>
            <w:tcW w:w="903" w:type="pct"/>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38#</w:t>
            </w:r>
            <w:r>
              <w:rPr>
                <w:rFonts w:hint="eastAsia" w:ascii="Times New Roman" w:hAnsi="Times New Roman" w:eastAsia="宋体" w:cs="Times New Roman"/>
                <w:color w:val="auto"/>
                <w:kern w:val="0"/>
                <w:sz w:val="22"/>
                <w:highlight w:val="none"/>
                <w:lang w:val="en-US" w:eastAsia="zh-CN"/>
              </w:rPr>
              <w:t>散户居民点</w:t>
            </w:r>
          </w:p>
        </w:tc>
        <w:tc>
          <w:tcPr>
            <w:tcW w:w="491" w:type="pct"/>
            <w:vAlign w:val="center"/>
          </w:tcPr>
          <w:p>
            <w:pPr>
              <w:widowControl/>
              <w:adjustRightInd w:val="0"/>
              <w:snapToGrid w:val="0"/>
              <w:spacing w:line="240" w:lineRule="auto"/>
              <w:ind w:firstLine="0" w:firstLineChars="0"/>
              <w:jc w:val="center"/>
              <w:rPr>
                <w:rFonts w:hint="eastAsia" w:ascii="Times New Roman" w:hAnsi="Times New Roman" w:eastAsia="宋体" w:cs="Times New Roman"/>
                <w:color w:val="auto"/>
                <w:kern w:val="0"/>
                <w:sz w:val="22"/>
                <w:highlight w:val="none"/>
                <w:lang w:val="en-US" w:eastAsia="zh-CN"/>
              </w:rPr>
            </w:pPr>
            <w:r>
              <w:rPr>
                <w:rFonts w:hint="eastAsia" w:ascii="Times New Roman" w:hAnsi="Times New Roman" w:eastAsia="宋体" w:cs="Times New Roman"/>
                <w:color w:val="auto"/>
                <w:kern w:val="0"/>
                <w:sz w:val="22"/>
                <w:highlight w:val="none"/>
                <w:lang w:val="en-US" w:eastAsia="zh-CN"/>
              </w:rPr>
              <w:t>50</w:t>
            </w:r>
          </w:p>
        </w:tc>
        <w:tc>
          <w:tcPr>
            <w:tcW w:w="417"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59.9</w:t>
            </w:r>
          </w:p>
        </w:tc>
        <w:tc>
          <w:tcPr>
            <w:tcW w:w="505"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60.3</w:t>
            </w:r>
          </w:p>
        </w:tc>
        <w:tc>
          <w:tcPr>
            <w:tcW w:w="621" w:type="pct"/>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2"/>
                <w:highlight w:val="none"/>
                <w:lang w:val="en-US" w:eastAsia="zh-CN"/>
              </w:rPr>
            </w:pPr>
            <w:r>
              <w:rPr>
                <w:rFonts w:hint="default" w:ascii="Times New Roman" w:hAnsi="Times New Roman" w:eastAsia="宋体" w:cs="Times New Roman"/>
                <w:color w:val="auto"/>
                <w:kern w:val="0"/>
                <w:sz w:val="22"/>
                <w:highlight w:val="none"/>
                <w:lang w:val="en-US" w:eastAsia="zh-CN"/>
              </w:rPr>
              <w:t>10.3</w:t>
            </w:r>
          </w:p>
        </w:tc>
        <w:tc>
          <w:tcPr>
            <w:tcW w:w="44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超标</w:t>
            </w:r>
          </w:p>
        </w:tc>
        <w:tc>
          <w:tcPr>
            <w:tcW w:w="450"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0.3</w:t>
            </w:r>
          </w:p>
        </w:tc>
      </w:tr>
    </w:tbl>
    <w:p>
      <w:pPr>
        <w:pStyle w:val="229"/>
        <w:spacing w:line="240" w:lineRule="auto"/>
        <w:ind w:left="0" w:leftChars="0" w:firstLine="0" w:firstLineChars="0"/>
        <w:jc w:val="center"/>
        <w:rPr>
          <w:rFonts w:hint="eastAsia" w:ascii="Times New Roman" w:hAnsi="Times New Roman" w:eastAsia="宋体" w:cs="Times New Roman"/>
          <w:b w:val="0"/>
          <w:color w:val="auto"/>
          <w:kern w:val="2"/>
          <w:sz w:val="26"/>
          <w:szCs w:val="24"/>
          <w:highlight w:val="none"/>
          <w:u w:val="none"/>
          <w:lang w:val="en-US" w:eastAsia="zh-CN" w:bidi="ar-SA"/>
        </w:rPr>
        <w:sectPr>
          <w:pgSz w:w="16840" w:h="11907" w:orient="landscape"/>
          <w:pgMar w:top="1588" w:right="1701" w:bottom="1588" w:left="1588" w:header="1304" w:footer="1247" w:gutter="0"/>
          <w:cols w:space="425" w:num="1"/>
          <w:docGrid w:linePitch="354" w:charSpace="0"/>
        </w:sectPr>
      </w:pPr>
    </w:p>
    <w:p>
      <w:pPr>
        <w:pStyle w:val="5"/>
        <w:bidi w:val="0"/>
        <w:rPr>
          <w:rFonts w:hint="eastAsia"/>
          <w:color w:val="auto"/>
          <w:highlight w:val="none"/>
        </w:rPr>
      </w:pPr>
      <w:r>
        <w:rPr>
          <w:rFonts w:hint="eastAsia"/>
          <w:color w:val="auto"/>
          <w:highlight w:val="none"/>
          <w:lang w:eastAsia="zh-CN"/>
        </w:rPr>
        <w:t>运营期</w:t>
      </w:r>
    </w:p>
    <w:p>
      <w:pPr>
        <w:snapToGrid w:val="0"/>
        <w:ind w:firstLine="504"/>
        <w:rPr>
          <w:rFonts w:hint="eastAsia"/>
          <w:bCs/>
          <w:color w:val="auto"/>
          <w:szCs w:val="26"/>
          <w:highlight w:val="none"/>
          <w:lang w:eastAsia="zh-CN"/>
        </w:rPr>
      </w:pPr>
      <w:r>
        <w:rPr>
          <w:rFonts w:hint="eastAsia"/>
          <w:bCs/>
          <w:color w:val="auto"/>
          <w:szCs w:val="26"/>
          <w:highlight w:val="none"/>
          <w:lang w:eastAsia="zh-CN"/>
        </w:rPr>
        <w:t>项目运营期主要噪声源</w:t>
      </w:r>
      <w:r>
        <w:rPr>
          <w:rFonts w:hint="eastAsia"/>
          <w:bCs/>
          <w:color w:val="auto"/>
          <w:szCs w:val="26"/>
          <w:highlight w:val="none"/>
          <w:shd w:val="clear" w:fill="FFFFFF"/>
          <w:lang w:eastAsia="zh-CN"/>
        </w:rPr>
        <w:t>来自于</w:t>
      </w:r>
      <w:r>
        <w:rPr>
          <w:rFonts w:hint="eastAsia"/>
          <w:bCs/>
          <w:color w:val="auto"/>
          <w:szCs w:val="26"/>
          <w:highlight w:val="none"/>
          <w:lang w:eastAsia="zh-CN"/>
        </w:rPr>
        <w:t>船舶噪声。</w:t>
      </w:r>
    </w:p>
    <w:p>
      <w:pPr>
        <w:snapToGrid w:val="0"/>
        <w:ind w:firstLine="504"/>
        <w:rPr>
          <w:rFonts w:hint="eastAsia"/>
          <w:bCs/>
          <w:color w:val="auto"/>
          <w:szCs w:val="26"/>
          <w:highlight w:val="none"/>
          <w:lang w:eastAsia="zh-CN"/>
        </w:rPr>
      </w:pPr>
      <w:r>
        <w:rPr>
          <w:rFonts w:hint="eastAsia"/>
          <w:bCs/>
          <w:color w:val="auto"/>
          <w:szCs w:val="26"/>
          <w:highlight w:val="none"/>
          <w:lang w:eastAsia="zh-CN"/>
        </w:rPr>
        <w:t>（1）噪声预测模式</w:t>
      </w:r>
    </w:p>
    <w:p>
      <w:pPr>
        <w:snapToGrid w:val="0"/>
        <w:spacing w:line="460" w:lineRule="exact"/>
        <w:ind w:firstLine="520" w:firstLineChars="200"/>
        <w:rPr>
          <w:color w:val="auto"/>
          <w:kern w:val="10"/>
          <w:szCs w:val="24"/>
          <w:highlight w:val="none"/>
        </w:rPr>
      </w:pPr>
      <w:r>
        <w:rPr>
          <w:color w:val="auto"/>
          <w:kern w:val="10"/>
          <w:szCs w:val="24"/>
          <w:highlight w:val="none"/>
        </w:rPr>
        <w:t>采用《环境影响评价</w:t>
      </w:r>
      <w:r>
        <w:rPr>
          <w:rFonts w:hint="eastAsia"/>
          <w:color w:val="auto"/>
          <w:kern w:val="10"/>
          <w:szCs w:val="24"/>
          <w:highlight w:val="none"/>
          <w:lang w:eastAsia="zh-CN"/>
        </w:rPr>
        <w:t>技术</w:t>
      </w:r>
      <w:r>
        <w:rPr>
          <w:color w:val="auto"/>
          <w:kern w:val="10"/>
          <w:szCs w:val="24"/>
          <w:highlight w:val="none"/>
        </w:rPr>
        <w:t>导则</w:t>
      </w:r>
      <w:r>
        <w:rPr>
          <w:rFonts w:hint="eastAsia"/>
          <w:color w:val="auto"/>
          <w:kern w:val="10"/>
          <w:szCs w:val="24"/>
          <w:highlight w:val="none"/>
          <w:lang w:val="en-US" w:eastAsia="zh-CN"/>
        </w:rPr>
        <w:t xml:space="preserve"> 声环境</w:t>
      </w:r>
      <w:r>
        <w:rPr>
          <w:color w:val="auto"/>
          <w:kern w:val="10"/>
          <w:szCs w:val="24"/>
          <w:highlight w:val="none"/>
        </w:rPr>
        <w:t>》</w:t>
      </w:r>
      <w:r>
        <w:rPr>
          <w:rFonts w:hint="eastAsia"/>
          <w:color w:val="auto"/>
          <w:kern w:val="10"/>
          <w:szCs w:val="24"/>
          <w:highlight w:val="none"/>
          <w:lang w:eastAsia="zh-CN"/>
        </w:rPr>
        <w:t>（</w:t>
      </w:r>
      <w:r>
        <w:rPr>
          <w:color w:val="auto"/>
          <w:kern w:val="10"/>
          <w:szCs w:val="24"/>
          <w:highlight w:val="none"/>
        </w:rPr>
        <w:t>HJ</w:t>
      </w:r>
      <w:r>
        <w:rPr>
          <w:rFonts w:hint="eastAsia"/>
          <w:color w:val="auto"/>
          <w:kern w:val="10"/>
          <w:szCs w:val="24"/>
          <w:highlight w:val="none"/>
          <w:lang w:val="en-US" w:eastAsia="zh-CN"/>
        </w:rPr>
        <w:t xml:space="preserve"> </w:t>
      </w:r>
      <w:r>
        <w:rPr>
          <w:color w:val="auto"/>
          <w:kern w:val="10"/>
          <w:szCs w:val="24"/>
          <w:highlight w:val="none"/>
        </w:rPr>
        <w:t>2.4-</w:t>
      </w:r>
      <w:r>
        <w:rPr>
          <w:rFonts w:hint="eastAsia"/>
          <w:color w:val="auto"/>
          <w:kern w:val="10"/>
          <w:szCs w:val="24"/>
          <w:highlight w:val="none"/>
          <w:lang w:val="en-US" w:eastAsia="zh-CN"/>
        </w:rPr>
        <w:t>2021</w:t>
      </w:r>
      <w:r>
        <w:rPr>
          <w:rFonts w:hint="eastAsia"/>
          <w:color w:val="auto"/>
          <w:kern w:val="10"/>
          <w:szCs w:val="24"/>
          <w:highlight w:val="none"/>
          <w:lang w:eastAsia="zh-CN"/>
        </w:rPr>
        <w:t>）</w:t>
      </w:r>
      <w:r>
        <w:rPr>
          <w:color w:val="auto"/>
          <w:kern w:val="10"/>
          <w:szCs w:val="24"/>
          <w:highlight w:val="none"/>
        </w:rPr>
        <w:t>中推荐的无指向性点源几何发散衰减模式，计算公式如下：</w:t>
      </w:r>
    </w:p>
    <w:p>
      <w:pPr>
        <w:spacing w:before="120" w:beforeLines="50" w:line="240" w:lineRule="auto"/>
        <w:jc w:val="center"/>
        <w:rPr>
          <w:bCs/>
          <w:color w:val="auto"/>
          <w:sz w:val="26"/>
          <w:szCs w:val="26"/>
          <w:highlight w:val="none"/>
        </w:rPr>
      </w:pPr>
      <w:r>
        <w:rPr>
          <w:bCs/>
          <w:color w:val="auto"/>
          <w:sz w:val="26"/>
          <w:szCs w:val="26"/>
          <w:highlight w:val="none"/>
        </w:rPr>
        <w:drawing>
          <wp:inline distT="0" distB="0" distL="0" distR="0">
            <wp:extent cx="1397000" cy="241300"/>
            <wp:effectExtent l="0" t="0" r="12700" b="635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1397000" cy="241300"/>
                    </a:xfrm>
                    <a:prstGeom prst="rect">
                      <a:avLst/>
                    </a:prstGeom>
                    <a:noFill/>
                    <a:ln>
                      <a:noFill/>
                    </a:ln>
                  </pic:spPr>
                </pic:pic>
              </a:graphicData>
            </a:graphic>
          </wp:inline>
        </w:drawing>
      </w:r>
    </w:p>
    <w:p>
      <w:pPr>
        <w:spacing w:line="500" w:lineRule="exact"/>
        <w:ind w:firstLine="520"/>
        <w:rPr>
          <w:bCs/>
          <w:color w:val="auto"/>
          <w:sz w:val="26"/>
          <w:szCs w:val="26"/>
          <w:highlight w:val="none"/>
        </w:rPr>
      </w:pPr>
      <w:r>
        <w:rPr>
          <w:bCs/>
          <w:color w:val="auto"/>
          <w:sz w:val="26"/>
          <w:szCs w:val="26"/>
          <w:highlight w:val="none"/>
        </w:rPr>
        <w:t>式中：</w:t>
      </w:r>
      <w:r>
        <w:rPr>
          <w:bCs/>
          <w:i/>
          <w:color w:val="auto"/>
          <w:sz w:val="26"/>
          <w:szCs w:val="26"/>
          <w:highlight w:val="none"/>
        </w:rPr>
        <w:t>L</w:t>
      </w:r>
      <w:r>
        <w:rPr>
          <w:bCs/>
          <w:i/>
          <w:color w:val="auto"/>
          <w:sz w:val="26"/>
          <w:szCs w:val="26"/>
          <w:highlight w:val="none"/>
          <w:vertAlign w:val="subscript"/>
        </w:rPr>
        <w:t>P</w:t>
      </w:r>
      <w:r>
        <w:rPr>
          <w:bCs/>
          <w:i/>
          <w:color w:val="auto"/>
          <w:sz w:val="26"/>
          <w:szCs w:val="26"/>
          <w:highlight w:val="none"/>
        </w:rPr>
        <w:t>—</w:t>
      </w:r>
      <w:r>
        <w:rPr>
          <w:bCs/>
          <w:color w:val="auto"/>
          <w:sz w:val="26"/>
          <w:szCs w:val="26"/>
          <w:highlight w:val="none"/>
        </w:rPr>
        <w:t>距声源</w:t>
      </w:r>
      <w:r>
        <w:rPr>
          <w:bCs/>
          <w:i/>
          <w:color w:val="auto"/>
          <w:sz w:val="26"/>
          <w:szCs w:val="26"/>
          <w:highlight w:val="none"/>
        </w:rPr>
        <w:t>r（m）</w:t>
      </w:r>
      <w:r>
        <w:rPr>
          <w:bCs/>
          <w:color w:val="auto"/>
          <w:sz w:val="26"/>
          <w:szCs w:val="26"/>
          <w:highlight w:val="none"/>
        </w:rPr>
        <w:t>处声压级，dB（A）；</w:t>
      </w:r>
    </w:p>
    <w:p>
      <w:pPr>
        <w:spacing w:line="500" w:lineRule="exact"/>
        <w:ind w:firstLine="1300" w:firstLineChars="500"/>
        <w:rPr>
          <w:bCs/>
          <w:color w:val="auto"/>
          <w:sz w:val="26"/>
          <w:szCs w:val="26"/>
          <w:highlight w:val="none"/>
        </w:rPr>
      </w:pPr>
      <w:r>
        <w:rPr>
          <w:bCs/>
          <w:i/>
          <w:color w:val="auto"/>
          <w:sz w:val="26"/>
          <w:szCs w:val="26"/>
          <w:highlight w:val="none"/>
        </w:rPr>
        <w:t>L</w:t>
      </w:r>
      <w:r>
        <w:rPr>
          <w:bCs/>
          <w:i/>
          <w:color w:val="auto"/>
          <w:sz w:val="26"/>
          <w:szCs w:val="26"/>
          <w:highlight w:val="none"/>
          <w:vertAlign w:val="subscript"/>
        </w:rPr>
        <w:t>PO</w:t>
      </w:r>
      <w:r>
        <w:rPr>
          <w:bCs/>
          <w:color w:val="auto"/>
          <w:sz w:val="26"/>
          <w:szCs w:val="26"/>
          <w:highlight w:val="none"/>
        </w:rPr>
        <w:t>—距声源</w:t>
      </w:r>
      <w:r>
        <w:rPr>
          <w:bCs/>
          <w:i/>
          <w:color w:val="auto"/>
          <w:sz w:val="26"/>
          <w:szCs w:val="26"/>
          <w:highlight w:val="none"/>
        </w:rPr>
        <w:t>r</w:t>
      </w:r>
      <w:r>
        <w:rPr>
          <w:bCs/>
          <w:i/>
          <w:color w:val="auto"/>
          <w:sz w:val="26"/>
          <w:szCs w:val="26"/>
          <w:highlight w:val="none"/>
          <w:vertAlign w:val="subscript"/>
        </w:rPr>
        <w:t>o</w:t>
      </w:r>
      <w:r>
        <w:rPr>
          <w:bCs/>
          <w:i/>
          <w:color w:val="auto"/>
          <w:sz w:val="26"/>
          <w:szCs w:val="26"/>
          <w:highlight w:val="none"/>
        </w:rPr>
        <w:t>（m）</w:t>
      </w:r>
      <w:r>
        <w:rPr>
          <w:bCs/>
          <w:color w:val="auto"/>
          <w:sz w:val="26"/>
          <w:szCs w:val="26"/>
          <w:highlight w:val="none"/>
        </w:rPr>
        <w:t>处声压级，dB（A）；</w:t>
      </w:r>
    </w:p>
    <w:p>
      <w:pPr>
        <w:snapToGrid w:val="0"/>
        <w:ind w:firstLine="504"/>
        <w:rPr>
          <w:rFonts w:hint="eastAsia"/>
          <w:bCs/>
          <w:color w:val="auto"/>
          <w:szCs w:val="26"/>
          <w:highlight w:val="none"/>
          <w:lang w:eastAsia="zh-CN"/>
        </w:rPr>
      </w:pPr>
      <w:r>
        <w:rPr>
          <w:rFonts w:hint="eastAsia"/>
          <w:bCs/>
          <w:color w:val="auto"/>
          <w:szCs w:val="26"/>
          <w:highlight w:val="none"/>
          <w:lang w:eastAsia="zh-CN"/>
        </w:rPr>
        <w:t>（</w:t>
      </w:r>
      <w:r>
        <w:rPr>
          <w:rFonts w:hint="eastAsia"/>
          <w:bCs/>
          <w:color w:val="auto"/>
          <w:szCs w:val="26"/>
          <w:highlight w:val="none"/>
          <w:lang w:val="en-US" w:eastAsia="zh-CN"/>
        </w:rPr>
        <w:t>2</w:t>
      </w:r>
      <w:r>
        <w:rPr>
          <w:rFonts w:hint="eastAsia"/>
          <w:bCs/>
          <w:color w:val="auto"/>
          <w:szCs w:val="26"/>
          <w:highlight w:val="none"/>
          <w:lang w:eastAsia="zh-CN"/>
        </w:rPr>
        <w:t>）运输船舶噪声影响预测分析</w:t>
      </w:r>
    </w:p>
    <w:p>
      <w:pPr>
        <w:snapToGrid w:val="0"/>
        <w:ind w:firstLine="504"/>
        <w:rPr>
          <w:rFonts w:hint="eastAsia"/>
          <w:bCs/>
          <w:color w:val="auto"/>
          <w:sz w:val="26"/>
          <w:szCs w:val="26"/>
          <w:highlight w:val="none"/>
          <w:lang w:eastAsia="zh-CN"/>
        </w:rPr>
      </w:pPr>
      <w:r>
        <w:rPr>
          <w:rFonts w:hint="eastAsia"/>
          <w:bCs/>
          <w:color w:val="auto"/>
          <w:szCs w:val="26"/>
          <w:highlight w:val="none"/>
          <w:lang w:eastAsia="zh-CN"/>
        </w:rPr>
        <w:t>由于航运船舶量不大，船舶噪声可视为单一噪声源，评价采用点声源在半自由空间衰减计算公式计算运营期噪声衰减情况，预测营运期船舶航行噪声距离声源不同距离处的噪声贡献值。考虑运行期主要声源为船舶发动机噪声，船舶在船闸航行时，船体一般位于地面水平面以下，闸室两侧挡墙对发动机噪声削减量约为 5dB（A），</w:t>
      </w:r>
      <w:r>
        <w:rPr>
          <w:rFonts w:hint="eastAsia"/>
          <w:bCs/>
          <w:color w:val="auto"/>
          <w:szCs w:val="26"/>
          <w:highlight w:val="none"/>
          <w:lang w:val="en-US" w:eastAsia="zh-CN"/>
        </w:rPr>
        <w:t>1</w:t>
      </w:r>
      <w:r>
        <w:rPr>
          <w:rFonts w:hint="eastAsia"/>
          <w:bCs/>
          <w:color w:val="auto"/>
          <w:szCs w:val="26"/>
          <w:highlight w:val="none"/>
          <w:lang w:eastAsia="zh-CN"/>
        </w:rPr>
        <w:t>000t级船舶随距</w:t>
      </w:r>
      <w:r>
        <w:rPr>
          <w:rFonts w:hint="eastAsia"/>
          <w:bCs/>
          <w:color w:val="auto"/>
          <w:sz w:val="26"/>
          <w:szCs w:val="26"/>
          <w:highlight w:val="none"/>
          <w:lang w:eastAsia="zh-CN"/>
        </w:rPr>
        <w:t>离衰减后的预测值见下表：</w:t>
      </w:r>
    </w:p>
    <w:p>
      <w:pPr>
        <w:pStyle w:val="2"/>
        <w:jc w:val="center"/>
        <w:rPr>
          <w:rFonts w:hint="eastAsia"/>
          <w:color w:val="auto"/>
          <w:sz w:val="26"/>
          <w:szCs w:val="26"/>
          <w:highlight w:val="none"/>
          <w:lang w:eastAsia="zh-CN"/>
        </w:rPr>
      </w:pPr>
    </w:p>
    <w:p>
      <w:pPr>
        <w:pStyle w:val="2"/>
        <w:jc w:val="center"/>
        <w:rPr>
          <w:rFonts w:hint="eastAsia"/>
          <w:color w:val="auto"/>
          <w:sz w:val="26"/>
          <w:szCs w:val="26"/>
          <w:highlight w:val="none"/>
          <w:lang w:eastAsia="zh-CN"/>
        </w:rPr>
      </w:pPr>
      <w:r>
        <w:rPr>
          <w:rFonts w:hint="eastAsia"/>
          <w:color w:val="auto"/>
          <w:sz w:val="26"/>
          <w:szCs w:val="26"/>
          <w:highlight w:val="none"/>
          <w:lang w:eastAsia="zh-CN"/>
        </w:rPr>
        <w:t>表</w:t>
      </w:r>
      <w:r>
        <w:rPr>
          <w:rFonts w:hint="eastAsia"/>
          <w:color w:val="auto"/>
          <w:sz w:val="26"/>
          <w:szCs w:val="26"/>
          <w:highlight w:val="none"/>
          <w:lang w:val="en-US" w:eastAsia="zh-CN"/>
        </w:rPr>
        <w:t xml:space="preserve">4.4.2-1  </w:t>
      </w:r>
      <w:r>
        <w:rPr>
          <w:rFonts w:hint="eastAsia"/>
          <w:color w:val="auto"/>
          <w:sz w:val="26"/>
          <w:szCs w:val="26"/>
          <w:highlight w:val="none"/>
          <w:lang w:eastAsia="zh-CN"/>
        </w:rPr>
        <w:t>船舶航行噪声贡献值一览表</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7"/>
        <w:gridCol w:w="720"/>
        <w:gridCol w:w="999"/>
        <w:gridCol w:w="846"/>
        <w:gridCol w:w="846"/>
        <w:gridCol w:w="846"/>
        <w:gridCol w:w="863"/>
        <w:gridCol w:w="863"/>
        <w:gridCol w:w="864"/>
        <w:gridCol w:w="8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7"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color w:val="auto"/>
                <w:sz w:val="22"/>
                <w:szCs w:val="22"/>
                <w:highlight w:val="none"/>
                <w:vertAlign w:val="baseline"/>
                <w:lang w:eastAsia="zh-CN"/>
              </w:rPr>
            </w:pPr>
            <w:r>
              <w:rPr>
                <w:rFonts w:hint="eastAsia"/>
                <w:bCs/>
                <w:color w:val="auto"/>
                <w:sz w:val="22"/>
                <w:szCs w:val="22"/>
                <w:highlight w:val="none"/>
                <w:vertAlign w:val="baseline"/>
                <w:lang w:eastAsia="zh-CN"/>
              </w:rPr>
              <w:t>噪声源</w:t>
            </w:r>
          </w:p>
        </w:tc>
        <w:tc>
          <w:tcPr>
            <w:tcW w:w="720"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color w:val="auto"/>
                <w:sz w:val="22"/>
                <w:szCs w:val="22"/>
                <w:highlight w:val="none"/>
                <w:vertAlign w:val="baseline"/>
                <w:lang w:eastAsia="zh-CN"/>
              </w:rPr>
            </w:pPr>
            <w:r>
              <w:rPr>
                <w:rFonts w:hint="eastAsia"/>
                <w:bCs/>
                <w:color w:val="auto"/>
                <w:sz w:val="22"/>
                <w:szCs w:val="22"/>
                <w:highlight w:val="none"/>
                <w:vertAlign w:val="baseline"/>
                <w:lang w:eastAsia="zh-CN"/>
              </w:rPr>
              <w:t>测距</w:t>
            </w:r>
          </w:p>
        </w:tc>
        <w:tc>
          <w:tcPr>
            <w:tcW w:w="999"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color w:val="auto"/>
                <w:sz w:val="22"/>
                <w:szCs w:val="22"/>
                <w:highlight w:val="none"/>
                <w:vertAlign w:val="baseline"/>
                <w:lang w:eastAsia="zh-CN"/>
              </w:rPr>
            </w:pPr>
            <w:r>
              <w:rPr>
                <w:rFonts w:hint="eastAsia"/>
                <w:bCs/>
                <w:color w:val="auto"/>
                <w:sz w:val="22"/>
                <w:szCs w:val="22"/>
                <w:highlight w:val="none"/>
                <w:vertAlign w:val="baseline"/>
                <w:lang w:eastAsia="zh-CN"/>
              </w:rPr>
              <w:t>源强</w:t>
            </w:r>
          </w:p>
        </w:tc>
        <w:tc>
          <w:tcPr>
            <w:tcW w:w="5993" w:type="dxa"/>
            <w:gridSpan w:val="7"/>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color w:val="auto"/>
                <w:sz w:val="22"/>
                <w:szCs w:val="22"/>
                <w:highlight w:val="none"/>
                <w:vertAlign w:val="baseline"/>
                <w:lang w:eastAsia="zh-CN"/>
              </w:rPr>
            </w:pPr>
            <w:r>
              <w:rPr>
                <w:rFonts w:hint="eastAsia"/>
                <w:bCs/>
                <w:color w:val="auto"/>
                <w:sz w:val="22"/>
                <w:szCs w:val="22"/>
                <w:highlight w:val="none"/>
                <w:vertAlign w:val="baseline"/>
                <w:lang w:eastAsia="zh-CN"/>
              </w:rPr>
              <w:t>同距离处的噪声贡献值</w:t>
            </w:r>
            <w:r>
              <w:rPr>
                <w:rFonts w:hint="eastAsia"/>
                <w:bCs/>
                <w:color w:val="auto"/>
                <w:sz w:val="22"/>
                <w:szCs w:val="22"/>
                <w:highlight w:val="none"/>
                <w:shd w:val="clear" w:fill="FFFFFF"/>
                <w:vertAlign w:val="baseline"/>
                <w:lang w:eastAsia="zh-CN"/>
              </w:rPr>
              <w:t>（</w:t>
            </w:r>
            <w:r>
              <w:rPr>
                <w:rFonts w:hint="eastAsia"/>
                <w:bCs/>
                <w:color w:val="auto"/>
                <w:sz w:val="22"/>
                <w:szCs w:val="22"/>
                <w:highlight w:val="none"/>
                <w:vertAlign w:val="baseline"/>
                <w:lang w:eastAsia="zh-CN"/>
              </w:rPr>
              <w:t>dB(A</w:t>
            </w:r>
            <w:r>
              <w:rPr>
                <w:rFonts w:hint="eastAsia"/>
                <w:bCs/>
                <w:color w:val="auto"/>
                <w:sz w:val="22"/>
                <w:szCs w:val="22"/>
                <w:highlight w:val="none"/>
                <w:shd w:val="clear" w:fill="FFFFFF"/>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color w:val="auto"/>
                <w:sz w:val="22"/>
                <w:szCs w:val="22"/>
                <w:highlight w:val="none"/>
                <w:vertAlign w:val="baseline"/>
                <w:lang w:eastAsia="zh-CN"/>
              </w:rPr>
            </w:pPr>
          </w:p>
        </w:tc>
        <w:tc>
          <w:tcPr>
            <w:tcW w:w="720"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color w:val="auto"/>
                <w:sz w:val="22"/>
                <w:szCs w:val="22"/>
                <w:highlight w:val="none"/>
                <w:vertAlign w:val="baseline"/>
                <w:lang w:eastAsia="zh-CN"/>
              </w:rPr>
            </w:pPr>
          </w:p>
        </w:tc>
        <w:tc>
          <w:tcPr>
            <w:tcW w:w="99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color w:val="auto"/>
                <w:sz w:val="22"/>
                <w:szCs w:val="22"/>
                <w:highlight w:val="none"/>
                <w:vertAlign w:val="baseline"/>
                <w:lang w:eastAsia="zh-CN"/>
              </w:rPr>
            </w:pP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Cs/>
                <w:color w:val="auto"/>
                <w:sz w:val="22"/>
                <w:szCs w:val="22"/>
                <w:highlight w:val="none"/>
                <w:vertAlign w:val="baseline"/>
                <w:lang w:val="en-US" w:eastAsia="zh-CN"/>
              </w:rPr>
            </w:pPr>
            <w:r>
              <w:rPr>
                <w:rFonts w:hint="eastAsia"/>
                <w:bCs/>
                <w:color w:val="auto"/>
                <w:sz w:val="22"/>
                <w:szCs w:val="22"/>
                <w:highlight w:val="none"/>
                <w:vertAlign w:val="baseline"/>
                <w:lang w:val="en-US" w:eastAsia="zh-CN"/>
              </w:rPr>
              <w:t>10m</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Cs/>
                <w:color w:val="auto"/>
                <w:sz w:val="22"/>
                <w:szCs w:val="22"/>
                <w:highlight w:val="none"/>
                <w:vertAlign w:val="baseline"/>
                <w:lang w:val="en-US" w:eastAsia="zh-CN"/>
              </w:rPr>
            </w:pPr>
            <w:r>
              <w:rPr>
                <w:rFonts w:hint="eastAsia"/>
                <w:bCs/>
                <w:color w:val="auto"/>
                <w:sz w:val="22"/>
                <w:szCs w:val="22"/>
                <w:highlight w:val="none"/>
                <w:vertAlign w:val="baseline"/>
                <w:lang w:val="en-US" w:eastAsia="zh-CN"/>
              </w:rPr>
              <w:t>20m</w:t>
            </w:r>
          </w:p>
        </w:tc>
        <w:tc>
          <w:tcPr>
            <w:tcW w:w="8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Cs/>
                <w:color w:val="auto"/>
                <w:sz w:val="22"/>
                <w:szCs w:val="22"/>
                <w:highlight w:val="none"/>
                <w:vertAlign w:val="baseline"/>
                <w:lang w:val="en-US" w:eastAsia="zh-CN"/>
              </w:rPr>
            </w:pPr>
            <w:r>
              <w:rPr>
                <w:rFonts w:hint="eastAsia"/>
                <w:bCs/>
                <w:color w:val="auto"/>
                <w:sz w:val="22"/>
                <w:szCs w:val="22"/>
                <w:highlight w:val="none"/>
                <w:vertAlign w:val="baseline"/>
                <w:lang w:val="en-US" w:eastAsia="zh-CN"/>
              </w:rPr>
              <w:t>50m</w:t>
            </w:r>
          </w:p>
        </w:tc>
        <w:tc>
          <w:tcPr>
            <w:tcW w:w="86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Cs/>
                <w:color w:val="auto"/>
                <w:sz w:val="22"/>
                <w:szCs w:val="22"/>
                <w:highlight w:val="none"/>
                <w:vertAlign w:val="baseline"/>
                <w:lang w:val="en-US" w:eastAsia="zh-CN"/>
              </w:rPr>
            </w:pPr>
            <w:r>
              <w:rPr>
                <w:rFonts w:hint="eastAsia"/>
                <w:bCs/>
                <w:color w:val="auto"/>
                <w:sz w:val="22"/>
                <w:szCs w:val="22"/>
                <w:highlight w:val="none"/>
                <w:vertAlign w:val="baseline"/>
                <w:lang w:val="en-US" w:eastAsia="zh-CN"/>
              </w:rPr>
              <w:t>100m</w:t>
            </w:r>
          </w:p>
        </w:tc>
        <w:tc>
          <w:tcPr>
            <w:tcW w:w="86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kern w:val="2"/>
                <w:sz w:val="22"/>
                <w:szCs w:val="22"/>
                <w:highlight w:val="none"/>
                <w:vertAlign w:val="baseline"/>
                <w:lang w:val="en-US" w:eastAsia="zh-CN" w:bidi="ar-SA"/>
              </w:rPr>
            </w:pPr>
            <w:r>
              <w:rPr>
                <w:rFonts w:hint="eastAsia"/>
                <w:bCs/>
                <w:color w:val="auto"/>
                <w:sz w:val="22"/>
                <w:szCs w:val="22"/>
                <w:highlight w:val="none"/>
                <w:vertAlign w:val="baseline"/>
                <w:lang w:val="en-US" w:eastAsia="zh-CN"/>
              </w:rPr>
              <w:t>200m</w:t>
            </w:r>
          </w:p>
        </w:tc>
        <w:tc>
          <w:tcPr>
            <w:tcW w:w="8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kern w:val="2"/>
                <w:sz w:val="22"/>
                <w:szCs w:val="22"/>
                <w:highlight w:val="none"/>
                <w:vertAlign w:val="baseline"/>
                <w:lang w:val="en-US" w:eastAsia="zh-CN" w:bidi="ar-SA"/>
              </w:rPr>
            </w:pPr>
            <w:r>
              <w:rPr>
                <w:rFonts w:hint="eastAsia"/>
                <w:bCs/>
                <w:color w:val="auto"/>
                <w:sz w:val="22"/>
                <w:szCs w:val="22"/>
                <w:highlight w:val="none"/>
                <w:vertAlign w:val="baseline"/>
                <w:lang w:val="en-US" w:eastAsia="zh-CN"/>
              </w:rPr>
              <w:t>300m</w:t>
            </w:r>
          </w:p>
        </w:tc>
        <w:tc>
          <w:tcPr>
            <w:tcW w:w="86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Cs/>
                <w:color w:val="auto"/>
                <w:sz w:val="22"/>
                <w:szCs w:val="22"/>
                <w:highlight w:val="none"/>
                <w:vertAlign w:val="baseline"/>
                <w:lang w:val="en-US" w:eastAsia="zh-CN"/>
              </w:rPr>
            </w:pPr>
            <w:r>
              <w:rPr>
                <w:rFonts w:hint="eastAsia"/>
                <w:bCs/>
                <w:color w:val="auto"/>
                <w:sz w:val="22"/>
                <w:szCs w:val="22"/>
                <w:highlight w:val="none"/>
                <w:vertAlign w:val="baseline"/>
                <w:lang w:val="en-US" w:eastAsia="zh-CN"/>
              </w:rPr>
              <w:t>500m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Cs/>
                <w:color w:val="auto"/>
                <w:sz w:val="22"/>
                <w:szCs w:val="22"/>
                <w:highlight w:val="none"/>
                <w:vertAlign w:val="baseline"/>
                <w:lang w:val="en-US" w:eastAsia="zh-CN"/>
              </w:rPr>
            </w:pPr>
            <w:r>
              <w:rPr>
                <w:rFonts w:hint="eastAsia"/>
                <w:color w:val="auto"/>
                <w:sz w:val="22"/>
                <w:szCs w:val="22"/>
                <w:highlight w:val="none"/>
              </w:rPr>
              <w:t>1000吨级</w:t>
            </w:r>
            <w:r>
              <w:rPr>
                <w:rFonts w:hint="eastAsia"/>
                <w:color w:val="auto"/>
                <w:sz w:val="22"/>
                <w:szCs w:val="22"/>
                <w:highlight w:val="none"/>
                <w:lang w:eastAsia="zh-CN"/>
              </w:rPr>
              <w:t>船舶</w:t>
            </w:r>
          </w:p>
        </w:tc>
        <w:tc>
          <w:tcPr>
            <w:tcW w:w="72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Cs/>
                <w:color w:val="auto"/>
                <w:sz w:val="22"/>
                <w:szCs w:val="22"/>
                <w:highlight w:val="none"/>
                <w:vertAlign w:val="baseline"/>
                <w:lang w:val="en-US" w:eastAsia="zh-CN"/>
              </w:rPr>
            </w:pPr>
            <w:r>
              <w:rPr>
                <w:rFonts w:hint="eastAsia"/>
                <w:bCs/>
                <w:color w:val="auto"/>
                <w:sz w:val="22"/>
                <w:szCs w:val="22"/>
                <w:highlight w:val="none"/>
                <w:vertAlign w:val="baseline"/>
                <w:lang w:val="en-US" w:eastAsia="zh-CN"/>
              </w:rPr>
              <w:t>5m</w:t>
            </w:r>
          </w:p>
        </w:tc>
        <w:tc>
          <w:tcPr>
            <w:tcW w:w="999" w:type="dxa"/>
            <w:vAlign w:val="center"/>
          </w:tcPr>
          <w:p>
            <w:pPr>
              <w:pStyle w:val="214"/>
              <w:spacing w:line="240" w:lineRule="auto"/>
              <w:ind w:left="0" w:leftChars="0" w:firstLine="0" w:firstLineChars="0"/>
              <w:jc w:val="center"/>
              <w:rPr>
                <w:rFonts w:hint="default"/>
                <w:bCs/>
                <w:color w:val="auto"/>
                <w:sz w:val="22"/>
                <w:szCs w:val="22"/>
                <w:highlight w:val="none"/>
                <w:vertAlign w:val="baseline"/>
                <w:lang w:val="en-US" w:eastAsia="zh-CN"/>
              </w:rPr>
            </w:pPr>
            <w:r>
              <w:rPr>
                <w:rFonts w:hint="eastAsia"/>
                <w:bCs/>
                <w:color w:val="auto"/>
                <w:sz w:val="22"/>
                <w:szCs w:val="22"/>
                <w:highlight w:val="none"/>
                <w:vertAlign w:val="baseline"/>
                <w:lang w:val="en-US" w:eastAsia="zh-CN"/>
              </w:rPr>
              <w:t>73</w:t>
            </w:r>
            <w:r>
              <w:rPr>
                <w:rFonts w:hint="eastAsia"/>
                <w:color w:val="auto"/>
                <w:sz w:val="22"/>
                <w:szCs w:val="22"/>
                <w:highlight w:val="none"/>
              </w:rPr>
              <w:t>dB(A)</w:t>
            </w:r>
          </w:p>
        </w:tc>
        <w:tc>
          <w:tcPr>
            <w:tcW w:w="84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bCs/>
                <w:color w:val="auto"/>
                <w:kern w:val="2"/>
                <w:sz w:val="22"/>
                <w:szCs w:val="22"/>
                <w:highlight w:val="none"/>
                <w:vertAlign w:val="baseline"/>
                <w:lang w:val="en-US" w:eastAsia="zh-CN" w:bidi="ar-SA"/>
              </w:rPr>
            </w:pPr>
            <w:r>
              <w:rPr>
                <w:rFonts w:hint="eastAsia" w:ascii="Times New Roman" w:hAnsi="Times New Roman" w:eastAsia="宋体" w:cs="Times New Roman"/>
                <w:bCs/>
                <w:color w:val="auto"/>
                <w:kern w:val="2"/>
                <w:sz w:val="22"/>
                <w:szCs w:val="22"/>
                <w:highlight w:val="none"/>
                <w:vertAlign w:val="baseline"/>
                <w:lang w:val="en-US" w:eastAsia="zh-CN" w:bidi="ar-SA"/>
              </w:rPr>
              <w:t xml:space="preserve">62.0 </w:t>
            </w:r>
          </w:p>
        </w:tc>
        <w:tc>
          <w:tcPr>
            <w:tcW w:w="84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bCs/>
                <w:color w:val="auto"/>
                <w:kern w:val="2"/>
                <w:sz w:val="22"/>
                <w:szCs w:val="22"/>
                <w:highlight w:val="none"/>
                <w:vertAlign w:val="baseline"/>
                <w:lang w:val="en-US" w:eastAsia="zh-CN" w:bidi="ar-SA"/>
              </w:rPr>
            </w:pPr>
            <w:r>
              <w:rPr>
                <w:rFonts w:hint="eastAsia" w:ascii="Times New Roman" w:hAnsi="Times New Roman" w:eastAsia="宋体" w:cs="Times New Roman"/>
                <w:bCs/>
                <w:color w:val="auto"/>
                <w:kern w:val="2"/>
                <w:sz w:val="22"/>
                <w:szCs w:val="22"/>
                <w:highlight w:val="none"/>
                <w:vertAlign w:val="baseline"/>
                <w:lang w:val="en-US" w:eastAsia="zh-CN" w:bidi="ar-SA"/>
              </w:rPr>
              <w:t xml:space="preserve">56.0 </w:t>
            </w:r>
          </w:p>
        </w:tc>
        <w:tc>
          <w:tcPr>
            <w:tcW w:w="84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bCs/>
                <w:color w:val="auto"/>
                <w:kern w:val="2"/>
                <w:sz w:val="22"/>
                <w:szCs w:val="22"/>
                <w:highlight w:val="none"/>
                <w:vertAlign w:val="baseline"/>
                <w:lang w:val="en-US" w:eastAsia="zh-CN" w:bidi="ar-SA"/>
              </w:rPr>
            </w:pPr>
            <w:r>
              <w:rPr>
                <w:rFonts w:hint="eastAsia" w:ascii="Times New Roman" w:hAnsi="Times New Roman" w:eastAsia="宋体" w:cs="Times New Roman"/>
                <w:bCs/>
                <w:color w:val="auto"/>
                <w:kern w:val="2"/>
                <w:sz w:val="22"/>
                <w:szCs w:val="22"/>
                <w:highlight w:val="none"/>
                <w:vertAlign w:val="baseline"/>
                <w:lang w:val="en-US" w:eastAsia="zh-CN" w:bidi="ar-SA"/>
              </w:rPr>
              <w:t xml:space="preserve">48.0 </w:t>
            </w:r>
          </w:p>
        </w:tc>
        <w:tc>
          <w:tcPr>
            <w:tcW w:w="863"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bCs/>
                <w:color w:val="auto"/>
                <w:kern w:val="2"/>
                <w:sz w:val="22"/>
                <w:szCs w:val="22"/>
                <w:highlight w:val="none"/>
                <w:vertAlign w:val="baseline"/>
                <w:lang w:val="en-US" w:eastAsia="zh-CN" w:bidi="ar-SA"/>
              </w:rPr>
            </w:pPr>
            <w:r>
              <w:rPr>
                <w:rFonts w:hint="eastAsia" w:ascii="Times New Roman" w:hAnsi="Times New Roman" w:eastAsia="宋体" w:cs="Times New Roman"/>
                <w:bCs/>
                <w:color w:val="auto"/>
                <w:kern w:val="2"/>
                <w:sz w:val="22"/>
                <w:szCs w:val="22"/>
                <w:highlight w:val="none"/>
                <w:vertAlign w:val="baseline"/>
                <w:lang w:val="en-US" w:eastAsia="zh-CN" w:bidi="ar-SA"/>
              </w:rPr>
              <w:t xml:space="preserve">42.0 </w:t>
            </w:r>
          </w:p>
        </w:tc>
        <w:tc>
          <w:tcPr>
            <w:tcW w:w="863"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bCs/>
                <w:color w:val="auto"/>
                <w:kern w:val="2"/>
                <w:sz w:val="22"/>
                <w:szCs w:val="22"/>
                <w:highlight w:val="none"/>
                <w:vertAlign w:val="baseline"/>
                <w:lang w:val="en-US" w:eastAsia="zh-CN" w:bidi="ar-SA"/>
              </w:rPr>
            </w:pPr>
            <w:r>
              <w:rPr>
                <w:rFonts w:hint="eastAsia" w:ascii="Times New Roman" w:hAnsi="Times New Roman" w:eastAsia="宋体" w:cs="Times New Roman"/>
                <w:bCs/>
                <w:color w:val="auto"/>
                <w:kern w:val="2"/>
                <w:sz w:val="22"/>
                <w:szCs w:val="22"/>
                <w:highlight w:val="none"/>
                <w:vertAlign w:val="baseline"/>
                <w:lang w:val="en-US" w:eastAsia="zh-CN" w:bidi="ar-SA"/>
              </w:rPr>
              <w:t xml:space="preserve">36.0 </w:t>
            </w:r>
          </w:p>
        </w:tc>
        <w:tc>
          <w:tcPr>
            <w:tcW w:w="86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bCs/>
                <w:color w:val="auto"/>
                <w:kern w:val="2"/>
                <w:sz w:val="22"/>
                <w:szCs w:val="22"/>
                <w:highlight w:val="none"/>
                <w:vertAlign w:val="baseline"/>
                <w:lang w:val="en-US" w:eastAsia="zh-CN" w:bidi="ar-SA"/>
              </w:rPr>
            </w:pPr>
            <w:r>
              <w:rPr>
                <w:rFonts w:hint="eastAsia" w:ascii="Times New Roman" w:hAnsi="Times New Roman" w:eastAsia="宋体" w:cs="Times New Roman"/>
                <w:bCs/>
                <w:color w:val="auto"/>
                <w:kern w:val="2"/>
                <w:sz w:val="22"/>
                <w:szCs w:val="22"/>
                <w:highlight w:val="none"/>
                <w:vertAlign w:val="baseline"/>
                <w:lang w:val="en-US" w:eastAsia="zh-CN" w:bidi="ar-SA"/>
              </w:rPr>
              <w:t xml:space="preserve">32.4 </w:t>
            </w:r>
          </w:p>
        </w:tc>
        <w:tc>
          <w:tcPr>
            <w:tcW w:w="86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bCs/>
                <w:color w:val="auto"/>
                <w:kern w:val="2"/>
                <w:sz w:val="22"/>
                <w:szCs w:val="22"/>
                <w:highlight w:val="none"/>
                <w:vertAlign w:val="baseline"/>
                <w:lang w:val="en-US" w:eastAsia="zh-CN" w:bidi="ar-SA"/>
              </w:rPr>
            </w:pPr>
            <w:r>
              <w:rPr>
                <w:rFonts w:hint="eastAsia" w:ascii="Times New Roman" w:hAnsi="Times New Roman" w:eastAsia="宋体" w:cs="Times New Roman"/>
                <w:bCs/>
                <w:color w:val="auto"/>
                <w:kern w:val="2"/>
                <w:sz w:val="22"/>
                <w:szCs w:val="22"/>
                <w:highlight w:val="none"/>
                <w:vertAlign w:val="baseline"/>
                <w:lang w:val="en-US" w:eastAsia="zh-CN" w:bidi="ar-SA"/>
              </w:rPr>
              <w:t xml:space="preserve">28.0 </w:t>
            </w:r>
          </w:p>
        </w:tc>
      </w:tr>
    </w:tbl>
    <w:p>
      <w:pPr>
        <w:snapToGrid w:val="0"/>
        <w:spacing w:line="240" w:lineRule="auto"/>
        <w:ind w:firstLine="504"/>
        <w:rPr>
          <w:rFonts w:hint="eastAsia"/>
          <w:bCs/>
          <w:color w:val="auto"/>
          <w:szCs w:val="26"/>
          <w:highlight w:val="none"/>
          <w:lang w:eastAsia="zh-CN"/>
        </w:rPr>
      </w:pPr>
    </w:p>
    <w:p>
      <w:pPr>
        <w:snapToGrid w:val="0"/>
        <w:ind w:firstLine="504"/>
        <w:rPr>
          <w:rFonts w:hint="eastAsia" w:eastAsia="宋体"/>
          <w:color w:val="auto"/>
          <w:kern w:val="0"/>
          <w:highlight w:val="none"/>
          <w:lang w:val="zh-CN" w:eastAsia="zh-CN"/>
        </w:rPr>
      </w:pPr>
      <w:r>
        <w:rPr>
          <w:rFonts w:hint="eastAsia"/>
          <w:bCs/>
          <w:color w:val="auto"/>
          <w:szCs w:val="26"/>
          <w:highlight w:val="none"/>
          <w:lang w:eastAsia="zh-CN"/>
        </w:rPr>
        <w:t>由上表可以看出，由于航道两侧均建有护坡、绿化阻隔，一定</w:t>
      </w:r>
      <w:r>
        <w:rPr>
          <w:rFonts w:hint="eastAsia"/>
          <w:bCs/>
          <w:color w:val="auto"/>
          <w:szCs w:val="26"/>
          <w:highlight w:val="none"/>
          <w:shd w:val="clear" w:fill="FFFFFF"/>
          <w:lang w:eastAsia="zh-CN"/>
        </w:rPr>
        <w:t>程度上</w:t>
      </w:r>
      <w:r>
        <w:rPr>
          <w:rFonts w:hint="eastAsia"/>
          <w:bCs/>
          <w:color w:val="auto"/>
          <w:szCs w:val="26"/>
          <w:highlight w:val="none"/>
          <w:lang w:eastAsia="zh-CN"/>
        </w:rPr>
        <w:t>起到了声屏障的作用，可有效降低船舶噪声对航道外环境的影响。在距源</w:t>
      </w:r>
      <w:r>
        <w:rPr>
          <w:rFonts w:hint="eastAsia"/>
          <w:bCs/>
          <w:color w:val="auto"/>
          <w:szCs w:val="26"/>
          <w:highlight w:val="none"/>
          <w:lang w:val="en-US" w:eastAsia="zh-CN"/>
        </w:rPr>
        <w:t>13</w:t>
      </w:r>
      <w:r>
        <w:rPr>
          <w:rFonts w:hint="eastAsia"/>
          <w:bCs/>
          <w:color w:val="auto"/>
          <w:szCs w:val="26"/>
          <w:highlight w:val="none"/>
          <w:lang w:eastAsia="zh-CN"/>
        </w:rPr>
        <w:t>m外，噪声值可衰减到60.0dB(A)以下，距源100m外，噪声值可衰减到</w:t>
      </w:r>
      <w:r>
        <w:rPr>
          <w:rFonts w:hint="eastAsia"/>
          <w:bCs/>
          <w:color w:val="auto"/>
          <w:szCs w:val="26"/>
          <w:highlight w:val="none"/>
          <w:lang w:val="en-US" w:eastAsia="zh-CN"/>
        </w:rPr>
        <w:t>42.0</w:t>
      </w:r>
      <w:r>
        <w:rPr>
          <w:rFonts w:hint="eastAsia"/>
          <w:bCs/>
          <w:color w:val="auto"/>
          <w:szCs w:val="26"/>
          <w:highlight w:val="none"/>
          <w:lang w:eastAsia="zh-CN"/>
        </w:rPr>
        <w:t>dB(A)。船舶影响最大距离昼间约距源</w:t>
      </w:r>
      <w:r>
        <w:rPr>
          <w:rFonts w:hint="eastAsia"/>
          <w:bCs/>
          <w:color w:val="auto"/>
          <w:szCs w:val="26"/>
          <w:highlight w:val="none"/>
          <w:lang w:val="en-US" w:eastAsia="zh-CN"/>
        </w:rPr>
        <w:t>13</w:t>
      </w:r>
      <w:r>
        <w:rPr>
          <w:rFonts w:hint="eastAsia"/>
          <w:bCs/>
          <w:color w:val="auto"/>
          <w:szCs w:val="26"/>
          <w:highlight w:val="none"/>
          <w:lang w:eastAsia="zh-CN"/>
        </w:rPr>
        <w:t>m，夜间距源约</w:t>
      </w:r>
      <w:r>
        <w:rPr>
          <w:rFonts w:hint="eastAsia"/>
          <w:bCs/>
          <w:color w:val="auto"/>
          <w:szCs w:val="26"/>
          <w:highlight w:val="none"/>
          <w:lang w:val="en-US" w:eastAsia="zh-CN"/>
        </w:rPr>
        <w:t>40</w:t>
      </w:r>
      <w:r>
        <w:rPr>
          <w:rFonts w:hint="eastAsia"/>
          <w:bCs/>
          <w:color w:val="auto"/>
          <w:szCs w:val="26"/>
          <w:highlight w:val="none"/>
          <w:lang w:eastAsia="zh-CN"/>
        </w:rPr>
        <w:t>m。本项目声环境保护目标距航道中心线最近距离都在200m以外，船舶噪声对航道两侧声敏感点的昼夜噪声值影响较小。总体来说，不会对沿线居民产生大的不利影响。</w:t>
      </w:r>
    </w:p>
    <w:p>
      <w:pPr>
        <w:pStyle w:val="4"/>
        <w:bidi w:val="0"/>
        <w:rPr>
          <w:color w:val="auto"/>
          <w:highlight w:val="none"/>
        </w:rPr>
      </w:pPr>
      <w:bookmarkStart w:id="119" w:name="_Toc25372"/>
      <w:r>
        <w:rPr>
          <w:rFonts w:hint="eastAsia"/>
          <w:color w:val="auto"/>
          <w:highlight w:val="none"/>
          <w:lang w:eastAsia="zh-CN"/>
        </w:rPr>
        <w:t>固体废物</w:t>
      </w:r>
      <w:r>
        <w:rPr>
          <w:color w:val="auto"/>
          <w:highlight w:val="none"/>
        </w:rPr>
        <w:t>影响预测与评价</w:t>
      </w:r>
      <w:bookmarkEnd w:id="119"/>
    </w:p>
    <w:p>
      <w:pPr>
        <w:pStyle w:val="5"/>
        <w:bidi w:val="0"/>
        <w:rPr>
          <w:color w:val="auto"/>
          <w:highlight w:val="none"/>
        </w:rPr>
      </w:pPr>
      <w:r>
        <w:rPr>
          <w:rFonts w:hint="eastAsia"/>
          <w:color w:val="auto"/>
          <w:highlight w:val="none"/>
          <w:lang w:eastAsia="zh-CN"/>
        </w:rPr>
        <w:t>施工期</w:t>
      </w:r>
    </w:p>
    <w:p>
      <w:pPr>
        <w:bidi w:val="0"/>
        <w:rPr>
          <w:rFonts w:hint="eastAsia"/>
          <w:color w:val="auto"/>
          <w:highlight w:val="none"/>
          <w:lang w:eastAsia="zh-CN"/>
        </w:rPr>
      </w:pPr>
      <w:r>
        <w:rPr>
          <w:rFonts w:hint="eastAsia"/>
          <w:color w:val="auto"/>
          <w:highlight w:val="none"/>
          <w:lang w:eastAsia="zh-CN"/>
        </w:rPr>
        <w:t>工程施工产生固体废弃物主要包括生活垃圾、建筑垃圾、工程弃渣等。</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）生活垃圾</w:t>
      </w:r>
    </w:p>
    <w:p>
      <w:pPr>
        <w:bidi w:val="0"/>
        <w:rPr>
          <w:rFonts w:hint="eastAsia"/>
          <w:color w:val="auto"/>
          <w:highlight w:val="none"/>
          <w:lang w:eastAsia="zh-CN"/>
        </w:rPr>
      </w:pPr>
      <w:r>
        <w:rPr>
          <w:rFonts w:hint="eastAsia"/>
          <w:color w:val="auto"/>
          <w:highlight w:val="none"/>
          <w:lang w:eastAsia="zh-CN"/>
        </w:rPr>
        <w:t>根据前文估算，</w:t>
      </w:r>
      <w:r>
        <w:rPr>
          <w:rFonts w:hint="eastAsia" w:ascii="Times New Roman" w:hAnsi="Times New Roman"/>
          <w:color w:val="auto"/>
          <w:highlight w:val="none"/>
          <w:lang w:eastAsia="zh-CN"/>
        </w:rPr>
        <w:t>工程</w:t>
      </w:r>
      <w:r>
        <w:rPr>
          <w:rFonts w:ascii="Times New Roman" w:hAnsi="Times New Roman"/>
          <w:color w:val="auto"/>
          <w:highlight w:val="none"/>
        </w:rPr>
        <w:t>施工高峰期</w:t>
      </w:r>
      <w:r>
        <w:rPr>
          <w:rFonts w:hint="eastAsia"/>
          <w:color w:val="auto"/>
          <w:highlight w:val="none"/>
          <w:lang w:eastAsia="zh-CN"/>
        </w:rPr>
        <w:t>施工人员生活垃圾产生量约为375kg/d，由垃圾桶收集后再由环卫部门统一清运处理，对环境的影响较小。</w:t>
      </w:r>
    </w:p>
    <w:p>
      <w:pPr>
        <w:pStyle w:val="222"/>
        <w:adjustRightInd w:val="0"/>
        <w:spacing w:line="460" w:lineRule="exact"/>
        <w:ind w:firstLine="480"/>
        <w:rPr>
          <w:rFonts w:ascii="Times New Roman" w:hAnsi="Times New Roman"/>
          <w:color w:val="auto"/>
          <w:highlight w:val="none"/>
        </w:rPr>
      </w:pP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2</w:t>
      </w:r>
      <w:r>
        <w:rPr>
          <w:rFonts w:hint="eastAsia" w:ascii="Times New Roman" w:hAnsi="Times New Roman"/>
          <w:color w:val="auto"/>
          <w:highlight w:val="none"/>
          <w:lang w:eastAsia="zh-CN"/>
        </w:rPr>
        <w:t>）</w:t>
      </w:r>
      <w:r>
        <w:rPr>
          <w:rFonts w:ascii="Times New Roman" w:hAnsi="Times New Roman"/>
          <w:color w:val="auto"/>
          <w:highlight w:val="none"/>
        </w:rPr>
        <w:t>施工弃渣</w:t>
      </w:r>
    </w:p>
    <w:p>
      <w:pPr>
        <w:bidi w:val="0"/>
        <w:rPr>
          <w:rFonts w:hint="default" w:ascii="Times New Roman" w:hAnsi="Times New Roman" w:cs="Times New Roman"/>
          <w:snapToGrid w:val="0"/>
          <w:color w:val="auto"/>
          <w:spacing w:val="2"/>
          <w:highlight w:val="none"/>
        </w:rPr>
      </w:pPr>
      <w:r>
        <w:rPr>
          <w:rFonts w:hint="default" w:ascii="Times New Roman" w:hAnsi="Times New Roman" w:cs="Times New Roman"/>
          <w:color w:val="auto"/>
          <w:highlight w:val="none"/>
        </w:rPr>
        <w:t>根据工程土石方平衡规划，工程土石方开挖方量(含围堰拆除</w:t>
      </w:r>
      <w:r>
        <w:rPr>
          <w:rFonts w:hint="eastAsia" w:ascii="Times New Roman" w:hAnsi="Times New Roman" w:cs="Times New Roman"/>
          <w:color w:val="auto"/>
          <w:highlight w:val="none"/>
          <w:lang w:eastAsia="zh-CN"/>
        </w:rPr>
        <w:t>、疏浚</w:t>
      </w:r>
      <w:r>
        <w:rPr>
          <w:rFonts w:hint="default" w:ascii="Times New Roman" w:hAnsi="Times New Roman" w:cs="Times New Roman"/>
          <w:color w:val="auto"/>
          <w:highlight w:val="none"/>
        </w:rPr>
        <w:t>)总计</w:t>
      </w:r>
      <w:r>
        <w:rPr>
          <w:rFonts w:hint="eastAsia" w:cs="Times New Roman"/>
          <w:color w:val="auto"/>
          <w:highlight w:val="none"/>
          <w:lang w:val="en-US" w:eastAsia="zh-CN"/>
        </w:rPr>
        <w:t>195.47</w:t>
      </w:r>
      <w:r>
        <w:rPr>
          <w:rFonts w:hint="default" w:ascii="Times New Roman" w:hAnsi="Times New Roman" w:cs="Times New Roman"/>
          <w:color w:val="auto"/>
          <w:highlight w:val="none"/>
        </w:rPr>
        <w:t>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，土石方填筑方量(含围堰填筑等)总计</w:t>
      </w:r>
      <w:r>
        <w:rPr>
          <w:rFonts w:hint="eastAsia" w:cs="Times New Roman"/>
          <w:color w:val="auto"/>
          <w:highlight w:val="none"/>
          <w:lang w:val="en-US" w:eastAsia="zh-CN"/>
        </w:rPr>
        <w:t>44.61</w:t>
      </w:r>
      <w:r>
        <w:rPr>
          <w:rFonts w:hint="default" w:ascii="Times New Roman" w:hAnsi="Times New Roman" w:cs="Times New Roman"/>
          <w:color w:val="auto"/>
          <w:highlight w:val="none"/>
        </w:rPr>
        <w:t>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，弃料共计</w:t>
      </w:r>
      <w:r>
        <w:rPr>
          <w:rFonts w:hint="eastAsia" w:cs="Times New Roman"/>
          <w:color w:val="auto"/>
          <w:highlight w:val="none"/>
          <w:lang w:val="en-US" w:eastAsia="zh-CN"/>
        </w:rPr>
        <w:t>172.20</w:t>
      </w:r>
      <w:r>
        <w:rPr>
          <w:rFonts w:hint="default" w:ascii="Times New Roman" w:hAnsi="Times New Roman" w:cs="Times New Roman"/>
          <w:color w:val="auto"/>
          <w:highlight w:val="none"/>
        </w:rPr>
        <w:t>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eastAsia="zh-CN"/>
        </w:rPr>
        <w:t>实方</w:t>
      </w:r>
      <w:r>
        <w:rPr>
          <w:rFonts w:hint="default" w:ascii="Times New Roman" w:hAnsi="Times New Roman" w:cs="Times New Roman"/>
          <w:color w:val="auto"/>
          <w:highlight w:val="none"/>
        </w:rPr>
        <w:t>)</w:t>
      </w:r>
      <w:r>
        <w:rPr>
          <w:rFonts w:hint="eastAsia" w:cs="Times New Roman"/>
          <w:color w:val="auto"/>
          <w:highlight w:val="none"/>
          <w:lang w:eastAsia="zh-CN"/>
        </w:rPr>
        <w:t>，综合利用后的</w:t>
      </w:r>
      <w:r>
        <w:rPr>
          <w:rFonts w:hint="default" w:ascii="Times New Roman" w:hAnsi="Times New Roman" w:cs="Times New Roman"/>
          <w:color w:val="auto"/>
          <w:kern w:val="2"/>
          <w:highlight w:val="none"/>
        </w:rPr>
        <w:t>弃渣运至</w:t>
      </w:r>
      <w:r>
        <w:rPr>
          <w:rFonts w:hint="eastAsia" w:cs="Times New Roman"/>
          <w:color w:val="auto"/>
          <w:kern w:val="2"/>
          <w:highlight w:val="none"/>
          <w:lang w:eastAsia="zh-CN"/>
        </w:rPr>
        <w:t>设置的</w:t>
      </w:r>
      <w:r>
        <w:rPr>
          <w:rFonts w:hint="eastAsia" w:cs="Times New Roman"/>
          <w:color w:val="auto"/>
          <w:kern w:val="2"/>
          <w:highlight w:val="none"/>
          <w:lang w:val="en-US" w:eastAsia="zh-CN"/>
        </w:rPr>
        <w:t>2处</w:t>
      </w:r>
      <w:r>
        <w:rPr>
          <w:rFonts w:hint="eastAsia" w:ascii="Times New Roman" w:hAnsi="Times New Roman" w:cs="Times New Roman"/>
          <w:color w:val="auto"/>
          <w:kern w:val="2"/>
          <w:highlight w:val="none"/>
          <w:lang w:eastAsia="zh-CN"/>
        </w:rPr>
        <w:t>临时弃渣场</w:t>
      </w:r>
      <w:r>
        <w:rPr>
          <w:rFonts w:hint="eastAsia" w:cs="Times New Roman"/>
          <w:color w:val="auto"/>
          <w:kern w:val="2"/>
          <w:highlight w:val="none"/>
          <w:lang w:eastAsia="zh-CN"/>
        </w:rPr>
        <w:t>，弃渣场容量</w:t>
      </w:r>
      <w:r>
        <w:rPr>
          <w:rFonts w:hint="eastAsia"/>
          <w:color w:val="auto"/>
          <w:highlight w:val="none"/>
          <w:lang w:eastAsia="zh-CN"/>
        </w:rPr>
        <w:t>约</w:t>
      </w:r>
      <w:r>
        <w:rPr>
          <w:rFonts w:hint="eastAsia"/>
          <w:color w:val="auto"/>
          <w:highlight w:val="none"/>
          <w:lang w:val="en-US" w:eastAsia="zh-CN"/>
        </w:rPr>
        <w:t>185</w:t>
      </w:r>
      <w:r>
        <w:rPr>
          <w:rFonts w:hint="eastAsia"/>
          <w:color w:val="auto"/>
          <w:highlight w:val="none"/>
          <w:lang w:eastAsia="zh-CN"/>
        </w:rPr>
        <w:t>万</w:t>
      </w:r>
      <w:r>
        <w:rPr>
          <w:rFonts w:hint="eastAsia"/>
          <w:color w:val="auto"/>
          <w:highlight w:val="none"/>
          <w:lang w:val="en-US" w:eastAsia="zh-CN"/>
        </w:rPr>
        <w:t>m³</w:t>
      </w:r>
      <w:r>
        <w:rPr>
          <w:rFonts w:hint="eastAsia"/>
          <w:color w:val="auto"/>
          <w:highlight w:val="none"/>
          <w:lang w:eastAsia="zh-CN"/>
        </w:rPr>
        <w:t>，可满足本工程弃渣需求，项目产生的弃渣可得到合理有效处置，不会对区域生态环境造成较大破坏</w:t>
      </w:r>
      <w:r>
        <w:rPr>
          <w:rFonts w:hint="default" w:ascii="Times New Roman" w:hAnsi="Times New Roman" w:cs="Times New Roman"/>
          <w:snapToGrid w:val="0"/>
          <w:color w:val="auto"/>
          <w:spacing w:val="2"/>
          <w:highlight w:val="none"/>
        </w:rPr>
        <w:t>。</w:t>
      </w:r>
    </w:p>
    <w:p>
      <w:pPr>
        <w:numPr>
          <w:ilvl w:val="0"/>
          <w:numId w:val="31"/>
        </w:numPr>
        <w:bidi w:val="0"/>
        <w:rPr>
          <w:rFonts w:hint="eastAsia"/>
          <w:color w:val="auto"/>
          <w:highlight w:val="none"/>
          <w:lang w:val="en-US" w:eastAsia="zh-CN"/>
        </w:rPr>
      </w:pPr>
      <w:r>
        <w:rPr>
          <w:rFonts w:hint="eastAsia"/>
          <w:color w:val="auto"/>
          <w:highlight w:val="none"/>
          <w:lang w:val="en-US" w:eastAsia="zh-CN"/>
        </w:rPr>
        <w:t>建筑垃圾</w:t>
      </w:r>
    </w:p>
    <w:p>
      <w:pPr>
        <w:numPr>
          <w:ilvl w:val="0"/>
          <w:numId w:val="0"/>
        </w:numPr>
        <w:bidi w:val="0"/>
        <w:ind w:firstLine="520" w:firstLineChars="200"/>
        <w:rPr>
          <w:rFonts w:hint="default"/>
          <w:color w:val="auto"/>
          <w:highlight w:val="none"/>
          <w:lang w:val="en-US" w:eastAsia="zh-CN"/>
        </w:rPr>
      </w:pPr>
      <w:r>
        <w:rPr>
          <w:rFonts w:hint="default"/>
          <w:color w:val="auto"/>
          <w:highlight w:val="none"/>
          <w:lang w:val="en-US" w:eastAsia="zh-CN"/>
        </w:rPr>
        <w:t>本项目</w:t>
      </w:r>
      <w:r>
        <w:rPr>
          <w:rFonts w:hint="eastAsia"/>
          <w:color w:val="auto"/>
          <w:highlight w:val="none"/>
          <w:lang w:val="en-US" w:eastAsia="zh-CN"/>
        </w:rPr>
        <w:t>施工期对现有管理区</w:t>
      </w:r>
      <w:r>
        <w:rPr>
          <w:rFonts w:hint="default"/>
          <w:color w:val="auto"/>
          <w:highlight w:val="none"/>
          <w:lang w:val="en-US" w:eastAsia="zh-CN"/>
        </w:rPr>
        <w:t>房屋</w:t>
      </w:r>
      <w:r>
        <w:rPr>
          <w:rFonts w:hint="eastAsia"/>
          <w:color w:val="auto"/>
          <w:highlight w:val="none"/>
          <w:lang w:val="en-US" w:eastAsia="zh-CN"/>
        </w:rPr>
        <w:t>等进行拆除，</w:t>
      </w:r>
      <w:r>
        <w:rPr>
          <w:rFonts w:hint="default"/>
          <w:color w:val="auto"/>
          <w:highlight w:val="none"/>
          <w:lang w:val="en-US" w:eastAsia="zh-CN"/>
        </w:rPr>
        <w:t>拆除建筑垃圾约计</w:t>
      </w:r>
      <w:r>
        <w:rPr>
          <w:rFonts w:hint="eastAsia"/>
          <w:color w:val="auto"/>
          <w:highlight w:val="none"/>
          <w:lang w:val="en-US" w:eastAsia="zh-CN"/>
        </w:rPr>
        <w:t>6000t</w:t>
      </w:r>
      <w:r>
        <w:rPr>
          <w:rFonts w:hint="default"/>
          <w:color w:val="auto"/>
          <w:highlight w:val="none"/>
          <w:lang w:val="en-US" w:eastAsia="zh-CN"/>
        </w:rPr>
        <w:t>。</w:t>
      </w:r>
      <w:r>
        <w:rPr>
          <w:rFonts w:hint="eastAsia"/>
          <w:color w:val="auto"/>
          <w:highlight w:val="none"/>
          <w:lang w:val="en-US" w:eastAsia="zh-CN"/>
        </w:rPr>
        <w:t>拆除垃圾</w:t>
      </w:r>
      <w:r>
        <w:rPr>
          <w:rFonts w:hint="eastAsia" w:ascii="Times New Roman" w:hAnsi="Times New Roman"/>
          <w:color w:val="auto"/>
          <w:highlight w:val="none"/>
          <w:lang w:eastAsia="zh-CN"/>
        </w:rPr>
        <w:t>优先进行回收利用，不能回收利用的运送至合法的建筑垃圾消纳场进行处置，不会对区域环境造成破坏。</w:t>
      </w:r>
    </w:p>
    <w:p>
      <w:pPr>
        <w:pStyle w:val="5"/>
        <w:bidi w:val="0"/>
        <w:rPr>
          <w:color w:val="auto"/>
          <w:highlight w:val="none"/>
        </w:rPr>
      </w:pPr>
      <w:r>
        <w:rPr>
          <w:rFonts w:hint="eastAsia"/>
          <w:color w:val="auto"/>
          <w:highlight w:val="none"/>
          <w:lang w:eastAsia="zh-CN"/>
        </w:rPr>
        <w:t>运营期</w:t>
      </w:r>
    </w:p>
    <w:p>
      <w:pPr>
        <w:pStyle w:val="2"/>
        <w:keepNext w:val="0"/>
        <w:keepLines w:val="0"/>
        <w:pageBreakBefore w:val="0"/>
        <w:widowControl w:val="0"/>
        <w:kinsoku/>
        <w:wordWrap/>
        <w:overflowPunct/>
        <w:topLinePunct w:val="0"/>
        <w:autoSpaceDE/>
        <w:autoSpaceDN/>
        <w:bidi w:val="0"/>
        <w:adjustRightInd w:val="0"/>
        <w:snapToGrid w:val="0"/>
        <w:spacing w:line="480" w:lineRule="exact"/>
        <w:ind w:firstLine="520" w:firstLineChars="200"/>
        <w:textAlignment w:val="auto"/>
        <w:rPr>
          <w:rFonts w:hint="eastAsia" w:eastAsia="宋体"/>
          <w:color w:val="auto"/>
          <w:highlight w:val="none"/>
          <w:lang w:eastAsia="zh-CN"/>
        </w:rPr>
      </w:pPr>
      <w:r>
        <w:rPr>
          <w:rFonts w:hint="eastAsia"/>
          <w:color w:val="auto"/>
          <w:sz w:val="26"/>
          <w:szCs w:val="26"/>
          <w:highlight w:val="none"/>
          <w:lang w:eastAsia="zh-CN"/>
        </w:rPr>
        <w:t>项目建成运行后，船闸区域不接收过闸船舶垃圾，船舶垃圾应严格按照《船舶污染物排放标准》（GB3552-2018）执行，由停靠的港区统一接收上岸，或交由有资质的单位进行接收处理。故项目运营期固体废物主要为管理人员生活垃圾、船闸检修废油等</w:t>
      </w:r>
      <w:r>
        <w:rPr>
          <w:rFonts w:hint="eastAsia"/>
          <w:color w:val="auto"/>
          <w:sz w:val="26"/>
          <w:szCs w:val="26"/>
          <w:highlight w:val="none"/>
        </w:rPr>
        <w:t>。</w:t>
      </w:r>
      <w:r>
        <w:rPr>
          <w:rFonts w:hint="eastAsia"/>
          <w:color w:val="auto"/>
          <w:sz w:val="26"/>
          <w:szCs w:val="26"/>
          <w:highlight w:val="none"/>
          <w:lang w:eastAsia="zh-CN"/>
        </w:rPr>
        <w:t>其中生活垃圾经集中收集后定期交由环卫部门处置，</w:t>
      </w:r>
      <w:r>
        <w:rPr>
          <w:rFonts w:hint="eastAsia"/>
          <w:color w:val="auto"/>
          <w:sz w:val="26"/>
          <w:szCs w:val="26"/>
          <w:highlight w:val="none"/>
        </w:rPr>
        <w:t>船闸检修</w:t>
      </w:r>
      <w:r>
        <w:rPr>
          <w:rFonts w:hint="eastAsia"/>
          <w:color w:val="auto"/>
          <w:sz w:val="26"/>
          <w:szCs w:val="26"/>
          <w:highlight w:val="none"/>
          <w:lang w:eastAsia="zh-CN"/>
        </w:rPr>
        <w:t>有专业单位负责，产生的废机油、含油固废在危废暂存间暂存后，定期交由有危废处置资质单位处置</w:t>
      </w:r>
      <w:r>
        <w:rPr>
          <w:bCs/>
          <w:color w:val="auto"/>
          <w:sz w:val="26"/>
          <w:szCs w:val="26"/>
          <w:highlight w:val="none"/>
        </w:rPr>
        <w:t>。</w:t>
      </w:r>
      <w:r>
        <w:rPr>
          <w:rFonts w:hint="eastAsia"/>
          <w:bCs/>
          <w:color w:val="auto"/>
          <w:sz w:val="26"/>
          <w:szCs w:val="26"/>
          <w:highlight w:val="none"/>
          <w:lang w:eastAsia="zh-CN"/>
        </w:rPr>
        <w:t>采取上述措施后，项目运营期固体废物可得到合理有效处置，不会对环境造成破坏。</w:t>
      </w:r>
    </w:p>
    <w:p>
      <w:pPr>
        <w:pStyle w:val="4"/>
        <w:rPr>
          <w:color w:val="auto"/>
          <w:highlight w:val="none"/>
        </w:rPr>
      </w:pPr>
      <w:bookmarkStart w:id="120" w:name="_Toc24755"/>
      <w:r>
        <w:rPr>
          <w:rFonts w:hint="eastAsia"/>
          <w:color w:val="auto"/>
          <w:highlight w:val="none"/>
        </w:rPr>
        <w:t>环境风险评价</w:t>
      </w:r>
      <w:bookmarkEnd w:id="120"/>
    </w:p>
    <w:p>
      <w:pPr>
        <w:pStyle w:val="5"/>
        <w:bidi w:val="0"/>
        <w:rPr>
          <w:color w:val="auto"/>
          <w:highlight w:val="none"/>
        </w:rPr>
      </w:pPr>
      <w:r>
        <w:rPr>
          <w:rFonts w:hint="eastAsia"/>
          <w:color w:val="auto"/>
          <w:highlight w:val="none"/>
          <w:lang w:eastAsia="zh-CN"/>
        </w:rPr>
        <w:t>环境风险评价目的</w:t>
      </w:r>
    </w:p>
    <w:p>
      <w:pPr>
        <w:ind w:firstLine="520"/>
        <w:rPr>
          <w:color w:val="auto"/>
          <w:highlight w:val="none"/>
        </w:rPr>
      </w:pPr>
      <w:r>
        <w:rPr>
          <w:color w:val="auto"/>
          <w:highlight w:val="none"/>
        </w:rPr>
        <w:t>环境风险是指突发性事故对环境（或健康）的危害程度。环境风险评价就是对建设项目建设和</w:t>
      </w:r>
      <w:r>
        <w:rPr>
          <w:rFonts w:hint="eastAsia"/>
          <w:color w:val="auto"/>
          <w:highlight w:val="none"/>
        </w:rPr>
        <w:t>运营</w:t>
      </w:r>
      <w:r>
        <w:rPr>
          <w:color w:val="auto"/>
          <w:highlight w:val="none"/>
        </w:rPr>
        <w:t>期间发生的可预测突发性事件或事故所造成的对人身安全与环境的影响和损害进行评估，提出防范、应急与减缓措施。本次评价根据《建设项目环境风险评价技术导则》（HJ</w:t>
      </w:r>
      <w:r>
        <w:rPr>
          <w:rFonts w:hint="eastAsia"/>
          <w:color w:val="auto"/>
          <w:highlight w:val="none"/>
        </w:rPr>
        <w:t xml:space="preserve"> </w:t>
      </w:r>
      <w:r>
        <w:rPr>
          <w:color w:val="auto"/>
          <w:highlight w:val="none"/>
        </w:rPr>
        <w:t>169-2018）对项目进行环境风险评价。通过对本项目的物质危险性分析和功能单元重大危险源判定结果，划分评价等级，识别项目中的潜在危险源并提出合理可行的防范、应急与减缓措施，以使建设项目事故率、损失和环境影响达到可接受水平。</w:t>
      </w:r>
    </w:p>
    <w:p>
      <w:pPr>
        <w:pStyle w:val="5"/>
        <w:ind w:firstLine="522"/>
        <w:rPr>
          <w:color w:val="auto"/>
          <w:highlight w:val="none"/>
        </w:rPr>
      </w:pPr>
      <w:r>
        <w:rPr>
          <w:rFonts w:hint="eastAsia"/>
          <w:color w:val="auto"/>
          <w:highlight w:val="none"/>
          <w:lang w:eastAsia="zh-CN"/>
        </w:rPr>
        <w:t>环境风险潜势初判</w:t>
      </w:r>
    </w:p>
    <w:p>
      <w:pPr>
        <w:ind w:firstLine="520"/>
        <w:rPr>
          <w:color w:val="auto"/>
          <w:highlight w:val="none"/>
        </w:rPr>
      </w:pPr>
      <w:r>
        <w:rPr>
          <w:rFonts w:hint="eastAsia"/>
          <w:color w:val="auto"/>
          <w:highlight w:val="none"/>
        </w:rPr>
        <w:t>（1）项目</w:t>
      </w:r>
      <w:r>
        <w:rPr>
          <w:rFonts w:hint="eastAsia"/>
          <w:color w:val="auto"/>
          <w:highlight w:val="none"/>
          <w:lang w:eastAsia="zh-CN"/>
        </w:rPr>
        <w:t>环境风险源识别</w:t>
      </w:r>
    </w:p>
    <w:p>
      <w:pPr>
        <w:ind w:firstLine="520"/>
        <w:rPr>
          <w:rFonts w:hint="eastAsia" w:eastAsia="宋体"/>
          <w:color w:val="auto"/>
          <w:szCs w:val="26"/>
          <w:highlight w:val="none"/>
          <w:lang w:eastAsia="zh-CN"/>
        </w:rPr>
      </w:pPr>
      <w:r>
        <w:rPr>
          <w:rFonts w:hint="eastAsia"/>
          <w:color w:val="auto"/>
          <w:szCs w:val="26"/>
          <w:highlight w:val="none"/>
        </w:rPr>
        <w:fldChar w:fldCharType="begin"/>
      </w:r>
      <w:r>
        <w:rPr>
          <w:rFonts w:hint="eastAsia"/>
          <w:color w:val="auto"/>
          <w:szCs w:val="26"/>
          <w:highlight w:val="none"/>
        </w:rPr>
        <w:instrText xml:space="preserve"> = 1 \* GB3 \* MERGEFORMAT </w:instrText>
      </w:r>
      <w:r>
        <w:rPr>
          <w:rFonts w:hint="eastAsia"/>
          <w:color w:val="auto"/>
          <w:szCs w:val="26"/>
          <w:highlight w:val="none"/>
        </w:rPr>
        <w:fldChar w:fldCharType="separate"/>
      </w:r>
      <w:r>
        <w:rPr>
          <w:color w:val="auto"/>
          <w:highlight w:val="none"/>
        </w:rPr>
        <w:t>①</w:t>
      </w:r>
      <w:r>
        <w:rPr>
          <w:rFonts w:hint="eastAsia"/>
          <w:color w:val="auto"/>
          <w:szCs w:val="26"/>
          <w:highlight w:val="none"/>
        </w:rPr>
        <w:fldChar w:fldCharType="end"/>
      </w:r>
      <w:r>
        <w:rPr>
          <w:rFonts w:hint="eastAsia"/>
          <w:color w:val="auto"/>
          <w:szCs w:val="26"/>
          <w:highlight w:val="none"/>
          <w:lang w:eastAsia="zh-CN"/>
        </w:rPr>
        <w:t>施工期风险源调查</w:t>
      </w:r>
    </w:p>
    <w:p>
      <w:pPr>
        <w:ind w:firstLine="520"/>
        <w:rPr>
          <w:rFonts w:hint="eastAsia" w:eastAsia="宋体"/>
          <w:color w:val="auto"/>
          <w:szCs w:val="26"/>
          <w:highlight w:val="none"/>
          <w:lang w:eastAsia="zh-CN"/>
        </w:rPr>
      </w:pPr>
      <w:r>
        <w:rPr>
          <w:rFonts w:hint="eastAsia"/>
          <w:color w:val="auto"/>
          <w:szCs w:val="26"/>
          <w:highlight w:val="none"/>
        </w:rPr>
        <w:t>工程施工</w:t>
      </w:r>
      <w:r>
        <w:rPr>
          <w:rFonts w:hint="eastAsia"/>
          <w:color w:val="auto"/>
          <w:szCs w:val="26"/>
          <w:highlight w:val="none"/>
          <w:shd w:val="clear" w:fill="FFFFFF"/>
        </w:rPr>
        <w:t>期</w:t>
      </w:r>
      <w:r>
        <w:rPr>
          <w:rFonts w:hint="eastAsia"/>
          <w:color w:val="auto"/>
          <w:szCs w:val="26"/>
          <w:highlight w:val="none"/>
        </w:rPr>
        <w:t>发生施工船舶溢油事故风险的可能性是：一方面，施工船舶在工程位置作业或者行进时，由于管理疏忽、操作违反规程或失误等原因引起石油类跑、冒、滴、漏事故的可能性较大，这类溢油事故对环境影响相对较小，但也会对水域造成油污染；另一方面，由于船舶本身出现设施损废，或者发生船舶碰撞，有可能使油类溢出造成污染。因此，本次风险评价重点对施工船舶发生溢油事故进行分析，施工船舶溢油主要为船舶本身动力所用的燃料油。</w:t>
      </w:r>
      <w:r>
        <w:rPr>
          <w:rFonts w:hint="eastAsia"/>
          <w:color w:val="auto"/>
          <w:szCs w:val="26"/>
          <w:highlight w:val="none"/>
          <w:lang w:eastAsia="zh-CN"/>
        </w:rPr>
        <w:t>施</w:t>
      </w:r>
      <w:r>
        <w:rPr>
          <w:rFonts w:hint="eastAsia"/>
          <w:color w:val="auto"/>
          <w:szCs w:val="26"/>
          <w:highlight w:val="none"/>
        </w:rPr>
        <w:t>工船舶最大燃油单舱实载容量</w:t>
      </w:r>
      <w:r>
        <w:rPr>
          <w:rFonts w:hint="eastAsia"/>
          <w:color w:val="auto"/>
          <w:szCs w:val="26"/>
          <w:highlight w:val="none"/>
          <w:lang w:eastAsia="zh-CN"/>
        </w:rPr>
        <w:t>约</w:t>
      </w:r>
      <w:r>
        <w:rPr>
          <w:rFonts w:hint="eastAsia"/>
          <w:color w:val="auto"/>
          <w:szCs w:val="26"/>
          <w:highlight w:val="none"/>
        </w:rPr>
        <w:t>为15t</w:t>
      </w:r>
      <w:r>
        <w:rPr>
          <w:rFonts w:hint="eastAsia"/>
          <w:color w:val="auto"/>
          <w:szCs w:val="26"/>
          <w:highlight w:val="none"/>
          <w:lang w:eastAsia="zh-CN"/>
        </w:rPr>
        <w:t>。</w:t>
      </w:r>
    </w:p>
    <w:p>
      <w:pPr>
        <w:ind w:firstLine="520"/>
        <w:rPr>
          <w:rFonts w:hint="eastAsia" w:eastAsia="宋体"/>
          <w:color w:val="auto"/>
          <w:szCs w:val="26"/>
          <w:highlight w:val="none"/>
          <w:lang w:eastAsia="zh-CN"/>
        </w:rPr>
      </w:pPr>
      <w:r>
        <w:rPr>
          <w:rFonts w:hint="eastAsia"/>
          <w:color w:val="auto"/>
          <w:szCs w:val="26"/>
          <w:highlight w:val="none"/>
        </w:rPr>
        <w:fldChar w:fldCharType="begin"/>
      </w:r>
      <w:r>
        <w:rPr>
          <w:rFonts w:hint="eastAsia"/>
          <w:color w:val="auto"/>
          <w:szCs w:val="26"/>
          <w:highlight w:val="none"/>
        </w:rPr>
        <w:instrText xml:space="preserve"> = 2 \* GB3 \* MERGEFORMAT </w:instrText>
      </w:r>
      <w:r>
        <w:rPr>
          <w:rFonts w:hint="eastAsia"/>
          <w:color w:val="auto"/>
          <w:szCs w:val="26"/>
          <w:highlight w:val="none"/>
        </w:rPr>
        <w:fldChar w:fldCharType="separate"/>
      </w:r>
      <w:r>
        <w:rPr>
          <w:color w:val="auto"/>
          <w:highlight w:val="none"/>
        </w:rPr>
        <w:t>②</w:t>
      </w:r>
      <w:r>
        <w:rPr>
          <w:rFonts w:hint="eastAsia"/>
          <w:color w:val="auto"/>
          <w:szCs w:val="26"/>
          <w:highlight w:val="none"/>
        </w:rPr>
        <w:fldChar w:fldCharType="end"/>
      </w:r>
      <w:r>
        <w:rPr>
          <w:rFonts w:hint="eastAsia"/>
          <w:color w:val="auto"/>
          <w:szCs w:val="26"/>
          <w:highlight w:val="none"/>
          <w:lang w:eastAsia="zh-CN"/>
        </w:rPr>
        <w:t>运营期风险源调查</w:t>
      </w:r>
    </w:p>
    <w:p>
      <w:pPr>
        <w:ind w:firstLine="520"/>
        <w:rPr>
          <w:color w:val="auto"/>
          <w:szCs w:val="26"/>
          <w:highlight w:val="none"/>
        </w:rPr>
      </w:pPr>
      <w:r>
        <w:rPr>
          <w:rFonts w:hint="eastAsia"/>
          <w:color w:val="auto"/>
          <w:szCs w:val="26"/>
          <w:highlight w:val="none"/>
        </w:rPr>
        <w:t>本项目</w:t>
      </w:r>
      <w:r>
        <w:rPr>
          <w:rFonts w:hint="eastAsia"/>
          <w:color w:val="auto"/>
          <w:szCs w:val="26"/>
          <w:highlight w:val="none"/>
          <w:lang w:eastAsia="zh-CN"/>
        </w:rPr>
        <w:t>运营期</w:t>
      </w:r>
      <w:r>
        <w:rPr>
          <w:rFonts w:hint="eastAsia"/>
          <w:color w:val="auto"/>
          <w:szCs w:val="26"/>
          <w:highlight w:val="none"/>
        </w:rPr>
        <w:t>本身不存在物质危险性和功能性危险源，环境风险事故的发生由间接行为导致，主要环境风险为</w:t>
      </w:r>
      <w:r>
        <w:rPr>
          <w:rFonts w:hint="eastAsia"/>
          <w:color w:val="auto"/>
          <w:szCs w:val="26"/>
          <w:highlight w:val="none"/>
          <w:lang w:eastAsia="zh-CN"/>
        </w:rPr>
        <w:t>过闸船舶环境风险物质</w:t>
      </w:r>
      <w:r>
        <w:rPr>
          <w:rFonts w:hint="eastAsia"/>
          <w:color w:val="auto"/>
          <w:szCs w:val="26"/>
          <w:highlight w:val="none"/>
          <w:shd w:val="clear" w:fill="FFFFFF"/>
          <w:lang w:eastAsia="zh-CN"/>
        </w:rPr>
        <w:t>泄漏</w:t>
      </w:r>
      <w:r>
        <w:rPr>
          <w:rFonts w:hint="eastAsia"/>
          <w:color w:val="auto"/>
          <w:szCs w:val="26"/>
          <w:highlight w:val="none"/>
        </w:rPr>
        <w:t>。本项目过闸船舶运输的货物主要为矿建材料、钢材、煤炭、农产品、其他件杂</w:t>
      </w:r>
      <w:r>
        <w:rPr>
          <w:rFonts w:hint="eastAsia"/>
          <w:color w:val="auto"/>
          <w:szCs w:val="26"/>
          <w:highlight w:val="none"/>
          <w:lang w:eastAsia="zh-CN"/>
        </w:rPr>
        <w:t>等，无危险化学品，</w:t>
      </w:r>
      <w:r>
        <w:rPr>
          <w:rFonts w:hint="eastAsia"/>
          <w:color w:val="auto"/>
          <w:szCs w:val="26"/>
          <w:highlight w:val="none"/>
        </w:rPr>
        <w:t>环境风险事故主要为船</w:t>
      </w:r>
      <w:r>
        <w:rPr>
          <w:rFonts w:hint="default" w:ascii="Times New Roman" w:hAnsi="Times New Roman" w:eastAsia="宋体" w:cs="Times New Roman"/>
          <w:color w:val="auto"/>
          <w:sz w:val="26"/>
          <w:szCs w:val="26"/>
          <w:highlight w:val="none"/>
        </w:rPr>
        <w:t>舶燃料油泄漏事故。</w:t>
      </w:r>
      <w:r>
        <w:rPr>
          <w:rFonts w:hint="eastAsia" w:cs="Times New Roman"/>
          <w:color w:val="auto"/>
          <w:sz w:val="26"/>
          <w:szCs w:val="26"/>
          <w:highlight w:val="none"/>
          <w:lang w:eastAsia="zh-CN"/>
        </w:rPr>
        <w:t>项目船舶最多停泊区域为上、下游待闸锚地，单个</w:t>
      </w:r>
      <w:r>
        <w:rPr>
          <w:rFonts w:hint="default" w:ascii="Times New Roman" w:hAnsi="Times New Roman" w:eastAsia="宋体" w:cs="Times New Roman"/>
          <w:color w:val="auto"/>
          <w:sz w:val="26"/>
          <w:szCs w:val="26"/>
          <w:highlight w:val="none"/>
        </w:rPr>
        <w:t>待闸锚地</w:t>
      </w:r>
      <w:r>
        <w:rPr>
          <w:rFonts w:hint="eastAsia" w:cs="Times New Roman"/>
          <w:color w:val="auto"/>
          <w:sz w:val="26"/>
          <w:szCs w:val="26"/>
          <w:highlight w:val="none"/>
          <w:lang w:eastAsia="zh-CN"/>
        </w:rPr>
        <w:t>最多可</w:t>
      </w:r>
      <w:r>
        <w:rPr>
          <w:rFonts w:hint="default" w:ascii="Times New Roman" w:hAnsi="Times New Roman" w:eastAsia="宋体" w:cs="Times New Roman"/>
          <w:color w:val="auto"/>
          <w:sz w:val="26"/>
          <w:szCs w:val="26"/>
          <w:highlight w:val="none"/>
        </w:rPr>
        <w:t>并排停泊的方式锚泊6艘1000t级船舶，</w:t>
      </w:r>
      <w:r>
        <w:rPr>
          <w:rFonts w:hint="eastAsia"/>
          <w:color w:val="auto"/>
          <w:szCs w:val="26"/>
          <w:highlight w:val="none"/>
          <w:lang w:val="en-US" w:eastAsia="zh-CN"/>
        </w:rPr>
        <w:t>1</w:t>
      </w:r>
      <w:r>
        <w:rPr>
          <w:rFonts w:hint="eastAsia"/>
          <w:color w:val="auto"/>
          <w:szCs w:val="26"/>
          <w:highlight w:val="none"/>
        </w:rPr>
        <w:t>000t</w:t>
      </w:r>
      <w:r>
        <w:rPr>
          <w:rFonts w:hint="eastAsia"/>
          <w:color w:val="auto"/>
          <w:szCs w:val="26"/>
          <w:highlight w:val="none"/>
          <w:lang w:eastAsia="zh-CN"/>
        </w:rPr>
        <w:t>货船</w:t>
      </w:r>
      <w:r>
        <w:rPr>
          <w:rFonts w:hint="eastAsia"/>
          <w:color w:val="auto"/>
          <w:szCs w:val="26"/>
          <w:highlight w:val="none"/>
        </w:rPr>
        <w:t>船油舱装油量为</w:t>
      </w:r>
      <w:r>
        <w:rPr>
          <w:rFonts w:hint="eastAsia"/>
          <w:color w:val="auto"/>
          <w:szCs w:val="26"/>
          <w:highlight w:val="none"/>
          <w:lang w:val="en-US" w:eastAsia="zh-CN"/>
        </w:rPr>
        <w:t>40</w:t>
      </w:r>
      <w:r>
        <w:rPr>
          <w:rFonts w:hint="eastAsia"/>
          <w:color w:val="auto"/>
          <w:szCs w:val="26"/>
          <w:highlight w:val="none"/>
        </w:rPr>
        <w:t>吨</w:t>
      </w:r>
      <w:r>
        <w:rPr>
          <w:rFonts w:hint="eastAsia"/>
          <w:color w:val="auto"/>
          <w:szCs w:val="26"/>
          <w:highlight w:val="none"/>
          <w:lang w:eastAsia="zh-CN"/>
        </w:rPr>
        <w:t>，</w:t>
      </w:r>
      <w:r>
        <w:rPr>
          <w:rFonts w:hint="eastAsia"/>
          <w:color w:val="auto"/>
          <w:szCs w:val="26"/>
          <w:highlight w:val="none"/>
        </w:rPr>
        <w:t>则船舶燃料油最大存在量为</w:t>
      </w:r>
      <w:r>
        <w:rPr>
          <w:rFonts w:hint="eastAsia"/>
          <w:color w:val="auto"/>
          <w:szCs w:val="26"/>
          <w:highlight w:val="none"/>
          <w:lang w:val="en-US" w:eastAsia="zh-CN"/>
        </w:rPr>
        <w:t>240</w:t>
      </w:r>
      <w:r>
        <w:rPr>
          <w:rFonts w:hint="eastAsia"/>
          <w:color w:val="auto"/>
          <w:szCs w:val="26"/>
          <w:highlight w:val="none"/>
        </w:rPr>
        <w:t>吨。</w:t>
      </w:r>
    </w:p>
    <w:p>
      <w:pPr>
        <w:ind w:firstLine="520"/>
        <w:rPr>
          <w:color w:val="auto"/>
          <w:highlight w:val="none"/>
        </w:rPr>
      </w:pPr>
      <w:r>
        <w:rPr>
          <w:rFonts w:hint="eastAsia"/>
          <w:color w:val="auto"/>
          <w:highlight w:val="none"/>
        </w:rPr>
        <w:t>（2）环境风险</w:t>
      </w:r>
      <w:r>
        <w:rPr>
          <w:color w:val="auto"/>
          <w:highlight w:val="none"/>
        </w:rPr>
        <w:t>潜势初判</w:t>
      </w:r>
    </w:p>
    <w:p>
      <w:pPr>
        <w:ind w:firstLine="520"/>
        <w:rPr>
          <w:color w:val="auto"/>
          <w:highlight w:val="none"/>
        </w:rPr>
      </w:pPr>
      <w:r>
        <w:rPr>
          <w:color w:val="auto"/>
          <w:highlight w:val="none"/>
        </w:rPr>
        <w:t>计算所涉及的每种危险物质在厂界内的最大存在总量与其在附录B中对应临界量的比值（</w:t>
      </w:r>
      <w:r>
        <w:rPr>
          <w:i/>
          <w:color w:val="auto"/>
          <w:highlight w:val="none"/>
        </w:rPr>
        <w:t>Q</w:t>
      </w:r>
      <w:r>
        <w:rPr>
          <w:color w:val="auto"/>
          <w:highlight w:val="none"/>
        </w:rPr>
        <w:t>）。</w:t>
      </w:r>
    </w:p>
    <w:p>
      <w:pPr>
        <w:ind w:firstLine="520"/>
        <w:rPr>
          <w:color w:val="auto"/>
          <w:highlight w:val="none"/>
        </w:rPr>
      </w:pPr>
      <w:r>
        <w:rPr>
          <w:color w:val="auto"/>
          <w:highlight w:val="none"/>
        </w:rPr>
        <w:t>当存在多种危险物质时，则按下式计算物质总量与其临界量比值（</w:t>
      </w:r>
      <w:r>
        <w:rPr>
          <w:i/>
          <w:color w:val="auto"/>
          <w:highlight w:val="none"/>
        </w:rPr>
        <w:t>Q</w:t>
      </w:r>
      <w:r>
        <w:rPr>
          <w:color w:val="auto"/>
          <w:highlight w:val="none"/>
        </w:rPr>
        <w:t>）：</w:t>
      </w:r>
    </w:p>
    <w:p>
      <w:pPr>
        <w:spacing w:line="240" w:lineRule="auto"/>
        <w:ind w:firstLine="520"/>
        <w:jc w:val="center"/>
        <w:rPr>
          <w:i/>
          <w:color w:val="auto"/>
          <w:highlight w:val="none"/>
        </w:rPr>
      </w:pPr>
      <w:r>
        <w:rPr>
          <w:color w:val="auto"/>
          <w:kern w:val="0"/>
          <w:szCs w:val="26"/>
          <w:highlight w:val="none"/>
        </w:rPr>
        <w:drawing>
          <wp:inline distT="0" distB="0" distL="0" distR="0">
            <wp:extent cx="1805940" cy="490855"/>
            <wp:effectExtent l="0" t="0" r="3810" b="4445"/>
            <wp:docPr id="35" name="图片 35" descr="C:\Users\Administrator\AppData\Roaming\Tencent\Users\417383023\QQ\WinTemp\RichOle\$$OHFUYD(L}U8W6PR6YPI%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istrator\AppData\Roaming\Tencent\Users\417383023\QQ\WinTemp\RichOle\$$OHFUYD(L}U8W6PR6YPI%8.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1805940" cy="490855"/>
                    </a:xfrm>
                    <a:prstGeom prst="rect">
                      <a:avLst/>
                    </a:prstGeom>
                    <a:noFill/>
                    <a:ln>
                      <a:noFill/>
                    </a:ln>
                  </pic:spPr>
                </pic:pic>
              </a:graphicData>
            </a:graphic>
          </wp:inline>
        </w:drawing>
      </w:r>
    </w:p>
    <w:p>
      <w:pPr>
        <w:snapToGrid w:val="0"/>
        <w:ind w:firstLine="520"/>
        <w:rPr>
          <w:color w:val="auto"/>
          <w:highlight w:val="none"/>
        </w:rPr>
      </w:pPr>
      <w:r>
        <w:rPr>
          <w:color w:val="auto"/>
          <w:highlight w:val="none"/>
        </w:rPr>
        <w:t>式中：</w:t>
      </w:r>
      <w:r>
        <w:rPr>
          <w:i/>
          <w:color w:val="auto"/>
          <w:highlight w:val="none"/>
        </w:rPr>
        <w:t>q</w:t>
      </w:r>
      <w:r>
        <w:rPr>
          <w:i/>
          <w:color w:val="auto"/>
          <w:highlight w:val="none"/>
          <w:vertAlign w:val="subscript"/>
        </w:rPr>
        <w:t>1</w:t>
      </w:r>
      <w:r>
        <w:rPr>
          <w:i/>
          <w:color w:val="auto"/>
          <w:highlight w:val="none"/>
        </w:rPr>
        <w:t>、q</w:t>
      </w:r>
      <w:r>
        <w:rPr>
          <w:i/>
          <w:color w:val="auto"/>
          <w:highlight w:val="none"/>
          <w:vertAlign w:val="subscript"/>
        </w:rPr>
        <w:t>2</w:t>
      </w:r>
      <w:r>
        <w:rPr>
          <w:i/>
          <w:color w:val="auto"/>
          <w:highlight w:val="none"/>
        </w:rPr>
        <w:t>…q</w:t>
      </w:r>
      <w:r>
        <w:rPr>
          <w:i/>
          <w:color w:val="auto"/>
          <w:highlight w:val="none"/>
          <w:vertAlign w:val="subscript"/>
        </w:rPr>
        <w:t>n</w:t>
      </w:r>
      <w:r>
        <w:rPr>
          <w:color w:val="auto"/>
          <w:highlight w:val="none"/>
        </w:rPr>
        <w:t>——每种危险物质的最大存在总量，t；</w:t>
      </w:r>
    </w:p>
    <w:p>
      <w:pPr>
        <w:snapToGrid w:val="0"/>
        <w:ind w:firstLine="520"/>
        <w:rPr>
          <w:color w:val="auto"/>
          <w:highlight w:val="none"/>
        </w:rPr>
      </w:pPr>
      <w:r>
        <w:rPr>
          <w:color w:val="auto"/>
          <w:highlight w:val="none"/>
        </w:rPr>
        <w:t xml:space="preserve">      </w:t>
      </w:r>
      <w:r>
        <w:rPr>
          <w:i/>
          <w:color w:val="auto"/>
          <w:highlight w:val="none"/>
        </w:rPr>
        <w:t>Q</w:t>
      </w:r>
      <w:r>
        <w:rPr>
          <w:i/>
          <w:color w:val="auto"/>
          <w:highlight w:val="none"/>
          <w:vertAlign w:val="subscript"/>
        </w:rPr>
        <w:t>1</w:t>
      </w:r>
      <w:r>
        <w:rPr>
          <w:i/>
          <w:color w:val="auto"/>
          <w:highlight w:val="none"/>
        </w:rPr>
        <w:t>、Q</w:t>
      </w:r>
      <w:r>
        <w:rPr>
          <w:i/>
          <w:color w:val="auto"/>
          <w:highlight w:val="none"/>
          <w:vertAlign w:val="subscript"/>
        </w:rPr>
        <w:t>2</w:t>
      </w:r>
      <w:r>
        <w:rPr>
          <w:i/>
          <w:color w:val="auto"/>
          <w:highlight w:val="none"/>
        </w:rPr>
        <w:t>…Q</w:t>
      </w:r>
      <w:r>
        <w:rPr>
          <w:i/>
          <w:color w:val="auto"/>
          <w:highlight w:val="none"/>
          <w:vertAlign w:val="subscript"/>
        </w:rPr>
        <w:t>n</w:t>
      </w:r>
      <w:r>
        <w:rPr>
          <w:color w:val="auto"/>
          <w:highlight w:val="none"/>
        </w:rPr>
        <w:t>——每种危险物质的临界量，t；</w:t>
      </w:r>
    </w:p>
    <w:p>
      <w:pPr>
        <w:snapToGrid w:val="0"/>
        <w:ind w:firstLine="520"/>
        <w:rPr>
          <w:color w:val="auto"/>
          <w:highlight w:val="none"/>
        </w:rPr>
      </w:pPr>
      <w:r>
        <w:rPr>
          <w:color w:val="auto"/>
          <w:highlight w:val="none"/>
        </w:rPr>
        <w:t>当</w:t>
      </w:r>
      <w:r>
        <w:rPr>
          <w:i/>
          <w:color w:val="auto"/>
          <w:highlight w:val="none"/>
        </w:rPr>
        <w:t>Q</w:t>
      </w:r>
      <w:r>
        <w:rPr>
          <w:color w:val="auto"/>
          <w:highlight w:val="none"/>
        </w:rPr>
        <w:t>＜1时，该项目环境风险潜势为</w:t>
      </w:r>
      <w:r>
        <w:rPr>
          <w:color w:val="auto"/>
          <w:highlight w:val="none"/>
        </w:rPr>
        <w:fldChar w:fldCharType="begin"/>
      </w:r>
      <w:r>
        <w:rPr>
          <w:color w:val="auto"/>
          <w:highlight w:val="none"/>
        </w:rPr>
        <w:instrText xml:space="preserve"> = 1 \* ROMAN </w:instrText>
      </w:r>
      <w:r>
        <w:rPr>
          <w:color w:val="auto"/>
          <w:highlight w:val="none"/>
        </w:rPr>
        <w:fldChar w:fldCharType="separate"/>
      </w:r>
      <w:r>
        <w:rPr>
          <w:color w:val="auto"/>
          <w:highlight w:val="none"/>
        </w:rPr>
        <w:t>I</w:t>
      </w:r>
      <w:r>
        <w:rPr>
          <w:color w:val="auto"/>
          <w:highlight w:val="none"/>
        </w:rPr>
        <w:fldChar w:fldCharType="end"/>
      </w:r>
      <w:r>
        <w:rPr>
          <w:color w:val="auto"/>
          <w:highlight w:val="none"/>
        </w:rPr>
        <w:t>。</w:t>
      </w:r>
    </w:p>
    <w:p>
      <w:pPr>
        <w:snapToGrid w:val="0"/>
        <w:ind w:firstLine="520"/>
        <w:rPr>
          <w:color w:val="auto"/>
          <w:highlight w:val="none"/>
        </w:rPr>
      </w:pPr>
      <w:r>
        <w:rPr>
          <w:color w:val="auto"/>
          <w:highlight w:val="none"/>
        </w:rPr>
        <w:t>当</w:t>
      </w:r>
      <w:r>
        <w:rPr>
          <w:i/>
          <w:color w:val="auto"/>
          <w:highlight w:val="none"/>
        </w:rPr>
        <w:t>Q</w:t>
      </w:r>
      <w:r>
        <w:rPr>
          <w:color w:val="auto"/>
          <w:highlight w:val="none"/>
        </w:rPr>
        <w:t>＞1时，将</w:t>
      </w:r>
      <w:r>
        <w:rPr>
          <w:i/>
          <w:color w:val="auto"/>
          <w:highlight w:val="none"/>
        </w:rPr>
        <w:t>Q</w:t>
      </w:r>
      <w:r>
        <w:rPr>
          <w:color w:val="auto"/>
          <w:highlight w:val="none"/>
        </w:rPr>
        <w:t>值划分为：1≤</w:t>
      </w:r>
      <w:r>
        <w:rPr>
          <w:i/>
          <w:color w:val="auto"/>
          <w:highlight w:val="none"/>
        </w:rPr>
        <w:t>Q</w:t>
      </w:r>
      <w:r>
        <w:rPr>
          <w:color w:val="auto"/>
          <w:highlight w:val="none"/>
        </w:rPr>
        <w:t>＜10；10≤</w:t>
      </w:r>
      <w:r>
        <w:rPr>
          <w:i/>
          <w:color w:val="auto"/>
          <w:highlight w:val="none"/>
        </w:rPr>
        <w:t>Q</w:t>
      </w:r>
      <w:r>
        <w:rPr>
          <w:color w:val="auto"/>
          <w:highlight w:val="none"/>
        </w:rPr>
        <w:t>＜100；</w:t>
      </w:r>
      <w:r>
        <w:rPr>
          <w:i/>
          <w:color w:val="auto"/>
          <w:highlight w:val="none"/>
        </w:rPr>
        <w:t>Q</w:t>
      </w:r>
      <w:r>
        <w:rPr>
          <w:color w:val="auto"/>
          <w:highlight w:val="none"/>
        </w:rPr>
        <w:t>≥100</w:t>
      </w:r>
    </w:p>
    <w:p>
      <w:pPr>
        <w:ind w:firstLine="520"/>
        <w:rPr>
          <w:color w:val="auto"/>
          <w:highlight w:val="none"/>
        </w:rPr>
      </w:pPr>
      <w:r>
        <w:rPr>
          <w:color w:val="auto"/>
          <w:highlight w:val="none"/>
        </w:rPr>
        <w:t>根据《建设项目环境风险评价技术导则》（HJ169-2018）附录B，最大存在总量与其在附录B中对应临界量的比值（</w:t>
      </w:r>
      <w:r>
        <w:rPr>
          <w:i/>
          <w:color w:val="auto"/>
          <w:highlight w:val="none"/>
        </w:rPr>
        <w:t>Q</w:t>
      </w:r>
      <w:r>
        <w:rPr>
          <w:color w:val="auto"/>
          <w:highlight w:val="none"/>
        </w:rPr>
        <w:t>）</w:t>
      </w:r>
      <w:r>
        <w:rPr>
          <w:rFonts w:hint="eastAsia"/>
          <w:color w:val="auto"/>
          <w:highlight w:val="none"/>
          <w:lang w:eastAsia="zh-CN"/>
        </w:rPr>
        <w:t>计算结果</w:t>
      </w:r>
      <w:r>
        <w:rPr>
          <w:color w:val="auto"/>
          <w:highlight w:val="none"/>
        </w:rPr>
        <w:t>详见</w:t>
      </w:r>
      <w:r>
        <w:rPr>
          <w:rFonts w:hint="eastAsia"/>
          <w:color w:val="auto"/>
          <w:highlight w:val="none"/>
        </w:rPr>
        <w:t>下表：</w:t>
      </w:r>
    </w:p>
    <w:p>
      <w:pPr>
        <w:spacing w:line="240" w:lineRule="auto"/>
        <w:ind w:firstLine="0" w:firstLineChars="0"/>
        <w:jc w:val="center"/>
        <w:rPr>
          <w:color w:val="auto"/>
          <w:highlight w:val="none"/>
        </w:rPr>
      </w:pPr>
      <w:bookmarkStart w:id="121" w:name="_Ref6825716"/>
      <w:bookmarkStart w:id="122" w:name="_Ref6825712"/>
    </w:p>
    <w:p>
      <w:pPr>
        <w:spacing w:line="240" w:lineRule="auto"/>
        <w:ind w:firstLine="0" w:firstLineChars="0"/>
        <w:jc w:val="center"/>
        <w:rPr>
          <w:color w:val="auto"/>
          <w:highlight w:val="none"/>
        </w:rPr>
      </w:pPr>
      <w:r>
        <w:rPr>
          <w:color w:val="auto"/>
          <w:highlight w:val="none"/>
        </w:rPr>
        <w:t>表</w:t>
      </w:r>
      <w:r>
        <w:rPr>
          <w:rFonts w:hint="eastAsia"/>
          <w:color w:val="auto"/>
          <w:highlight w:val="none"/>
          <w:lang w:val="en-US" w:eastAsia="zh-CN"/>
        </w:rPr>
        <w:t>4.6.2-</w:t>
      </w:r>
      <w:r>
        <w:rPr>
          <w:color w:val="auto"/>
          <w:highlight w:val="none"/>
        </w:rPr>
        <w:fldChar w:fldCharType="begin"/>
      </w:r>
      <w:r>
        <w:rPr>
          <w:color w:val="auto"/>
          <w:highlight w:val="none"/>
        </w:rPr>
        <w:instrText xml:space="preserve"> SEQ 表 \* ARABIC \s 2 </w:instrText>
      </w:r>
      <w:r>
        <w:rPr>
          <w:color w:val="auto"/>
          <w:highlight w:val="none"/>
        </w:rPr>
        <w:fldChar w:fldCharType="separate"/>
      </w:r>
      <w:r>
        <w:rPr>
          <w:color w:val="auto"/>
          <w:highlight w:val="none"/>
        </w:rPr>
        <w:t>1</w:t>
      </w:r>
      <w:r>
        <w:rPr>
          <w:color w:val="auto"/>
          <w:highlight w:val="none"/>
        </w:rPr>
        <w:fldChar w:fldCharType="end"/>
      </w:r>
      <w:bookmarkEnd w:id="121"/>
      <w:r>
        <w:rPr>
          <w:rFonts w:hint="eastAsia"/>
          <w:color w:val="auto"/>
          <w:highlight w:val="none"/>
        </w:rPr>
        <w:t xml:space="preserve">  </w:t>
      </w:r>
      <w:r>
        <w:rPr>
          <w:color w:val="auto"/>
          <w:highlight w:val="none"/>
        </w:rPr>
        <w:t>本项目涉及危险物质的临界量</w:t>
      </w:r>
      <w:bookmarkEnd w:id="122"/>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1218"/>
        <w:gridCol w:w="1964"/>
        <w:gridCol w:w="1179"/>
        <w:gridCol w:w="1511"/>
        <w:gridCol w:w="1196"/>
        <w:gridCol w:w="8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shd w:val="clear" w:color="auto" w:fill="auto"/>
            <w:vAlign w:val="center"/>
          </w:tcPr>
          <w:p>
            <w:pPr>
              <w:snapToGrid w:val="0"/>
              <w:spacing w:line="240" w:lineRule="auto"/>
              <w:ind w:firstLine="0" w:firstLineChars="0"/>
              <w:jc w:val="center"/>
              <w:rPr>
                <w:color w:val="auto"/>
                <w:sz w:val="22"/>
                <w:szCs w:val="22"/>
                <w:highlight w:val="none"/>
              </w:rPr>
            </w:pPr>
            <w:r>
              <w:rPr>
                <w:color w:val="auto"/>
                <w:sz w:val="22"/>
                <w:szCs w:val="22"/>
                <w:highlight w:val="none"/>
              </w:rPr>
              <w:t>序号</w:t>
            </w:r>
          </w:p>
        </w:tc>
        <w:tc>
          <w:tcPr>
            <w:tcW w:w="1218" w:type="dxa"/>
            <w:shd w:val="clear" w:color="auto" w:fill="auto"/>
            <w:vAlign w:val="center"/>
          </w:tcPr>
          <w:p>
            <w:pPr>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阶段</w:t>
            </w:r>
          </w:p>
        </w:tc>
        <w:tc>
          <w:tcPr>
            <w:tcW w:w="1964" w:type="dxa"/>
            <w:shd w:val="clear" w:color="auto" w:fill="auto"/>
            <w:vAlign w:val="center"/>
          </w:tcPr>
          <w:p>
            <w:pPr>
              <w:snapToGrid w:val="0"/>
              <w:spacing w:line="240" w:lineRule="auto"/>
              <w:ind w:firstLine="0" w:firstLineChars="0"/>
              <w:jc w:val="center"/>
              <w:rPr>
                <w:color w:val="auto"/>
                <w:sz w:val="22"/>
                <w:szCs w:val="22"/>
                <w:highlight w:val="none"/>
              </w:rPr>
            </w:pPr>
            <w:r>
              <w:rPr>
                <w:color w:val="auto"/>
                <w:sz w:val="22"/>
                <w:szCs w:val="22"/>
                <w:highlight w:val="none"/>
              </w:rPr>
              <w:t>物质名称</w:t>
            </w:r>
          </w:p>
        </w:tc>
        <w:tc>
          <w:tcPr>
            <w:tcW w:w="1179" w:type="dxa"/>
            <w:shd w:val="clear" w:color="auto" w:fill="auto"/>
            <w:vAlign w:val="center"/>
          </w:tcPr>
          <w:p>
            <w:pPr>
              <w:snapToGrid w:val="0"/>
              <w:spacing w:line="240" w:lineRule="auto"/>
              <w:ind w:firstLine="0" w:firstLineChars="0"/>
              <w:jc w:val="center"/>
              <w:rPr>
                <w:color w:val="auto"/>
                <w:sz w:val="22"/>
                <w:szCs w:val="22"/>
                <w:highlight w:val="none"/>
              </w:rPr>
            </w:pPr>
            <w:r>
              <w:rPr>
                <w:color w:val="auto"/>
                <w:sz w:val="22"/>
                <w:szCs w:val="22"/>
                <w:highlight w:val="none"/>
              </w:rPr>
              <w:t>CAS号</w:t>
            </w:r>
          </w:p>
        </w:tc>
        <w:tc>
          <w:tcPr>
            <w:tcW w:w="1511" w:type="dxa"/>
            <w:shd w:val="clear" w:color="auto" w:fill="auto"/>
            <w:vAlign w:val="center"/>
          </w:tcPr>
          <w:p>
            <w:pPr>
              <w:snapToGrid w:val="0"/>
              <w:spacing w:line="240" w:lineRule="auto"/>
              <w:ind w:firstLine="0" w:firstLineChars="0"/>
              <w:jc w:val="center"/>
              <w:rPr>
                <w:rFonts w:hint="default"/>
                <w:color w:val="auto"/>
                <w:sz w:val="22"/>
                <w:szCs w:val="22"/>
                <w:highlight w:val="none"/>
                <w:lang w:val="en-US"/>
              </w:rPr>
            </w:pPr>
            <w:r>
              <w:rPr>
                <w:rFonts w:hint="eastAsia"/>
                <w:color w:val="auto"/>
                <w:sz w:val="22"/>
                <w:szCs w:val="22"/>
                <w:highlight w:val="none"/>
                <w:lang w:eastAsia="zh-CN"/>
              </w:rPr>
              <w:t>最大存在量</w:t>
            </w:r>
            <w:r>
              <w:rPr>
                <w:rFonts w:hint="eastAsia"/>
                <w:color w:val="auto"/>
                <w:sz w:val="22"/>
                <w:szCs w:val="22"/>
                <w:highlight w:val="none"/>
                <w:lang w:val="en-US" w:eastAsia="zh-CN"/>
              </w:rPr>
              <w:t>/t</w:t>
            </w:r>
          </w:p>
        </w:tc>
        <w:tc>
          <w:tcPr>
            <w:tcW w:w="1196" w:type="dxa"/>
            <w:shd w:val="clear" w:color="auto" w:fill="auto"/>
            <w:vAlign w:val="center"/>
          </w:tcPr>
          <w:p>
            <w:pPr>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color w:val="auto"/>
                <w:sz w:val="22"/>
                <w:szCs w:val="22"/>
                <w:highlight w:val="none"/>
              </w:rPr>
              <w:t>临界量/t</w:t>
            </w:r>
          </w:p>
        </w:tc>
        <w:tc>
          <w:tcPr>
            <w:tcW w:w="896" w:type="dxa"/>
            <w:shd w:val="clear" w:color="auto" w:fill="auto"/>
            <w:vAlign w:val="center"/>
          </w:tcPr>
          <w:p>
            <w:pPr>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比值</w:t>
            </w:r>
            <w:r>
              <w:rPr>
                <w:i/>
                <w:color w:val="auto"/>
                <w:sz w:val="22"/>
                <w:szCs w:val="22"/>
                <w:highlight w:val="none"/>
              </w:rPr>
              <w:t>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shd w:val="clear" w:color="auto" w:fill="auto"/>
            <w:vAlign w:val="center"/>
          </w:tcPr>
          <w:p>
            <w:pPr>
              <w:snapToGrid w:val="0"/>
              <w:spacing w:line="240" w:lineRule="auto"/>
              <w:ind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1</w:t>
            </w:r>
          </w:p>
        </w:tc>
        <w:tc>
          <w:tcPr>
            <w:tcW w:w="1218" w:type="dxa"/>
            <w:shd w:val="clear" w:color="auto" w:fill="auto"/>
            <w:vAlign w:val="center"/>
          </w:tcPr>
          <w:p>
            <w:pPr>
              <w:snapToGrid w:val="0"/>
              <w:spacing w:line="240" w:lineRule="auto"/>
              <w:ind w:firstLine="0" w:firstLineChars="0"/>
              <w:jc w:val="center"/>
              <w:rPr>
                <w:rFonts w:hint="eastAsia"/>
                <w:color w:val="auto"/>
                <w:sz w:val="22"/>
                <w:szCs w:val="22"/>
                <w:highlight w:val="none"/>
                <w:lang w:val="en-US" w:eastAsia="zh-CN"/>
              </w:rPr>
            </w:pPr>
            <w:r>
              <w:rPr>
                <w:rFonts w:hint="eastAsia"/>
                <w:color w:val="auto"/>
                <w:sz w:val="22"/>
                <w:szCs w:val="22"/>
                <w:highlight w:val="none"/>
                <w:lang w:eastAsia="zh-CN"/>
              </w:rPr>
              <w:t>施工期</w:t>
            </w:r>
          </w:p>
        </w:tc>
        <w:tc>
          <w:tcPr>
            <w:tcW w:w="1964" w:type="dxa"/>
            <w:shd w:val="clear" w:color="auto" w:fill="auto"/>
            <w:vAlign w:val="center"/>
          </w:tcPr>
          <w:p>
            <w:pPr>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rPr>
              <w:t>油类物质</w:t>
            </w:r>
          </w:p>
        </w:tc>
        <w:tc>
          <w:tcPr>
            <w:tcW w:w="1179" w:type="dxa"/>
            <w:shd w:val="clear" w:color="auto" w:fill="auto"/>
            <w:vAlign w:val="center"/>
          </w:tcPr>
          <w:p>
            <w:pPr>
              <w:snapToGrid w:val="0"/>
              <w:spacing w:line="240" w:lineRule="auto"/>
              <w:ind w:firstLine="0" w:firstLineChars="0"/>
              <w:jc w:val="center"/>
              <w:rPr>
                <w:rFonts w:hint="default"/>
                <w:color w:val="auto"/>
                <w:sz w:val="22"/>
                <w:szCs w:val="22"/>
                <w:highlight w:val="none"/>
                <w:lang w:val="en-US" w:eastAsia="zh-CN"/>
              </w:rPr>
            </w:pPr>
            <w:r>
              <w:rPr>
                <w:rFonts w:hint="eastAsia"/>
                <w:color w:val="auto"/>
                <w:sz w:val="22"/>
                <w:szCs w:val="22"/>
                <w:highlight w:val="none"/>
                <w:lang w:val="en-US" w:eastAsia="zh-CN"/>
              </w:rPr>
              <w:t>/</w:t>
            </w:r>
          </w:p>
        </w:tc>
        <w:tc>
          <w:tcPr>
            <w:tcW w:w="1511" w:type="dxa"/>
            <w:shd w:val="clear" w:color="auto" w:fill="auto"/>
            <w:vAlign w:val="center"/>
          </w:tcPr>
          <w:p>
            <w:pPr>
              <w:snapToGrid w:val="0"/>
              <w:spacing w:line="240" w:lineRule="auto"/>
              <w:ind w:firstLine="0" w:firstLineChars="0"/>
              <w:jc w:val="center"/>
              <w:rPr>
                <w:rFonts w:hint="default"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40</w:t>
            </w:r>
          </w:p>
        </w:tc>
        <w:tc>
          <w:tcPr>
            <w:tcW w:w="1196" w:type="dxa"/>
            <w:shd w:val="clear" w:color="auto" w:fill="auto"/>
            <w:vAlign w:val="center"/>
          </w:tcPr>
          <w:p>
            <w:pPr>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2500</w:t>
            </w:r>
          </w:p>
        </w:tc>
        <w:tc>
          <w:tcPr>
            <w:tcW w:w="896" w:type="dxa"/>
            <w:shd w:val="clear" w:color="auto" w:fill="auto"/>
            <w:vAlign w:val="center"/>
          </w:tcPr>
          <w:p>
            <w:pPr>
              <w:snapToGrid w:val="0"/>
              <w:spacing w:line="240" w:lineRule="auto"/>
              <w:ind w:firstLine="0" w:firstLineChars="0"/>
              <w:jc w:val="center"/>
              <w:rPr>
                <w:rFonts w:hint="default"/>
                <w:color w:val="auto"/>
                <w:sz w:val="22"/>
                <w:szCs w:val="22"/>
                <w:highlight w:val="none"/>
                <w:lang w:val="en-US" w:eastAsia="zh-CN"/>
              </w:rPr>
            </w:pPr>
            <w:r>
              <w:rPr>
                <w:rFonts w:hint="eastAsia"/>
                <w:color w:val="auto"/>
                <w:sz w:val="22"/>
                <w:szCs w:val="22"/>
                <w:highlight w:val="none"/>
                <w:lang w:val="en-US" w:eastAsia="zh-CN"/>
              </w:rPr>
              <w:t>0.016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dxa"/>
            <w:shd w:val="clear" w:color="auto" w:fill="auto"/>
            <w:vAlign w:val="center"/>
          </w:tcPr>
          <w:p>
            <w:pPr>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2</w:t>
            </w:r>
          </w:p>
        </w:tc>
        <w:tc>
          <w:tcPr>
            <w:tcW w:w="1218" w:type="dxa"/>
            <w:shd w:val="clear" w:color="auto" w:fill="auto"/>
            <w:vAlign w:val="center"/>
          </w:tcPr>
          <w:p>
            <w:pPr>
              <w:snapToGrid w:val="0"/>
              <w:spacing w:line="240" w:lineRule="auto"/>
              <w:ind w:firstLine="0" w:firstLineChars="0"/>
              <w:jc w:val="center"/>
              <w:rPr>
                <w:rFonts w:hint="eastAsia"/>
                <w:color w:val="auto"/>
                <w:sz w:val="22"/>
                <w:szCs w:val="22"/>
                <w:highlight w:val="none"/>
                <w:lang w:val="en-US" w:eastAsia="zh-CN"/>
              </w:rPr>
            </w:pPr>
            <w:r>
              <w:rPr>
                <w:rFonts w:hint="eastAsia"/>
                <w:color w:val="auto"/>
                <w:sz w:val="22"/>
                <w:szCs w:val="22"/>
                <w:highlight w:val="none"/>
                <w:lang w:val="en-US" w:eastAsia="zh-CN"/>
              </w:rPr>
              <w:t>运营期</w:t>
            </w:r>
          </w:p>
        </w:tc>
        <w:tc>
          <w:tcPr>
            <w:tcW w:w="1964" w:type="dxa"/>
            <w:shd w:val="clear" w:color="auto" w:fill="auto"/>
            <w:vAlign w:val="center"/>
          </w:tcPr>
          <w:p>
            <w:pPr>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rPr>
              <w:t>油类物质</w:t>
            </w:r>
          </w:p>
        </w:tc>
        <w:tc>
          <w:tcPr>
            <w:tcW w:w="1179" w:type="dxa"/>
            <w:shd w:val="clear" w:color="auto" w:fill="auto"/>
            <w:vAlign w:val="center"/>
          </w:tcPr>
          <w:p>
            <w:pPr>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w:t>
            </w:r>
          </w:p>
        </w:tc>
        <w:tc>
          <w:tcPr>
            <w:tcW w:w="1511" w:type="dxa"/>
            <w:shd w:val="clear" w:color="auto" w:fill="auto"/>
            <w:vAlign w:val="center"/>
          </w:tcPr>
          <w:p>
            <w:pPr>
              <w:snapToGrid w:val="0"/>
              <w:spacing w:line="240" w:lineRule="auto"/>
              <w:ind w:firstLine="0" w:firstLineChars="0"/>
              <w:jc w:val="center"/>
              <w:rPr>
                <w:rFonts w:hint="default" w:ascii="Times New Roman" w:hAnsi="Times New Roman" w:eastAsia="宋体" w:cs="Times New Roman"/>
                <w:color w:val="auto"/>
                <w:kern w:val="2"/>
                <w:sz w:val="22"/>
                <w:szCs w:val="22"/>
                <w:highlight w:val="none"/>
                <w:lang w:val="en-US" w:eastAsia="zh-CN" w:bidi="ar-SA"/>
              </w:rPr>
            </w:pPr>
            <w:r>
              <w:rPr>
                <w:rFonts w:hint="eastAsia" w:cs="Times New Roman"/>
                <w:color w:val="auto"/>
                <w:kern w:val="2"/>
                <w:sz w:val="22"/>
                <w:szCs w:val="22"/>
                <w:highlight w:val="none"/>
                <w:lang w:val="en-US" w:eastAsia="zh-CN" w:bidi="ar-SA"/>
              </w:rPr>
              <w:t>240</w:t>
            </w:r>
          </w:p>
        </w:tc>
        <w:tc>
          <w:tcPr>
            <w:tcW w:w="1196" w:type="dxa"/>
            <w:shd w:val="clear" w:color="auto" w:fill="auto"/>
            <w:vAlign w:val="center"/>
          </w:tcPr>
          <w:p>
            <w:pPr>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2500</w:t>
            </w:r>
          </w:p>
        </w:tc>
        <w:tc>
          <w:tcPr>
            <w:tcW w:w="896" w:type="dxa"/>
            <w:shd w:val="clear" w:color="auto" w:fill="auto"/>
            <w:vAlign w:val="center"/>
          </w:tcPr>
          <w:p>
            <w:pPr>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0.096</w:t>
            </w:r>
          </w:p>
        </w:tc>
      </w:tr>
    </w:tbl>
    <w:p>
      <w:pPr>
        <w:spacing w:line="240" w:lineRule="auto"/>
        <w:ind w:firstLine="520"/>
        <w:rPr>
          <w:color w:val="auto"/>
          <w:highlight w:val="none"/>
        </w:rPr>
      </w:pPr>
    </w:p>
    <w:p>
      <w:pPr>
        <w:spacing w:line="460" w:lineRule="exact"/>
        <w:ind w:firstLine="520"/>
        <w:rPr>
          <w:color w:val="auto"/>
          <w:szCs w:val="26"/>
          <w:highlight w:val="none"/>
        </w:rPr>
      </w:pPr>
      <w:r>
        <w:rPr>
          <w:rFonts w:hint="eastAsia"/>
          <w:color w:val="auto"/>
          <w:highlight w:val="none"/>
        </w:rPr>
        <w:t>由上表</w:t>
      </w:r>
      <w:r>
        <w:rPr>
          <w:color w:val="auto"/>
          <w:highlight w:val="none"/>
        </w:rPr>
        <w:t>可知，</w:t>
      </w:r>
      <w:r>
        <w:rPr>
          <w:rFonts w:hint="eastAsia"/>
          <w:color w:val="auto"/>
          <w:highlight w:val="none"/>
          <w:lang w:eastAsia="zh-CN"/>
        </w:rPr>
        <w:t>项目</w:t>
      </w:r>
      <w:r>
        <w:rPr>
          <w:i/>
          <w:iCs/>
          <w:color w:val="auto"/>
          <w:szCs w:val="26"/>
          <w:highlight w:val="none"/>
        </w:rPr>
        <w:t>Q</w:t>
      </w:r>
      <w:r>
        <w:rPr>
          <w:color w:val="auto"/>
          <w:szCs w:val="26"/>
          <w:highlight w:val="none"/>
        </w:rPr>
        <w:t>值均＜1</w:t>
      </w:r>
      <w:r>
        <w:rPr>
          <w:rFonts w:hint="eastAsia"/>
          <w:color w:val="auto"/>
          <w:szCs w:val="26"/>
          <w:highlight w:val="none"/>
        </w:rPr>
        <w:t>，</w:t>
      </w:r>
      <w:r>
        <w:rPr>
          <w:color w:val="auto"/>
          <w:szCs w:val="26"/>
          <w:highlight w:val="none"/>
        </w:rPr>
        <w:t>环境风险潜势为</w:t>
      </w:r>
      <w:r>
        <w:rPr>
          <w:rFonts w:hint="eastAsia" w:ascii="宋体" w:hAnsi="宋体" w:cs="宋体"/>
          <w:color w:val="auto"/>
          <w:szCs w:val="26"/>
          <w:highlight w:val="none"/>
        </w:rPr>
        <w:t>Ⅰ</w:t>
      </w:r>
      <w:r>
        <w:rPr>
          <w:color w:val="auto"/>
          <w:szCs w:val="26"/>
          <w:highlight w:val="none"/>
        </w:rPr>
        <w:t>。</w:t>
      </w:r>
    </w:p>
    <w:p>
      <w:pPr>
        <w:spacing w:line="460" w:lineRule="exact"/>
        <w:ind w:firstLine="520"/>
        <w:rPr>
          <w:color w:val="auto"/>
          <w:szCs w:val="26"/>
          <w:highlight w:val="none"/>
        </w:rPr>
      </w:pPr>
      <w:r>
        <w:rPr>
          <w:rFonts w:hint="eastAsia"/>
          <w:color w:val="auto"/>
          <w:szCs w:val="26"/>
          <w:highlight w:val="none"/>
        </w:rPr>
        <w:t>（3）评价等级</w:t>
      </w:r>
    </w:p>
    <w:p>
      <w:pPr>
        <w:spacing w:line="460" w:lineRule="exact"/>
        <w:ind w:firstLine="520"/>
        <w:rPr>
          <w:rFonts w:hint="eastAsia" w:eastAsia="宋体"/>
          <w:color w:val="auto"/>
          <w:szCs w:val="26"/>
          <w:highlight w:val="none"/>
          <w:lang w:eastAsia="zh-CN"/>
        </w:rPr>
      </w:pPr>
      <w:r>
        <w:rPr>
          <w:rFonts w:hint="eastAsia"/>
          <w:color w:val="auto"/>
          <w:szCs w:val="26"/>
          <w:highlight w:val="none"/>
        </w:rPr>
        <w:t>环境风险评价工作等级划分为一级、二级、三级。根据建设项目涉及的物质及工艺系统危险性和所在地的环境敏感性确定环境风险潜势。</w:t>
      </w:r>
      <w:r>
        <w:rPr>
          <w:rFonts w:hint="eastAsia"/>
          <w:color w:val="auto"/>
          <w:szCs w:val="26"/>
          <w:highlight w:val="none"/>
          <w:lang w:eastAsia="zh-CN"/>
        </w:rPr>
        <w:t>本</w:t>
      </w:r>
      <w:r>
        <w:rPr>
          <w:rFonts w:hint="eastAsia"/>
          <w:color w:val="auto"/>
          <w:szCs w:val="26"/>
          <w:highlight w:val="none"/>
        </w:rPr>
        <w:t>工程环境风险潜势为I级，确定环境风险进行简要分析</w:t>
      </w:r>
      <w:r>
        <w:rPr>
          <w:rFonts w:hint="eastAsia"/>
          <w:color w:val="auto"/>
          <w:szCs w:val="26"/>
          <w:highlight w:val="none"/>
          <w:lang w:eastAsia="zh-CN"/>
        </w:rPr>
        <w:t>，详见下表：</w:t>
      </w:r>
    </w:p>
    <w:p>
      <w:pPr>
        <w:autoSpaceDE w:val="0"/>
        <w:autoSpaceDN w:val="0"/>
        <w:snapToGrid w:val="0"/>
        <w:spacing w:line="240" w:lineRule="auto"/>
        <w:ind w:firstLine="0" w:firstLineChars="0"/>
        <w:jc w:val="center"/>
        <w:rPr>
          <w:color w:val="auto"/>
          <w:szCs w:val="26"/>
          <w:highlight w:val="none"/>
        </w:rPr>
      </w:pPr>
    </w:p>
    <w:p>
      <w:pPr>
        <w:autoSpaceDE w:val="0"/>
        <w:autoSpaceDN w:val="0"/>
        <w:snapToGrid w:val="0"/>
        <w:spacing w:line="240" w:lineRule="auto"/>
        <w:ind w:firstLine="0" w:firstLineChars="0"/>
        <w:jc w:val="center"/>
        <w:rPr>
          <w:color w:val="auto"/>
          <w:szCs w:val="26"/>
          <w:highlight w:val="none"/>
        </w:rPr>
      </w:pPr>
      <w:r>
        <w:rPr>
          <w:color w:val="auto"/>
          <w:szCs w:val="26"/>
          <w:highlight w:val="none"/>
        </w:rPr>
        <w:t>表</w:t>
      </w:r>
      <w:r>
        <w:rPr>
          <w:rFonts w:hint="eastAsia"/>
          <w:color w:val="auto"/>
          <w:szCs w:val="26"/>
          <w:highlight w:val="none"/>
          <w:lang w:val="en-US" w:eastAsia="zh-CN"/>
        </w:rPr>
        <w:t>4.6.2-2</w:t>
      </w:r>
      <w:r>
        <w:rPr>
          <w:rFonts w:hint="eastAsia"/>
          <w:color w:val="auto"/>
          <w:szCs w:val="26"/>
          <w:highlight w:val="none"/>
        </w:rPr>
        <w:t xml:space="preserve">  </w:t>
      </w:r>
      <w:r>
        <w:rPr>
          <w:color w:val="auto"/>
          <w:szCs w:val="26"/>
          <w:highlight w:val="none"/>
        </w:rPr>
        <w:t>评价工作等级划分</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17"/>
        <w:gridCol w:w="1554"/>
        <w:gridCol w:w="1735"/>
        <w:gridCol w:w="1736"/>
        <w:gridCol w:w="17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82" w:type="dxa"/>
            <w:vAlign w:val="center"/>
          </w:tcPr>
          <w:p>
            <w:pPr>
              <w:autoSpaceDE w:val="0"/>
              <w:autoSpaceDN w:val="0"/>
              <w:adjustRightInd w:val="0"/>
              <w:snapToGrid w:val="0"/>
              <w:spacing w:line="240" w:lineRule="auto"/>
              <w:ind w:firstLine="0" w:firstLineChars="0"/>
              <w:jc w:val="center"/>
              <w:rPr>
                <w:color w:val="auto"/>
                <w:sz w:val="22"/>
                <w:highlight w:val="none"/>
              </w:rPr>
            </w:pPr>
            <w:r>
              <w:rPr>
                <w:color w:val="auto"/>
                <w:sz w:val="22"/>
                <w:highlight w:val="none"/>
              </w:rPr>
              <w:t>环境风险潜势</w:t>
            </w:r>
          </w:p>
        </w:tc>
        <w:tc>
          <w:tcPr>
            <w:tcW w:w="1526" w:type="dxa"/>
            <w:vAlign w:val="center"/>
          </w:tcPr>
          <w:p>
            <w:pPr>
              <w:autoSpaceDE w:val="0"/>
              <w:autoSpaceDN w:val="0"/>
              <w:adjustRightInd w:val="0"/>
              <w:snapToGrid w:val="0"/>
              <w:spacing w:line="240" w:lineRule="auto"/>
              <w:ind w:firstLine="0" w:firstLineChars="0"/>
              <w:jc w:val="center"/>
              <w:rPr>
                <w:color w:val="auto"/>
                <w:sz w:val="22"/>
                <w:highlight w:val="none"/>
              </w:rPr>
            </w:pPr>
            <w:r>
              <w:rPr>
                <w:color w:val="auto"/>
                <w:sz w:val="22"/>
                <w:highlight w:val="none"/>
                <w:shd w:val="clear" w:fill="FFFFFF"/>
              </w:rPr>
              <w:t>IV</w:t>
            </w:r>
            <w:r>
              <w:rPr>
                <w:color w:val="auto"/>
                <w:sz w:val="22"/>
                <w:highlight w:val="none"/>
              </w:rPr>
              <w:t>、</w:t>
            </w:r>
            <w:r>
              <w:rPr>
                <w:color w:val="auto"/>
                <w:sz w:val="22"/>
                <w:highlight w:val="none"/>
                <w:shd w:val="clear" w:fill="FFFFFF"/>
              </w:rPr>
              <w:t>IV</w:t>
            </w:r>
            <w:r>
              <w:rPr>
                <w:color w:val="auto"/>
                <w:sz w:val="22"/>
                <w:highlight w:val="none"/>
                <w:vertAlign w:val="superscript"/>
              </w:rPr>
              <w:t>+</w:t>
            </w:r>
          </w:p>
        </w:tc>
        <w:tc>
          <w:tcPr>
            <w:tcW w:w="1704" w:type="dxa"/>
            <w:vAlign w:val="center"/>
          </w:tcPr>
          <w:p>
            <w:pPr>
              <w:autoSpaceDE w:val="0"/>
              <w:autoSpaceDN w:val="0"/>
              <w:adjustRightInd w:val="0"/>
              <w:snapToGrid w:val="0"/>
              <w:spacing w:line="240" w:lineRule="auto"/>
              <w:ind w:firstLine="0" w:firstLineChars="0"/>
              <w:jc w:val="center"/>
              <w:rPr>
                <w:color w:val="auto"/>
                <w:sz w:val="22"/>
                <w:highlight w:val="none"/>
              </w:rPr>
            </w:pPr>
            <w:r>
              <w:rPr>
                <w:color w:val="auto"/>
                <w:sz w:val="22"/>
                <w:highlight w:val="none"/>
                <w:shd w:val="clear" w:fill="FFFFFF"/>
              </w:rPr>
              <w:t>III</w:t>
            </w:r>
          </w:p>
        </w:tc>
        <w:tc>
          <w:tcPr>
            <w:tcW w:w="1705" w:type="dxa"/>
            <w:vAlign w:val="center"/>
          </w:tcPr>
          <w:p>
            <w:pPr>
              <w:autoSpaceDE w:val="0"/>
              <w:autoSpaceDN w:val="0"/>
              <w:adjustRightInd w:val="0"/>
              <w:snapToGrid w:val="0"/>
              <w:spacing w:line="240" w:lineRule="auto"/>
              <w:ind w:firstLine="0" w:firstLineChars="0"/>
              <w:jc w:val="center"/>
              <w:rPr>
                <w:color w:val="auto"/>
                <w:sz w:val="22"/>
                <w:highlight w:val="none"/>
              </w:rPr>
            </w:pPr>
            <w:r>
              <w:rPr>
                <w:color w:val="auto"/>
                <w:sz w:val="22"/>
                <w:highlight w:val="none"/>
              </w:rPr>
              <w:t>II</w:t>
            </w:r>
          </w:p>
        </w:tc>
        <w:tc>
          <w:tcPr>
            <w:tcW w:w="1705" w:type="dxa"/>
            <w:vAlign w:val="center"/>
          </w:tcPr>
          <w:p>
            <w:pPr>
              <w:autoSpaceDE w:val="0"/>
              <w:autoSpaceDN w:val="0"/>
              <w:adjustRightInd w:val="0"/>
              <w:snapToGrid w:val="0"/>
              <w:spacing w:line="240" w:lineRule="auto"/>
              <w:ind w:firstLine="0" w:firstLineChars="0"/>
              <w:jc w:val="center"/>
              <w:rPr>
                <w:color w:val="auto"/>
                <w:sz w:val="22"/>
                <w:highlight w:val="none"/>
              </w:rPr>
            </w:pPr>
            <w:r>
              <w:rPr>
                <w:color w:val="auto"/>
                <w:sz w:val="22"/>
                <w:highlight w:val="none"/>
              </w:rP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82" w:type="dxa"/>
            <w:vAlign w:val="center"/>
          </w:tcPr>
          <w:p>
            <w:pPr>
              <w:autoSpaceDE w:val="0"/>
              <w:autoSpaceDN w:val="0"/>
              <w:adjustRightInd w:val="0"/>
              <w:snapToGrid w:val="0"/>
              <w:spacing w:line="240" w:lineRule="auto"/>
              <w:ind w:firstLine="0" w:firstLineChars="0"/>
              <w:jc w:val="center"/>
              <w:rPr>
                <w:color w:val="auto"/>
                <w:sz w:val="22"/>
                <w:highlight w:val="none"/>
              </w:rPr>
            </w:pPr>
            <w:r>
              <w:rPr>
                <w:color w:val="auto"/>
                <w:sz w:val="22"/>
                <w:highlight w:val="none"/>
              </w:rPr>
              <w:t>评价工作等级</w:t>
            </w:r>
          </w:p>
        </w:tc>
        <w:tc>
          <w:tcPr>
            <w:tcW w:w="1526" w:type="dxa"/>
            <w:vAlign w:val="center"/>
          </w:tcPr>
          <w:p>
            <w:pPr>
              <w:autoSpaceDE w:val="0"/>
              <w:autoSpaceDN w:val="0"/>
              <w:adjustRightInd w:val="0"/>
              <w:snapToGrid w:val="0"/>
              <w:spacing w:line="240" w:lineRule="auto"/>
              <w:ind w:firstLine="0" w:firstLineChars="0"/>
              <w:jc w:val="center"/>
              <w:rPr>
                <w:color w:val="auto"/>
                <w:sz w:val="22"/>
                <w:highlight w:val="none"/>
              </w:rPr>
            </w:pPr>
            <w:r>
              <w:rPr>
                <w:color w:val="auto"/>
                <w:sz w:val="22"/>
                <w:highlight w:val="none"/>
              </w:rPr>
              <w:t>一</w:t>
            </w:r>
          </w:p>
        </w:tc>
        <w:tc>
          <w:tcPr>
            <w:tcW w:w="1704" w:type="dxa"/>
            <w:vAlign w:val="center"/>
          </w:tcPr>
          <w:p>
            <w:pPr>
              <w:autoSpaceDE w:val="0"/>
              <w:autoSpaceDN w:val="0"/>
              <w:adjustRightInd w:val="0"/>
              <w:snapToGrid w:val="0"/>
              <w:spacing w:line="240" w:lineRule="auto"/>
              <w:ind w:firstLine="0" w:firstLineChars="0"/>
              <w:jc w:val="center"/>
              <w:rPr>
                <w:color w:val="auto"/>
                <w:sz w:val="22"/>
                <w:highlight w:val="none"/>
              </w:rPr>
            </w:pPr>
            <w:r>
              <w:rPr>
                <w:color w:val="auto"/>
                <w:sz w:val="22"/>
                <w:highlight w:val="none"/>
              </w:rPr>
              <w:t>二</w:t>
            </w:r>
          </w:p>
        </w:tc>
        <w:tc>
          <w:tcPr>
            <w:tcW w:w="1705" w:type="dxa"/>
            <w:vAlign w:val="center"/>
          </w:tcPr>
          <w:p>
            <w:pPr>
              <w:autoSpaceDE w:val="0"/>
              <w:autoSpaceDN w:val="0"/>
              <w:adjustRightInd w:val="0"/>
              <w:snapToGrid w:val="0"/>
              <w:spacing w:line="240" w:lineRule="auto"/>
              <w:ind w:firstLine="0" w:firstLineChars="0"/>
              <w:jc w:val="center"/>
              <w:rPr>
                <w:color w:val="auto"/>
                <w:sz w:val="22"/>
                <w:highlight w:val="none"/>
              </w:rPr>
            </w:pPr>
            <w:r>
              <w:rPr>
                <w:color w:val="auto"/>
                <w:sz w:val="22"/>
                <w:highlight w:val="none"/>
              </w:rPr>
              <w:t>三</w:t>
            </w:r>
          </w:p>
        </w:tc>
        <w:tc>
          <w:tcPr>
            <w:tcW w:w="1705" w:type="dxa"/>
            <w:vAlign w:val="center"/>
          </w:tcPr>
          <w:p>
            <w:pPr>
              <w:autoSpaceDE w:val="0"/>
              <w:autoSpaceDN w:val="0"/>
              <w:adjustRightInd w:val="0"/>
              <w:snapToGrid w:val="0"/>
              <w:spacing w:line="240" w:lineRule="auto"/>
              <w:ind w:firstLine="0" w:firstLineChars="0"/>
              <w:jc w:val="center"/>
              <w:rPr>
                <w:color w:val="auto"/>
                <w:sz w:val="22"/>
                <w:highlight w:val="none"/>
              </w:rPr>
            </w:pPr>
            <w:r>
              <w:rPr>
                <w:color w:val="auto"/>
                <w:sz w:val="22"/>
                <w:highlight w:val="none"/>
              </w:rPr>
              <w:t>简单分析</w:t>
            </w:r>
            <w:r>
              <w:rPr>
                <w:color w:val="auto"/>
                <w:sz w:val="22"/>
                <w:highlight w:val="none"/>
                <w:vertAlign w:val="superscript"/>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2" w:type="dxa"/>
            <w:gridSpan w:val="5"/>
            <w:vAlign w:val="center"/>
          </w:tcPr>
          <w:p>
            <w:pPr>
              <w:autoSpaceDE w:val="0"/>
              <w:autoSpaceDN w:val="0"/>
              <w:adjustRightInd w:val="0"/>
              <w:snapToGrid w:val="0"/>
              <w:spacing w:line="240" w:lineRule="auto"/>
              <w:ind w:firstLine="0" w:firstLineChars="0"/>
              <w:rPr>
                <w:color w:val="auto"/>
                <w:sz w:val="22"/>
                <w:highlight w:val="none"/>
              </w:rPr>
            </w:pPr>
            <w:r>
              <w:rPr>
                <w:color w:val="auto"/>
                <w:sz w:val="22"/>
                <w:highlight w:val="none"/>
                <w:vertAlign w:val="superscript"/>
              </w:rPr>
              <w:t>a</w:t>
            </w:r>
            <w:r>
              <w:rPr>
                <w:color w:val="auto"/>
                <w:sz w:val="22"/>
                <w:highlight w:val="none"/>
              </w:rPr>
              <w:t>是相对于详细评价工作内容而言，在描述危险物质、环境影响途径、环境危害后果、风险防范措施等方面给出定性的说明。</w:t>
            </w:r>
          </w:p>
        </w:tc>
      </w:tr>
    </w:tbl>
    <w:p>
      <w:pPr>
        <w:spacing w:line="240" w:lineRule="auto"/>
        <w:ind w:firstLine="520"/>
        <w:rPr>
          <w:rFonts w:hint="eastAsia"/>
          <w:color w:val="auto"/>
          <w:szCs w:val="26"/>
          <w:highlight w:val="none"/>
        </w:rPr>
      </w:pPr>
    </w:p>
    <w:p>
      <w:pPr>
        <w:pStyle w:val="5"/>
        <w:ind w:firstLine="522"/>
        <w:rPr>
          <w:color w:val="auto"/>
          <w:highlight w:val="none"/>
        </w:rPr>
      </w:pPr>
      <w:r>
        <w:rPr>
          <w:rFonts w:hint="eastAsia"/>
          <w:color w:val="auto"/>
          <w:highlight w:val="none"/>
        </w:rPr>
        <w:t>环境</w:t>
      </w:r>
      <w:r>
        <w:rPr>
          <w:color w:val="auto"/>
          <w:highlight w:val="none"/>
        </w:rPr>
        <w:t>敏感</w:t>
      </w:r>
      <w:r>
        <w:rPr>
          <w:rFonts w:hint="eastAsia"/>
          <w:color w:val="auto"/>
          <w:highlight w:val="none"/>
        </w:rPr>
        <w:t>目标</w:t>
      </w:r>
      <w:r>
        <w:rPr>
          <w:rFonts w:hint="eastAsia"/>
          <w:color w:val="auto"/>
          <w:highlight w:val="none"/>
          <w:lang w:eastAsia="zh-CN"/>
        </w:rPr>
        <w:t>概况</w:t>
      </w:r>
    </w:p>
    <w:p>
      <w:pPr>
        <w:ind w:firstLine="520"/>
        <w:rPr>
          <w:color w:val="auto"/>
          <w:highlight w:val="none"/>
        </w:rPr>
      </w:pPr>
      <w:r>
        <w:rPr>
          <w:rFonts w:hint="eastAsia"/>
          <w:color w:val="auto"/>
          <w:szCs w:val="26"/>
          <w:highlight w:val="none"/>
          <w:lang w:eastAsia="zh-CN"/>
        </w:rPr>
        <w:t>项目运营期环境风险敏感目标主要为涪江</w:t>
      </w:r>
      <w:r>
        <w:rPr>
          <w:rFonts w:hint="eastAsia"/>
          <w:color w:val="auto"/>
          <w:szCs w:val="26"/>
          <w:highlight w:val="none"/>
        </w:rPr>
        <w:t>。</w:t>
      </w:r>
    </w:p>
    <w:p>
      <w:pPr>
        <w:pStyle w:val="5"/>
        <w:ind w:firstLine="522"/>
        <w:rPr>
          <w:color w:val="auto"/>
          <w:highlight w:val="none"/>
        </w:rPr>
      </w:pPr>
      <w:r>
        <w:rPr>
          <w:rFonts w:hint="eastAsia"/>
          <w:color w:val="auto"/>
          <w:highlight w:val="none"/>
          <w:lang w:eastAsia="zh-CN"/>
        </w:rPr>
        <w:t>环境</w:t>
      </w:r>
      <w:r>
        <w:rPr>
          <w:rFonts w:hint="eastAsia"/>
          <w:color w:val="auto"/>
          <w:highlight w:val="none"/>
        </w:rPr>
        <w:t>风险识别</w:t>
      </w:r>
    </w:p>
    <w:p>
      <w:pPr>
        <w:bidi w:val="0"/>
        <w:rPr>
          <w:color w:val="auto"/>
          <w:highlight w:val="none"/>
        </w:rPr>
      </w:pPr>
      <w:r>
        <w:rPr>
          <w:rFonts w:hint="eastAsia"/>
          <w:color w:val="auto"/>
          <w:highlight w:val="none"/>
        </w:rPr>
        <w:t>（1）</w:t>
      </w:r>
      <w:r>
        <w:rPr>
          <w:color w:val="auto"/>
          <w:highlight w:val="none"/>
        </w:rPr>
        <w:t>物质危险性识别</w:t>
      </w:r>
    </w:p>
    <w:p>
      <w:pPr>
        <w:pStyle w:val="197"/>
        <w:ind w:firstLine="520"/>
        <w:jc w:val="both"/>
        <w:rPr>
          <w:color w:val="auto"/>
          <w:highlight w:val="none"/>
        </w:rPr>
      </w:pPr>
      <w:r>
        <w:rPr>
          <w:rFonts w:hint="eastAsia"/>
          <w:color w:val="auto"/>
          <w:highlight w:val="none"/>
          <w:lang w:eastAsia="zh-CN"/>
        </w:rPr>
        <w:t>船闸运行过程中</w:t>
      </w:r>
      <w:r>
        <w:rPr>
          <w:rFonts w:hint="eastAsia"/>
          <w:color w:val="auto"/>
          <w:highlight w:val="none"/>
        </w:rPr>
        <w:t>出现船舶碰撞、搁浅等造成燃料或其他有毒有害物质，尤其是油品泄漏等污染事故。风险类型主要为物料泄漏及引发次生灾害。因此本项目危险品以船舶运输过程中</w:t>
      </w:r>
      <w:r>
        <w:rPr>
          <w:rFonts w:hint="eastAsia"/>
          <w:color w:val="auto"/>
          <w:highlight w:val="none"/>
          <w:shd w:val="clear" w:fill="FFFFFF"/>
          <w:lang w:eastAsia="zh-CN"/>
        </w:rPr>
        <w:t>泄漏</w:t>
      </w:r>
      <w:r>
        <w:rPr>
          <w:rFonts w:hint="eastAsia"/>
          <w:color w:val="auto"/>
          <w:highlight w:val="none"/>
        </w:rPr>
        <w:t>的柴油为代表性物质进行预测分析。柴油属于危险性油品，其主要危险特性有以下几个方面：</w:t>
      </w:r>
    </w:p>
    <w:p>
      <w:pPr>
        <w:pStyle w:val="197"/>
        <w:ind w:firstLine="520"/>
        <w:jc w:val="both"/>
        <w:rPr>
          <w:color w:val="auto"/>
          <w:highlight w:val="none"/>
        </w:rPr>
      </w:pPr>
      <w:r>
        <w:rPr>
          <w:rFonts w:hint="eastAsia"/>
          <w:color w:val="auto"/>
          <w:highlight w:val="none"/>
        </w:rPr>
        <w:fldChar w:fldCharType="begin"/>
      </w:r>
      <w:r>
        <w:rPr>
          <w:rFonts w:hint="eastAsia"/>
          <w:color w:val="auto"/>
          <w:highlight w:val="none"/>
        </w:rPr>
        <w:instrText xml:space="preserve"> = 1 \* GB3 \* MERGEFORMAT </w:instrText>
      </w:r>
      <w:r>
        <w:rPr>
          <w:rFonts w:hint="eastAsia"/>
          <w:color w:val="auto"/>
          <w:highlight w:val="none"/>
        </w:rPr>
        <w:fldChar w:fldCharType="separate"/>
      </w:r>
      <w:r>
        <w:rPr>
          <w:color w:val="auto"/>
          <w:highlight w:val="none"/>
        </w:rPr>
        <w:t>①</w:t>
      </w:r>
      <w:r>
        <w:rPr>
          <w:rFonts w:hint="eastAsia"/>
          <w:color w:val="auto"/>
          <w:highlight w:val="none"/>
        </w:rPr>
        <w:fldChar w:fldCharType="end"/>
      </w:r>
      <w:r>
        <w:rPr>
          <w:rFonts w:hint="eastAsia"/>
          <w:color w:val="auto"/>
          <w:highlight w:val="none"/>
        </w:rPr>
        <w:t>易燃、易爆</w:t>
      </w:r>
    </w:p>
    <w:p>
      <w:pPr>
        <w:pStyle w:val="197"/>
        <w:ind w:firstLine="520"/>
        <w:jc w:val="both"/>
        <w:rPr>
          <w:color w:val="auto"/>
          <w:highlight w:val="none"/>
        </w:rPr>
      </w:pPr>
      <w:r>
        <w:rPr>
          <w:rFonts w:hint="eastAsia"/>
          <w:color w:val="auto"/>
          <w:highlight w:val="none"/>
        </w:rPr>
        <w:t>柴油属于高闪点易燃液体，火灾危险类别为丙A类。遇到明火、高热或与氧化剂接触，有引起爆炸的危险。</w:t>
      </w:r>
    </w:p>
    <w:p>
      <w:pPr>
        <w:pStyle w:val="197"/>
        <w:ind w:firstLine="520"/>
        <w:jc w:val="both"/>
        <w:rPr>
          <w:color w:val="auto"/>
          <w:highlight w:val="none"/>
        </w:rPr>
      </w:pPr>
      <w:r>
        <w:rPr>
          <w:rFonts w:hint="eastAsia"/>
          <w:color w:val="auto"/>
          <w:highlight w:val="none"/>
        </w:rPr>
        <w:fldChar w:fldCharType="begin"/>
      </w:r>
      <w:r>
        <w:rPr>
          <w:rFonts w:hint="eastAsia"/>
          <w:color w:val="auto"/>
          <w:highlight w:val="none"/>
        </w:rPr>
        <w:instrText xml:space="preserve"> = 2 \* GB3 \* MERGEFORMAT </w:instrText>
      </w:r>
      <w:r>
        <w:rPr>
          <w:rFonts w:hint="eastAsia"/>
          <w:color w:val="auto"/>
          <w:highlight w:val="none"/>
        </w:rPr>
        <w:fldChar w:fldCharType="separate"/>
      </w:r>
      <w:r>
        <w:rPr>
          <w:color w:val="auto"/>
          <w:highlight w:val="none"/>
        </w:rPr>
        <w:t>②</w:t>
      </w:r>
      <w:r>
        <w:rPr>
          <w:rFonts w:hint="eastAsia"/>
          <w:color w:val="auto"/>
          <w:highlight w:val="none"/>
        </w:rPr>
        <w:fldChar w:fldCharType="end"/>
      </w:r>
      <w:r>
        <w:rPr>
          <w:rFonts w:hint="eastAsia"/>
          <w:color w:val="auto"/>
          <w:highlight w:val="none"/>
        </w:rPr>
        <w:t>易扩散、易流淌性</w:t>
      </w:r>
    </w:p>
    <w:p>
      <w:pPr>
        <w:pStyle w:val="197"/>
        <w:ind w:firstLine="520"/>
        <w:jc w:val="both"/>
        <w:rPr>
          <w:color w:val="auto"/>
          <w:highlight w:val="none"/>
        </w:rPr>
      </w:pPr>
      <w:r>
        <w:rPr>
          <w:rFonts w:hint="eastAsia"/>
          <w:color w:val="auto"/>
          <w:highlight w:val="none"/>
        </w:rPr>
        <w:t>柴油具有良好的流动性，在储运和作业过程中，一旦发生泄漏，会在环境中进行扩散和转移，污染环境，且易引发火灾爆炸等事故。</w:t>
      </w:r>
    </w:p>
    <w:p>
      <w:pPr>
        <w:pStyle w:val="197"/>
        <w:ind w:firstLine="520"/>
        <w:jc w:val="both"/>
        <w:rPr>
          <w:color w:val="auto"/>
          <w:highlight w:val="none"/>
        </w:rPr>
      </w:pPr>
      <w:r>
        <w:rPr>
          <w:rFonts w:hint="eastAsia"/>
          <w:color w:val="auto"/>
          <w:highlight w:val="none"/>
        </w:rPr>
        <w:fldChar w:fldCharType="begin"/>
      </w:r>
      <w:r>
        <w:rPr>
          <w:rFonts w:hint="eastAsia"/>
          <w:color w:val="auto"/>
          <w:highlight w:val="none"/>
        </w:rPr>
        <w:instrText xml:space="preserve"> = 3 \* GB3 \* MERGEFORMAT </w:instrText>
      </w:r>
      <w:r>
        <w:rPr>
          <w:rFonts w:hint="eastAsia"/>
          <w:color w:val="auto"/>
          <w:highlight w:val="none"/>
        </w:rPr>
        <w:fldChar w:fldCharType="separate"/>
      </w:r>
      <w:r>
        <w:rPr>
          <w:color w:val="auto"/>
          <w:highlight w:val="none"/>
        </w:rPr>
        <w:t>③</w:t>
      </w:r>
      <w:r>
        <w:rPr>
          <w:rFonts w:hint="eastAsia"/>
          <w:color w:val="auto"/>
          <w:highlight w:val="none"/>
        </w:rPr>
        <w:fldChar w:fldCharType="end"/>
      </w:r>
      <w:r>
        <w:rPr>
          <w:rFonts w:hint="eastAsia"/>
          <w:color w:val="auto"/>
          <w:highlight w:val="none"/>
        </w:rPr>
        <w:t>挥发性</w:t>
      </w:r>
    </w:p>
    <w:p>
      <w:pPr>
        <w:pStyle w:val="197"/>
        <w:keepNext w:val="0"/>
        <w:keepLines w:val="0"/>
        <w:pageBreakBefore w:val="0"/>
        <w:widowControl w:val="0"/>
        <w:kinsoku/>
        <w:wordWrap/>
        <w:overflowPunct/>
        <w:topLinePunct w:val="0"/>
        <w:autoSpaceDE/>
        <w:autoSpaceDN/>
        <w:bidi w:val="0"/>
        <w:adjustRightInd/>
        <w:snapToGrid/>
        <w:ind w:firstLine="520"/>
        <w:jc w:val="both"/>
        <w:textAlignment w:val="auto"/>
        <w:rPr>
          <w:color w:val="auto"/>
          <w:highlight w:val="none"/>
        </w:rPr>
      </w:pPr>
      <w:r>
        <w:rPr>
          <w:rFonts w:hint="eastAsia"/>
          <w:color w:val="auto"/>
          <w:highlight w:val="none"/>
        </w:rPr>
        <w:t>柴油属于不易挥发的油品。但是温度在70度以上，里面的轻质油挥发出来和空气的混合气比例达到一定浓度范围时，遇足够能量的火源就能发生爆炸。</w:t>
      </w:r>
    </w:p>
    <w:p>
      <w:pPr>
        <w:pStyle w:val="197"/>
        <w:keepNext w:val="0"/>
        <w:keepLines w:val="0"/>
        <w:pageBreakBefore w:val="0"/>
        <w:widowControl w:val="0"/>
        <w:kinsoku/>
        <w:wordWrap/>
        <w:overflowPunct/>
        <w:topLinePunct w:val="0"/>
        <w:autoSpaceDE/>
        <w:autoSpaceDN/>
        <w:bidi w:val="0"/>
        <w:adjustRightInd/>
        <w:snapToGrid/>
        <w:ind w:firstLine="520"/>
        <w:jc w:val="both"/>
        <w:textAlignment w:val="auto"/>
        <w:rPr>
          <w:color w:val="auto"/>
          <w:highlight w:val="none"/>
        </w:rPr>
      </w:pPr>
      <w:r>
        <w:rPr>
          <w:rFonts w:hint="eastAsia"/>
          <w:color w:val="auto"/>
          <w:highlight w:val="none"/>
        </w:rPr>
        <w:fldChar w:fldCharType="begin"/>
      </w:r>
      <w:r>
        <w:rPr>
          <w:rFonts w:hint="eastAsia"/>
          <w:color w:val="auto"/>
          <w:highlight w:val="none"/>
        </w:rPr>
        <w:instrText xml:space="preserve"> = 4 \* GB3 \* MERGEFORMAT </w:instrText>
      </w:r>
      <w:r>
        <w:rPr>
          <w:rFonts w:hint="eastAsia"/>
          <w:color w:val="auto"/>
          <w:highlight w:val="none"/>
        </w:rPr>
        <w:fldChar w:fldCharType="separate"/>
      </w:r>
      <w:r>
        <w:rPr>
          <w:color w:val="auto"/>
          <w:highlight w:val="none"/>
        </w:rPr>
        <w:t>④</w:t>
      </w:r>
      <w:r>
        <w:rPr>
          <w:rFonts w:hint="eastAsia"/>
          <w:color w:val="auto"/>
          <w:highlight w:val="none"/>
        </w:rPr>
        <w:fldChar w:fldCharType="end"/>
      </w:r>
      <w:r>
        <w:rPr>
          <w:rFonts w:hint="eastAsia"/>
          <w:color w:val="auto"/>
          <w:highlight w:val="none"/>
        </w:rPr>
        <w:t>易产生静电</w:t>
      </w:r>
    </w:p>
    <w:p>
      <w:pPr>
        <w:pStyle w:val="197"/>
        <w:keepNext w:val="0"/>
        <w:keepLines w:val="0"/>
        <w:pageBreakBefore w:val="0"/>
        <w:widowControl w:val="0"/>
        <w:kinsoku/>
        <w:wordWrap/>
        <w:overflowPunct/>
        <w:topLinePunct w:val="0"/>
        <w:autoSpaceDE/>
        <w:autoSpaceDN/>
        <w:bidi w:val="0"/>
        <w:adjustRightInd/>
        <w:snapToGrid/>
        <w:ind w:firstLine="520"/>
        <w:jc w:val="both"/>
        <w:textAlignment w:val="auto"/>
        <w:rPr>
          <w:color w:val="auto"/>
          <w:highlight w:val="none"/>
        </w:rPr>
      </w:pPr>
      <w:r>
        <w:rPr>
          <w:rFonts w:hint="eastAsia"/>
          <w:color w:val="auto"/>
          <w:highlight w:val="none"/>
        </w:rPr>
        <w:t>石油及产品本身是绝缘体，当它流经管路进入容器或车辆运油过程中，都有产生静电的特性。静电积聚的主要危害是静电积聚到一定能量后就会放电，静电放电时产生火花，导致火灾或爆炸等事故发生。</w:t>
      </w:r>
    </w:p>
    <w:p>
      <w:pPr>
        <w:pStyle w:val="197"/>
        <w:keepNext w:val="0"/>
        <w:keepLines w:val="0"/>
        <w:pageBreakBefore w:val="0"/>
        <w:widowControl w:val="0"/>
        <w:kinsoku/>
        <w:wordWrap/>
        <w:overflowPunct/>
        <w:topLinePunct w:val="0"/>
        <w:autoSpaceDE/>
        <w:autoSpaceDN/>
        <w:bidi w:val="0"/>
        <w:adjustRightInd/>
        <w:snapToGrid/>
        <w:ind w:firstLine="520"/>
        <w:jc w:val="both"/>
        <w:textAlignment w:val="auto"/>
        <w:rPr>
          <w:color w:val="auto"/>
          <w:highlight w:val="none"/>
        </w:rPr>
      </w:pPr>
      <w:r>
        <w:rPr>
          <w:rFonts w:hint="eastAsia"/>
          <w:color w:val="auto"/>
          <w:highlight w:val="none"/>
        </w:rPr>
        <w:fldChar w:fldCharType="begin"/>
      </w:r>
      <w:r>
        <w:rPr>
          <w:rFonts w:hint="eastAsia"/>
          <w:color w:val="auto"/>
          <w:highlight w:val="none"/>
        </w:rPr>
        <w:instrText xml:space="preserve"> = 5 \* GB3 \* MERGEFORMAT </w:instrText>
      </w:r>
      <w:r>
        <w:rPr>
          <w:rFonts w:hint="eastAsia"/>
          <w:color w:val="auto"/>
          <w:highlight w:val="none"/>
        </w:rPr>
        <w:fldChar w:fldCharType="separate"/>
      </w:r>
      <w:r>
        <w:rPr>
          <w:color w:val="auto"/>
          <w:highlight w:val="none"/>
        </w:rPr>
        <w:t>⑤</w:t>
      </w:r>
      <w:r>
        <w:rPr>
          <w:rFonts w:hint="eastAsia"/>
          <w:color w:val="auto"/>
          <w:highlight w:val="none"/>
        </w:rPr>
        <w:fldChar w:fldCharType="end"/>
      </w:r>
      <w:r>
        <w:rPr>
          <w:rFonts w:hint="eastAsia"/>
          <w:color w:val="auto"/>
          <w:highlight w:val="none"/>
        </w:rPr>
        <w:t>受热膨胀性</w:t>
      </w:r>
    </w:p>
    <w:p>
      <w:pPr>
        <w:pStyle w:val="197"/>
        <w:keepNext w:val="0"/>
        <w:keepLines w:val="0"/>
        <w:pageBreakBefore w:val="0"/>
        <w:widowControl w:val="0"/>
        <w:kinsoku/>
        <w:wordWrap/>
        <w:overflowPunct/>
        <w:topLinePunct w:val="0"/>
        <w:autoSpaceDE/>
        <w:autoSpaceDN/>
        <w:bidi w:val="0"/>
        <w:adjustRightInd/>
        <w:snapToGrid/>
        <w:ind w:firstLine="520"/>
        <w:jc w:val="both"/>
        <w:textAlignment w:val="auto"/>
        <w:rPr>
          <w:color w:val="auto"/>
          <w:highlight w:val="none"/>
        </w:rPr>
      </w:pPr>
      <w:r>
        <w:rPr>
          <w:rFonts w:hint="eastAsia"/>
          <w:color w:val="auto"/>
          <w:highlight w:val="none"/>
        </w:rPr>
        <w:t>受热后，温度上升，体积迅速膨胀，若遇到容器内油品充装过满，很容易体积膨胀使容器或管件爆破损坏，引起油品外溢、渗漏。</w:t>
      </w:r>
    </w:p>
    <w:p>
      <w:pPr>
        <w:pStyle w:val="197"/>
        <w:keepNext w:val="0"/>
        <w:keepLines w:val="0"/>
        <w:pageBreakBefore w:val="0"/>
        <w:widowControl w:val="0"/>
        <w:kinsoku/>
        <w:wordWrap/>
        <w:overflowPunct/>
        <w:topLinePunct w:val="0"/>
        <w:autoSpaceDE/>
        <w:autoSpaceDN/>
        <w:bidi w:val="0"/>
        <w:adjustRightInd/>
        <w:snapToGrid/>
        <w:ind w:firstLine="520"/>
        <w:jc w:val="both"/>
        <w:textAlignment w:val="auto"/>
        <w:rPr>
          <w:color w:val="auto"/>
          <w:highlight w:val="none"/>
        </w:rPr>
      </w:pPr>
      <w:r>
        <w:rPr>
          <w:rFonts w:hint="eastAsia"/>
          <w:color w:val="auto"/>
          <w:highlight w:val="none"/>
        </w:rPr>
        <w:fldChar w:fldCharType="begin"/>
      </w:r>
      <w:r>
        <w:rPr>
          <w:rFonts w:hint="eastAsia"/>
          <w:color w:val="auto"/>
          <w:highlight w:val="none"/>
        </w:rPr>
        <w:instrText xml:space="preserve"> = 6 \* GB3 \* MERGEFORMAT </w:instrText>
      </w:r>
      <w:r>
        <w:rPr>
          <w:rFonts w:hint="eastAsia"/>
          <w:color w:val="auto"/>
          <w:highlight w:val="none"/>
        </w:rPr>
        <w:fldChar w:fldCharType="separate"/>
      </w:r>
      <w:r>
        <w:rPr>
          <w:color w:val="auto"/>
          <w:highlight w:val="none"/>
        </w:rPr>
        <w:t>⑥</w:t>
      </w:r>
      <w:r>
        <w:rPr>
          <w:rFonts w:hint="eastAsia"/>
          <w:color w:val="auto"/>
          <w:highlight w:val="none"/>
        </w:rPr>
        <w:fldChar w:fldCharType="end"/>
      </w:r>
      <w:r>
        <w:rPr>
          <w:rFonts w:hint="eastAsia"/>
          <w:color w:val="auto"/>
          <w:highlight w:val="none"/>
        </w:rPr>
        <w:t>毒性</w:t>
      </w:r>
    </w:p>
    <w:p>
      <w:pPr>
        <w:pStyle w:val="197"/>
        <w:keepNext w:val="0"/>
        <w:keepLines w:val="0"/>
        <w:pageBreakBefore w:val="0"/>
        <w:widowControl w:val="0"/>
        <w:kinsoku/>
        <w:wordWrap/>
        <w:overflowPunct/>
        <w:topLinePunct w:val="0"/>
        <w:autoSpaceDE/>
        <w:autoSpaceDN/>
        <w:bidi w:val="0"/>
        <w:adjustRightInd/>
        <w:snapToGrid/>
        <w:ind w:firstLine="520"/>
        <w:jc w:val="both"/>
        <w:textAlignment w:val="auto"/>
        <w:rPr>
          <w:color w:val="auto"/>
          <w:highlight w:val="none"/>
        </w:rPr>
      </w:pPr>
      <w:r>
        <w:rPr>
          <w:rFonts w:hint="eastAsia"/>
          <w:color w:val="auto"/>
          <w:highlight w:val="none"/>
        </w:rPr>
        <w:t>主要有麻醉和刺激作用。皮肤接触可为主要吸收途径，可致急性肾脏损害。柴油可引起接触性皮炎、油性痤疮。</w:t>
      </w:r>
      <w:r>
        <w:rPr>
          <w:rFonts w:hint="eastAsia"/>
          <w:color w:val="auto"/>
          <w:highlight w:val="none"/>
          <w:shd w:val="clear" w:fill="FFFFFF"/>
        </w:rPr>
        <w:t>吸入其</w:t>
      </w:r>
      <w:r>
        <w:rPr>
          <w:rFonts w:hint="eastAsia"/>
          <w:color w:val="auto"/>
          <w:highlight w:val="none"/>
        </w:rPr>
        <w:t>雾滴或液体呛入可引起吸入性肺炎。柴油的理化和毒理性质见表</w:t>
      </w:r>
      <w:r>
        <w:rPr>
          <w:rFonts w:hint="eastAsia"/>
          <w:color w:val="auto"/>
          <w:highlight w:val="none"/>
          <w:lang w:val="en-US" w:eastAsia="zh-CN"/>
        </w:rPr>
        <w:t>4.6.4-1</w:t>
      </w:r>
      <w:r>
        <w:rPr>
          <w:rFonts w:hint="eastAsia"/>
          <w:color w:val="auto"/>
          <w:highlight w:val="none"/>
        </w:rPr>
        <w:t>。化学物质对人体健康的危害性通常是指物质的毒性，物质毒性危害程度</w:t>
      </w:r>
      <w:r>
        <w:rPr>
          <w:rFonts w:hint="eastAsia"/>
          <w:color w:val="auto"/>
          <w:highlight w:val="none"/>
          <w:shd w:val="clear" w:fill="FFFFFF"/>
        </w:rPr>
        <w:t>分</w:t>
      </w:r>
      <w:r>
        <w:rPr>
          <w:rFonts w:hint="eastAsia"/>
          <w:color w:val="auto"/>
          <w:highlight w:val="none"/>
        </w:rPr>
        <w:t>极度危害、高度危害、中度危害和轻度危害四个级别。柴油对人体健康的危害程度属中度危害。柴油的危险性见</w:t>
      </w:r>
      <w:r>
        <w:rPr>
          <w:rFonts w:hint="eastAsia"/>
          <w:color w:val="auto"/>
          <w:highlight w:val="none"/>
          <w:lang w:eastAsia="zh-CN"/>
        </w:rPr>
        <w:t>表</w:t>
      </w:r>
      <w:r>
        <w:rPr>
          <w:rFonts w:hint="eastAsia"/>
          <w:color w:val="auto"/>
          <w:highlight w:val="none"/>
          <w:lang w:val="en-US" w:eastAsia="zh-CN"/>
        </w:rPr>
        <w:t>4.6.4-2：</w:t>
      </w:r>
    </w:p>
    <w:p>
      <w:pPr>
        <w:pStyle w:val="197"/>
        <w:keepNext w:val="0"/>
        <w:keepLines w:val="0"/>
        <w:pageBreakBefore w:val="0"/>
        <w:kinsoku/>
        <w:wordWrap/>
        <w:overflowPunct/>
        <w:topLinePunct w:val="0"/>
        <w:autoSpaceDE/>
        <w:autoSpaceDN/>
        <w:bidi w:val="0"/>
        <w:snapToGrid w:val="0"/>
        <w:spacing w:line="240" w:lineRule="auto"/>
        <w:ind w:firstLine="520"/>
        <w:jc w:val="center"/>
        <w:textAlignment w:val="auto"/>
        <w:rPr>
          <w:color w:val="auto"/>
          <w:highlight w:val="none"/>
        </w:rPr>
      </w:pPr>
    </w:p>
    <w:p>
      <w:pPr>
        <w:pStyle w:val="197"/>
        <w:keepNext w:val="0"/>
        <w:keepLines w:val="0"/>
        <w:pageBreakBefore w:val="0"/>
        <w:kinsoku/>
        <w:wordWrap/>
        <w:overflowPunct/>
        <w:topLinePunct w:val="0"/>
        <w:autoSpaceDE/>
        <w:autoSpaceDN/>
        <w:bidi w:val="0"/>
        <w:snapToGrid w:val="0"/>
        <w:spacing w:line="240" w:lineRule="auto"/>
        <w:ind w:firstLine="0" w:firstLineChars="0"/>
        <w:jc w:val="center"/>
        <w:textAlignment w:val="auto"/>
        <w:rPr>
          <w:color w:val="auto"/>
          <w:highlight w:val="none"/>
        </w:rPr>
      </w:pPr>
      <w:r>
        <w:rPr>
          <w:rFonts w:hint="eastAsia"/>
          <w:color w:val="auto"/>
          <w:highlight w:val="none"/>
        </w:rPr>
        <w:t>表</w:t>
      </w:r>
      <w:r>
        <w:rPr>
          <w:rFonts w:hint="eastAsia"/>
          <w:color w:val="auto"/>
          <w:highlight w:val="none"/>
          <w:lang w:val="en-US" w:eastAsia="zh-CN"/>
        </w:rPr>
        <w:t xml:space="preserve">4.6.4-1  </w:t>
      </w:r>
      <w:r>
        <w:rPr>
          <w:rFonts w:hint="eastAsia"/>
          <w:color w:val="auto"/>
          <w:highlight w:val="none"/>
        </w:rPr>
        <w:t>柴油的理化和毒理性质</w:t>
      </w:r>
    </w:p>
    <w:tbl>
      <w:tblPr>
        <w:tblStyle w:val="28"/>
        <w:tblW w:w="48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5"/>
        <w:gridCol w:w="2366"/>
        <w:gridCol w:w="5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5"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类别</w:t>
            </w:r>
          </w:p>
        </w:tc>
        <w:tc>
          <w:tcPr>
            <w:tcW w:w="2366"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项目</w:t>
            </w:r>
          </w:p>
        </w:tc>
        <w:tc>
          <w:tcPr>
            <w:tcW w:w="5061"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柴  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5" w:type="dxa"/>
            <w:vMerge w:val="restart"/>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理化性质</w:t>
            </w:r>
          </w:p>
        </w:tc>
        <w:tc>
          <w:tcPr>
            <w:tcW w:w="2366"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外观及性状</w:t>
            </w:r>
          </w:p>
        </w:tc>
        <w:tc>
          <w:tcPr>
            <w:tcW w:w="5061"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稍</w:t>
            </w:r>
            <w:r>
              <w:rPr>
                <w:snapToGrid w:val="0"/>
                <w:color w:val="auto"/>
                <w:kern w:val="0"/>
                <w:sz w:val="22"/>
                <w:szCs w:val="22"/>
                <w:highlight w:val="none"/>
                <w:shd w:val="clear" w:fill="FFFFFF"/>
              </w:rPr>
              <w:t>有粘性的</w:t>
            </w:r>
            <w:r>
              <w:rPr>
                <w:snapToGrid w:val="0"/>
                <w:color w:val="auto"/>
                <w:kern w:val="0"/>
                <w:sz w:val="22"/>
                <w:szCs w:val="22"/>
                <w:highlight w:val="none"/>
              </w:rPr>
              <w:t>棕色液体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p>
        </w:tc>
        <w:tc>
          <w:tcPr>
            <w:tcW w:w="2366"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熔点(</w:t>
            </w:r>
            <w:r>
              <w:rPr>
                <w:rFonts w:hint="eastAsia" w:ascii="宋体" w:hAnsi="宋体" w:cs="宋体"/>
                <w:snapToGrid w:val="0"/>
                <w:color w:val="auto"/>
                <w:kern w:val="0"/>
                <w:sz w:val="22"/>
                <w:szCs w:val="22"/>
                <w:highlight w:val="none"/>
              </w:rPr>
              <w:t>℃</w:t>
            </w:r>
            <w:r>
              <w:rPr>
                <w:snapToGrid w:val="0"/>
                <w:color w:val="auto"/>
                <w:kern w:val="0"/>
                <w:sz w:val="22"/>
                <w:szCs w:val="22"/>
                <w:highlight w:val="none"/>
              </w:rPr>
              <w:t>)</w:t>
            </w:r>
          </w:p>
        </w:tc>
        <w:tc>
          <w:tcPr>
            <w:tcW w:w="5061"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p>
        </w:tc>
        <w:tc>
          <w:tcPr>
            <w:tcW w:w="2366"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沸点(</w:t>
            </w:r>
            <w:r>
              <w:rPr>
                <w:rFonts w:hint="eastAsia" w:ascii="宋体" w:hAnsi="宋体" w:cs="宋体"/>
                <w:snapToGrid w:val="0"/>
                <w:color w:val="auto"/>
                <w:kern w:val="0"/>
                <w:sz w:val="22"/>
                <w:szCs w:val="22"/>
                <w:highlight w:val="none"/>
              </w:rPr>
              <w:t>℃</w:t>
            </w:r>
            <w:r>
              <w:rPr>
                <w:snapToGrid w:val="0"/>
                <w:color w:val="auto"/>
                <w:kern w:val="0"/>
                <w:sz w:val="22"/>
                <w:szCs w:val="22"/>
                <w:highlight w:val="none"/>
              </w:rPr>
              <w:t>)</w:t>
            </w:r>
          </w:p>
        </w:tc>
        <w:tc>
          <w:tcPr>
            <w:tcW w:w="5061"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282～338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p>
        </w:tc>
        <w:tc>
          <w:tcPr>
            <w:tcW w:w="2366"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相对密度</w:t>
            </w:r>
          </w:p>
        </w:tc>
        <w:tc>
          <w:tcPr>
            <w:tcW w:w="5061"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对水0.87～0.9，对空气＞1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p>
        </w:tc>
        <w:tc>
          <w:tcPr>
            <w:tcW w:w="2366"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溶解性</w:t>
            </w:r>
          </w:p>
        </w:tc>
        <w:tc>
          <w:tcPr>
            <w:tcW w:w="5061"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不溶于水，易溶于苯、二硫化碳、醇、可混溶于脂肪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5" w:type="dxa"/>
            <w:vMerge w:val="restart"/>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燃烧爆炸危险性</w:t>
            </w:r>
          </w:p>
        </w:tc>
        <w:tc>
          <w:tcPr>
            <w:tcW w:w="2366"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闪点/引燃温度(</w:t>
            </w:r>
            <w:r>
              <w:rPr>
                <w:rFonts w:hint="eastAsia" w:ascii="宋体" w:hAnsi="宋体" w:cs="宋体"/>
                <w:snapToGrid w:val="0"/>
                <w:color w:val="auto"/>
                <w:kern w:val="0"/>
                <w:sz w:val="22"/>
                <w:szCs w:val="22"/>
                <w:highlight w:val="none"/>
              </w:rPr>
              <w:t>℃</w:t>
            </w:r>
            <w:r>
              <w:rPr>
                <w:snapToGrid w:val="0"/>
                <w:color w:val="auto"/>
                <w:kern w:val="0"/>
                <w:sz w:val="22"/>
                <w:szCs w:val="22"/>
                <w:highlight w:val="none"/>
              </w:rPr>
              <w:t>)</w:t>
            </w:r>
          </w:p>
        </w:tc>
        <w:tc>
          <w:tcPr>
            <w:tcW w:w="5061"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50/227～257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p>
        </w:tc>
        <w:tc>
          <w:tcPr>
            <w:tcW w:w="2366"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爆炸极限(vol%)</w:t>
            </w:r>
          </w:p>
        </w:tc>
        <w:tc>
          <w:tcPr>
            <w:tcW w:w="5061"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1.4～4.5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p>
        </w:tc>
        <w:tc>
          <w:tcPr>
            <w:tcW w:w="2366"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稳定性</w:t>
            </w:r>
          </w:p>
        </w:tc>
        <w:tc>
          <w:tcPr>
            <w:tcW w:w="5061"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p>
        </w:tc>
        <w:tc>
          <w:tcPr>
            <w:tcW w:w="2366"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建规火险分级</w:t>
            </w:r>
          </w:p>
        </w:tc>
        <w:tc>
          <w:tcPr>
            <w:tcW w:w="5061"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丙A类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p>
        </w:tc>
        <w:tc>
          <w:tcPr>
            <w:tcW w:w="2366"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爆炸危险组别、类别</w:t>
            </w:r>
          </w:p>
        </w:tc>
        <w:tc>
          <w:tcPr>
            <w:tcW w:w="5061"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T3/</w:t>
            </w:r>
            <w:r>
              <w:rPr>
                <w:rFonts w:hint="eastAsia" w:ascii="宋体" w:hAnsi="宋体" w:cs="宋体"/>
                <w:snapToGrid w:val="0"/>
                <w:color w:val="auto"/>
                <w:kern w:val="0"/>
                <w:sz w:val="22"/>
                <w:szCs w:val="22"/>
                <w:highlight w:val="none"/>
              </w:rPr>
              <w:t>Ⅱ</w:t>
            </w:r>
            <w:r>
              <w:rPr>
                <w:snapToGrid w:val="0"/>
                <w:color w:val="auto"/>
                <w:kern w:val="0"/>
                <w:sz w:val="22"/>
                <w:szCs w:val="22"/>
                <w:highlight w:val="none"/>
              </w:rPr>
              <w:t>A  高闪点易燃液体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p>
        </w:tc>
        <w:tc>
          <w:tcPr>
            <w:tcW w:w="2366"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危险特性</w:t>
            </w:r>
          </w:p>
        </w:tc>
        <w:tc>
          <w:tcPr>
            <w:tcW w:w="5061"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遇明火、高热或与氧化剂接触，有引起燃烧爆炸的危险，遇高热，容器内压增大，有开裂和爆炸的危险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p>
        </w:tc>
        <w:tc>
          <w:tcPr>
            <w:tcW w:w="2366"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灭火方法</w:t>
            </w:r>
          </w:p>
        </w:tc>
        <w:tc>
          <w:tcPr>
            <w:tcW w:w="5061"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灭火剂种类：二氧化碳、泡沫、干粉、沙土</w:t>
            </w:r>
          </w:p>
        </w:tc>
      </w:tr>
    </w:tbl>
    <w:p>
      <w:pPr>
        <w:pStyle w:val="197"/>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eastAsia"/>
          <w:color w:val="auto"/>
          <w:highlight w:val="none"/>
        </w:rPr>
      </w:pPr>
    </w:p>
    <w:p>
      <w:pPr>
        <w:pStyle w:val="197"/>
        <w:keepNext w:val="0"/>
        <w:keepLines w:val="0"/>
        <w:pageBreakBefore w:val="0"/>
        <w:kinsoku/>
        <w:wordWrap/>
        <w:overflowPunct/>
        <w:topLinePunct w:val="0"/>
        <w:autoSpaceDE/>
        <w:autoSpaceDN/>
        <w:bidi w:val="0"/>
        <w:snapToGrid w:val="0"/>
        <w:spacing w:line="240" w:lineRule="auto"/>
        <w:ind w:firstLine="0" w:firstLineChars="0"/>
        <w:jc w:val="center"/>
        <w:textAlignment w:val="auto"/>
        <w:rPr>
          <w:color w:val="auto"/>
          <w:highlight w:val="none"/>
        </w:rPr>
      </w:pPr>
      <w:r>
        <w:rPr>
          <w:rFonts w:hint="eastAsia"/>
          <w:color w:val="auto"/>
          <w:highlight w:val="none"/>
        </w:rPr>
        <w:t>表</w:t>
      </w:r>
      <w:r>
        <w:rPr>
          <w:rFonts w:hint="eastAsia"/>
          <w:color w:val="auto"/>
          <w:highlight w:val="none"/>
          <w:lang w:val="en-US" w:eastAsia="zh-CN"/>
        </w:rPr>
        <w:t xml:space="preserve">4.6.4-2  </w:t>
      </w:r>
      <w:r>
        <w:rPr>
          <w:rFonts w:hint="eastAsia"/>
          <w:color w:val="auto"/>
          <w:highlight w:val="none"/>
        </w:rPr>
        <w:t>物质</w:t>
      </w:r>
      <w:r>
        <w:rPr>
          <w:color w:val="auto"/>
          <w:highlight w:val="none"/>
        </w:rPr>
        <w:t>危险性标准</w:t>
      </w:r>
    </w:p>
    <w:tbl>
      <w:tblPr>
        <w:tblStyle w:val="28"/>
        <w:tblW w:w="48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9"/>
        <w:gridCol w:w="1272"/>
        <w:gridCol w:w="1777"/>
        <w:gridCol w:w="1650"/>
        <w:gridCol w:w="1638"/>
        <w:gridCol w:w="1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1" w:type="dxa"/>
            <w:gridSpan w:val="2"/>
            <w:vMerge w:val="restart"/>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指标</w:t>
            </w:r>
          </w:p>
        </w:tc>
        <w:tc>
          <w:tcPr>
            <w:tcW w:w="6712" w:type="dxa"/>
            <w:gridSpan w:val="4"/>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危害程度分级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1" w:type="dxa"/>
            <w:gridSpan w:val="2"/>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p>
        </w:tc>
        <w:tc>
          <w:tcPr>
            <w:tcW w:w="177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rFonts w:hint="eastAsia" w:ascii="宋体" w:hAnsi="宋体" w:cs="宋体"/>
                <w:snapToGrid w:val="0"/>
                <w:color w:val="auto"/>
                <w:kern w:val="0"/>
                <w:sz w:val="22"/>
                <w:szCs w:val="22"/>
                <w:highlight w:val="none"/>
              </w:rPr>
              <w:t>Ⅰ</w:t>
            </w:r>
            <w:r>
              <w:rPr>
                <w:snapToGrid w:val="0"/>
                <w:color w:val="auto"/>
                <w:kern w:val="0"/>
                <w:sz w:val="22"/>
                <w:szCs w:val="22"/>
                <w:highlight w:val="none"/>
              </w:rPr>
              <w:t>（极度危害）</w:t>
            </w:r>
          </w:p>
        </w:tc>
        <w:tc>
          <w:tcPr>
            <w:tcW w:w="1650"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rFonts w:hint="eastAsia" w:ascii="宋体" w:hAnsi="宋体" w:cs="宋体"/>
                <w:snapToGrid w:val="0"/>
                <w:color w:val="auto"/>
                <w:kern w:val="0"/>
                <w:sz w:val="22"/>
                <w:szCs w:val="22"/>
                <w:highlight w:val="none"/>
              </w:rPr>
              <w:t>Ⅱ</w:t>
            </w:r>
            <w:r>
              <w:rPr>
                <w:snapToGrid w:val="0"/>
                <w:color w:val="auto"/>
                <w:kern w:val="0"/>
                <w:sz w:val="22"/>
                <w:szCs w:val="22"/>
                <w:highlight w:val="none"/>
              </w:rPr>
              <w:t>（高度危害）</w:t>
            </w:r>
          </w:p>
        </w:tc>
        <w:tc>
          <w:tcPr>
            <w:tcW w:w="1638"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rFonts w:hint="eastAsia" w:ascii="宋体" w:hAnsi="宋体" w:cs="宋体"/>
                <w:snapToGrid w:val="0"/>
                <w:color w:val="auto"/>
                <w:kern w:val="0"/>
                <w:sz w:val="22"/>
                <w:szCs w:val="22"/>
                <w:highlight w:val="none"/>
              </w:rPr>
              <w:t>Ⅲ</w:t>
            </w:r>
            <w:r>
              <w:rPr>
                <w:snapToGrid w:val="0"/>
                <w:color w:val="auto"/>
                <w:kern w:val="0"/>
                <w:sz w:val="22"/>
                <w:szCs w:val="22"/>
                <w:highlight w:val="none"/>
              </w:rPr>
              <w:t>（中度危害）</w:t>
            </w:r>
          </w:p>
        </w:tc>
        <w:tc>
          <w:tcPr>
            <w:tcW w:w="164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rFonts w:hint="eastAsia" w:ascii="宋体" w:hAnsi="宋体" w:cs="宋体"/>
                <w:snapToGrid w:val="0"/>
                <w:color w:val="auto"/>
                <w:kern w:val="0"/>
                <w:sz w:val="22"/>
                <w:szCs w:val="22"/>
                <w:highlight w:val="none"/>
              </w:rPr>
              <w:t>Ⅳ</w:t>
            </w:r>
            <w:r>
              <w:rPr>
                <w:snapToGrid w:val="0"/>
                <w:color w:val="auto"/>
                <w:kern w:val="0"/>
                <w:sz w:val="22"/>
                <w:szCs w:val="22"/>
                <w:highlight w:val="none"/>
              </w:rPr>
              <w:t>（轻度危害）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dxa"/>
            <w:vMerge w:val="restart"/>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中毒</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危害</w:t>
            </w:r>
          </w:p>
        </w:tc>
        <w:tc>
          <w:tcPr>
            <w:tcW w:w="1272"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吸入LC</w:t>
            </w:r>
            <w:r>
              <w:rPr>
                <w:snapToGrid w:val="0"/>
                <w:color w:val="auto"/>
                <w:kern w:val="0"/>
                <w:sz w:val="22"/>
                <w:szCs w:val="22"/>
                <w:highlight w:val="none"/>
                <w:vertAlign w:val="subscript"/>
              </w:rPr>
              <w:t>50</w:t>
            </w:r>
            <w:r>
              <w:rPr>
                <w:snapToGrid w:val="0"/>
                <w:color w:val="auto"/>
                <w:kern w:val="0"/>
                <w:sz w:val="22"/>
                <w:szCs w:val="22"/>
                <w:highlight w:val="none"/>
              </w:rPr>
              <w:t>，mg/m</w:t>
            </w:r>
            <w:r>
              <w:rPr>
                <w:snapToGrid w:val="0"/>
                <w:color w:val="auto"/>
                <w:kern w:val="0"/>
                <w:sz w:val="22"/>
                <w:szCs w:val="22"/>
                <w:highlight w:val="none"/>
                <w:vertAlign w:val="superscript"/>
              </w:rPr>
              <w:t>3</w:t>
            </w:r>
          </w:p>
        </w:tc>
        <w:tc>
          <w:tcPr>
            <w:tcW w:w="177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＜20</w:t>
            </w:r>
          </w:p>
        </w:tc>
        <w:tc>
          <w:tcPr>
            <w:tcW w:w="1650"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200－</w:t>
            </w:r>
          </w:p>
        </w:tc>
        <w:tc>
          <w:tcPr>
            <w:tcW w:w="1638"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2000－</w:t>
            </w:r>
          </w:p>
        </w:tc>
        <w:tc>
          <w:tcPr>
            <w:tcW w:w="164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＞20000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p>
        </w:tc>
        <w:tc>
          <w:tcPr>
            <w:tcW w:w="1272"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经皮LD</w:t>
            </w:r>
            <w:r>
              <w:rPr>
                <w:snapToGrid w:val="0"/>
                <w:color w:val="auto"/>
                <w:kern w:val="0"/>
                <w:sz w:val="22"/>
                <w:szCs w:val="22"/>
                <w:highlight w:val="none"/>
                <w:vertAlign w:val="subscript"/>
              </w:rPr>
              <w:t>50</w:t>
            </w:r>
            <w:r>
              <w:rPr>
                <w:snapToGrid w:val="0"/>
                <w:color w:val="auto"/>
                <w:kern w:val="0"/>
                <w:sz w:val="22"/>
                <w:szCs w:val="22"/>
                <w:highlight w:val="none"/>
              </w:rPr>
              <w:t>，mg/kg</w:t>
            </w:r>
          </w:p>
        </w:tc>
        <w:tc>
          <w:tcPr>
            <w:tcW w:w="177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＜100</w:t>
            </w:r>
          </w:p>
        </w:tc>
        <w:tc>
          <w:tcPr>
            <w:tcW w:w="1650"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100－</w:t>
            </w:r>
          </w:p>
        </w:tc>
        <w:tc>
          <w:tcPr>
            <w:tcW w:w="1638"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500－</w:t>
            </w:r>
          </w:p>
        </w:tc>
        <w:tc>
          <w:tcPr>
            <w:tcW w:w="164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p>
        </w:tc>
        <w:tc>
          <w:tcPr>
            <w:tcW w:w="1272"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经口LD</w:t>
            </w:r>
            <w:r>
              <w:rPr>
                <w:snapToGrid w:val="0"/>
                <w:color w:val="auto"/>
                <w:kern w:val="0"/>
                <w:sz w:val="22"/>
                <w:szCs w:val="22"/>
                <w:highlight w:val="none"/>
                <w:vertAlign w:val="subscript"/>
              </w:rPr>
              <w:t>50</w:t>
            </w:r>
            <w:r>
              <w:rPr>
                <w:snapToGrid w:val="0"/>
                <w:color w:val="auto"/>
                <w:kern w:val="0"/>
                <w:sz w:val="22"/>
                <w:szCs w:val="22"/>
                <w:highlight w:val="none"/>
              </w:rPr>
              <w:t>，mg/kg</w:t>
            </w:r>
          </w:p>
        </w:tc>
        <w:tc>
          <w:tcPr>
            <w:tcW w:w="177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＜25</w:t>
            </w:r>
          </w:p>
        </w:tc>
        <w:tc>
          <w:tcPr>
            <w:tcW w:w="1650"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25－</w:t>
            </w:r>
          </w:p>
        </w:tc>
        <w:tc>
          <w:tcPr>
            <w:tcW w:w="1638"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500－</w:t>
            </w:r>
          </w:p>
        </w:tc>
        <w:tc>
          <w:tcPr>
            <w:tcW w:w="164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1" w:type="dxa"/>
            <w:gridSpan w:val="2"/>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急性中毒</w:t>
            </w:r>
          </w:p>
        </w:tc>
        <w:tc>
          <w:tcPr>
            <w:tcW w:w="177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易发生中毒</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后果严重</w:t>
            </w:r>
          </w:p>
        </w:tc>
        <w:tc>
          <w:tcPr>
            <w:tcW w:w="1650"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可发生中毒</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愈后良好</w:t>
            </w:r>
          </w:p>
        </w:tc>
        <w:tc>
          <w:tcPr>
            <w:tcW w:w="1638"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rFonts w:hint="eastAsia"/>
                <w:snapToGrid w:val="0"/>
                <w:color w:val="auto"/>
                <w:kern w:val="0"/>
                <w:sz w:val="22"/>
                <w:szCs w:val="22"/>
                <w:highlight w:val="none"/>
                <w:shd w:val="clear" w:fill="FFFFFF"/>
                <w:lang w:eastAsia="zh-CN"/>
              </w:rPr>
              <w:t>偶</w:t>
            </w:r>
            <w:r>
              <w:rPr>
                <w:snapToGrid w:val="0"/>
                <w:color w:val="auto"/>
                <w:kern w:val="0"/>
                <w:sz w:val="22"/>
                <w:szCs w:val="22"/>
                <w:highlight w:val="none"/>
              </w:rPr>
              <w:t>发中毒</w:t>
            </w:r>
          </w:p>
        </w:tc>
        <w:tc>
          <w:tcPr>
            <w:tcW w:w="164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未见急性中毒</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有急性影响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1" w:type="dxa"/>
            <w:gridSpan w:val="2"/>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慢性中毒</w:t>
            </w:r>
          </w:p>
        </w:tc>
        <w:tc>
          <w:tcPr>
            <w:tcW w:w="177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患病率高≥5%</w:t>
            </w:r>
          </w:p>
        </w:tc>
        <w:tc>
          <w:tcPr>
            <w:tcW w:w="1650"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患病率较高≤5%</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或发生率较高≥20%</w:t>
            </w:r>
          </w:p>
        </w:tc>
        <w:tc>
          <w:tcPr>
            <w:tcW w:w="1638"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偶发中毒病例或发生率较高≥10%</w:t>
            </w:r>
          </w:p>
        </w:tc>
        <w:tc>
          <w:tcPr>
            <w:tcW w:w="164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无慢性中毒</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有慢性影响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1" w:type="dxa"/>
            <w:gridSpan w:val="2"/>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慢性中毒后果</w:t>
            </w:r>
          </w:p>
        </w:tc>
        <w:tc>
          <w:tcPr>
            <w:tcW w:w="177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脱离接触后继续发展或不能治愈</w:t>
            </w:r>
          </w:p>
        </w:tc>
        <w:tc>
          <w:tcPr>
            <w:tcW w:w="1650"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脱离接触后</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可基本治愈</w:t>
            </w:r>
          </w:p>
        </w:tc>
        <w:tc>
          <w:tcPr>
            <w:tcW w:w="1638"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脱离接触后可恢复不致严重后果</w:t>
            </w:r>
          </w:p>
        </w:tc>
        <w:tc>
          <w:tcPr>
            <w:tcW w:w="164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脱离接触后自行恢复无不良后果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1" w:type="dxa"/>
            <w:gridSpan w:val="2"/>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致癌性</w:t>
            </w:r>
          </w:p>
        </w:tc>
        <w:tc>
          <w:tcPr>
            <w:tcW w:w="177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人体致癌物</w:t>
            </w:r>
          </w:p>
        </w:tc>
        <w:tc>
          <w:tcPr>
            <w:tcW w:w="1650"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可疑人体致癌物</w:t>
            </w:r>
          </w:p>
        </w:tc>
        <w:tc>
          <w:tcPr>
            <w:tcW w:w="1638"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实验动物致癌性</w:t>
            </w:r>
          </w:p>
        </w:tc>
        <w:tc>
          <w:tcPr>
            <w:tcW w:w="164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无致癌性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1" w:type="dxa"/>
            <w:gridSpan w:val="2"/>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最高容许浓度，mg/m</w:t>
            </w:r>
            <w:r>
              <w:rPr>
                <w:snapToGrid w:val="0"/>
                <w:color w:val="auto"/>
                <w:kern w:val="0"/>
                <w:sz w:val="22"/>
                <w:szCs w:val="22"/>
                <w:highlight w:val="none"/>
                <w:vertAlign w:val="superscript"/>
              </w:rPr>
              <w:t>3</w:t>
            </w:r>
          </w:p>
        </w:tc>
        <w:tc>
          <w:tcPr>
            <w:tcW w:w="177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＜0.1</w:t>
            </w:r>
          </w:p>
        </w:tc>
        <w:tc>
          <w:tcPr>
            <w:tcW w:w="1650"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0.1－</w:t>
            </w:r>
          </w:p>
        </w:tc>
        <w:tc>
          <w:tcPr>
            <w:tcW w:w="1638"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1.0－</w:t>
            </w:r>
          </w:p>
        </w:tc>
        <w:tc>
          <w:tcPr>
            <w:tcW w:w="164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napToGrid w:val="0"/>
                <w:color w:val="auto"/>
                <w:kern w:val="0"/>
                <w:sz w:val="22"/>
                <w:szCs w:val="22"/>
                <w:highlight w:val="none"/>
              </w:rPr>
            </w:pPr>
            <w:r>
              <w:rPr>
                <w:snapToGrid w:val="0"/>
                <w:color w:val="auto"/>
                <w:kern w:val="0"/>
                <w:sz w:val="22"/>
                <w:szCs w:val="22"/>
                <w:highlight w:val="none"/>
              </w:rPr>
              <w:t>＞1.0</w:t>
            </w:r>
          </w:p>
        </w:tc>
      </w:tr>
    </w:tbl>
    <w:p>
      <w:pPr>
        <w:pStyle w:val="197"/>
        <w:keepNext w:val="0"/>
        <w:keepLines w:val="0"/>
        <w:pageBreakBefore w:val="0"/>
        <w:kinsoku/>
        <w:wordWrap/>
        <w:overflowPunct/>
        <w:topLinePunct w:val="0"/>
        <w:autoSpaceDE/>
        <w:autoSpaceDN/>
        <w:bidi w:val="0"/>
        <w:snapToGrid w:val="0"/>
        <w:spacing w:line="240" w:lineRule="auto"/>
        <w:ind w:firstLine="520"/>
        <w:jc w:val="center"/>
        <w:textAlignment w:val="auto"/>
        <w:rPr>
          <w:color w:val="auto"/>
          <w:highlight w:val="none"/>
        </w:rPr>
      </w:pPr>
    </w:p>
    <w:p>
      <w:pPr>
        <w:bidi w:val="0"/>
        <w:rPr>
          <w:color w:val="auto"/>
          <w:highlight w:val="none"/>
        </w:rPr>
      </w:pPr>
      <w:r>
        <w:rPr>
          <w:rFonts w:hint="eastAsia"/>
          <w:color w:val="auto"/>
          <w:highlight w:val="none"/>
        </w:rPr>
        <w:t>（2）生产系统危险性识别</w:t>
      </w:r>
    </w:p>
    <w:p>
      <w:pPr>
        <w:bidi w:val="0"/>
        <w:rPr>
          <w:rFonts w:hint="eastAsia"/>
          <w:color w:val="auto"/>
          <w:highlight w:val="none"/>
        </w:rPr>
      </w:pPr>
      <w:r>
        <w:rPr>
          <w:rFonts w:hint="eastAsia"/>
          <w:color w:val="auto"/>
          <w:highlight w:val="none"/>
        </w:rPr>
        <w:t>本项目</w:t>
      </w:r>
      <w:r>
        <w:rPr>
          <w:rFonts w:hint="eastAsia"/>
          <w:color w:val="auto"/>
          <w:highlight w:val="none"/>
          <w:lang w:eastAsia="zh-CN"/>
        </w:rPr>
        <w:t>施工船舶、</w:t>
      </w:r>
      <w:r>
        <w:rPr>
          <w:rFonts w:hint="eastAsia"/>
          <w:color w:val="auto"/>
          <w:highlight w:val="none"/>
        </w:rPr>
        <w:t>运输船舶燃料油泄漏是主要风险。有关资料表明，导致船舶突发性泄漏风险事件污染水域的环境风险因素主要有：</w:t>
      </w:r>
    </w:p>
    <w:p>
      <w:pPr>
        <w:bidi w:val="0"/>
        <w:rPr>
          <w:rFonts w:hint="eastAsia"/>
          <w:color w:val="auto"/>
          <w:highlight w:val="none"/>
        </w:rPr>
      </w:pPr>
      <w:r>
        <w:rPr>
          <w:rFonts w:hint="eastAsia"/>
          <w:color w:val="auto"/>
          <w:highlight w:val="none"/>
        </w:rPr>
        <w:t>①操作系统、辅助设施等自身的原因，如设计失误、包装破损等；</w:t>
      </w:r>
    </w:p>
    <w:p>
      <w:pPr>
        <w:bidi w:val="0"/>
        <w:rPr>
          <w:rFonts w:hint="eastAsia"/>
          <w:color w:val="auto"/>
          <w:highlight w:val="none"/>
        </w:rPr>
      </w:pPr>
      <w:r>
        <w:rPr>
          <w:rFonts w:hint="eastAsia"/>
          <w:color w:val="auto"/>
          <w:highlight w:val="none"/>
        </w:rPr>
        <w:t>②操作技术不熟练，责任心不强；</w:t>
      </w:r>
    </w:p>
    <w:p>
      <w:pPr>
        <w:bidi w:val="0"/>
        <w:rPr>
          <w:color w:val="auto"/>
          <w:highlight w:val="none"/>
        </w:rPr>
      </w:pPr>
      <w:r>
        <w:rPr>
          <w:rFonts w:hint="eastAsia"/>
          <w:color w:val="auto"/>
          <w:highlight w:val="none"/>
        </w:rPr>
        <w:t>③</w:t>
      </w:r>
      <w:r>
        <w:rPr>
          <w:color w:val="auto"/>
          <w:highlight w:val="none"/>
        </w:rPr>
        <w:t>过坝船舶在等待通过船闸时，由于船舶密集，</w:t>
      </w:r>
      <w:r>
        <w:rPr>
          <w:rFonts w:hint="eastAsia"/>
          <w:color w:val="auto"/>
          <w:highlight w:val="none"/>
        </w:rPr>
        <w:t>锚地、航道上发生碰撞、搁浅或船身、设备、管线等破损引起事故。船舶在</w:t>
      </w:r>
      <w:r>
        <w:rPr>
          <w:rFonts w:hint="eastAsia"/>
          <w:color w:val="auto"/>
          <w:highlight w:val="none"/>
          <w:lang w:eastAsia="zh-CN"/>
        </w:rPr>
        <w:t>过闸</w:t>
      </w:r>
      <w:r>
        <w:rPr>
          <w:rFonts w:hint="eastAsia"/>
          <w:color w:val="auto"/>
          <w:highlight w:val="none"/>
        </w:rPr>
        <w:t>过程中，由于操作不当，造成船体与</w:t>
      </w:r>
      <w:r>
        <w:rPr>
          <w:rFonts w:hint="eastAsia"/>
          <w:color w:val="auto"/>
          <w:highlight w:val="none"/>
          <w:lang w:eastAsia="zh-CN"/>
        </w:rPr>
        <w:t>船闸</w:t>
      </w:r>
      <w:r>
        <w:rPr>
          <w:rFonts w:hint="eastAsia"/>
          <w:color w:val="auto"/>
          <w:highlight w:val="none"/>
        </w:rPr>
        <w:t>相撞，进而导致船舶的燃料油泄漏；在</w:t>
      </w:r>
      <w:r>
        <w:rPr>
          <w:rFonts w:hint="eastAsia"/>
          <w:color w:val="auto"/>
          <w:highlight w:val="none"/>
          <w:lang w:eastAsia="zh-CN"/>
        </w:rPr>
        <w:t>锚地</w:t>
      </w:r>
      <w:r>
        <w:rPr>
          <w:rFonts w:hint="eastAsia"/>
          <w:color w:val="auto"/>
          <w:highlight w:val="none"/>
        </w:rPr>
        <w:t>前沿水域或者在航道上航行过程中，项目船舶与其它船舶（如工作船、拖轮、杂货船、渔船或项目附近企业的运输船等）发生碰撞，造成燃料油泄漏。</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）船舶溢油典型事故案例类比调查</w:t>
      </w:r>
    </w:p>
    <w:p>
      <w:pPr>
        <w:bidi w:val="0"/>
        <w:rPr>
          <w:color w:val="auto"/>
          <w:highlight w:val="none"/>
        </w:rPr>
      </w:pPr>
      <w:r>
        <w:rPr>
          <w:rFonts w:hint="eastAsia"/>
          <w:color w:val="auto"/>
          <w:highlight w:val="none"/>
        </w:rPr>
        <w:fldChar w:fldCharType="begin"/>
      </w:r>
      <w:r>
        <w:rPr>
          <w:rFonts w:hint="eastAsia"/>
          <w:color w:val="auto"/>
          <w:highlight w:val="none"/>
        </w:rPr>
        <w:instrText xml:space="preserve"> = 1 \* GB3 \* MERGEFORMAT </w:instrText>
      </w:r>
      <w:r>
        <w:rPr>
          <w:rFonts w:hint="eastAsia"/>
          <w:color w:val="auto"/>
          <w:highlight w:val="none"/>
        </w:rPr>
        <w:fldChar w:fldCharType="separate"/>
      </w:r>
      <w:r>
        <w:rPr>
          <w:color w:val="auto"/>
          <w:highlight w:val="none"/>
        </w:rPr>
        <w:t>①</w:t>
      </w:r>
      <w:r>
        <w:rPr>
          <w:rFonts w:hint="eastAsia"/>
          <w:color w:val="auto"/>
          <w:highlight w:val="none"/>
        </w:rPr>
        <w:fldChar w:fldCharType="end"/>
      </w:r>
      <w:r>
        <w:rPr>
          <w:rFonts w:hint="eastAsia"/>
          <w:color w:val="auto"/>
          <w:highlight w:val="none"/>
        </w:rPr>
        <w:t>长江海事局辖区内事故统计概况</w:t>
      </w:r>
    </w:p>
    <w:p>
      <w:pPr>
        <w:bidi w:val="0"/>
        <w:rPr>
          <w:color w:val="auto"/>
          <w:highlight w:val="none"/>
        </w:rPr>
      </w:pPr>
      <w:r>
        <w:rPr>
          <w:rFonts w:hint="eastAsia"/>
          <w:color w:val="auto"/>
          <w:highlight w:val="none"/>
        </w:rPr>
        <w:t>统计表明2008</w:t>
      </w:r>
      <w:r>
        <w:rPr>
          <w:rFonts w:hint="eastAsia"/>
          <w:color w:val="auto"/>
          <w:highlight w:val="none"/>
          <w:shd w:val="clear" w:fill="FFFFFF"/>
        </w:rPr>
        <w:t>～</w:t>
      </w:r>
      <w:r>
        <w:rPr>
          <w:rFonts w:hint="eastAsia"/>
          <w:color w:val="auto"/>
          <w:highlight w:val="none"/>
        </w:rPr>
        <w:t>2015年长江航道船舶事故总数总体呈下降趋势，其中碰撞、搁浅和触礁所占遇险的比例较高。统计概况</w:t>
      </w:r>
      <w:r>
        <w:rPr>
          <w:rFonts w:hint="eastAsia"/>
          <w:color w:val="auto"/>
          <w:highlight w:val="none"/>
          <w:lang w:eastAsia="zh-CN"/>
        </w:rPr>
        <w:t>详见下表：</w:t>
      </w:r>
    </w:p>
    <w:p>
      <w:pPr>
        <w:pStyle w:val="197"/>
        <w:spacing w:line="240" w:lineRule="auto"/>
        <w:ind w:firstLine="520"/>
        <w:rPr>
          <w:color w:val="auto"/>
          <w:highlight w:val="none"/>
        </w:rPr>
      </w:pPr>
    </w:p>
    <w:p>
      <w:pPr>
        <w:pStyle w:val="197"/>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color w:val="auto"/>
          <w:highlight w:val="none"/>
        </w:rPr>
      </w:pPr>
      <w:r>
        <w:rPr>
          <w:color w:val="auto"/>
          <w:highlight w:val="none"/>
        </w:rPr>
        <w:t>表</w:t>
      </w:r>
      <w:r>
        <w:rPr>
          <w:rFonts w:hint="eastAsia"/>
          <w:color w:val="auto"/>
          <w:highlight w:val="none"/>
          <w:lang w:val="en-US" w:eastAsia="zh-CN"/>
        </w:rPr>
        <w:t xml:space="preserve">4.6.4-3  </w:t>
      </w:r>
      <w:r>
        <w:rPr>
          <w:color w:val="auto"/>
          <w:highlight w:val="none"/>
        </w:rPr>
        <w:t>长江海事局管辖河段按遇险种类统计2008-2015年险情分布</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2"/>
        <w:gridCol w:w="722"/>
        <w:gridCol w:w="722"/>
        <w:gridCol w:w="722"/>
        <w:gridCol w:w="723"/>
        <w:gridCol w:w="724"/>
        <w:gridCol w:w="724"/>
        <w:gridCol w:w="724"/>
        <w:gridCol w:w="724"/>
        <w:gridCol w:w="724"/>
        <w:gridCol w:w="724"/>
        <w:gridCol w:w="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年度</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遇险</w:t>
            </w:r>
          </w:p>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种类</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总数</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碰撞</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搁浅</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触礁</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触损</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火灾</w:t>
            </w:r>
          </w:p>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爆炸</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机损</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自沉</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风灾</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restart"/>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2008</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件数</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346</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160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87</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33</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8</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7</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31</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snapToGrid w:val="0"/>
                <w:color w:val="auto"/>
                <w:kern w:val="0"/>
                <w:sz w:val="22"/>
                <w:szCs w:val="22"/>
                <w:highlight w:val="none"/>
              </w:rPr>
            </w:pP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比例</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100</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46.2</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25.2</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9.5</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1.7</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2.3</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9.0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1.7</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restart"/>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2009</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件数</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314</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134</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75</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33</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13</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13</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14</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snapToGrid w:val="0"/>
                <w:color w:val="auto"/>
                <w:kern w:val="0"/>
                <w:sz w:val="22"/>
                <w:szCs w:val="22"/>
                <w:highlight w:val="none"/>
              </w:rPr>
            </w:pP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比例</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100</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42.5</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23.8</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10.5</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4.1</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3.2</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1.9</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4.1</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4.4</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restart"/>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2010</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件数</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235</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119</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47</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22</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7</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3</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snapToGrid w:val="0"/>
                <w:color w:val="auto"/>
                <w:kern w:val="0"/>
                <w:sz w:val="22"/>
                <w:szCs w:val="22"/>
                <w:highlight w:val="none"/>
              </w:rPr>
            </w:pP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比例</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100</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50.6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20.0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9.4</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3.0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0.4</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6.8</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1.3</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restart"/>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2011</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件数</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196</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91</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52</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11</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13</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7</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9</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snapToGrid w:val="0"/>
                <w:color w:val="auto"/>
                <w:kern w:val="0"/>
                <w:sz w:val="22"/>
                <w:szCs w:val="22"/>
                <w:highlight w:val="none"/>
              </w:rPr>
            </w:pP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比例</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100</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46.4</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26.5</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5.6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6.6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3.6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0.5</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4.6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restart"/>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2012</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件数</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153</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78</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22</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9</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11</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11</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14</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snapToGrid w:val="0"/>
                <w:color w:val="auto"/>
                <w:kern w:val="0"/>
                <w:sz w:val="22"/>
                <w:szCs w:val="22"/>
                <w:highlight w:val="none"/>
              </w:rPr>
            </w:pP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比例</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100</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51.0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14.4</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5.9</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7.2</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7.2</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9.2</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restart"/>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2013</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件数</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168</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66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30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18</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8</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15</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4</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snapToGrid w:val="0"/>
                <w:color w:val="auto"/>
                <w:kern w:val="0"/>
                <w:sz w:val="22"/>
                <w:szCs w:val="22"/>
                <w:highlight w:val="none"/>
              </w:rPr>
            </w:pP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比例</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100</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39.3</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17.9</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10.7</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9.5</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4.8</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8.9</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2.4</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restart"/>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2014</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件数</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125</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56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19</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12</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9</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14</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12</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snapToGrid w:val="0"/>
                <w:color w:val="auto"/>
                <w:kern w:val="0"/>
                <w:sz w:val="22"/>
                <w:szCs w:val="22"/>
                <w:highlight w:val="none"/>
              </w:rPr>
            </w:pP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比例</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100</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44.8</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15.2</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9.6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7.2</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11.2</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9.6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restart"/>
            <w:tcBorders>
              <w:top w:val="single" w:color="auto" w:sz="4" w:space="0"/>
              <w:left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2015</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件数</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128</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56</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21</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9</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14</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8</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15</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vMerge w:val="continue"/>
            <w:tcBorders>
              <w:left w:val="single" w:color="auto" w:sz="4" w:space="0"/>
              <w:right w:val="single" w:color="auto" w:sz="4" w:space="0"/>
            </w:tcBorders>
            <w:vAlign w:val="center"/>
          </w:tcPr>
          <w:p>
            <w:pPr>
              <w:adjustRightInd w:val="0"/>
              <w:spacing w:line="240" w:lineRule="auto"/>
              <w:ind w:firstLine="440"/>
              <w:jc w:val="center"/>
              <w:rPr>
                <w:snapToGrid w:val="0"/>
                <w:color w:val="auto"/>
                <w:kern w:val="0"/>
                <w:sz w:val="22"/>
                <w:szCs w:val="22"/>
                <w:highlight w:val="none"/>
              </w:rPr>
            </w:pP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比例</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100</w:t>
            </w:r>
          </w:p>
        </w:tc>
        <w:tc>
          <w:tcPr>
            <w:tcW w:w="750"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43.8</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16.4</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7.0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10.9</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6.3</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11.7</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0.0</w:t>
            </w:r>
          </w:p>
        </w:tc>
        <w:tc>
          <w:tcPr>
            <w:tcW w:w="75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snapToGrid w:val="0"/>
                <w:color w:val="auto"/>
                <w:kern w:val="0"/>
                <w:sz w:val="22"/>
                <w:szCs w:val="22"/>
                <w:highlight w:val="none"/>
              </w:rPr>
              <w:t>3.9</w:t>
            </w:r>
          </w:p>
        </w:tc>
      </w:tr>
    </w:tbl>
    <w:p>
      <w:pPr>
        <w:pStyle w:val="197"/>
        <w:spacing w:line="240" w:lineRule="auto"/>
        <w:ind w:firstLine="0" w:firstLineChars="0"/>
        <w:rPr>
          <w:color w:val="auto"/>
          <w:highlight w:val="none"/>
        </w:rPr>
      </w:pPr>
    </w:p>
    <w:p>
      <w:pPr>
        <w:bidi w:val="0"/>
        <w:rPr>
          <w:color w:val="auto"/>
          <w:highlight w:val="none"/>
        </w:rPr>
      </w:pPr>
      <w:r>
        <w:rPr>
          <w:rFonts w:hint="eastAsia"/>
          <w:color w:val="auto"/>
          <w:highlight w:val="none"/>
        </w:rPr>
        <w:t>事故</w:t>
      </w:r>
      <w:r>
        <w:rPr>
          <w:rFonts w:hint="eastAsia"/>
          <w:color w:val="auto"/>
          <w:highlight w:val="none"/>
          <w:shd w:val="clear" w:fill="FFFFFF"/>
        </w:rPr>
        <w:t>源于</w:t>
      </w:r>
      <w:r>
        <w:rPr>
          <w:rFonts w:hint="eastAsia"/>
          <w:color w:val="auto"/>
          <w:highlight w:val="none"/>
        </w:rPr>
        <w:t>包括：船员责任心不强，违章航行、操作不当依然是事故发生的主要原因；恶劣气候和航道条件变化是事故发生的客观原因；船舶技术状况差，公司安全管理不到位是事故发生的重要原因。</w:t>
      </w:r>
    </w:p>
    <w:p>
      <w:pPr>
        <w:bidi w:val="0"/>
        <w:rPr>
          <w:color w:val="auto"/>
          <w:highlight w:val="none"/>
        </w:rPr>
      </w:pPr>
      <w:r>
        <w:rPr>
          <w:rFonts w:hint="eastAsia"/>
          <w:color w:val="auto"/>
          <w:highlight w:val="none"/>
        </w:rPr>
        <w:t>事故特点：事故、险情总量下降，自沉类明显减少；砂石船舶特别是小型砂石船舶事故影响较为突出；碰撞、搁浅事故险情偏高。</w:t>
      </w:r>
    </w:p>
    <w:p>
      <w:pPr>
        <w:bidi w:val="0"/>
        <w:rPr>
          <w:color w:val="auto"/>
          <w:highlight w:val="none"/>
        </w:rPr>
      </w:pPr>
      <w:r>
        <w:rPr>
          <w:rFonts w:hint="eastAsia"/>
          <w:color w:val="auto"/>
          <w:highlight w:val="none"/>
        </w:rPr>
        <w:fldChar w:fldCharType="begin"/>
      </w:r>
      <w:r>
        <w:rPr>
          <w:rFonts w:hint="eastAsia"/>
          <w:color w:val="auto"/>
          <w:highlight w:val="none"/>
        </w:rPr>
        <w:instrText xml:space="preserve"> = 2 \* GB3 \* MERGEFORMAT </w:instrText>
      </w:r>
      <w:r>
        <w:rPr>
          <w:rFonts w:hint="eastAsia"/>
          <w:color w:val="auto"/>
          <w:highlight w:val="none"/>
        </w:rPr>
        <w:fldChar w:fldCharType="separate"/>
      </w:r>
      <w:r>
        <w:rPr>
          <w:color w:val="auto"/>
          <w:highlight w:val="none"/>
        </w:rPr>
        <w:t>②</w:t>
      </w:r>
      <w:r>
        <w:rPr>
          <w:rFonts w:hint="eastAsia"/>
          <w:color w:val="auto"/>
          <w:highlight w:val="none"/>
        </w:rPr>
        <w:fldChar w:fldCharType="end"/>
      </w:r>
      <w:r>
        <w:rPr>
          <w:rFonts w:hint="eastAsia"/>
          <w:color w:val="auto"/>
          <w:highlight w:val="none"/>
        </w:rPr>
        <w:t>长江重庆海事局事故统计概况</w:t>
      </w:r>
    </w:p>
    <w:p>
      <w:pPr>
        <w:bidi w:val="0"/>
        <w:rPr>
          <w:color w:val="auto"/>
          <w:highlight w:val="none"/>
        </w:rPr>
      </w:pPr>
      <w:r>
        <w:rPr>
          <w:rFonts w:hint="eastAsia"/>
          <w:color w:val="auto"/>
          <w:highlight w:val="none"/>
        </w:rPr>
        <w:t>根据长江重庆海事局的统计资料，2008</w:t>
      </w:r>
      <w:r>
        <w:rPr>
          <w:rFonts w:hint="eastAsia"/>
          <w:color w:val="auto"/>
          <w:highlight w:val="none"/>
          <w:shd w:val="clear" w:fill="FFFFFF"/>
        </w:rPr>
        <w:t>～</w:t>
      </w:r>
      <w:r>
        <w:rPr>
          <w:rFonts w:hint="eastAsia"/>
          <w:color w:val="auto"/>
          <w:highlight w:val="none"/>
        </w:rPr>
        <w:t>2017年重庆海事局辖区长江</w:t>
      </w:r>
      <w:r>
        <w:rPr>
          <w:color w:val="auto"/>
          <w:highlight w:val="none"/>
        </w:rPr>
        <w:t>航道</w:t>
      </w:r>
      <w:r>
        <w:rPr>
          <w:rFonts w:hint="eastAsia"/>
          <w:color w:val="auto"/>
          <w:highlight w:val="none"/>
        </w:rPr>
        <w:t>事故及险情统计情况</w:t>
      </w:r>
      <w:r>
        <w:rPr>
          <w:rFonts w:hint="eastAsia"/>
          <w:color w:val="auto"/>
          <w:highlight w:val="none"/>
          <w:lang w:eastAsia="zh-CN"/>
        </w:rPr>
        <w:t>下表</w:t>
      </w:r>
      <w:r>
        <w:rPr>
          <w:rFonts w:hint="eastAsia"/>
          <w:color w:val="auto"/>
          <w:highlight w:val="none"/>
        </w:rPr>
        <w:t>。</w:t>
      </w:r>
      <w:r>
        <w:rPr>
          <w:rFonts w:hint="eastAsia"/>
          <w:color w:val="auto"/>
          <w:highlight w:val="none"/>
          <w:shd w:val="clear" w:fill="FFFFFF"/>
        </w:rPr>
        <w:t>由</w:t>
      </w:r>
      <w:r>
        <w:rPr>
          <w:rFonts w:hint="eastAsia"/>
          <w:color w:val="auto"/>
          <w:highlight w:val="none"/>
        </w:rPr>
        <w:t>表可知，近几年事故呈明显下降趋势。</w:t>
      </w:r>
    </w:p>
    <w:p>
      <w:pPr>
        <w:pStyle w:val="197"/>
        <w:spacing w:line="240" w:lineRule="auto"/>
        <w:ind w:firstLine="0" w:firstLineChars="0"/>
        <w:jc w:val="center"/>
        <w:rPr>
          <w:rFonts w:hint="eastAsia"/>
          <w:color w:val="auto"/>
          <w:highlight w:val="none"/>
        </w:rPr>
      </w:pPr>
    </w:p>
    <w:p>
      <w:pPr>
        <w:pStyle w:val="197"/>
        <w:spacing w:line="240" w:lineRule="auto"/>
        <w:ind w:firstLine="0" w:firstLineChars="0"/>
        <w:jc w:val="center"/>
        <w:rPr>
          <w:color w:val="auto"/>
          <w:highlight w:val="none"/>
        </w:rPr>
      </w:pPr>
      <w:r>
        <w:rPr>
          <w:rFonts w:hint="eastAsia"/>
          <w:color w:val="auto"/>
          <w:highlight w:val="none"/>
        </w:rPr>
        <w:t>表</w:t>
      </w:r>
      <w:r>
        <w:rPr>
          <w:rFonts w:hint="eastAsia"/>
          <w:color w:val="auto"/>
          <w:highlight w:val="none"/>
          <w:lang w:val="en-US" w:eastAsia="zh-CN"/>
        </w:rPr>
        <w:t xml:space="preserve">4.6.4-4  </w:t>
      </w:r>
      <w:r>
        <w:rPr>
          <w:rFonts w:hint="eastAsia"/>
          <w:color w:val="auto"/>
          <w:highlight w:val="none"/>
        </w:rPr>
        <w:t>重庆海事局辖区长江</w:t>
      </w:r>
      <w:r>
        <w:rPr>
          <w:color w:val="auto"/>
          <w:highlight w:val="none"/>
        </w:rPr>
        <w:t>航道</w:t>
      </w:r>
      <w:r>
        <w:rPr>
          <w:rFonts w:hint="eastAsia"/>
          <w:color w:val="auto"/>
          <w:highlight w:val="none"/>
        </w:rPr>
        <w:t>2008-2017年水上交通事故统计表</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7"/>
        <w:gridCol w:w="3403"/>
        <w:gridCol w:w="3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9"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年份</w:t>
            </w:r>
          </w:p>
        </w:tc>
        <w:tc>
          <w:tcPr>
            <w:tcW w:w="353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一般及以上事故件数</w:t>
            </w:r>
          </w:p>
        </w:tc>
        <w:tc>
          <w:tcPr>
            <w:tcW w:w="3662"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水上交通小事故件数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9"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2008</w:t>
            </w:r>
          </w:p>
        </w:tc>
        <w:tc>
          <w:tcPr>
            <w:tcW w:w="353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13</w:t>
            </w:r>
          </w:p>
        </w:tc>
        <w:tc>
          <w:tcPr>
            <w:tcW w:w="3662"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9"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2009</w:t>
            </w:r>
          </w:p>
        </w:tc>
        <w:tc>
          <w:tcPr>
            <w:tcW w:w="353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16.5</w:t>
            </w:r>
          </w:p>
        </w:tc>
        <w:tc>
          <w:tcPr>
            <w:tcW w:w="3662"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48.5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9"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2010</w:t>
            </w:r>
          </w:p>
        </w:tc>
        <w:tc>
          <w:tcPr>
            <w:tcW w:w="353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4</w:t>
            </w:r>
          </w:p>
        </w:tc>
        <w:tc>
          <w:tcPr>
            <w:tcW w:w="3662"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9"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2011</w:t>
            </w:r>
          </w:p>
        </w:tc>
        <w:tc>
          <w:tcPr>
            <w:tcW w:w="353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4.5</w:t>
            </w:r>
          </w:p>
        </w:tc>
        <w:tc>
          <w:tcPr>
            <w:tcW w:w="3662"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9"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2012</w:t>
            </w:r>
          </w:p>
        </w:tc>
        <w:tc>
          <w:tcPr>
            <w:tcW w:w="353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4.5</w:t>
            </w:r>
          </w:p>
        </w:tc>
        <w:tc>
          <w:tcPr>
            <w:tcW w:w="3662"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26.5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9"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2013</w:t>
            </w:r>
          </w:p>
        </w:tc>
        <w:tc>
          <w:tcPr>
            <w:tcW w:w="353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2</w:t>
            </w:r>
          </w:p>
        </w:tc>
        <w:tc>
          <w:tcPr>
            <w:tcW w:w="3662"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9"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2014</w:t>
            </w:r>
          </w:p>
        </w:tc>
        <w:tc>
          <w:tcPr>
            <w:tcW w:w="353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4</w:t>
            </w:r>
          </w:p>
        </w:tc>
        <w:tc>
          <w:tcPr>
            <w:tcW w:w="3662"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9"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2015</w:t>
            </w:r>
          </w:p>
        </w:tc>
        <w:tc>
          <w:tcPr>
            <w:tcW w:w="353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1.5</w:t>
            </w:r>
          </w:p>
        </w:tc>
        <w:tc>
          <w:tcPr>
            <w:tcW w:w="3662"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9"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2016</w:t>
            </w:r>
          </w:p>
        </w:tc>
        <w:tc>
          <w:tcPr>
            <w:tcW w:w="353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2</w:t>
            </w:r>
          </w:p>
        </w:tc>
        <w:tc>
          <w:tcPr>
            <w:tcW w:w="3662"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9"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2017</w:t>
            </w:r>
          </w:p>
        </w:tc>
        <w:tc>
          <w:tcPr>
            <w:tcW w:w="3531"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0</w:t>
            </w:r>
          </w:p>
        </w:tc>
        <w:tc>
          <w:tcPr>
            <w:tcW w:w="3662" w:type="dxa"/>
            <w:tcBorders>
              <w:top w:val="single" w:color="auto" w:sz="4" w:space="0"/>
              <w:left w:val="single" w:color="auto" w:sz="4" w:space="0"/>
              <w:bottom w:val="single" w:color="auto" w:sz="4" w:space="0"/>
              <w:right w:val="single" w:color="auto" w:sz="4" w:space="0"/>
            </w:tcBorders>
            <w:vAlign w:val="center"/>
          </w:tcPr>
          <w:p>
            <w:pPr>
              <w:adjustRightInd w:val="0"/>
              <w:spacing w:line="240" w:lineRule="auto"/>
              <w:ind w:firstLine="0" w:firstLineChars="0"/>
              <w:jc w:val="center"/>
              <w:rPr>
                <w:snapToGrid w:val="0"/>
                <w:color w:val="auto"/>
                <w:kern w:val="0"/>
                <w:sz w:val="22"/>
                <w:szCs w:val="22"/>
                <w:highlight w:val="none"/>
              </w:rPr>
            </w:pPr>
            <w:r>
              <w:rPr>
                <w:rFonts w:hint="eastAsia"/>
                <w:snapToGrid w:val="0"/>
                <w:color w:val="auto"/>
                <w:kern w:val="0"/>
                <w:sz w:val="22"/>
                <w:szCs w:val="22"/>
                <w:highlight w:val="none"/>
              </w:rPr>
              <w:t>15</w:t>
            </w:r>
          </w:p>
        </w:tc>
      </w:tr>
    </w:tbl>
    <w:p>
      <w:pPr>
        <w:bidi w:val="0"/>
        <w:spacing w:line="240" w:lineRule="auto"/>
        <w:rPr>
          <w:rFonts w:hint="eastAsia"/>
          <w:color w:val="auto"/>
          <w:highlight w:val="none"/>
        </w:rPr>
      </w:pPr>
    </w:p>
    <w:p>
      <w:pPr>
        <w:bidi w:val="0"/>
        <w:rPr>
          <w:rFonts w:hint="eastAsia"/>
          <w:color w:val="auto"/>
          <w:highlight w:val="none"/>
        </w:rPr>
      </w:pPr>
      <w:r>
        <w:rPr>
          <w:rFonts w:hint="eastAsia"/>
          <w:color w:val="auto"/>
          <w:highlight w:val="none"/>
        </w:rPr>
        <w:t>根据以上事故统计、分析资料，搁浅、碰撞事故居多，同时根据事故原因调查没有发生施工船舶事故或施工活动造成的</w:t>
      </w:r>
      <w:r>
        <w:rPr>
          <w:rFonts w:hint="eastAsia"/>
          <w:color w:val="auto"/>
          <w:highlight w:val="none"/>
          <w:shd w:val="clear" w:fill="FFFFFF"/>
          <w:lang w:eastAsia="zh-CN"/>
        </w:rPr>
        <w:t>其他事故</w:t>
      </w:r>
      <w:r>
        <w:rPr>
          <w:rFonts w:hint="eastAsia"/>
          <w:color w:val="auto"/>
          <w:highlight w:val="none"/>
          <w:lang w:eastAsia="zh-CN"/>
        </w:rPr>
        <w:t>，也未发生船舶过闸过程中的</w:t>
      </w:r>
      <w:r>
        <w:rPr>
          <w:rFonts w:hint="eastAsia"/>
          <w:color w:val="auto"/>
          <w:highlight w:val="none"/>
          <w:shd w:val="clear" w:fill="FFFFFF"/>
          <w:lang w:eastAsia="zh-CN"/>
        </w:rPr>
        <w:t>燃料泄漏</w:t>
      </w:r>
      <w:r>
        <w:rPr>
          <w:rFonts w:hint="eastAsia"/>
          <w:color w:val="auto"/>
          <w:highlight w:val="none"/>
          <w:lang w:eastAsia="zh-CN"/>
        </w:rPr>
        <w:t>事故</w:t>
      </w:r>
      <w:r>
        <w:rPr>
          <w:rFonts w:hint="eastAsia"/>
          <w:color w:val="auto"/>
          <w:highlight w:val="none"/>
        </w:rPr>
        <w:t>。</w:t>
      </w:r>
    </w:p>
    <w:p>
      <w:pPr>
        <w:bidi w:val="0"/>
        <w:rPr>
          <w:color w:val="auto"/>
          <w:highlight w:val="none"/>
        </w:rPr>
      </w:pPr>
      <w:r>
        <w:rPr>
          <w:rFonts w:hint="eastAsia"/>
          <w:color w:val="auto"/>
          <w:highlight w:val="none"/>
        </w:rPr>
        <w:fldChar w:fldCharType="begin"/>
      </w:r>
      <w:r>
        <w:rPr>
          <w:rFonts w:hint="eastAsia"/>
          <w:color w:val="auto"/>
          <w:highlight w:val="none"/>
        </w:rPr>
        <w:instrText xml:space="preserve"> = 3 \* GB3 \* MERGEFORMAT </w:instrText>
      </w:r>
      <w:r>
        <w:rPr>
          <w:rFonts w:hint="eastAsia"/>
          <w:color w:val="auto"/>
          <w:highlight w:val="none"/>
        </w:rPr>
        <w:fldChar w:fldCharType="separate"/>
      </w:r>
      <w:r>
        <w:rPr>
          <w:color w:val="auto"/>
          <w:highlight w:val="none"/>
        </w:rPr>
        <w:t>③</w:t>
      </w:r>
      <w:r>
        <w:rPr>
          <w:rFonts w:hint="eastAsia"/>
          <w:color w:val="auto"/>
          <w:highlight w:val="none"/>
        </w:rPr>
        <w:fldChar w:fldCharType="end"/>
      </w:r>
      <w:r>
        <w:rPr>
          <w:rFonts w:hint="eastAsia"/>
          <w:color w:val="auto"/>
          <w:highlight w:val="none"/>
        </w:rPr>
        <w:t>涪江航道事故统计</w:t>
      </w:r>
    </w:p>
    <w:p>
      <w:pPr>
        <w:bidi w:val="0"/>
        <w:rPr>
          <w:rFonts w:hint="eastAsia"/>
          <w:color w:val="auto"/>
          <w:highlight w:val="none"/>
        </w:rPr>
      </w:pPr>
      <w:r>
        <w:rPr>
          <w:rFonts w:hint="eastAsia"/>
          <w:color w:val="auto"/>
          <w:highlight w:val="none"/>
        </w:rPr>
        <w:t>涪江航道重庆段未发生过</w:t>
      </w:r>
      <w:r>
        <w:rPr>
          <w:rFonts w:hint="eastAsia"/>
          <w:color w:val="auto"/>
          <w:highlight w:val="none"/>
          <w:lang w:eastAsia="zh-CN"/>
        </w:rPr>
        <w:t>船闸过闸船舶油类</w:t>
      </w:r>
      <w:r>
        <w:rPr>
          <w:rFonts w:hint="eastAsia"/>
          <w:color w:val="auto"/>
          <w:highlight w:val="none"/>
          <w:shd w:val="clear" w:fill="FFFFFF"/>
          <w:lang w:eastAsia="zh-CN"/>
        </w:rPr>
        <w:t>泄漏</w:t>
      </w:r>
      <w:r>
        <w:rPr>
          <w:rFonts w:hint="eastAsia"/>
          <w:color w:val="auto"/>
          <w:highlight w:val="none"/>
        </w:rPr>
        <w:t>所引起的</w:t>
      </w:r>
      <w:r>
        <w:rPr>
          <w:rFonts w:hint="eastAsia"/>
          <w:color w:val="auto"/>
          <w:highlight w:val="none"/>
          <w:lang w:eastAsia="zh-CN"/>
        </w:rPr>
        <w:t>环境风险</w:t>
      </w:r>
      <w:r>
        <w:rPr>
          <w:rFonts w:hint="eastAsia"/>
          <w:color w:val="auto"/>
          <w:highlight w:val="none"/>
        </w:rPr>
        <w:t>事故，</w:t>
      </w:r>
      <w:r>
        <w:rPr>
          <w:rFonts w:hint="eastAsia"/>
          <w:color w:val="auto"/>
          <w:highlight w:val="none"/>
          <w:lang w:eastAsia="zh-CN"/>
        </w:rPr>
        <w:t>也</w:t>
      </w:r>
      <w:r>
        <w:rPr>
          <w:rFonts w:hint="eastAsia"/>
          <w:color w:val="auto"/>
          <w:highlight w:val="none"/>
        </w:rPr>
        <w:t>没有发生施工船舶事故或施工活动造成的</w:t>
      </w:r>
      <w:r>
        <w:rPr>
          <w:rFonts w:hint="eastAsia"/>
          <w:color w:val="auto"/>
          <w:highlight w:val="none"/>
          <w:shd w:val="clear" w:fill="FFFFFF"/>
          <w:lang w:eastAsia="zh-CN"/>
        </w:rPr>
        <w:t>其他事故</w:t>
      </w:r>
      <w:r>
        <w:rPr>
          <w:rFonts w:hint="eastAsia"/>
          <w:color w:val="auto"/>
          <w:highlight w:val="none"/>
        </w:rPr>
        <w:t>。</w:t>
      </w:r>
    </w:p>
    <w:p>
      <w:pPr>
        <w:bidi w:val="0"/>
        <w:rPr>
          <w:rFonts w:hint="eastAsia"/>
          <w:color w:val="auto"/>
          <w:highlight w:val="none"/>
        </w:rPr>
      </w:pPr>
      <w:r>
        <w:rPr>
          <w:rFonts w:hint="eastAsia"/>
          <w:color w:val="auto"/>
          <w:highlight w:val="none"/>
        </w:rPr>
        <w:t>历史活动中施工船舶</w:t>
      </w:r>
      <w:r>
        <w:rPr>
          <w:rFonts w:hint="eastAsia"/>
          <w:color w:val="auto"/>
          <w:highlight w:val="none"/>
          <w:lang w:eastAsia="zh-CN"/>
        </w:rPr>
        <w:t>、过闸船舶</w:t>
      </w:r>
      <w:r>
        <w:rPr>
          <w:rFonts w:hint="eastAsia"/>
          <w:color w:val="auto"/>
          <w:highlight w:val="none"/>
        </w:rPr>
        <w:t>虽从未发生溢油风险事故，但仍存在由于操作不当等原因发生事故潜在风险</w:t>
      </w:r>
      <w:r>
        <w:rPr>
          <w:rFonts w:hint="eastAsia"/>
          <w:color w:val="auto"/>
          <w:highlight w:val="none"/>
          <w:lang w:eastAsia="zh-CN"/>
        </w:rPr>
        <w:t>，突发性事故溢油有一定的风险概率</w:t>
      </w:r>
      <w:r>
        <w:rPr>
          <w:rFonts w:hint="eastAsia"/>
          <w:color w:val="auto"/>
          <w:highlight w:val="none"/>
        </w:rPr>
        <w:t>。</w:t>
      </w:r>
    </w:p>
    <w:p>
      <w:pPr>
        <w:ind w:firstLine="520"/>
        <w:rPr>
          <w:rFonts w:hint="eastAsia" w:eastAsia="宋体"/>
          <w:color w:val="auto"/>
          <w:highlight w:val="none"/>
          <w:lang w:eastAsia="zh-CN"/>
        </w:rPr>
      </w:pPr>
      <w:r>
        <w:rPr>
          <w:rFonts w:hint="eastAsia"/>
          <w:color w:val="auto"/>
          <w:highlight w:val="none"/>
        </w:rPr>
        <w:t>（</w:t>
      </w:r>
      <w:r>
        <w:rPr>
          <w:rFonts w:hint="eastAsia"/>
          <w:color w:val="auto"/>
          <w:highlight w:val="none"/>
          <w:lang w:val="en-US" w:eastAsia="zh-CN"/>
        </w:rPr>
        <w:t>4</w:t>
      </w:r>
      <w:r>
        <w:rPr>
          <w:rFonts w:hint="eastAsia"/>
          <w:color w:val="auto"/>
          <w:highlight w:val="none"/>
        </w:rPr>
        <w:t>）</w:t>
      </w:r>
      <w:r>
        <w:rPr>
          <w:rFonts w:hint="eastAsia"/>
          <w:color w:val="auto"/>
          <w:highlight w:val="none"/>
          <w:lang w:eastAsia="zh-CN"/>
        </w:rPr>
        <w:t>环境影响途径</w:t>
      </w:r>
    </w:p>
    <w:p>
      <w:pPr>
        <w:bidi w:val="0"/>
        <w:rPr>
          <w:color w:val="auto"/>
          <w:highlight w:val="none"/>
        </w:rPr>
      </w:pPr>
      <w:r>
        <w:rPr>
          <w:rFonts w:hint="eastAsia"/>
          <w:color w:val="auto"/>
          <w:highlight w:val="none"/>
        </w:rPr>
        <w:t>根据项目物质危险性识别、生产系统危险性识别以及事故资料统计，本项目</w:t>
      </w:r>
      <w:r>
        <w:rPr>
          <w:rFonts w:hint="eastAsia"/>
          <w:color w:val="auto"/>
          <w:highlight w:val="none"/>
          <w:lang w:eastAsia="zh-CN"/>
        </w:rPr>
        <w:t>环境风险物质</w:t>
      </w:r>
      <w:r>
        <w:rPr>
          <w:rFonts w:hint="eastAsia"/>
          <w:color w:val="auto"/>
          <w:highlight w:val="none"/>
        </w:rPr>
        <w:t>在事故情形下对环境的影响途径</w:t>
      </w:r>
      <w:r>
        <w:rPr>
          <w:rFonts w:hint="eastAsia"/>
          <w:color w:val="auto"/>
          <w:highlight w:val="none"/>
          <w:lang w:eastAsia="zh-CN"/>
        </w:rPr>
        <w:t>为：施工船舶、过闸</w:t>
      </w:r>
      <w:r>
        <w:rPr>
          <w:rFonts w:hint="eastAsia"/>
          <w:color w:val="auto"/>
          <w:highlight w:val="none"/>
        </w:rPr>
        <w:t>船舶</w:t>
      </w:r>
      <w:r>
        <w:rPr>
          <w:rFonts w:hint="eastAsia"/>
          <w:color w:val="auto"/>
          <w:highlight w:val="none"/>
          <w:lang w:eastAsia="zh-CN"/>
        </w:rPr>
        <w:t>发生事故导致</w:t>
      </w:r>
      <w:r>
        <w:rPr>
          <w:rFonts w:hint="eastAsia"/>
          <w:color w:val="auto"/>
          <w:highlight w:val="none"/>
        </w:rPr>
        <w:t>燃料油直接泄漏入江，对涪江水生生态环境和水环境产生影响。</w:t>
      </w:r>
    </w:p>
    <w:p>
      <w:pPr>
        <w:bidi w:val="0"/>
        <w:rPr>
          <w:color w:val="auto"/>
          <w:highlight w:val="none"/>
        </w:rPr>
      </w:pPr>
      <w:r>
        <w:rPr>
          <w:rFonts w:hint="eastAsia"/>
          <w:color w:val="auto"/>
          <w:highlight w:val="none"/>
        </w:rPr>
        <w:t>溢油事故造成的大量油品泄漏进入水体后，其一方面随表面河流的“携带”而一起流动，另一方面受风力的“拖曳”作用而漂移；漂浮在水面上的溢油在重力、惯性力、表面张力以及</w:t>
      </w:r>
      <w:r>
        <w:rPr>
          <w:rFonts w:hint="eastAsia"/>
          <w:color w:val="auto"/>
          <w:highlight w:val="none"/>
          <w:shd w:val="clear" w:fill="FFFFFF"/>
        </w:rPr>
        <w:t>粘滞</w:t>
      </w:r>
      <w:r>
        <w:rPr>
          <w:rFonts w:hint="eastAsia"/>
          <w:color w:val="auto"/>
          <w:highlight w:val="none"/>
        </w:rPr>
        <w:t>力等作用下很快向四周扩散变薄，在水面扩展成油膜。而柴油中一些易挥发的轻组分在泄漏到水面数小时乃至头几天里就蒸发到大气中，随着在大气中扩散的同时逐渐被氧化；不同油品的溢油的蒸发速率和乳化速率是不同的，因此，溢油的残留量将因油品和该处当时的水文气象条件而异。漂浮于</w:t>
      </w:r>
      <w:r>
        <w:rPr>
          <w:rFonts w:hint="eastAsia"/>
          <w:color w:val="auto"/>
          <w:highlight w:val="none"/>
          <w:shd w:val="clear" w:fill="FFFFFF"/>
          <w:lang w:eastAsia="zh-CN"/>
        </w:rPr>
        <w:t>水面</w:t>
      </w:r>
      <w:r>
        <w:rPr>
          <w:rFonts w:hint="eastAsia"/>
          <w:color w:val="auto"/>
          <w:highlight w:val="none"/>
        </w:rPr>
        <w:t>的柴油在水面湍流的作用下，有一部分以油包水或以水包油的形式进入水中，随河流流动扩散开去</w:t>
      </w:r>
      <w:r>
        <w:rPr>
          <w:rFonts w:hint="eastAsia"/>
          <w:color w:val="auto"/>
          <w:highlight w:val="none"/>
          <w:shd w:val="clear" w:fill="FFFFFF"/>
        </w:rPr>
        <w:t>，</w:t>
      </w:r>
      <w:r>
        <w:rPr>
          <w:rFonts w:hint="eastAsia"/>
          <w:color w:val="auto"/>
          <w:highlight w:val="none"/>
        </w:rPr>
        <w:t>部分则凝成较重的油团而沉于河床；漂浮于水面的和沉入河床的溢油有一部分将被嗜油的微生物逐渐降解。</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）风险识别结果</w:t>
      </w:r>
    </w:p>
    <w:p>
      <w:pPr>
        <w:bidi w:val="0"/>
        <w:rPr>
          <w:rFonts w:hint="eastAsia"/>
          <w:color w:val="auto"/>
          <w:highlight w:val="none"/>
          <w:lang w:eastAsia="zh-CN"/>
        </w:rPr>
      </w:pPr>
      <w:r>
        <w:rPr>
          <w:rFonts w:hint="eastAsia"/>
          <w:color w:val="auto"/>
          <w:highlight w:val="none"/>
          <w:lang w:eastAsia="zh-CN"/>
        </w:rPr>
        <w:t>本项目风险源主要为过闸船舶过往运营船舶、水上作业船舶发生碰撞导致燃油泄漏；危险物质为柴油；风险类型为地表水环境风险；燃油泄漏直接入江，在水流和风力的作用下漂移扩散；对涪江水环境、水生生物造成损害。</w:t>
      </w:r>
    </w:p>
    <w:p>
      <w:pPr>
        <w:pStyle w:val="5"/>
        <w:ind w:firstLine="522" w:firstLineChars="0"/>
        <w:jc w:val="left"/>
        <w:rPr>
          <w:color w:val="auto"/>
          <w:highlight w:val="none"/>
        </w:rPr>
      </w:pPr>
      <w:r>
        <w:rPr>
          <w:rFonts w:hint="eastAsia"/>
          <w:color w:val="auto"/>
          <w:highlight w:val="none"/>
        </w:rPr>
        <w:t>环境风险</w:t>
      </w:r>
      <w:r>
        <w:rPr>
          <w:color w:val="auto"/>
          <w:highlight w:val="none"/>
        </w:rPr>
        <w:t>分析</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rPr>
        <w:t>对水环境质量的影响</w:t>
      </w:r>
    </w:p>
    <w:p>
      <w:pPr>
        <w:pStyle w:val="197"/>
        <w:ind w:firstLine="510" w:firstLineChars="0"/>
        <w:jc w:val="both"/>
        <w:rPr>
          <w:color w:val="auto"/>
          <w:highlight w:val="none"/>
        </w:rPr>
      </w:pPr>
      <w:r>
        <w:rPr>
          <w:rFonts w:hint="eastAsia"/>
          <w:color w:val="auto"/>
          <w:highlight w:val="none"/>
        </w:rPr>
        <w:t>一旦发生溢油事故，油类进入水体，将迅速引起周边水环境中石油类浓度增大，并不断向周边扩散。膜扩散使油膜面积增大，厚度减小，影响范围增大。当膜厚度大于其临界厚度时（即扩散结束之后，膜直径保持不变时的厚度），膜保持整体性，膜厚度等于或小于临界厚度时，膜开始分裂为碎片，并继续扩散。水面形成油膜还将影响水体与大气环境的空气交换，导致水中溶解氧下降。本项目所在江段</w:t>
      </w:r>
      <w:r>
        <w:rPr>
          <w:rFonts w:hint="eastAsia"/>
          <w:color w:val="auto"/>
          <w:highlight w:val="none"/>
          <w:lang w:eastAsia="zh-CN"/>
        </w:rPr>
        <w:t>下游</w:t>
      </w:r>
      <w:r>
        <w:rPr>
          <w:rFonts w:hint="eastAsia"/>
          <w:color w:val="auto"/>
          <w:highlight w:val="none"/>
        </w:rPr>
        <w:t>分布有合川区渭沱镇涪江城区第二水源水厂水源地取水口，若发生船舶溢油</w:t>
      </w:r>
      <w:r>
        <w:rPr>
          <w:color w:val="auto"/>
          <w:highlight w:val="none"/>
        </w:rPr>
        <w:t>，</w:t>
      </w:r>
      <w:r>
        <w:rPr>
          <w:rFonts w:hint="eastAsia"/>
          <w:color w:val="auto"/>
          <w:highlight w:val="none"/>
        </w:rPr>
        <w:t>将对涪江</w:t>
      </w:r>
      <w:r>
        <w:rPr>
          <w:color w:val="auto"/>
          <w:highlight w:val="none"/>
        </w:rPr>
        <w:t>取水安全造成影响，</w:t>
      </w:r>
      <w:r>
        <w:rPr>
          <w:rFonts w:hint="eastAsia"/>
          <w:color w:val="auto"/>
          <w:highlight w:val="none"/>
        </w:rPr>
        <w:t>引起</w:t>
      </w:r>
      <w:r>
        <w:rPr>
          <w:color w:val="auto"/>
          <w:highlight w:val="none"/>
        </w:rPr>
        <w:t>水质</w:t>
      </w:r>
      <w:r>
        <w:rPr>
          <w:rFonts w:hint="eastAsia"/>
          <w:color w:val="auto"/>
          <w:highlight w:val="none"/>
        </w:rPr>
        <w:t>不达标</w:t>
      </w:r>
      <w:r>
        <w:rPr>
          <w:color w:val="auto"/>
          <w:highlight w:val="none"/>
        </w:rPr>
        <w:t>。</w:t>
      </w:r>
      <w:r>
        <w:rPr>
          <w:rFonts w:hint="eastAsia"/>
          <w:color w:val="auto"/>
          <w:highlight w:val="none"/>
          <w:lang w:eastAsia="zh-CN"/>
        </w:rPr>
        <w:t>工程</w:t>
      </w:r>
      <w:r>
        <w:rPr>
          <w:color w:val="auto"/>
          <w:highlight w:val="none"/>
        </w:rPr>
        <w:t>施工前应与</w:t>
      </w:r>
      <w:r>
        <w:rPr>
          <w:rFonts w:hint="eastAsia"/>
          <w:color w:val="auto"/>
          <w:highlight w:val="none"/>
        </w:rPr>
        <w:t>相关自来水厂充分</w:t>
      </w:r>
      <w:r>
        <w:rPr>
          <w:color w:val="auto"/>
          <w:highlight w:val="none"/>
        </w:rPr>
        <w:t>沟通，</w:t>
      </w:r>
      <w:r>
        <w:rPr>
          <w:rFonts w:hint="eastAsia"/>
          <w:color w:val="auto"/>
          <w:highlight w:val="none"/>
        </w:rPr>
        <w:t>施工</w:t>
      </w:r>
      <w:r>
        <w:rPr>
          <w:color w:val="auto"/>
          <w:highlight w:val="none"/>
        </w:rPr>
        <w:t>过程中也要保持积极互动，避免工程施工对</w:t>
      </w:r>
      <w:r>
        <w:rPr>
          <w:rFonts w:hint="eastAsia"/>
          <w:color w:val="auto"/>
          <w:highlight w:val="none"/>
        </w:rPr>
        <w:t>水厂取水</w:t>
      </w:r>
      <w:r>
        <w:rPr>
          <w:color w:val="auto"/>
          <w:highlight w:val="none"/>
        </w:rPr>
        <w:t>安全</w:t>
      </w:r>
      <w:r>
        <w:rPr>
          <w:rFonts w:hint="eastAsia"/>
          <w:color w:val="auto"/>
          <w:highlight w:val="none"/>
        </w:rPr>
        <w:t>带来</w:t>
      </w:r>
      <w:r>
        <w:rPr>
          <w:color w:val="auto"/>
          <w:highlight w:val="none"/>
        </w:rPr>
        <w:t>威胁。</w:t>
      </w:r>
      <w:r>
        <w:rPr>
          <w:rFonts w:hint="eastAsia"/>
          <w:color w:val="auto"/>
          <w:highlight w:val="none"/>
          <w:lang w:eastAsia="zh-CN"/>
        </w:rPr>
        <w:t>船闸建成运行后，枢纽管理单位</w:t>
      </w:r>
      <w:r>
        <w:rPr>
          <w:rFonts w:hint="eastAsia"/>
          <w:color w:val="auto"/>
          <w:highlight w:val="none"/>
        </w:rPr>
        <w:t>也应与自来水厂保持互动，避免船舶事故溢油影响取水安全。</w:t>
      </w:r>
    </w:p>
    <w:p>
      <w:pPr>
        <w:pStyle w:val="197"/>
        <w:ind w:firstLine="510" w:firstLineChars="0"/>
        <w:jc w:val="both"/>
        <w:rPr>
          <w:color w:val="auto"/>
          <w:highlight w:val="none"/>
        </w:rPr>
      </w:pPr>
      <w:r>
        <w:rPr>
          <w:rFonts w:hint="eastAsia"/>
          <w:color w:val="auto"/>
          <w:highlight w:val="none"/>
        </w:rPr>
        <w:t>由于溢油事故中无论是溢油量还是溢油时间均有较大的不确定性，一旦发生事故溢油，应及时启动应急预案和通知下游取水口，最大限度地控制油膜向下游的漂移，最大程度地减少溢油对下游各水厂取水口的污染影响。</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溢油事故对浮游生物的影响</w:t>
      </w:r>
    </w:p>
    <w:p>
      <w:pPr>
        <w:pStyle w:val="197"/>
        <w:ind w:firstLine="510" w:firstLineChars="0"/>
        <w:jc w:val="both"/>
        <w:rPr>
          <w:color w:val="auto"/>
          <w:highlight w:val="none"/>
        </w:rPr>
      </w:pPr>
      <w:r>
        <w:rPr>
          <w:rFonts w:hint="eastAsia"/>
          <w:color w:val="auto"/>
          <w:highlight w:val="none"/>
        </w:rPr>
        <w:t>实验证明石油会破坏浮游植物细胞，损坏叶绿素及干扰气体交换，从而妨碍它们的光合作用。这种破坏作用的程度取决于石油的类型、浓度以及浮游植物的种类。国内外许多毒性实验结果表明，浮游植物作为鱼虾类饵料的基础，其对各类油性的耐受能力均很低，浮游植物石油急性中毒致死浓度为0.1~10mg/L，一般为1</w:t>
      </w:r>
      <w:r>
        <w:rPr>
          <w:color w:val="auto"/>
          <w:highlight w:val="none"/>
        </w:rPr>
        <w:t>~3.6</w:t>
      </w:r>
      <w:r>
        <w:rPr>
          <w:rFonts w:hint="eastAsia"/>
          <w:color w:val="auto"/>
          <w:highlight w:val="none"/>
        </w:rPr>
        <w:t>mg/L。对于更敏感的生物种类，即石油浓度低于0.1mg/L也会妨碍其细胞分裂和生长的速度。</w:t>
      </w:r>
    </w:p>
    <w:p>
      <w:pPr>
        <w:pStyle w:val="197"/>
        <w:ind w:firstLine="510" w:firstLineChars="0"/>
        <w:jc w:val="both"/>
        <w:rPr>
          <w:color w:val="auto"/>
          <w:highlight w:val="none"/>
        </w:rPr>
      </w:pPr>
      <w:r>
        <w:rPr>
          <w:rFonts w:hint="eastAsia"/>
          <w:color w:val="auto"/>
          <w:highlight w:val="none"/>
        </w:rPr>
        <w:t>浮游动物对石油类急性中毒致死浓度范围一般为0.1-15mg/L，</w:t>
      </w:r>
      <w:r>
        <w:rPr>
          <w:rFonts w:hint="eastAsia"/>
          <w:color w:val="auto"/>
          <w:highlight w:val="none"/>
          <w:shd w:val="clear" w:fill="FFFFFF"/>
        </w:rPr>
        <w:t>Mironov</w:t>
      </w:r>
      <w:r>
        <w:rPr>
          <w:rFonts w:hint="eastAsia"/>
          <w:color w:val="auto"/>
          <w:highlight w:val="none"/>
        </w:rPr>
        <w:t>等曾将黑海某些桡足类和</w:t>
      </w:r>
      <w:r>
        <w:rPr>
          <w:rFonts w:hint="eastAsia"/>
          <w:color w:val="auto"/>
          <w:highlight w:val="none"/>
          <w:shd w:val="clear" w:fill="FFFFFF"/>
          <w:lang w:eastAsia="zh-CN"/>
        </w:rPr>
        <w:t>枝</w:t>
      </w:r>
      <w:r>
        <w:rPr>
          <w:rFonts w:hint="eastAsia"/>
          <w:color w:val="auto"/>
          <w:highlight w:val="none"/>
        </w:rPr>
        <w:t>角类浮游动物暴露于0.1ppm的石油水体中，这些浮游动物当天全部死亡。当油含量降至0.05ppm，小型拟哲水蚤(</w:t>
      </w:r>
      <w:r>
        <w:rPr>
          <w:rFonts w:hint="eastAsia"/>
          <w:color w:val="auto"/>
          <w:highlight w:val="none"/>
          <w:shd w:val="clear" w:fill="FFFFFF"/>
        </w:rPr>
        <w:t>Paracalanus</w:t>
      </w:r>
      <w:r>
        <w:rPr>
          <w:rFonts w:hint="eastAsia"/>
          <w:color w:val="auto"/>
          <w:highlight w:val="none"/>
        </w:rPr>
        <w:t xml:space="preserve"> sp．)的半致死时间为4天，而胸刺镖蚤(</w:t>
      </w:r>
      <w:r>
        <w:rPr>
          <w:rFonts w:hint="eastAsia"/>
          <w:color w:val="auto"/>
          <w:highlight w:val="none"/>
          <w:shd w:val="clear" w:fill="FFFFFF"/>
        </w:rPr>
        <w:t>CentroPages</w:t>
      </w:r>
      <w:r>
        <w:rPr>
          <w:rFonts w:hint="eastAsia"/>
          <w:color w:val="auto"/>
          <w:highlight w:val="none"/>
        </w:rPr>
        <w:t>)、鸟缘尖头蚤和长腹剑水蚤(</w:t>
      </w:r>
      <w:r>
        <w:rPr>
          <w:rFonts w:hint="eastAsia"/>
          <w:color w:val="auto"/>
          <w:highlight w:val="none"/>
          <w:shd w:val="clear" w:fill="FFFFFF"/>
        </w:rPr>
        <w:t>Oithona</w:t>
      </w:r>
      <w:r>
        <w:rPr>
          <w:rFonts w:hint="eastAsia"/>
          <w:color w:val="auto"/>
          <w:highlight w:val="none"/>
        </w:rPr>
        <w:t>)的半致死天数依次为3天、2天和1天。另外，研究表明，永久性(终生性)浮游动物幼体的敏感性大于阶段性(临时性)的底栖生物幼体，而它们各自幼体的敏感性又大于成体。</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溢油事故对底栖生物的影响</w:t>
      </w:r>
    </w:p>
    <w:p>
      <w:pPr>
        <w:pStyle w:val="197"/>
        <w:ind w:firstLine="510" w:firstLineChars="0"/>
        <w:jc w:val="both"/>
        <w:rPr>
          <w:color w:val="auto"/>
          <w:highlight w:val="none"/>
        </w:rPr>
      </w:pPr>
      <w:r>
        <w:rPr>
          <w:rFonts w:hint="eastAsia"/>
          <w:color w:val="auto"/>
          <w:highlight w:val="none"/>
        </w:rPr>
        <w:t>不同种类底栖生物对石油浓度的适应性均有差异，多数底栖生物石油急性中毒致死浓度范围在2.0~1</w:t>
      </w:r>
      <w:r>
        <w:rPr>
          <w:color w:val="auto"/>
          <w:highlight w:val="none"/>
        </w:rPr>
        <w:t>5</w:t>
      </w:r>
      <w:r>
        <w:rPr>
          <w:rFonts w:hint="eastAsia"/>
          <w:color w:val="auto"/>
          <w:highlight w:val="none"/>
        </w:rPr>
        <w:t>mg/L，其幼体的致死浓度范围更小。</w:t>
      </w:r>
    </w:p>
    <w:p>
      <w:pPr>
        <w:pStyle w:val="197"/>
        <w:ind w:firstLine="510" w:firstLineChars="0"/>
        <w:jc w:val="both"/>
        <w:rPr>
          <w:color w:val="auto"/>
          <w:highlight w:val="none"/>
        </w:rPr>
      </w:pPr>
      <w:r>
        <w:rPr>
          <w:rFonts w:hint="eastAsia"/>
          <w:color w:val="auto"/>
          <w:highlight w:val="none"/>
        </w:rPr>
        <w:t>底栖生物的耐油污性通常很差，即使水体中石油类含量只有</w:t>
      </w:r>
      <w:r>
        <w:rPr>
          <w:color w:val="auto"/>
          <w:highlight w:val="none"/>
        </w:rPr>
        <w:t>0.01ppm</w:t>
      </w:r>
      <w:r>
        <w:rPr>
          <w:rFonts w:hint="eastAsia"/>
          <w:color w:val="auto"/>
          <w:highlight w:val="none"/>
        </w:rPr>
        <w:t>，也会导致其死亡。当水体中石油类浓度在</w:t>
      </w:r>
      <w:r>
        <w:rPr>
          <w:color w:val="auto"/>
          <w:highlight w:val="none"/>
        </w:rPr>
        <w:t>0.1~0.01ppm</w:t>
      </w:r>
      <w:r>
        <w:rPr>
          <w:rFonts w:hint="eastAsia"/>
          <w:color w:val="auto"/>
          <w:highlight w:val="none"/>
        </w:rPr>
        <w:t>时，对某些底栖甲壳类动物幼体</w:t>
      </w:r>
      <w:r>
        <w:rPr>
          <w:color w:val="auto"/>
          <w:highlight w:val="none"/>
        </w:rPr>
        <w:t>(</w:t>
      </w:r>
      <w:r>
        <w:rPr>
          <w:rFonts w:hint="eastAsia"/>
          <w:color w:val="auto"/>
          <w:highlight w:val="none"/>
        </w:rPr>
        <w:t>如：无节幼虫、藤壶幼体和蟹幼体</w:t>
      </w:r>
      <w:r>
        <w:rPr>
          <w:color w:val="auto"/>
          <w:highlight w:val="none"/>
        </w:rPr>
        <w:t>)</w:t>
      </w:r>
      <w:r>
        <w:rPr>
          <w:rFonts w:hint="eastAsia"/>
          <w:color w:val="auto"/>
          <w:highlight w:val="none"/>
        </w:rPr>
        <w:t>有明显的毒效。据吴彰宽</w:t>
      </w:r>
      <w:r>
        <w:rPr>
          <w:rFonts w:hint="eastAsia"/>
          <w:color w:val="auto"/>
          <w:highlight w:val="none"/>
          <w:shd w:val="clear" w:fill="FFFFFF"/>
        </w:rPr>
        <w:t>报导</w:t>
      </w:r>
      <w:r>
        <w:rPr>
          <w:rFonts w:hint="eastAsia"/>
          <w:color w:val="auto"/>
          <w:highlight w:val="none"/>
        </w:rPr>
        <w:t>，胜利原油对对虾</w:t>
      </w:r>
      <w:r>
        <w:rPr>
          <w:color w:val="auto"/>
          <w:highlight w:val="none"/>
        </w:rPr>
        <w:t>(Penaeus orientalis)</w:t>
      </w:r>
      <w:r>
        <w:rPr>
          <w:rFonts w:hint="eastAsia"/>
          <w:color w:val="auto"/>
          <w:highlight w:val="none"/>
        </w:rPr>
        <w:t>各发育阶段造成影响的最低浓度分别为：</w:t>
      </w:r>
      <w:r>
        <w:rPr>
          <w:color w:val="auto"/>
          <w:highlight w:val="none"/>
        </w:rPr>
        <w:t>a</w:t>
      </w:r>
      <w:r>
        <w:rPr>
          <w:rFonts w:hint="eastAsia"/>
          <w:color w:val="auto"/>
          <w:highlight w:val="none"/>
        </w:rPr>
        <w:t>．受精卵</w:t>
      </w:r>
      <w:r>
        <w:rPr>
          <w:color w:val="auto"/>
          <w:highlight w:val="none"/>
        </w:rPr>
        <w:t>56 mg/L</w:t>
      </w:r>
      <w:r>
        <w:rPr>
          <w:rFonts w:hint="eastAsia"/>
          <w:color w:val="auto"/>
          <w:highlight w:val="none"/>
        </w:rPr>
        <w:t>；</w:t>
      </w:r>
      <w:r>
        <w:rPr>
          <w:color w:val="auto"/>
          <w:highlight w:val="none"/>
        </w:rPr>
        <w:t>b.</w:t>
      </w:r>
      <w:r>
        <w:rPr>
          <w:rFonts w:hint="eastAsia"/>
          <w:color w:val="auto"/>
          <w:highlight w:val="none"/>
        </w:rPr>
        <w:t>无节幼体</w:t>
      </w:r>
      <w:r>
        <w:rPr>
          <w:color w:val="auto"/>
          <w:highlight w:val="none"/>
        </w:rPr>
        <w:t>3.2 mg/L</w:t>
      </w:r>
      <w:r>
        <w:rPr>
          <w:rFonts w:hint="eastAsia"/>
          <w:color w:val="auto"/>
          <w:highlight w:val="none"/>
        </w:rPr>
        <w:t>；</w:t>
      </w:r>
      <w:r>
        <w:rPr>
          <w:color w:val="auto"/>
          <w:highlight w:val="none"/>
        </w:rPr>
        <w:t>c</w:t>
      </w:r>
      <w:r>
        <w:rPr>
          <w:rFonts w:hint="eastAsia"/>
          <w:color w:val="auto"/>
          <w:highlight w:val="none"/>
        </w:rPr>
        <w:t>．蚤状幼体</w:t>
      </w:r>
      <w:r>
        <w:rPr>
          <w:color w:val="auto"/>
          <w:highlight w:val="none"/>
        </w:rPr>
        <w:t>0.1 mg/L</w:t>
      </w:r>
      <w:r>
        <w:rPr>
          <w:rFonts w:hint="eastAsia"/>
          <w:color w:val="auto"/>
          <w:highlight w:val="none"/>
        </w:rPr>
        <w:t>；</w:t>
      </w:r>
      <w:r>
        <w:rPr>
          <w:color w:val="auto"/>
          <w:highlight w:val="none"/>
        </w:rPr>
        <w:t>d.</w:t>
      </w:r>
      <w:r>
        <w:rPr>
          <w:rFonts w:hint="eastAsia"/>
          <w:color w:val="auto"/>
          <w:highlight w:val="none"/>
        </w:rPr>
        <w:t>糠虾幼体</w:t>
      </w:r>
      <w:r>
        <w:rPr>
          <w:color w:val="auto"/>
          <w:highlight w:val="none"/>
        </w:rPr>
        <w:t>1.8 mg/L</w:t>
      </w:r>
      <w:r>
        <w:rPr>
          <w:rFonts w:hint="eastAsia"/>
          <w:color w:val="auto"/>
          <w:highlight w:val="none"/>
        </w:rPr>
        <w:t>；仔虾</w:t>
      </w:r>
      <w:r>
        <w:rPr>
          <w:color w:val="auto"/>
          <w:highlight w:val="none"/>
        </w:rPr>
        <w:t>5.6 mg/L</w:t>
      </w:r>
      <w:r>
        <w:rPr>
          <w:rFonts w:hint="eastAsia"/>
          <w:color w:val="auto"/>
          <w:highlight w:val="none"/>
        </w:rPr>
        <w:t>；其中蚤状幼体为最敏感发育阶段。胜利原油对对虾幼体的</w:t>
      </w:r>
      <w:r>
        <w:rPr>
          <w:color w:val="auto"/>
          <w:highlight w:val="none"/>
        </w:rPr>
        <w:t>LC</w:t>
      </w:r>
      <w:r>
        <w:rPr>
          <w:color w:val="auto"/>
          <w:highlight w:val="none"/>
          <w:vertAlign w:val="subscript"/>
        </w:rPr>
        <w:t>50</w:t>
      </w:r>
      <w:r>
        <w:rPr>
          <w:rFonts w:hint="eastAsia"/>
          <w:color w:val="auto"/>
          <w:highlight w:val="none"/>
        </w:rPr>
        <w:t>（</w:t>
      </w:r>
      <w:r>
        <w:rPr>
          <w:color w:val="auto"/>
          <w:highlight w:val="none"/>
        </w:rPr>
        <w:t>96h</w:t>
      </w:r>
      <w:r>
        <w:rPr>
          <w:rFonts w:hint="eastAsia"/>
          <w:color w:val="auto"/>
          <w:highlight w:val="none"/>
        </w:rPr>
        <w:t>）为</w:t>
      </w:r>
      <w:r>
        <w:rPr>
          <w:color w:val="auto"/>
          <w:highlight w:val="none"/>
        </w:rPr>
        <w:t>11.1 mg/L</w:t>
      </w:r>
      <w:r>
        <w:rPr>
          <w:rFonts w:hint="eastAsia"/>
          <w:color w:val="auto"/>
          <w:highlight w:val="none"/>
        </w:rPr>
        <w:t>。</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w:t>
      </w:r>
      <w:r>
        <w:rPr>
          <w:rFonts w:hint="eastAsia"/>
          <w:color w:val="auto"/>
          <w:highlight w:val="none"/>
        </w:rPr>
        <w:t>溢油事故对鱼类的影响</w:t>
      </w:r>
    </w:p>
    <w:p>
      <w:pPr>
        <w:pStyle w:val="197"/>
        <w:ind w:firstLine="510" w:firstLineChars="0"/>
        <w:jc w:val="both"/>
        <w:rPr>
          <w:color w:val="auto"/>
          <w:highlight w:val="none"/>
        </w:rPr>
      </w:pPr>
      <w:r>
        <w:rPr>
          <w:rFonts w:hint="eastAsia"/>
          <w:color w:val="auto"/>
          <w:highlight w:val="none"/>
          <w:lang w:val="en-US" w:eastAsia="zh-CN"/>
        </w:rPr>
        <w:t>A</w:t>
      </w:r>
      <w:r>
        <w:rPr>
          <w:rFonts w:hint="eastAsia"/>
          <w:color w:val="auto"/>
          <w:highlight w:val="none"/>
          <w:shd w:val="clear" w:fill="FFFFFF"/>
          <w:lang w:val="en-US" w:eastAsia="zh-CN"/>
        </w:rPr>
        <w:t>、</w:t>
      </w:r>
      <w:r>
        <w:rPr>
          <w:rFonts w:hint="eastAsia"/>
          <w:color w:val="auto"/>
          <w:highlight w:val="none"/>
        </w:rPr>
        <w:t>对鱼类的急性毒性测试</w:t>
      </w:r>
    </w:p>
    <w:p>
      <w:pPr>
        <w:pStyle w:val="197"/>
        <w:ind w:firstLine="510" w:firstLineChars="0"/>
        <w:jc w:val="both"/>
        <w:rPr>
          <w:color w:val="auto"/>
          <w:highlight w:val="none"/>
        </w:rPr>
      </w:pPr>
      <w:r>
        <w:rPr>
          <w:rFonts w:hint="eastAsia"/>
          <w:color w:val="auto"/>
          <w:highlight w:val="none"/>
        </w:rPr>
        <w:t>根据近年来对几种不同的长江鱼类仔鱼的毒性试验结果表明，石油类对鲤鱼仔鱼96h LC</w:t>
      </w:r>
      <w:r>
        <w:rPr>
          <w:rFonts w:hint="eastAsia"/>
          <w:color w:val="auto"/>
          <w:highlight w:val="none"/>
          <w:vertAlign w:val="subscript"/>
        </w:rPr>
        <w:t>50</w:t>
      </w:r>
      <w:r>
        <w:rPr>
          <w:rFonts w:hint="eastAsia"/>
          <w:color w:val="auto"/>
          <w:highlight w:val="none"/>
        </w:rPr>
        <w:t>值为0.5～3.0mg/L，污染带瞬时高浓度排放(即事故性排放)可导致急性中毒死鱼事故，故必须对航道内石油运输船舶进行严格管控。</w:t>
      </w:r>
    </w:p>
    <w:p>
      <w:pPr>
        <w:pStyle w:val="197"/>
        <w:ind w:firstLine="510" w:firstLineChars="0"/>
        <w:jc w:val="both"/>
        <w:rPr>
          <w:color w:val="auto"/>
          <w:highlight w:val="none"/>
        </w:rPr>
      </w:pPr>
      <w:r>
        <w:rPr>
          <w:rFonts w:hint="eastAsia"/>
          <w:color w:val="auto"/>
          <w:highlight w:val="none"/>
          <w:lang w:val="en-US" w:eastAsia="zh-CN"/>
        </w:rPr>
        <w:t>B</w:t>
      </w:r>
      <w:r>
        <w:rPr>
          <w:rFonts w:hint="eastAsia"/>
          <w:color w:val="auto"/>
          <w:highlight w:val="none"/>
          <w:shd w:val="clear" w:fill="FFFFFF"/>
          <w:lang w:val="en-US" w:eastAsia="zh-CN"/>
        </w:rPr>
        <w:t>、</w:t>
      </w:r>
      <w:r>
        <w:rPr>
          <w:rFonts w:hint="eastAsia"/>
          <w:color w:val="auto"/>
          <w:highlight w:val="none"/>
        </w:rPr>
        <w:t>石油类在鱼体内的蓄积残留分析</w:t>
      </w:r>
    </w:p>
    <w:p>
      <w:pPr>
        <w:pStyle w:val="197"/>
        <w:ind w:firstLine="510" w:firstLineChars="0"/>
        <w:jc w:val="both"/>
        <w:rPr>
          <w:color w:val="auto"/>
          <w:highlight w:val="none"/>
        </w:rPr>
      </w:pPr>
      <w:r>
        <w:rPr>
          <w:rFonts w:hint="eastAsia"/>
          <w:color w:val="auto"/>
          <w:highlight w:val="none"/>
        </w:rPr>
        <w:t>石油类在鱼体中积累和残留可引起鱼类慢性中毒而带来长</w:t>
      </w:r>
      <w:r>
        <w:rPr>
          <w:rFonts w:hint="eastAsia"/>
          <w:color w:val="auto"/>
          <w:highlight w:val="none"/>
          <w:shd w:val="clear" w:fill="FFFFFF"/>
        </w:rPr>
        <w:t>效应</w:t>
      </w:r>
      <w:r>
        <w:rPr>
          <w:rFonts w:hint="eastAsia"/>
          <w:color w:val="auto"/>
          <w:highlight w:val="none"/>
        </w:rPr>
        <w:t>的污染影响，这种影响不仅可引起鱼类资源的变动，甚至会引起鱼类种质变异。鱼类一旦与油分子接触就会在短时间内发生油臭，从而影响其食用价值。以20号燃料油为例，石油类浓度为0.01mg/L时，7天之内就能对大部分的鱼、虾产生油味，30天内会使绝大多数鱼类产生异味。</w:t>
      </w:r>
    </w:p>
    <w:p>
      <w:pPr>
        <w:pStyle w:val="197"/>
        <w:ind w:firstLine="510" w:firstLineChars="0"/>
        <w:jc w:val="both"/>
        <w:rPr>
          <w:color w:val="auto"/>
          <w:highlight w:val="none"/>
        </w:rPr>
      </w:pPr>
      <w:r>
        <w:rPr>
          <w:rFonts w:hint="eastAsia"/>
          <w:color w:val="auto"/>
          <w:highlight w:val="none"/>
          <w:lang w:val="en-US" w:eastAsia="zh-CN"/>
        </w:rPr>
        <w:t>C</w:t>
      </w:r>
      <w:r>
        <w:rPr>
          <w:rFonts w:hint="eastAsia"/>
          <w:color w:val="auto"/>
          <w:highlight w:val="none"/>
          <w:shd w:val="clear" w:fill="FFFFFF"/>
          <w:lang w:val="en-US" w:eastAsia="zh-CN"/>
        </w:rPr>
        <w:t>、</w:t>
      </w:r>
      <w:r>
        <w:rPr>
          <w:rFonts w:hint="eastAsia"/>
          <w:color w:val="auto"/>
          <w:highlight w:val="none"/>
        </w:rPr>
        <w:t>石油类对鱼的致突变性分析</w:t>
      </w:r>
    </w:p>
    <w:p>
      <w:pPr>
        <w:pStyle w:val="197"/>
        <w:ind w:firstLine="510" w:firstLineChars="0"/>
        <w:jc w:val="both"/>
        <w:rPr>
          <w:color w:val="auto"/>
          <w:highlight w:val="none"/>
        </w:rPr>
      </w:pPr>
      <w:r>
        <w:rPr>
          <w:rFonts w:hint="eastAsia"/>
          <w:color w:val="auto"/>
          <w:highlight w:val="none"/>
        </w:rPr>
        <w:t>微核的产生是在诱变物作用之下造成染色体损伤而发生变异的一种形式，根据近年来对几种定居性的长江鱼类仔鱼鱼类外周血微核试验表明，</w:t>
      </w:r>
      <w:r>
        <w:rPr>
          <w:rFonts w:hint="eastAsia"/>
          <w:color w:val="auto"/>
          <w:highlight w:val="none"/>
          <w:shd w:val="clear" w:fill="FFFFFF"/>
          <w:lang w:eastAsia="zh-CN"/>
        </w:rPr>
        <w:t>长江</w:t>
      </w:r>
      <w:r>
        <w:rPr>
          <w:rFonts w:hint="eastAsia"/>
          <w:color w:val="auto"/>
          <w:highlight w:val="none"/>
        </w:rPr>
        <w:t>鱼类(主要是定居性鱼类)微核的高检出率是由于江段水环境污染物的高浓度诱变物的诱发作用而引起，而石油类污染物可能是其主要的诱变源。</w:t>
      </w:r>
    </w:p>
    <w:p>
      <w:pPr>
        <w:pStyle w:val="197"/>
        <w:ind w:firstLine="510" w:firstLineChars="0"/>
        <w:jc w:val="both"/>
        <w:rPr>
          <w:color w:val="auto"/>
          <w:highlight w:val="none"/>
        </w:rPr>
      </w:pPr>
      <w:r>
        <w:rPr>
          <w:rFonts w:hint="eastAsia"/>
          <w:color w:val="auto"/>
          <w:highlight w:val="none"/>
        </w:rPr>
        <w:t>总</w:t>
      </w:r>
      <w:r>
        <w:rPr>
          <w:color w:val="auto"/>
          <w:highlight w:val="none"/>
        </w:rPr>
        <w:t>的来说，</w:t>
      </w:r>
      <w:r>
        <w:rPr>
          <w:rFonts w:hint="eastAsia"/>
          <w:color w:val="auto"/>
          <w:highlight w:val="none"/>
        </w:rPr>
        <w:t>项目溢油事故风险处在低风险区，</w:t>
      </w:r>
      <w:r>
        <w:rPr>
          <w:color w:val="auto"/>
          <w:highlight w:val="none"/>
        </w:rPr>
        <w:t>但</w:t>
      </w:r>
      <w:r>
        <w:rPr>
          <w:rFonts w:hint="eastAsia"/>
          <w:color w:val="auto"/>
          <w:highlight w:val="none"/>
        </w:rPr>
        <w:t>工程施工期或运营期内一旦发生溢油事故，污染因子石油类将会对航道区域内鱼类的急性中毒、在鱼体内的蓄积残留和对鱼的致突变性产生较大的负面影响，而且对浮游植物和动物也会产生一定的影响。故建设单位必须严格落实本报告书提出的各项风险防范措施和事故应急预案。</w:t>
      </w:r>
    </w:p>
    <w:p>
      <w:pPr>
        <w:pStyle w:val="5"/>
        <w:ind w:firstLine="522" w:firstLineChars="0"/>
        <w:jc w:val="left"/>
        <w:rPr>
          <w:color w:val="auto"/>
          <w:highlight w:val="none"/>
        </w:rPr>
      </w:pPr>
      <w:r>
        <w:rPr>
          <w:rFonts w:hint="eastAsia"/>
          <w:color w:val="auto"/>
          <w:highlight w:val="none"/>
        </w:rPr>
        <w:t>环境风险防范措施</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）施工期环境风险防范措施</w:t>
      </w:r>
    </w:p>
    <w:p>
      <w:pPr>
        <w:bidi w:val="0"/>
        <w:rPr>
          <w:rFonts w:hint="eastAsia"/>
          <w:color w:val="auto"/>
          <w:highlight w:val="none"/>
          <w:lang w:eastAsia="zh-CN"/>
        </w:rPr>
      </w:pPr>
      <w:r>
        <w:rPr>
          <w:rFonts w:hint="eastAsia"/>
          <w:color w:val="auto"/>
          <w:highlight w:val="none"/>
          <w:lang w:eastAsia="zh-CN"/>
        </w:rPr>
        <w:t>由于本项目下游分布有国家湿地公园、饮用水源保护区等，为避免事故的发生或减少事故后对下游饮用水源保护区的污染影响，建设单位应在项目建设时，项目建成投产前制定事故防范措施，配备相当数量的应急设备和器材，做好以下施工期风险防范措施：</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1 \* GB3 \* MERGEFORMAT </w:instrText>
      </w:r>
      <w:r>
        <w:rPr>
          <w:rFonts w:hint="eastAsia"/>
          <w:color w:val="auto"/>
          <w:highlight w:val="none"/>
          <w:lang w:eastAsia="zh-CN"/>
        </w:rPr>
        <w:fldChar w:fldCharType="separate"/>
      </w:r>
      <w:r>
        <w:rPr>
          <w:color w:val="auto"/>
          <w:highlight w:val="none"/>
        </w:rPr>
        <w:t>①</w:t>
      </w:r>
      <w:r>
        <w:rPr>
          <w:rFonts w:hint="eastAsia"/>
          <w:color w:val="auto"/>
          <w:highlight w:val="none"/>
          <w:lang w:eastAsia="zh-CN"/>
        </w:rPr>
        <w:fldChar w:fldCharType="end"/>
      </w:r>
      <w:r>
        <w:rPr>
          <w:rFonts w:hint="eastAsia"/>
          <w:color w:val="auto"/>
          <w:highlight w:val="none"/>
          <w:lang w:eastAsia="zh-CN"/>
        </w:rPr>
        <w:t>施工前期，建设单位将施工水域及作业计划呈报当地海事和航道维护部门批准，并会同航道、海事、船舶等相关单位商讨施工期间的通行处理措施。比如临时移动航标改变通行路线，或者确定临时断航时间、地点等，并由主管部门发布航行通告和航道通告，以引起各有船单位的重视。</w:t>
      </w:r>
    </w:p>
    <w:p>
      <w:pPr>
        <w:bidi w:val="0"/>
        <w:rPr>
          <w:rFonts w:hint="eastAsia"/>
          <w:color w:val="auto"/>
          <w:highlight w:val="none"/>
        </w:rPr>
      </w:pPr>
      <w:r>
        <w:rPr>
          <w:rFonts w:hint="eastAsia"/>
          <w:color w:val="auto"/>
          <w:highlight w:val="none"/>
        </w:rPr>
        <w:fldChar w:fldCharType="begin"/>
      </w:r>
      <w:r>
        <w:rPr>
          <w:rFonts w:hint="eastAsia"/>
          <w:color w:val="auto"/>
          <w:highlight w:val="none"/>
        </w:rPr>
        <w:instrText xml:space="preserve"> = 2 \* GB3 \* MERGEFORMAT </w:instrText>
      </w:r>
      <w:r>
        <w:rPr>
          <w:rFonts w:hint="eastAsia"/>
          <w:color w:val="auto"/>
          <w:highlight w:val="none"/>
        </w:rPr>
        <w:fldChar w:fldCharType="separate"/>
      </w:r>
      <w:r>
        <w:rPr>
          <w:color w:val="auto"/>
          <w:highlight w:val="none"/>
        </w:rPr>
        <w:t>②</w:t>
      </w:r>
      <w:r>
        <w:rPr>
          <w:rFonts w:hint="eastAsia"/>
          <w:color w:val="auto"/>
          <w:highlight w:val="none"/>
        </w:rPr>
        <w:fldChar w:fldCharType="end"/>
      </w:r>
      <w:r>
        <w:rPr>
          <w:rFonts w:hint="eastAsia"/>
          <w:color w:val="auto"/>
          <w:highlight w:val="none"/>
        </w:rPr>
        <w:t>根据需要向海事部门申请划定施工安全作业区（或警戒区），海事部门根据水上、水下施工作业需要和工程水域通航环境的实际情况，划定施工作业范围，防止其他船舶对施工作业造成影响</w:t>
      </w:r>
      <w:r>
        <w:rPr>
          <w:rFonts w:hint="eastAsia"/>
          <w:color w:val="auto"/>
          <w:highlight w:val="none"/>
          <w:lang w:eastAsia="zh-CN"/>
        </w:rPr>
        <w:t>，</w:t>
      </w:r>
      <w:r>
        <w:rPr>
          <w:rFonts w:hint="eastAsia"/>
          <w:color w:val="auto"/>
          <w:highlight w:val="none"/>
        </w:rPr>
        <w:t>不得擅自扩大施工作业安全区；加强施工质量和进度管理，严格按既定的施工要求和施工进度进行施工。</w:t>
      </w:r>
    </w:p>
    <w:p>
      <w:pPr>
        <w:bidi w:val="0"/>
        <w:rPr>
          <w:rFonts w:hint="eastAsia" w:eastAsia="宋体"/>
          <w:color w:val="auto"/>
          <w:highlight w:val="none"/>
          <w:lang w:eastAsia="zh-CN"/>
        </w:rPr>
      </w:pPr>
      <w:r>
        <w:rPr>
          <w:rFonts w:hint="eastAsia"/>
          <w:color w:val="auto"/>
          <w:highlight w:val="none"/>
        </w:rPr>
        <w:fldChar w:fldCharType="begin"/>
      </w:r>
      <w:r>
        <w:rPr>
          <w:rFonts w:hint="eastAsia"/>
          <w:color w:val="auto"/>
          <w:highlight w:val="none"/>
        </w:rPr>
        <w:instrText xml:space="preserve"> = 3 \* GB3 \* MERGEFORMAT </w:instrText>
      </w:r>
      <w:r>
        <w:rPr>
          <w:rFonts w:hint="eastAsia"/>
          <w:color w:val="auto"/>
          <w:highlight w:val="none"/>
        </w:rPr>
        <w:fldChar w:fldCharType="separate"/>
      </w:r>
      <w:r>
        <w:rPr>
          <w:color w:val="auto"/>
          <w:highlight w:val="none"/>
        </w:rPr>
        <w:t>③</w:t>
      </w:r>
      <w:r>
        <w:rPr>
          <w:rFonts w:hint="eastAsia"/>
          <w:color w:val="auto"/>
          <w:highlight w:val="none"/>
        </w:rPr>
        <w:fldChar w:fldCharType="end"/>
      </w:r>
      <w:r>
        <w:rPr>
          <w:rFonts w:hint="eastAsia"/>
          <w:color w:val="auto"/>
          <w:highlight w:val="none"/>
          <w:lang w:eastAsia="zh-CN"/>
        </w:rPr>
        <w:t>做好施工期通航保障工作，施工现场设置警示标志</w:t>
      </w:r>
      <w:r>
        <w:rPr>
          <w:rFonts w:hint="eastAsia"/>
          <w:color w:val="auto"/>
          <w:highlight w:val="none"/>
          <w:shd w:val="clear" w:fill="FFFFFF"/>
          <w:lang w:eastAsia="zh-CN"/>
        </w:rPr>
        <w:t>，</w:t>
      </w:r>
      <w:r>
        <w:rPr>
          <w:rFonts w:hint="eastAsia"/>
          <w:color w:val="auto"/>
          <w:highlight w:val="none"/>
          <w:lang w:eastAsia="zh-CN"/>
        </w:rPr>
        <w:t>施工水域范围内禁止非施工船舶停靠，保证施工水域良好通航秩序。施工船舶、设施应始终处于适航状态，夜间施工时应妥善遮蔽灯光，以避免影响过往船舶的航行安全。</w:t>
      </w:r>
    </w:p>
    <w:p>
      <w:pPr>
        <w:bidi w:val="0"/>
        <w:rPr>
          <w:rFonts w:hint="eastAsia"/>
          <w:color w:val="auto"/>
          <w:highlight w:val="none"/>
        </w:rPr>
      </w:pPr>
      <w:r>
        <w:rPr>
          <w:rFonts w:hint="eastAsia"/>
          <w:color w:val="auto"/>
          <w:highlight w:val="none"/>
        </w:rPr>
        <w:fldChar w:fldCharType="begin"/>
      </w:r>
      <w:r>
        <w:rPr>
          <w:rFonts w:hint="eastAsia"/>
          <w:color w:val="auto"/>
          <w:highlight w:val="none"/>
        </w:rPr>
        <w:instrText xml:space="preserve"> = 4 \* GB3 \* MERGEFORMAT </w:instrText>
      </w:r>
      <w:r>
        <w:rPr>
          <w:rFonts w:hint="eastAsia"/>
          <w:color w:val="auto"/>
          <w:highlight w:val="none"/>
        </w:rPr>
        <w:fldChar w:fldCharType="separate"/>
      </w:r>
      <w:r>
        <w:rPr>
          <w:color w:val="auto"/>
          <w:highlight w:val="none"/>
        </w:rPr>
        <w:t>④</w:t>
      </w:r>
      <w:r>
        <w:rPr>
          <w:rFonts w:hint="eastAsia"/>
          <w:color w:val="auto"/>
          <w:highlight w:val="none"/>
        </w:rPr>
        <w:fldChar w:fldCharType="end"/>
      </w:r>
      <w:r>
        <w:rPr>
          <w:rFonts w:hint="eastAsia"/>
          <w:color w:val="auto"/>
          <w:highlight w:val="none"/>
        </w:rPr>
        <w:t>施工船舶选择有丰富经验的驾驶人员，船舶驾驶人员上岗前进行统一的岗前培训，使其明确熟悉相关操作规程和准确掌握通行避让规则。加强对船舶操作人员的技术培训，提高施工人员的安全意识和环境保护意识，严格操作规程，避免人为操作失误引起船舶碰撞，杜绝船舶供油作业中溢油事故的发生。</w:t>
      </w:r>
    </w:p>
    <w:p>
      <w:pPr>
        <w:bidi w:val="0"/>
        <w:rPr>
          <w:rFonts w:hint="eastAsia"/>
          <w:color w:val="auto"/>
          <w:highlight w:val="none"/>
        </w:rPr>
      </w:pPr>
      <w:r>
        <w:rPr>
          <w:rFonts w:hint="eastAsia"/>
          <w:color w:val="auto"/>
          <w:highlight w:val="none"/>
        </w:rPr>
        <w:fldChar w:fldCharType="begin"/>
      </w:r>
      <w:r>
        <w:rPr>
          <w:rFonts w:hint="eastAsia"/>
          <w:color w:val="auto"/>
          <w:highlight w:val="none"/>
        </w:rPr>
        <w:instrText xml:space="preserve"> = 5 \* GB3 \* MERGEFORMAT </w:instrText>
      </w:r>
      <w:r>
        <w:rPr>
          <w:rFonts w:hint="eastAsia"/>
          <w:color w:val="auto"/>
          <w:highlight w:val="none"/>
        </w:rPr>
        <w:fldChar w:fldCharType="separate"/>
      </w:r>
      <w:r>
        <w:rPr>
          <w:color w:val="auto"/>
          <w:highlight w:val="none"/>
        </w:rPr>
        <w:t>⑤</w:t>
      </w:r>
      <w:r>
        <w:rPr>
          <w:rFonts w:hint="eastAsia"/>
          <w:color w:val="auto"/>
          <w:highlight w:val="none"/>
        </w:rPr>
        <w:fldChar w:fldCharType="end"/>
      </w:r>
      <w:r>
        <w:rPr>
          <w:rFonts w:hint="eastAsia"/>
          <w:color w:val="auto"/>
          <w:highlight w:val="none"/>
        </w:rPr>
        <w:t>施工期间，作业船只悬挂灯号和信号，灯号和信号应符合国家规定，以避免各施工船舶之间发生相撞从而引起溢油事故的发生，也避免危化品船只误入施工水域。施工作业船舶在施工期间加强值班瞭望，施工作业人员应严格按照操作规程进行操作。</w:t>
      </w:r>
    </w:p>
    <w:p>
      <w:pPr>
        <w:bidi w:val="0"/>
        <w:rPr>
          <w:color w:val="auto"/>
          <w:highlight w:val="none"/>
        </w:rPr>
      </w:pPr>
      <w:r>
        <w:rPr>
          <w:rFonts w:hint="eastAsia"/>
          <w:color w:val="auto"/>
          <w:highlight w:val="none"/>
        </w:rPr>
        <w:fldChar w:fldCharType="begin"/>
      </w:r>
      <w:r>
        <w:rPr>
          <w:rFonts w:hint="eastAsia"/>
          <w:color w:val="auto"/>
          <w:highlight w:val="none"/>
        </w:rPr>
        <w:instrText xml:space="preserve"> = 6 \* GB3 \* MERGEFORMAT </w:instrText>
      </w:r>
      <w:r>
        <w:rPr>
          <w:rFonts w:hint="eastAsia"/>
          <w:color w:val="auto"/>
          <w:highlight w:val="none"/>
        </w:rPr>
        <w:fldChar w:fldCharType="separate"/>
      </w:r>
      <w:r>
        <w:rPr>
          <w:color w:val="auto"/>
          <w:highlight w:val="none"/>
        </w:rPr>
        <w:t>⑥</w:t>
      </w:r>
      <w:r>
        <w:rPr>
          <w:rFonts w:hint="eastAsia"/>
          <w:color w:val="auto"/>
          <w:highlight w:val="none"/>
        </w:rPr>
        <w:fldChar w:fldCharType="end"/>
      </w:r>
      <w:r>
        <w:rPr>
          <w:rFonts w:hint="eastAsia"/>
          <w:color w:val="auto"/>
          <w:highlight w:val="none"/>
        </w:rPr>
        <w:t>各施工船舶应重视船机性能的检查，使船舶维持良好的工作状态；同时，合理安排施工作业面，减少运砂船舶的碰撞</w:t>
      </w:r>
      <w:r>
        <w:rPr>
          <w:rFonts w:hint="eastAsia"/>
          <w:color w:val="auto"/>
          <w:highlight w:val="none"/>
          <w:shd w:val="clear" w:fill="FFFFFF"/>
        </w:rPr>
        <w:t>几率</w:t>
      </w:r>
      <w:r>
        <w:rPr>
          <w:rFonts w:hint="eastAsia"/>
          <w:color w:val="auto"/>
          <w:highlight w:val="none"/>
        </w:rPr>
        <w:t>。施工期间遇</w:t>
      </w:r>
      <w:r>
        <w:rPr>
          <w:rFonts w:hint="eastAsia"/>
          <w:color w:val="auto"/>
          <w:highlight w:val="none"/>
          <w:shd w:val="clear" w:fill="FFFFFF"/>
          <w:lang w:eastAsia="zh-CN"/>
        </w:rPr>
        <w:t>恶劣天气</w:t>
      </w:r>
      <w:r>
        <w:rPr>
          <w:rFonts w:hint="eastAsia"/>
          <w:color w:val="auto"/>
          <w:highlight w:val="none"/>
        </w:rPr>
        <w:t>必须将工程船舶及时撤离，保证船舶安全。</w:t>
      </w:r>
    </w:p>
    <w:p>
      <w:pPr>
        <w:bidi w:val="0"/>
        <w:rPr>
          <w:color w:val="auto"/>
          <w:highlight w:val="none"/>
        </w:rPr>
      </w:pPr>
      <w:r>
        <w:rPr>
          <w:rFonts w:hint="eastAsia"/>
          <w:color w:val="auto"/>
          <w:highlight w:val="none"/>
        </w:rPr>
        <w:fldChar w:fldCharType="begin"/>
      </w:r>
      <w:r>
        <w:rPr>
          <w:rFonts w:hint="eastAsia"/>
          <w:color w:val="auto"/>
          <w:highlight w:val="none"/>
        </w:rPr>
        <w:instrText xml:space="preserve"> = 7 \* GB3 \* MERGEFORMAT </w:instrText>
      </w:r>
      <w:r>
        <w:rPr>
          <w:rFonts w:hint="eastAsia"/>
          <w:color w:val="auto"/>
          <w:highlight w:val="none"/>
        </w:rPr>
        <w:fldChar w:fldCharType="separate"/>
      </w:r>
      <w:r>
        <w:rPr>
          <w:color w:val="auto"/>
          <w:highlight w:val="none"/>
        </w:rPr>
        <w:t>⑦</w:t>
      </w:r>
      <w:r>
        <w:rPr>
          <w:rFonts w:hint="eastAsia"/>
          <w:color w:val="auto"/>
          <w:highlight w:val="none"/>
        </w:rPr>
        <w:fldChar w:fldCharType="end"/>
      </w:r>
      <w:r>
        <w:rPr>
          <w:rFonts w:hint="eastAsia"/>
          <w:color w:val="auto"/>
          <w:highlight w:val="none"/>
        </w:rPr>
        <w:t>严禁施工船舶在施工水域排放船舶底油污水和生活污水，船舶底油污水和生活污水经收集后分别交资质单位上岸处理。</w:t>
      </w:r>
    </w:p>
    <w:p>
      <w:pPr>
        <w:bidi w:val="0"/>
        <w:rPr>
          <w:color w:val="auto"/>
          <w:highlight w:val="none"/>
        </w:rPr>
      </w:pPr>
      <w:r>
        <w:rPr>
          <w:rFonts w:hint="eastAsia"/>
          <w:color w:val="auto"/>
          <w:highlight w:val="none"/>
        </w:rPr>
        <w:fldChar w:fldCharType="begin"/>
      </w:r>
      <w:r>
        <w:rPr>
          <w:rFonts w:hint="eastAsia"/>
          <w:color w:val="auto"/>
          <w:highlight w:val="none"/>
        </w:rPr>
        <w:instrText xml:space="preserve"> = 8 \* GB3 \* MERGEFORMAT </w:instrText>
      </w:r>
      <w:r>
        <w:rPr>
          <w:rFonts w:hint="eastAsia"/>
          <w:color w:val="auto"/>
          <w:highlight w:val="none"/>
        </w:rPr>
        <w:fldChar w:fldCharType="separate"/>
      </w:r>
      <w:r>
        <w:rPr>
          <w:color w:val="auto"/>
          <w:highlight w:val="none"/>
        </w:rPr>
        <w:t>⑧</w:t>
      </w:r>
      <w:r>
        <w:rPr>
          <w:rFonts w:hint="eastAsia"/>
          <w:color w:val="auto"/>
          <w:highlight w:val="none"/>
        </w:rPr>
        <w:fldChar w:fldCharType="end"/>
      </w:r>
      <w:r>
        <w:rPr>
          <w:rFonts w:hint="eastAsia"/>
          <w:color w:val="auto"/>
          <w:highlight w:val="none"/>
        </w:rPr>
        <w:t>建设单位</w:t>
      </w:r>
      <w:r>
        <w:rPr>
          <w:rFonts w:hint="eastAsia"/>
          <w:color w:val="auto"/>
          <w:highlight w:val="none"/>
          <w:lang w:eastAsia="zh-CN"/>
        </w:rPr>
        <w:t>、施工单位</w:t>
      </w:r>
      <w:r>
        <w:rPr>
          <w:rFonts w:hint="eastAsia"/>
          <w:color w:val="auto"/>
          <w:highlight w:val="none"/>
        </w:rPr>
        <w:t>应做好施工期通航安全维护方案和安全应急预案</w:t>
      </w:r>
      <w:r>
        <w:rPr>
          <w:rFonts w:hint="eastAsia"/>
          <w:color w:val="auto"/>
          <w:highlight w:val="none"/>
          <w:lang w:eastAsia="zh-CN"/>
        </w:rPr>
        <w:t>，</w:t>
      </w:r>
      <w:r>
        <w:rPr>
          <w:rFonts w:hint="eastAsia"/>
          <w:color w:val="auto"/>
          <w:highlight w:val="none"/>
        </w:rPr>
        <w:t>施工时应配备足够的应急物资，包括收油机、围油栏、吸油毡等，主要存放在整治范围内的各港航办事处，部分吸油毡和吸油</w:t>
      </w:r>
      <w:r>
        <w:rPr>
          <w:rFonts w:hint="eastAsia"/>
          <w:color w:val="auto"/>
          <w:highlight w:val="none"/>
          <w:shd w:val="clear" w:fill="FFFFFF"/>
        </w:rPr>
        <w:t>拖拦</w:t>
      </w:r>
      <w:r>
        <w:rPr>
          <w:rFonts w:hint="eastAsia"/>
          <w:color w:val="auto"/>
          <w:highlight w:val="none"/>
        </w:rPr>
        <w:t>存放在施工船舶上，同时配备报警系统及必要的通信器材，以便及时与应急指挥机构和下游水厂建立联系，及时采取应急措施。</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9 \* GB3 \* MERGEFORMAT </w:instrText>
      </w:r>
      <w:r>
        <w:rPr>
          <w:rFonts w:hint="eastAsia"/>
          <w:color w:val="auto"/>
          <w:highlight w:val="none"/>
          <w:lang w:eastAsia="zh-CN"/>
        </w:rPr>
        <w:fldChar w:fldCharType="separate"/>
      </w:r>
      <w:r>
        <w:rPr>
          <w:color w:val="auto"/>
          <w:highlight w:val="none"/>
        </w:rPr>
        <w:t>⑨</w:t>
      </w:r>
      <w:r>
        <w:rPr>
          <w:rFonts w:hint="eastAsia"/>
          <w:color w:val="auto"/>
          <w:highlight w:val="none"/>
          <w:lang w:eastAsia="zh-CN"/>
        </w:rPr>
        <w:fldChar w:fldCharType="end"/>
      </w:r>
      <w:r>
        <w:rPr>
          <w:rFonts w:hint="eastAsia"/>
          <w:color w:val="auto"/>
          <w:highlight w:val="none"/>
          <w:lang w:eastAsia="zh-CN"/>
        </w:rPr>
        <w:t>在施工过程中应与当地海事部门、环保部门建立畅通的联系渠道，以便一旦发生意外事故或施工作业被干扰时应及时向有关主管机关报告。</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）运营期环境风险防范措施</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1 \* GB3 \* MERGEFORMAT </w:instrText>
      </w:r>
      <w:r>
        <w:rPr>
          <w:rFonts w:hint="eastAsia"/>
          <w:color w:val="auto"/>
          <w:highlight w:val="none"/>
          <w:lang w:eastAsia="zh-CN"/>
        </w:rPr>
        <w:fldChar w:fldCharType="separate"/>
      </w:r>
      <w:r>
        <w:rPr>
          <w:color w:val="auto"/>
          <w:highlight w:val="none"/>
        </w:rPr>
        <w:t>①</w:t>
      </w:r>
      <w:r>
        <w:rPr>
          <w:rFonts w:hint="eastAsia"/>
          <w:color w:val="auto"/>
          <w:highlight w:val="none"/>
          <w:lang w:eastAsia="zh-CN"/>
        </w:rPr>
        <w:fldChar w:fldCharType="end"/>
      </w:r>
      <w:r>
        <w:rPr>
          <w:rFonts w:hint="eastAsia"/>
          <w:color w:val="auto"/>
          <w:highlight w:val="none"/>
          <w:lang w:eastAsia="zh-CN"/>
        </w:rPr>
        <w:t>以“预防为主，安全第一”为方针，做好管理、宣传和技术等各方面工作，定期监督检查航运环保设施运行使用及安全情况；加强维护维修，发现问题及时处理，避免污染事故发生。</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2 \* GB3 \* MERGEFORMAT </w:instrText>
      </w:r>
      <w:r>
        <w:rPr>
          <w:rFonts w:hint="eastAsia"/>
          <w:color w:val="auto"/>
          <w:highlight w:val="none"/>
          <w:lang w:eastAsia="zh-CN"/>
        </w:rPr>
        <w:fldChar w:fldCharType="separate"/>
      </w:r>
      <w:r>
        <w:rPr>
          <w:color w:val="auto"/>
          <w:highlight w:val="none"/>
        </w:rPr>
        <w:t>②</w:t>
      </w:r>
      <w:r>
        <w:rPr>
          <w:rFonts w:hint="eastAsia"/>
          <w:color w:val="auto"/>
          <w:highlight w:val="none"/>
          <w:lang w:eastAsia="zh-CN"/>
        </w:rPr>
        <w:fldChar w:fldCharType="end"/>
      </w:r>
      <w:r>
        <w:rPr>
          <w:rFonts w:hint="eastAsia"/>
          <w:color w:val="auto"/>
          <w:highlight w:val="none"/>
          <w:lang w:eastAsia="zh-CN"/>
        </w:rPr>
        <w:t>加强船舶运输管理，按照《船舶载运危险货物安全监督管理规定》(交通运输部令2024年第14号公布)相关要求，在本江段禁止运输剧毒化学品以及国家规定禁止通过内河运输的其他危险化学品，避免发生化学品泄漏等污染水质的情况。</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3 \* GB3 \* MERGEFORMAT </w:instrText>
      </w:r>
      <w:r>
        <w:rPr>
          <w:rFonts w:hint="eastAsia"/>
          <w:color w:val="auto"/>
          <w:highlight w:val="none"/>
          <w:lang w:eastAsia="zh-CN"/>
        </w:rPr>
        <w:fldChar w:fldCharType="separate"/>
      </w:r>
      <w:r>
        <w:rPr>
          <w:color w:val="auto"/>
          <w:highlight w:val="none"/>
        </w:rPr>
        <w:t>③</w:t>
      </w:r>
      <w:r>
        <w:rPr>
          <w:rFonts w:hint="eastAsia"/>
          <w:color w:val="auto"/>
          <w:highlight w:val="none"/>
          <w:lang w:eastAsia="zh-CN"/>
        </w:rPr>
        <w:fldChar w:fldCharType="end"/>
      </w:r>
      <w:r>
        <w:rPr>
          <w:rFonts w:hint="eastAsia"/>
          <w:color w:val="auto"/>
          <w:highlight w:val="none"/>
          <w:lang w:eastAsia="zh-CN"/>
        </w:rPr>
        <w:t>严格按照主体工程设计要求，设立导航及有关警示标志，警示船舶安全驾驶；危险品运输应当避开暴雨、洪水、大雾等不利时段，避免由于天气影响造成行船隐患。</w:t>
      </w:r>
    </w:p>
    <w:p>
      <w:pPr>
        <w:bidi w:val="0"/>
        <w:rPr>
          <w:rFonts w:hint="eastAsia"/>
          <w:color w:val="auto"/>
          <w:highlight w:val="none"/>
        </w:rPr>
      </w:pPr>
      <w:r>
        <w:rPr>
          <w:rFonts w:hint="eastAsia"/>
          <w:color w:val="auto"/>
          <w:highlight w:val="none"/>
          <w:lang w:eastAsia="zh-CN"/>
        </w:rPr>
        <w:fldChar w:fldCharType="begin"/>
      </w:r>
      <w:r>
        <w:rPr>
          <w:rFonts w:hint="eastAsia"/>
          <w:color w:val="auto"/>
          <w:highlight w:val="none"/>
          <w:lang w:eastAsia="zh-CN"/>
        </w:rPr>
        <w:instrText xml:space="preserve"> = 4 \* GB3 \* MERGEFORMAT </w:instrText>
      </w:r>
      <w:r>
        <w:rPr>
          <w:rFonts w:hint="eastAsia"/>
          <w:color w:val="auto"/>
          <w:highlight w:val="none"/>
          <w:lang w:eastAsia="zh-CN"/>
        </w:rPr>
        <w:fldChar w:fldCharType="separate"/>
      </w:r>
      <w:r>
        <w:rPr>
          <w:color w:val="auto"/>
          <w:highlight w:val="none"/>
        </w:rPr>
        <w:t>④</w:t>
      </w:r>
      <w:r>
        <w:rPr>
          <w:rFonts w:hint="eastAsia"/>
          <w:color w:val="auto"/>
          <w:highlight w:val="none"/>
          <w:lang w:eastAsia="zh-CN"/>
        </w:rPr>
        <w:fldChar w:fldCharType="end"/>
      </w:r>
      <w:r>
        <w:rPr>
          <w:rFonts w:hint="eastAsia"/>
          <w:color w:val="auto"/>
          <w:highlight w:val="none"/>
          <w:lang w:eastAsia="zh-CN"/>
        </w:rPr>
        <w:t>制定针对运行期突发性水污染事件的应急预案，配备</w:t>
      </w:r>
      <w:r>
        <w:rPr>
          <w:rFonts w:hint="eastAsia"/>
          <w:color w:val="auto"/>
          <w:highlight w:val="none"/>
        </w:rPr>
        <w:t>收油机、围油栏、吸油毡等应急物资</w:t>
      </w:r>
      <w:r>
        <w:rPr>
          <w:rFonts w:hint="eastAsia"/>
          <w:color w:val="auto"/>
          <w:highlight w:val="none"/>
          <w:lang w:eastAsia="zh-CN"/>
        </w:rPr>
        <w:t>。溢油事故发生后，立即切断溢油源，关闭产生溢油事故的各种阀门，堵漏或将破损油舱内剩下的油转移到该船其它舱内或过驳到其他船上；同时，对发生的污染事故迅速监测，进行及时快速准确有效的处理处置，最大限度地减少污染事故造成的生命、财产及环境危害，恢复受污染水域水环境。</w:t>
      </w:r>
      <w:r>
        <w:rPr>
          <w:rFonts w:hint="eastAsia"/>
          <w:color w:val="auto"/>
          <w:highlight w:val="none"/>
        </w:rPr>
        <w:t>同时配备报警系统及必要的通信器材，以便及时与应急指挥机构和下游水厂建立联系，及时采取应急措施。</w:t>
      </w:r>
    </w:p>
    <w:p>
      <w:pPr>
        <w:pStyle w:val="5"/>
        <w:bidi w:val="0"/>
        <w:rPr>
          <w:rFonts w:hint="eastAsia"/>
          <w:color w:val="auto"/>
          <w:highlight w:val="none"/>
          <w:lang w:eastAsia="zh-CN"/>
        </w:rPr>
      </w:pPr>
      <w:r>
        <w:rPr>
          <w:rFonts w:hint="eastAsia"/>
          <w:color w:val="auto"/>
          <w:highlight w:val="none"/>
          <w:lang w:eastAsia="zh-CN"/>
        </w:rPr>
        <w:t>环境风险应急预案</w:t>
      </w:r>
    </w:p>
    <w:p>
      <w:pPr>
        <w:ind w:firstLine="520"/>
        <w:rPr>
          <w:color w:val="auto"/>
          <w:kern w:val="0"/>
          <w:highlight w:val="none"/>
        </w:rPr>
      </w:pPr>
      <w:r>
        <w:rPr>
          <w:rFonts w:hint="eastAsia"/>
          <w:color w:val="auto"/>
          <w:kern w:val="0"/>
          <w:highlight w:val="none"/>
        </w:rPr>
        <w:t>建设单位应依据《重庆市突发环境事件应急预案</w:t>
      </w:r>
      <w:r>
        <w:rPr>
          <w:rFonts w:hint="eastAsia"/>
          <w:color w:val="auto"/>
          <w:kern w:val="0"/>
          <w:highlight w:val="none"/>
          <w:shd w:val="clear" w:fill="FFFFFF"/>
        </w:rPr>
        <w:t>》</w:t>
      </w:r>
      <w:r>
        <w:rPr>
          <w:rFonts w:hint="eastAsia"/>
          <w:bCs/>
          <w:color w:val="auto"/>
          <w:kern w:val="0"/>
          <w:highlight w:val="none"/>
          <w:shd w:val="clear" w:fill="FFFFFF"/>
        </w:rPr>
        <w:t>、《</w:t>
      </w:r>
      <w:r>
        <w:rPr>
          <w:rFonts w:hint="eastAsia"/>
          <w:bCs/>
          <w:color w:val="auto"/>
          <w:kern w:val="0"/>
          <w:highlight w:val="none"/>
        </w:rPr>
        <w:t>重庆市水上危险货物运输事故应急预案》等编制详尽的事故应急预案</w:t>
      </w:r>
      <w:r>
        <w:rPr>
          <w:rFonts w:hint="eastAsia"/>
          <w:bCs/>
          <w:color w:val="auto"/>
          <w:kern w:val="0"/>
          <w:highlight w:val="none"/>
          <w:lang w:eastAsia="zh-CN"/>
        </w:rPr>
        <w:t>，</w:t>
      </w:r>
      <w:r>
        <w:rPr>
          <w:rFonts w:hint="eastAsia"/>
          <w:bCs/>
          <w:color w:val="auto"/>
          <w:kern w:val="0"/>
          <w:highlight w:val="none"/>
          <w:lang w:val="en-US" w:eastAsia="zh-CN"/>
        </w:rPr>
        <w:t>充分衔接《合川区突发环境事件应急预案</w:t>
      </w:r>
      <w:r>
        <w:rPr>
          <w:rFonts w:hint="eastAsia"/>
          <w:bCs/>
          <w:color w:val="auto"/>
          <w:kern w:val="0"/>
          <w:highlight w:val="none"/>
          <w:shd w:val="clear" w:fill="FFFFFF"/>
          <w:lang w:val="en-US" w:eastAsia="zh-CN"/>
        </w:rPr>
        <w:t>》、《</w:t>
      </w:r>
      <w:r>
        <w:rPr>
          <w:rFonts w:hint="eastAsia"/>
          <w:bCs/>
          <w:color w:val="auto"/>
          <w:kern w:val="0"/>
          <w:highlight w:val="none"/>
          <w:lang w:val="en-US" w:eastAsia="zh-CN"/>
        </w:rPr>
        <w:t>合川区城市集中式饮用水水源地突发环境事件应急预案</w:t>
      </w:r>
      <w:r>
        <w:rPr>
          <w:rFonts w:hint="eastAsia"/>
          <w:bCs/>
          <w:color w:val="auto"/>
          <w:kern w:val="0"/>
          <w:highlight w:val="none"/>
          <w:shd w:val="clear" w:fill="FFFFFF"/>
          <w:lang w:val="en-US" w:eastAsia="zh-CN"/>
        </w:rPr>
        <w:t>》</w:t>
      </w:r>
      <w:r>
        <w:rPr>
          <w:rFonts w:hint="eastAsia"/>
          <w:bCs/>
          <w:color w:val="auto"/>
          <w:kern w:val="0"/>
          <w:highlight w:val="none"/>
          <w:lang w:val="en-US" w:eastAsia="zh-CN"/>
        </w:rPr>
        <w:t>有关要求；建立环境安全管理制度，定期排查整治突发环境污染事件隐患，定期检测维护有关报警装置和应急设施设备，确保正常使用。应急预案应按规定报所在地区县生态环境部门备案。</w:t>
      </w:r>
      <w:r>
        <w:rPr>
          <w:rFonts w:hint="eastAsia"/>
          <w:bCs/>
          <w:color w:val="auto"/>
          <w:kern w:val="0"/>
          <w:highlight w:val="none"/>
        </w:rPr>
        <w:t>应急预案纲要如下：</w:t>
      </w:r>
    </w:p>
    <w:p>
      <w:pPr>
        <w:spacing w:line="460" w:lineRule="exact"/>
        <w:ind w:firstLine="520" w:firstLineChars="200"/>
        <w:rPr>
          <w:rFonts w:hint="eastAsia" w:eastAsia="宋体"/>
          <w:color w:val="auto"/>
          <w:highlight w:val="none"/>
          <w:lang w:val="pt-BR" w:eastAsia="zh-CN"/>
        </w:rPr>
      </w:pPr>
      <w:r>
        <w:rPr>
          <w:rFonts w:hint="eastAsia"/>
          <w:color w:val="auto"/>
          <w:highlight w:val="none"/>
          <w:lang w:val="pt-BR" w:eastAsia="zh-CN"/>
        </w:rPr>
        <w:t>（</w:t>
      </w:r>
      <w:r>
        <w:rPr>
          <w:rFonts w:hint="eastAsia"/>
          <w:color w:val="auto"/>
          <w:highlight w:val="none"/>
          <w:lang w:val="en-US" w:eastAsia="zh-CN"/>
        </w:rPr>
        <w:t>1</w:t>
      </w:r>
      <w:r>
        <w:rPr>
          <w:rFonts w:hint="eastAsia"/>
          <w:color w:val="auto"/>
          <w:highlight w:val="none"/>
          <w:lang w:val="pt-BR" w:eastAsia="zh-CN"/>
        </w:rPr>
        <w:t>）应急预案适用范围</w:t>
      </w:r>
    </w:p>
    <w:p>
      <w:pPr>
        <w:spacing w:line="460" w:lineRule="exact"/>
        <w:ind w:firstLine="520" w:firstLineChars="200"/>
        <w:rPr>
          <w:color w:val="auto"/>
          <w:highlight w:val="none"/>
          <w:lang w:val="pt-BR"/>
        </w:rPr>
      </w:pPr>
      <w:r>
        <w:rPr>
          <w:color w:val="auto"/>
          <w:highlight w:val="none"/>
          <w:lang w:val="pt-BR"/>
        </w:rPr>
        <w:t>本工程应急计划区包括：</w:t>
      </w:r>
      <w:r>
        <w:rPr>
          <w:color w:val="auto"/>
          <w:highlight w:val="none"/>
          <w:lang w:val="pt-BR"/>
        </w:rPr>
        <w:fldChar w:fldCharType="begin"/>
      </w:r>
      <w:r>
        <w:rPr>
          <w:color w:val="auto"/>
          <w:highlight w:val="none"/>
          <w:lang w:val="pt-BR"/>
        </w:rPr>
        <w:instrText xml:space="preserve"> = 1 \* GB3 \* MERGEFORMAT </w:instrText>
      </w:r>
      <w:r>
        <w:rPr>
          <w:color w:val="auto"/>
          <w:highlight w:val="none"/>
          <w:lang w:val="pt-BR"/>
        </w:rPr>
        <w:fldChar w:fldCharType="separate"/>
      </w:r>
      <w:r>
        <w:rPr>
          <w:color w:val="auto"/>
          <w:highlight w:val="none"/>
        </w:rPr>
        <w:t>①</w:t>
      </w:r>
      <w:r>
        <w:rPr>
          <w:color w:val="auto"/>
          <w:highlight w:val="none"/>
          <w:lang w:val="pt-BR"/>
        </w:rPr>
        <w:fldChar w:fldCharType="end"/>
      </w:r>
      <w:r>
        <w:rPr>
          <w:rFonts w:hint="eastAsia"/>
          <w:color w:val="auto"/>
          <w:highlight w:val="none"/>
          <w:lang w:val="pt-BR" w:eastAsia="zh-CN"/>
        </w:rPr>
        <w:t>船闸、锚地等船舶停留区；</w:t>
      </w:r>
      <w:r>
        <w:rPr>
          <w:color w:val="auto"/>
          <w:highlight w:val="none"/>
          <w:lang w:val="pt-BR"/>
        </w:rPr>
        <w:fldChar w:fldCharType="begin"/>
      </w:r>
      <w:r>
        <w:rPr>
          <w:color w:val="auto"/>
          <w:highlight w:val="none"/>
          <w:lang w:val="pt-BR"/>
        </w:rPr>
        <w:instrText xml:space="preserve"> = 2 \* GB3 \* MERGEFORMAT </w:instrText>
      </w:r>
      <w:r>
        <w:rPr>
          <w:color w:val="auto"/>
          <w:highlight w:val="none"/>
          <w:lang w:val="pt-BR"/>
        </w:rPr>
        <w:fldChar w:fldCharType="separate"/>
      </w:r>
      <w:r>
        <w:rPr>
          <w:color w:val="auto"/>
          <w:highlight w:val="none"/>
        </w:rPr>
        <w:t>②</w:t>
      </w:r>
      <w:r>
        <w:rPr>
          <w:color w:val="auto"/>
          <w:highlight w:val="none"/>
          <w:lang w:val="pt-BR"/>
        </w:rPr>
        <w:fldChar w:fldCharType="end"/>
      </w:r>
      <w:r>
        <w:rPr>
          <w:color w:val="auto"/>
          <w:highlight w:val="none"/>
          <w:lang w:val="pt-BR"/>
        </w:rPr>
        <w:t>环境保护目标区，主要是涪江水域</w:t>
      </w:r>
      <w:r>
        <w:rPr>
          <w:rFonts w:hint="eastAsia"/>
          <w:color w:val="auto"/>
          <w:highlight w:val="none"/>
          <w:lang w:val="pt-BR" w:eastAsia="zh-CN"/>
        </w:rPr>
        <w:t>及下游饮用水源</w:t>
      </w:r>
      <w:r>
        <w:rPr>
          <w:color w:val="auto"/>
          <w:highlight w:val="none"/>
          <w:lang w:val="pt-BR"/>
        </w:rPr>
        <w:t>。应急事件包括溢油事故等。</w:t>
      </w:r>
    </w:p>
    <w:p>
      <w:pPr>
        <w:spacing w:line="460" w:lineRule="exact"/>
        <w:ind w:firstLine="520" w:firstLineChars="200"/>
        <w:rPr>
          <w:color w:val="auto"/>
          <w:highlight w:val="none"/>
          <w:lang w:val="pt-BR"/>
        </w:rPr>
      </w:pPr>
      <w:r>
        <w:rPr>
          <w:rFonts w:hint="eastAsia"/>
          <w:color w:val="auto"/>
          <w:highlight w:val="none"/>
          <w:lang w:val="pt-BR" w:eastAsia="zh-CN"/>
        </w:rPr>
        <w:t>（</w:t>
      </w:r>
      <w:r>
        <w:rPr>
          <w:rFonts w:hint="eastAsia"/>
          <w:color w:val="auto"/>
          <w:highlight w:val="none"/>
          <w:lang w:val="en-US" w:eastAsia="zh-CN"/>
        </w:rPr>
        <w:t>2</w:t>
      </w:r>
      <w:r>
        <w:rPr>
          <w:rFonts w:hint="eastAsia"/>
          <w:color w:val="auto"/>
          <w:highlight w:val="none"/>
          <w:lang w:val="pt-BR" w:eastAsia="zh-CN"/>
        </w:rPr>
        <w:t>）环境事件</w:t>
      </w:r>
      <w:r>
        <w:rPr>
          <w:color w:val="auto"/>
          <w:highlight w:val="none"/>
          <w:lang w:val="pt-BR"/>
        </w:rPr>
        <w:t>分级响应</w:t>
      </w:r>
    </w:p>
    <w:p>
      <w:pPr>
        <w:spacing w:line="460" w:lineRule="exact"/>
        <w:ind w:firstLine="520" w:firstLineChars="200"/>
        <w:rPr>
          <w:color w:val="auto"/>
          <w:highlight w:val="none"/>
          <w:lang w:val="pt-BR"/>
        </w:rPr>
      </w:pPr>
      <w:r>
        <w:rPr>
          <w:color w:val="auto"/>
          <w:highlight w:val="none"/>
          <w:lang w:val="pt-BR"/>
        </w:rPr>
        <w:t>事故分为以下4个等级：特别重大(Ⅰ级)，重大(Ⅱ级)，较大(Ⅲ级)，一般(Ⅳ级)。针对不同事故等级，实行分级响应。</w:t>
      </w:r>
    </w:p>
    <w:p>
      <w:pPr>
        <w:spacing w:line="460" w:lineRule="exact"/>
        <w:ind w:firstLine="520" w:firstLineChars="200"/>
        <w:rPr>
          <w:color w:val="auto"/>
          <w:highlight w:val="none"/>
          <w:lang w:val="pt-BR"/>
        </w:rPr>
      </w:pPr>
      <w:r>
        <w:rPr>
          <w:color w:val="auto"/>
          <w:highlight w:val="none"/>
          <w:lang w:val="pt-BR"/>
        </w:rPr>
        <w:t>事故发生时，立即启动并实施本部门应急预案，Ⅰ级、Ⅱ级响应：现场指挥在事故应急领导机构的统一领导下，具体安排组织</w:t>
      </w:r>
      <w:r>
        <w:rPr>
          <w:color w:val="auto"/>
          <w:highlight w:val="none"/>
          <w:shd w:val="clear" w:fill="FFFFFF"/>
          <w:lang w:val="pt-BR"/>
        </w:rPr>
        <w:t>重、特大</w:t>
      </w:r>
      <w:r>
        <w:rPr>
          <w:color w:val="auto"/>
          <w:highlight w:val="none"/>
          <w:lang w:val="pt-BR"/>
        </w:rPr>
        <w:t>事故应急救援预案的组织和实施；组织所有应急力量按照应急救援预案迅速开展抢险救援工作；根据事故险情，对应急工作中发生的争议采取紧急处理措施；根据预案实施过程中存在的问题和险情的变化，及时对预案进行调整、修订、补充和完善，确保人员各尽其职、救援工作灵活开展；根据现场险情，在技术支撑下，科学组织人员和物资疏散工作；现场应急指挥与应急领导机构要保持密切联系，定期通报事故现场的态势，配合上级部门进行事故调查处理工作，做好稳定社会秩序和伤亡人员的善后及安抚工作，适时发布公告，将危机的原因责任及处理决定公布于众，接受社会的监督。Ⅲ级、Ⅳ级响应：各相关职能部门按照各自职责开展应急处置工作，防止事故扩大、蔓延，保证信息渠道畅通，及时向领导机构通报情况。</w:t>
      </w:r>
    </w:p>
    <w:p>
      <w:pPr>
        <w:spacing w:line="460" w:lineRule="exact"/>
        <w:ind w:firstLine="520" w:firstLineChars="200"/>
        <w:rPr>
          <w:rFonts w:hint="eastAsia"/>
          <w:color w:val="auto"/>
          <w:highlight w:val="none"/>
          <w:lang w:val="pt-BR" w:eastAsia="zh-CN"/>
        </w:rPr>
      </w:pPr>
      <w:r>
        <w:rPr>
          <w:color w:val="auto"/>
          <w:highlight w:val="none"/>
          <w:lang w:val="pt-BR"/>
        </w:rPr>
        <w:t>因环境污染事故存在不可预见、作用时间较长、容易衍生发展的特点，现场指挥可根据现场实际情况随时将响应等级升级或降级。</w:t>
      </w:r>
    </w:p>
    <w:p>
      <w:pPr>
        <w:spacing w:line="460" w:lineRule="exact"/>
        <w:ind w:firstLine="520" w:firstLineChars="200"/>
        <w:rPr>
          <w:rFonts w:hint="eastAsia" w:eastAsia="宋体"/>
          <w:color w:val="auto"/>
          <w:highlight w:val="none"/>
          <w:lang w:val="pt-BR" w:eastAsia="zh-CN"/>
        </w:rPr>
      </w:pPr>
      <w:r>
        <w:rPr>
          <w:color w:val="auto"/>
          <w:highlight w:val="none"/>
          <w:lang w:val="pt-BR"/>
        </w:rPr>
        <w:t>应急程序见</w:t>
      </w:r>
      <w:r>
        <w:rPr>
          <w:rFonts w:hint="eastAsia"/>
          <w:color w:val="auto"/>
          <w:highlight w:val="none"/>
          <w:lang w:val="pt-BR" w:eastAsia="zh-CN"/>
        </w:rPr>
        <w:t>下图：</w:t>
      </w:r>
    </w:p>
    <w:p>
      <w:pPr>
        <w:spacing w:line="240" w:lineRule="auto"/>
        <w:ind w:firstLine="650" w:firstLineChars="250"/>
        <w:rPr>
          <w:b/>
          <w:bCs/>
          <w:color w:val="auto"/>
          <w:szCs w:val="24"/>
          <w:highlight w:val="none"/>
        </w:rPr>
      </w:pPr>
      <w:r>
        <w:rPr>
          <w:color w:val="auto"/>
          <w:szCs w:val="24"/>
          <w:highlight w:val="none"/>
        </w:rPr>
        <w:drawing>
          <wp:inline distT="0" distB="0" distL="114300" distR="114300">
            <wp:extent cx="4409440" cy="5903595"/>
            <wp:effectExtent l="0" t="0" r="0" b="1905"/>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89"/>
                    <a:stretch>
                      <a:fillRect/>
                    </a:stretch>
                  </pic:blipFill>
                  <pic:spPr>
                    <a:xfrm>
                      <a:off x="0" y="0"/>
                      <a:ext cx="4409440" cy="5903595"/>
                    </a:xfrm>
                    <a:prstGeom prst="rect">
                      <a:avLst/>
                    </a:prstGeom>
                    <a:noFill/>
                    <a:ln>
                      <a:noFill/>
                    </a:ln>
                  </pic:spPr>
                </pic:pic>
              </a:graphicData>
            </a:graphic>
          </wp:inline>
        </w:drawing>
      </w:r>
      <w:r>
        <w:rPr>
          <w:b/>
          <w:bCs/>
          <w:color w:val="auto"/>
          <w:szCs w:val="24"/>
          <w:highlight w:val="none"/>
        </w:rPr>
        <w:t xml:space="preserve"> </w:t>
      </w:r>
    </w:p>
    <w:p>
      <w:pPr>
        <w:spacing w:line="240" w:lineRule="auto"/>
        <w:ind w:left="0" w:leftChars="0" w:firstLine="0" w:firstLineChars="0"/>
        <w:jc w:val="center"/>
        <w:rPr>
          <w:rFonts w:hint="eastAsia"/>
          <w:color w:val="auto"/>
          <w:highlight w:val="none"/>
          <w:lang w:val="pt-BR" w:eastAsia="zh-CN"/>
        </w:rPr>
      </w:pPr>
      <w:r>
        <w:rPr>
          <w:rFonts w:cs="Times New Roman"/>
          <w:color w:val="auto"/>
          <w:highlight w:val="none"/>
        </w:rPr>
        <w:t>图</w:t>
      </w:r>
      <w:r>
        <w:rPr>
          <w:rFonts w:hint="eastAsia" w:cs="Times New Roman"/>
          <w:color w:val="auto"/>
          <w:highlight w:val="none"/>
          <w:lang w:val="en-US" w:eastAsia="zh-CN"/>
        </w:rPr>
        <w:t>4.6.7-1</w:t>
      </w:r>
      <w:r>
        <w:rPr>
          <w:rFonts w:cs="Times New Roman"/>
          <w:color w:val="auto"/>
          <w:highlight w:val="none"/>
        </w:rPr>
        <w:t xml:space="preserve">  </w:t>
      </w:r>
      <w:r>
        <w:rPr>
          <w:rFonts w:hint="eastAsia" w:cs="Times New Roman"/>
          <w:color w:val="auto"/>
          <w:highlight w:val="none"/>
          <w:lang w:eastAsia="zh-CN"/>
        </w:rPr>
        <w:t>渭沱</w:t>
      </w:r>
      <w:r>
        <w:rPr>
          <w:rFonts w:cs="Times New Roman"/>
          <w:color w:val="auto"/>
          <w:highlight w:val="none"/>
        </w:rPr>
        <w:t>航电枢纽工程事故应急程序图</w:t>
      </w:r>
    </w:p>
    <w:p>
      <w:pPr>
        <w:spacing w:line="460" w:lineRule="exact"/>
        <w:ind w:firstLine="520" w:firstLineChars="200"/>
        <w:rPr>
          <w:color w:val="auto"/>
          <w:highlight w:val="none"/>
          <w:lang w:val="pt-BR"/>
        </w:rPr>
      </w:pPr>
      <w:r>
        <w:rPr>
          <w:rFonts w:hint="eastAsia"/>
          <w:color w:val="auto"/>
          <w:highlight w:val="none"/>
          <w:lang w:val="pt-BR" w:eastAsia="zh-CN"/>
        </w:rPr>
        <w:t>（</w:t>
      </w:r>
      <w:r>
        <w:rPr>
          <w:rFonts w:hint="eastAsia"/>
          <w:color w:val="auto"/>
          <w:highlight w:val="none"/>
          <w:lang w:val="en-US" w:eastAsia="zh-CN"/>
        </w:rPr>
        <w:t>3</w:t>
      </w:r>
      <w:r>
        <w:rPr>
          <w:rFonts w:hint="eastAsia"/>
          <w:color w:val="auto"/>
          <w:highlight w:val="none"/>
          <w:lang w:val="pt-BR" w:eastAsia="zh-CN"/>
        </w:rPr>
        <w:t>）</w:t>
      </w:r>
      <w:r>
        <w:rPr>
          <w:rFonts w:hint="eastAsia"/>
          <w:color w:val="auto"/>
          <w:highlight w:val="none"/>
          <w:lang w:val="pt-BR"/>
        </w:rPr>
        <w:t>组织机构与职责</w:t>
      </w:r>
    </w:p>
    <w:p>
      <w:pPr>
        <w:spacing w:line="460" w:lineRule="exact"/>
        <w:ind w:firstLine="520" w:firstLineChars="200"/>
        <w:rPr>
          <w:color w:val="auto"/>
          <w:highlight w:val="none"/>
          <w:lang w:val="pt-BR"/>
        </w:rPr>
      </w:pPr>
      <w:r>
        <w:rPr>
          <w:color w:val="auto"/>
          <w:highlight w:val="none"/>
          <w:lang w:val="pt-BR"/>
        </w:rPr>
        <w:fldChar w:fldCharType="begin"/>
      </w:r>
      <w:r>
        <w:rPr>
          <w:color w:val="auto"/>
          <w:highlight w:val="none"/>
          <w:lang w:val="pt-BR"/>
        </w:rPr>
        <w:instrText xml:space="preserve"> = 1 \* GB3 \* MERGEFORMAT </w:instrText>
      </w:r>
      <w:r>
        <w:rPr>
          <w:color w:val="auto"/>
          <w:highlight w:val="none"/>
          <w:lang w:val="pt-BR"/>
        </w:rPr>
        <w:fldChar w:fldCharType="separate"/>
      </w:r>
      <w:r>
        <w:rPr>
          <w:color w:val="auto"/>
          <w:highlight w:val="none"/>
        </w:rPr>
        <w:t>①</w:t>
      </w:r>
      <w:r>
        <w:rPr>
          <w:color w:val="auto"/>
          <w:highlight w:val="none"/>
          <w:lang w:val="pt-BR"/>
        </w:rPr>
        <w:fldChar w:fldCharType="end"/>
      </w:r>
      <w:r>
        <w:rPr>
          <w:color w:val="auto"/>
          <w:highlight w:val="none"/>
          <w:lang w:val="pt-BR"/>
        </w:rPr>
        <w:t>应急领导机构</w:t>
      </w:r>
    </w:p>
    <w:p>
      <w:pPr>
        <w:spacing w:line="460" w:lineRule="exact"/>
        <w:ind w:firstLine="520" w:firstLineChars="200"/>
        <w:rPr>
          <w:color w:val="auto"/>
          <w:highlight w:val="none"/>
          <w:lang w:val="pt-BR"/>
        </w:rPr>
      </w:pPr>
      <w:r>
        <w:rPr>
          <w:color w:val="auto"/>
          <w:highlight w:val="none"/>
          <w:lang w:val="pt-BR"/>
        </w:rPr>
        <w:t>应急总领导机构为重庆市人民政府突发公共事件应急委员会，作为协调指挥机构，统一领导突发公共事件的应急处置工作。</w:t>
      </w:r>
    </w:p>
    <w:p>
      <w:pPr>
        <w:spacing w:line="460" w:lineRule="exact"/>
        <w:ind w:firstLine="520" w:firstLineChars="200"/>
        <w:rPr>
          <w:color w:val="auto"/>
          <w:highlight w:val="none"/>
          <w:lang w:val="pt-BR"/>
        </w:rPr>
      </w:pPr>
      <w:r>
        <w:rPr>
          <w:color w:val="auto"/>
          <w:highlight w:val="none"/>
          <w:lang w:val="pt-BR"/>
        </w:rPr>
        <w:t>地区应急领导机构由</w:t>
      </w:r>
      <w:r>
        <w:rPr>
          <w:rFonts w:hint="eastAsia"/>
          <w:color w:val="auto"/>
          <w:highlight w:val="none"/>
          <w:lang w:val="pt-BR" w:eastAsia="zh-CN"/>
        </w:rPr>
        <w:t>合川区</w:t>
      </w:r>
      <w:r>
        <w:rPr>
          <w:color w:val="auto"/>
          <w:highlight w:val="none"/>
          <w:lang w:val="pt-BR"/>
        </w:rPr>
        <w:t>分管环保的领导、生态环境局及其它</w:t>
      </w:r>
      <w:r>
        <w:rPr>
          <w:rFonts w:hint="eastAsia"/>
          <w:color w:val="auto"/>
          <w:highlight w:val="none"/>
          <w:shd w:val="clear" w:fill="FFFFFF"/>
          <w:lang w:val="pt-BR" w:eastAsia="zh-CN"/>
        </w:rPr>
        <w:t>相关</w:t>
      </w:r>
      <w:r>
        <w:rPr>
          <w:color w:val="auto"/>
          <w:highlight w:val="none"/>
          <w:lang w:val="pt-BR"/>
        </w:rPr>
        <w:t>协作部门负责人组成。</w:t>
      </w:r>
    </w:p>
    <w:p>
      <w:pPr>
        <w:spacing w:line="460" w:lineRule="exact"/>
        <w:ind w:firstLine="520" w:firstLineChars="200"/>
        <w:rPr>
          <w:color w:val="auto"/>
          <w:highlight w:val="none"/>
          <w:lang w:val="pt-BR"/>
        </w:rPr>
      </w:pPr>
      <w:r>
        <w:rPr>
          <w:color w:val="auto"/>
          <w:highlight w:val="none"/>
          <w:lang w:val="pt-BR"/>
        </w:rPr>
        <w:t>施工现场成立安全风险应急领导小组，由建设单位分管环保的正职领导作为小组长，小组成员由环境保护管理办公室负责人、各承包商单位分管环保的领导组成。</w:t>
      </w:r>
    </w:p>
    <w:p>
      <w:pPr>
        <w:spacing w:line="460" w:lineRule="exact"/>
        <w:ind w:firstLine="520" w:firstLineChars="200"/>
        <w:rPr>
          <w:color w:val="auto"/>
          <w:highlight w:val="none"/>
          <w:lang w:val="pt-BR"/>
        </w:rPr>
      </w:pPr>
      <w:r>
        <w:rPr>
          <w:color w:val="auto"/>
          <w:highlight w:val="none"/>
          <w:lang w:val="pt-BR"/>
        </w:rPr>
        <w:fldChar w:fldCharType="begin"/>
      </w:r>
      <w:r>
        <w:rPr>
          <w:color w:val="auto"/>
          <w:highlight w:val="none"/>
          <w:lang w:val="pt-BR"/>
        </w:rPr>
        <w:instrText xml:space="preserve"> = 2 \* GB3 \* MERGEFORMAT </w:instrText>
      </w:r>
      <w:r>
        <w:rPr>
          <w:color w:val="auto"/>
          <w:highlight w:val="none"/>
          <w:lang w:val="pt-BR"/>
        </w:rPr>
        <w:fldChar w:fldCharType="separate"/>
      </w:r>
      <w:r>
        <w:rPr>
          <w:color w:val="auto"/>
          <w:highlight w:val="none"/>
        </w:rPr>
        <w:t>②</w:t>
      </w:r>
      <w:r>
        <w:rPr>
          <w:color w:val="auto"/>
          <w:highlight w:val="none"/>
          <w:lang w:val="pt-BR"/>
        </w:rPr>
        <w:fldChar w:fldCharType="end"/>
      </w:r>
      <w:r>
        <w:rPr>
          <w:color w:val="auto"/>
          <w:highlight w:val="none"/>
          <w:lang w:val="pt-BR"/>
        </w:rPr>
        <w:t>现场指挥</w:t>
      </w:r>
    </w:p>
    <w:p>
      <w:pPr>
        <w:spacing w:line="460" w:lineRule="exact"/>
        <w:ind w:firstLine="520" w:firstLineChars="200"/>
        <w:rPr>
          <w:color w:val="auto"/>
          <w:highlight w:val="none"/>
          <w:lang w:val="pt-BR"/>
        </w:rPr>
      </w:pPr>
      <w:r>
        <w:rPr>
          <w:color w:val="auto"/>
          <w:highlight w:val="none"/>
          <w:lang w:val="pt-BR"/>
        </w:rPr>
        <w:t>由应急领导机构指定现场指挥，可由公安局、安监局或生态环境局负责。</w:t>
      </w:r>
    </w:p>
    <w:p>
      <w:pPr>
        <w:spacing w:line="460" w:lineRule="exact"/>
        <w:ind w:firstLine="520" w:firstLineChars="200"/>
        <w:rPr>
          <w:color w:val="auto"/>
          <w:highlight w:val="none"/>
          <w:lang w:val="pt-BR"/>
        </w:rPr>
      </w:pPr>
      <w:r>
        <w:rPr>
          <w:color w:val="auto"/>
          <w:highlight w:val="none"/>
          <w:lang w:val="pt-BR"/>
        </w:rPr>
        <w:fldChar w:fldCharType="begin"/>
      </w:r>
      <w:r>
        <w:rPr>
          <w:color w:val="auto"/>
          <w:highlight w:val="none"/>
          <w:lang w:val="pt-BR"/>
        </w:rPr>
        <w:instrText xml:space="preserve"> = 3 \* GB3 \* MERGEFORMAT </w:instrText>
      </w:r>
      <w:r>
        <w:rPr>
          <w:color w:val="auto"/>
          <w:highlight w:val="none"/>
          <w:lang w:val="pt-BR"/>
        </w:rPr>
        <w:fldChar w:fldCharType="separate"/>
      </w:r>
      <w:r>
        <w:rPr>
          <w:color w:val="auto"/>
          <w:highlight w:val="none"/>
        </w:rPr>
        <w:t>③</w:t>
      </w:r>
      <w:r>
        <w:rPr>
          <w:color w:val="auto"/>
          <w:highlight w:val="none"/>
          <w:lang w:val="pt-BR"/>
        </w:rPr>
        <w:fldChar w:fldCharType="end"/>
      </w:r>
      <w:r>
        <w:rPr>
          <w:color w:val="auto"/>
          <w:highlight w:val="none"/>
          <w:lang w:val="pt-BR"/>
        </w:rPr>
        <w:t>应急救援人员</w:t>
      </w:r>
    </w:p>
    <w:p>
      <w:pPr>
        <w:spacing w:line="460" w:lineRule="exact"/>
        <w:ind w:firstLine="520" w:firstLineChars="200"/>
        <w:rPr>
          <w:color w:val="auto"/>
          <w:highlight w:val="none"/>
          <w:lang w:val="pt-BR"/>
        </w:rPr>
      </w:pPr>
      <w:r>
        <w:rPr>
          <w:color w:val="auto"/>
          <w:highlight w:val="none"/>
          <w:lang w:val="pt-BR"/>
        </w:rPr>
        <w:t>应急救援人员包括：</w:t>
      </w:r>
    </w:p>
    <w:p>
      <w:pPr>
        <w:spacing w:line="460" w:lineRule="exact"/>
        <w:ind w:firstLine="520" w:firstLineChars="200"/>
        <w:rPr>
          <w:color w:val="auto"/>
          <w:highlight w:val="none"/>
          <w:lang w:val="pt-BR"/>
        </w:rPr>
      </w:pPr>
      <w:r>
        <w:rPr>
          <w:rFonts w:hint="eastAsia"/>
          <w:color w:val="auto"/>
          <w:highlight w:val="none"/>
          <w:lang w:val="en-US" w:eastAsia="zh-CN"/>
        </w:rPr>
        <w:t>A</w:t>
      </w:r>
      <w:r>
        <w:rPr>
          <w:rFonts w:hint="eastAsia"/>
          <w:color w:val="auto"/>
          <w:highlight w:val="none"/>
          <w:shd w:val="clear" w:fill="FFFFFF"/>
          <w:lang w:val="en-US" w:eastAsia="zh-CN"/>
        </w:rPr>
        <w:t>、</w:t>
      </w:r>
      <w:r>
        <w:rPr>
          <w:color w:val="auto"/>
          <w:highlight w:val="none"/>
          <w:lang w:val="pt-BR"/>
        </w:rPr>
        <w:t>危险源控制组，</w:t>
      </w:r>
      <w:r>
        <w:rPr>
          <w:rFonts w:hint="eastAsia"/>
          <w:color w:val="auto"/>
          <w:highlight w:val="none"/>
          <w:shd w:val="clear" w:fill="FFFFFF"/>
          <w:lang w:val="pt-BR" w:eastAsia="zh-CN"/>
        </w:rPr>
        <w:t>主要</w:t>
      </w:r>
      <w:r>
        <w:rPr>
          <w:color w:val="auto"/>
          <w:highlight w:val="none"/>
          <w:lang w:val="pt-BR"/>
        </w:rPr>
        <w:t>负责在紧急状态下的现场抢险作业，及时控制危险源，由建设单位和承包商单位消防、安全部门组成，必要时包括地方专业防护队伍；</w:t>
      </w:r>
    </w:p>
    <w:p>
      <w:pPr>
        <w:spacing w:line="460" w:lineRule="exact"/>
        <w:ind w:firstLine="520" w:firstLineChars="200"/>
        <w:rPr>
          <w:color w:val="auto"/>
          <w:highlight w:val="none"/>
          <w:lang w:val="pt-BR"/>
        </w:rPr>
      </w:pPr>
      <w:r>
        <w:rPr>
          <w:rFonts w:hint="eastAsia"/>
          <w:color w:val="auto"/>
          <w:highlight w:val="none"/>
          <w:lang w:val="en-US" w:eastAsia="zh-CN"/>
        </w:rPr>
        <w:t>B</w:t>
      </w:r>
      <w:r>
        <w:rPr>
          <w:rFonts w:hint="eastAsia"/>
          <w:color w:val="auto"/>
          <w:highlight w:val="none"/>
          <w:shd w:val="clear" w:fill="FFFFFF"/>
          <w:lang w:val="en-US" w:eastAsia="zh-CN"/>
        </w:rPr>
        <w:t>、</w:t>
      </w:r>
      <w:r>
        <w:rPr>
          <w:color w:val="auto"/>
          <w:highlight w:val="none"/>
          <w:lang w:val="pt-BR"/>
        </w:rPr>
        <w:t>伤员抢救组，负责现场伤员的搜救和紧急处理，并护送伤员到医疗点救治，由事故责任单位和施工区医疗机构负责。</w:t>
      </w:r>
    </w:p>
    <w:p>
      <w:pPr>
        <w:spacing w:line="460" w:lineRule="exact"/>
        <w:ind w:firstLine="520" w:firstLineChars="200"/>
        <w:rPr>
          <w:color w:val="auto"/>
          <w:highlight w:val="none"/>
          <w:lang w:val="pt-BR"/>
        </w:rPr>
      </w:pPr>
      <w:r>
        <w:rPr>
          <w:rFonts w:hint="eastAsia"/>
          <w:color w:val="auto"/>
          <w:highlight w:val="none"/>
          <w:lang w:val="en-US" w:eastAsia="zh-CN"/>
        </w:rPr>
        <w:t>C</w:t>
      </w:r>
      <w:r>
        <w:rPr>
          <w:rFonts w:hint="eastAsia"/>
          <w:color w:val="auto"/>
          <w:highlight w:val="none"/>
          <w:shd w:val="clear" w:fill="FFFFFF"/>
          <w:lang w:val="en-US" w:eastAsia="zh-CN"/>
        </w:rPr>
        <w:t>、</w:t>
      </w:r>
      <w:r>
        <w:rPr>
          <w:color w:val="auto"/>
          <w:highlight w:val="none"/>
          <w:lang w:val="pt-BR"/>
        </w:rPr>
        <w:t>医疗救护组，负责对受伤人员进行紧急救治并护送重伤人员至医院</w:t>
      </w:r>
      <w:r>
        <w:rPr>
          <w:rFonts w:hint="eastAsia"/>
          <w:color w:val="auto"/>
          <w:highlight w:val="none"/>
          <w:shd w:val="clear" w:fill="FFFFFF"/>
          <w:lang w:val="pt-BR" w:eastAsia="zh-CN"/>
        </w:rPr>
        <w:t>做进一步</w:t>
      </w:r>
      <w:r>
        <w:rPr>
          <w:color w:val="auto"/>
          <w:highlight w:val="none"/>
          <w:lang w:val="pt-BR"/>
        </w:rPr>
        <w:t>治疗，由施工区医疗机构负责</w:t>
      </w:r>
      <w:r>
        <w:rPr>
          <w:color w:val="auto"/>
          <w:highlight w:val="none"/>
          <w:shd w:val="clear" w:fill="FFFFFF"/>
          <w:lang w:val="pt-BR"/>
        </w:rPr>
        <w:t>，</w:t>
      </w:r>
      <w:r>
        <w:rPr>
          <w:color w:val="auto"/>
          <w:highlight w:val="none"/>
          <w:lang w:val="pt-BR"/>
        </w:rPr>
        <w:t>当地医院协作。</w:t>
      </w:r>
    </w:p>
    <w:p>
      <w:pPr>
        <w:spacing w:line="460" w:lineRule="exact"/>
        <w:ind w:firstLine="520" w:firstLineChars="200"/>
        <w:rPr>
          <w:color w:val="auto"/>
          <w:highlight w:val="none"/>
          <w:lang w:val="pt-BR"/>
        </w:rPr>
      </w:pPr>
      <w:r>
        <w:rPr>
          <w:rFonts w:hint="eastAsia"/>
          <w:color w:val="auto"/>
          <w:highlight w:val="none"/>
          <w:lang w:val="en-US" w:eastAsia="zh-CN"/>
        </w:rPr>
        <w:t>D</w:t>
      </w:r>
      <w:r>
        <w:rPr>
          <w:rFonts w:hint="eastAsia"/>
          <w:color w:val="auto"/>
          <w:highlight w:val="none"/>
          <w:shd w:val="clear" w:fill="FFFFFF"/>
          <w:lang w:val="en-US" w:eastAsia="zh-CN"/>
        </w:rPr>
        <w:t>、</w:t>
      </w:r>
      <w:r>
        <w:rPr>
          <w:color w:val="auto"/>
          <w:highlight w:val="none"/>
          <w:lang w:val="pt-BR"/>
        </w:rPr>
        <w:t>消防组，负责现场灭火、设备容器的冷却、喷水隔爆、抢救伤员及事故后对被污染区域的清洗工作，人员由建设单位、承包商消防人员和当地公安消防队伍组成。</w:t>
      </w:r>
    </w:p>
    <w:p>
      <w:pPr>
        <w:spacing w:line="460" w:lineRule="exact"/>
        <w:ind w:firstLine="520" w:firstLineChars="200"/>
        <w:rPr>
          <w:color w:val="auto"/>
          <w:highlight w:val="none"/>
          <w:lang w:val="pt-BR"/>
        </w:rPr>
      </w:pPr>
      <w:r>
        <w:rPr>
          <w:rFonts w:hint="eastAsia"/>
          <w:color w:val="auto"/>
          <w:highlight w:val="none"/>
          <w:lang w:val="en-US" w:eastAsia="zh-CN"/>
        </w:rPr>
        <w:t>E</w:t>
      </w:r>
      <w:r>
        <w:rPr>
          <w:rFonts w:hint="eastAsia"/>
          <w:color w:val="auto"/>
          <w:highlight w:val="none"/>
          <w:shd w:val="clear" w:fill="FFFFFF"/>
          <w:lang w:val="en-US" w:eastAsia="zh-CN"/>
        </w:rPr>
        <w:t>、</w:t>
      </w:r>
      <w:r>
        <w:rPr>
          <w:color w:val="auto"/>
          <w:highlight w:val="none"/>
          <w:lang w:val="pt-BR"/>
        </w:rPr>
        <w:t>安全疏散组，负责对现场及周围人员进行防护指导、疏散人员、现场周围物资的转移，由建设单位和承包商安全部门、安全保卫人员和当地政府人员组成。</w:t>
      </w:r>
    </w:p>
    <w:p>
      <w:pPr>
        <w:spacing w:line="460" w:lineRule="exact"/>
        <w:ind w:firstLine="520" w:firstLineChars="200"/>
        <w:rPr>
          <w:color w:val="auto"/>
          <w:highlight w:val="none"/>
          <w:lang w:val="pt-BR"/>
        </w:rPr>
      </w:pPr>
      <w:r>
        <w:rPr>
          <w:rFonts w:hint="eastAsia"/>
          <w:color w:val="auto"/>
          <w:highlight w:val="none"/>
          <w:lang w:val="en-US" w:eastAsia="zh-CN"/>
        </w:rPr>
        <w:t>F</w:t>
      </w:r>
      <w:r>
        <w:rPr>
          <w:rFonts w:hint="eastAsia"/>
          <w:color w:val="auto"/>
          <w:highlight w:val="none"/>
          <w:shd w:val="clear" w:fill="FFFFFF"/>
          <w:lang w:val="en-US" w:eastAsia="zh-CN"/>
        </w:rPr>
        <w:t>、</w:t>
      </w:r>
      <w:r>
        <w:rPr>
          <w:color w:val="auto"/>
          <w:highlight w:val="none"/>
          <w:lang w:val="pt-BR"/>
        </w:rPr>
        <w:t>安全警戒组，负责布置安全警戒，禁止无关人员、车辆进入危险区域，在人员疏散区域进行治安巡逻，由建设单位和承包商安全保卫人员、当地公安部门负责。</w:t>
      </w:r>
    </w:p>
    <w:p>
      <w:pPr>
        <w:spacing w:line="460" w:lineRule="exact"/>
        <w:ind w:firstLine="520" w:firstLineChars="200"/>
        <w:rPr>
          <w:color w:val="auto"/>
          <w:highlight w:val="none"/>
          <w:lang w:val="pt-BR"/>
        </w:rPr>
      </w:pPr>
      <w:r>
        <w:rPr>
          <w:rFonts w:hint="eastAsia"/>
          <w:color w:val="auto"/>
          <w:highlight w:val="none"/>
          <w:lang w:val="en-US" w:eastAsia="zh-CN"/>
        </w:rPr>
        <w:t>G</w:t>
      </w:r>
      <w:r>
        <w:rPr>
          <w:rFonts w:hint="eastAsia"/>
          <w:color w:val="auto"/>
          <w:highlight w:val="none"/>
          <w:shd w:val="clear" w:fill="FFFFFF"/>
          <w:lang w:val="en-US" w:eastAsia="zh-CN"/>
        </w:rPr>
        <w:t>、</w:t>
      </w:r>
      <w:r>
        <w:rPr>
          <w:color w:val="auto"/>
          <w:highlight w:val="none"/>
          <w:lang w:val="pt-BR"/>
        </w:rPr>
        <w:t>物资供应组，负责组织抢险物资、工器具和后勤生活物资的市场供应，组织运送抢险物资和人员，由建设单位和当地政府负责。</w:t>
      </w:r>
    </w:p>
    <w:p>
      <w:pPr>
        <w:spacing w:line="460" w:lineRule="exact"/>
        <w:ind w:firstLine="520" w:firstLineChars="200"/>
        <w:rPr>
          <w:color w:val="auto"/>
          <w:highlight w:val="none"/>
          <w:lang w:val="pt-BR"/>
        </w:rPr>
      </w:pPr>
      <w:r>
        <w:rPr>
          <w:rFonts w:hint="eastAsia"/>
          <w:color w:val="auto"/>
          <w:highlight w:val="none"/>
          <w:lang w:val="en-US" w:eastAsia="zh-CN"/>
        </w:rPr>
        <w:t>H</w:t>
      </w:r>
      <w:r>
        <w:rPr>
          <w:rFonts w:hint="eastAsia"/>
          <w:color w:val="auto"/>
          <w:highlight w:val="none"/>
          <w:shd w:val="clear" w:fill="FFFFFF"/>
          <w:lang w:val="en-US" w:eastAsia="zh-CN"/>
        </w:rPr>
        <w:t>、</w:t>
      </w:r>
      <w:r>
        <w:rPr>
          <w:color w:val="auto"/>
          <w:highlight w:val="none"/>
          <w:lang w:val="pt-BR"/>
        </w:rPr>
        <w:t>环境监测组，负责对大气、水质、土壤等进行环境应急监测，确定影响区域范围和危险物质浓度，对事故造成的环境影响做出正确评估，为指挥人员决策和消除事故污染提供依据，并负责对事故现场危险物质的处置，由建设单位和承包商单位环境保护管理办公室和当地生态环境局负责。</w:t>
      </w:r>
    </w:p>
    <w:p>
      <w:pPr>
        <w:spacing w:line="460" w:lineRule="exact"/>
        <w:ind w:firstLine="520" w:firstLineChars="200"/>
        <w:rPr>
          <w:color w:val="auto"/>
          <w:highlight w:val="none"/>
          <w:lang w:val="pt-BR"/>
        </w:rPr>
      </w:pPr>
      <w:r>
        <w:rPr>
          <w:rFonts w:hint="eastAsia"/>
          <w:color w:val="auto"/>
          <w:highlight w:val="none"/>
          <w:lang w:val="en-US" w:eastAsia="zh-CN"/>
        </w:rPr>
        <w:t>I</w:t>
      </w:r>
      <w:r>
        <w:rPr>
          <w:rFonts w:hint="eastAsia"/>
          <w:color w:val="auto"/>
          <w:highlight w:val="none"/>
          <w:shd w:val="clear" w:fill="FFFFFF"/>
          <w:lang w:val="en-US" w:eastAsia="zh-CN"/>
        </w:rPr>
        <w:t>、</w:t>
      </w:r>
      <w:r>
        <w:rPr>
          <w:color w:val="auto"/>
          <w:highlight w:val="none"/>
          <w:lang w:val="pt-BR"/>
        </w:rPr>
        <w:t>专家咨询组，负责对事故应急救援提出方案和安全措施，现场指导救援工作，参与事故的调查分析并制定防范措施，由工程建设单位和承包商单位安全监督部门、当地各相关部</w:t>
      </w:r>
      <w:r>
        <w:rPr>
          <w:rFonts w:hint="eastAsia"/>
          <w:color w:val="auto"/>
          <w:highlight w:val="none"/>
          <w:shd w:val="clear" w:fill="FFFFFF"/>
          <w:lang w:val="pt-BR" w:eastAsia="zh-CN"/>
        </w:rPr>
        <w:t>门和</w:t>
      </w:r>
      <w:r>
        <w:rPr>
          <w:color w:val="auto"/>
          <w:highlight w:val="none"/>
          <w:lang w:val="pt-BR"/>
        </w:rPr>
        <w:t>技术专家组成，由领导机构负责组织。</w:t>
      </w:r>
    </w:p>
    <w:p>
      <w:pPr>
        <w:spacing w:line="460" w:lineRule="exact"/>
        <w:ind w:firstLine="520" w:firstLineChars="200"/>
        <w:rPr>
          <w:color w:val="auto"/>
          <w:highlight w:val="none"/>
          <w:lang w:val="pt-BR"/>
        </w:rPr>
      </w:pPr>
      <w:r>
        <w:rPr>
          <w:rFonts w:hint="eastAsia"/>
          <w:color w:val="auto"/>
          <w:highlight w:val="none"/>
          <w:lang w:val="en-US" w:eastAsia="zh-CN"/>
        </w:rPr>
        <w:t>J</w:t>
      </w:r>
      <w:r>
        <w:rPr>
          <w:rFonts w:hint="eastAsia"/>
          <w:color w:val="auto"/>
          <w:highlight w:val="none"/>
          <w:shd w:val="clear" w:fill="FFFFFF"/>
          <w:lang w:val="en-US" w:eastAsia="zh-CN"/>
        </w:rPr>
        <w:t>、</w:t>
      </w:r>
      <w:r>
        <w:rPr>
          <w:color w:val="auto"/>
          <w:highlight w:val="none"/>
          <w:lang w:val="pt-BR"/>
        </w:rPr>
        <w:t>综合协调组，负责综合协调、信息沟通、事故新闻和应急公告发布，由建设单位、当地政府宣传部门组成。</w:t>
      </w:r>
    </w:p>
    <w:p>
      <w:pPr>
        <w:spacing w:line="460" w:lineRule="exact"/>
        <w:ind w:firstLine="520" w:firstLineChars="200"/>
        <w:rPr>
          <w:color w:val="auto"/>
          <w:highlight w:val="none"/>
          <w:lang w:val="pt-BR"/>
        </w:rPr>
      </w:pPr>
      <w:r>
        <w:rPr>
          <w:rFonts w:hint="eastAsia"/>
          <w:color w:val="auto"/>
          <w:highlight w:val="none"/>
          <w:lang w:val="en-US" w:eastAsia="zh-CN"/>
        </w:rPr>
        <w:t>K</w:t>
      </w:r>
      <w:r>
        <w:rPr>
          <w:rFonts w:hint="eastAsia"/>
          <w:color w:val="auto"/>
          <w:highlight w:val="none"/>
          <w:shd w:val="clear" w:fill="FFFFFF"/>
          <w:lang w:val="en-US" w:eastAsia="zh-CN"/>
        </w:rPr>
        <w:t>、</w:t>
      </w:r>
      <w:r>
        <w:rPr>
          <w:color w:val="auto"/>
          <w:highlight w:val="none"/>
          <w:lang w:val="pt-BR"/>
        </w:rPr>
        <w:t>善后处理组，负责现场处置、伤亡善后工作，由建设单位、当地政府相关部门组成。</w:t>
      </w:r>
    </w:p>
    <w:p>
      <w:pPr>
        <w:spacing w:line="460" w:lineRule="exact"/>
        <w:ind w:firstLine="520" w:firstLineChars="200"/>
        <w:rPr>
          <w:rFonts w:hint="eastAsia" w:eastAsia="宋体"/>
          <w:color w:val="auto"/>
          <w:highlight w:val="none"/>
          <w:lang w:val="pt-BR" w:eastAsia="zh-CN"/>
        </w:rPr>
      </w:pPr>
      <w:r>
        <w:rPr>
          <w:rFonts w:hint="eastAsia"/>
          <w:color w:val="auto"/>
          <w:highlight w:val="none"/>
          <w:lang w:val="pt-BR" w:eastAsia="zh-CN"/>
        </w:rPr>
        <w:t>（</w:t>
      </w:r>
      <w:r>
        <w:rPr>
          <w:rFonts w:hint="eastAsia"/>
          <w:color w:val="auto"/>
          <w:highlight w:val="none"/>
          <w:lang w:val="en-US" w:eastAsia="zh-CN"/>
        </w:rPr>
        <w:t>4</w:t>
      </w:r>
      <w:r>
        <w:rPr>
          <w:rFonts w:hint="eastAsia"/>
          <w:color w:val="auto"/>
          <w:highlight w:val="none"/>
          <w:lang w:val="pt-BR" w:eastAsia="zh-CN"/>
        </w:rPr>
        <w:t>）应急响应</w:t>
      </w:r>
    </w:p>
    <w:p>
      <w:pPr>
        <w:spacing w:line="460" w:lineRule="exact"/>
        <w:ind w:firstLine="520" w:firstLineChars="200"/>
        <w:rPr>
          <w:rFonts w:hint="eastAsia"/>
          <w:color w:val="auto"/>
          <w:highlight w:val="none"/>
          <w:lang w:val="pt-BR"/>
        </w:rPr>
      </w:pPr>
      <w:r>
        <w:rPr>
          <w:rFonts w:hint="eastAsia"/>
          <w:color w:val="auto"/>
          <w:highlight w:val="none"/>
          <w:lang w:val="pt-BR"/>
        </w:rPr>
        <w:t>发现紧急状态即将发生或者已经发生时，应当按照以下步骤操作：</w:t>
      </w:r>
    </w:p>
    <w:p>
      <w:pPr>
        <w:spacing w:line="460" w:lineRule="exact"/>
        <w:ind w:firstLine="520" w:firstLineChars="200"/>
        <w:rPr>
          <w:rFonts w:hint="eastAsia"/>
          <w:color w:val="auto"/>
          <w:highlight w:val="none"/>
          <w:lang w:val="pt-BR"/>
        </w:rPr>
      </w:pPr>
      <w:r>
        <w:rPr>
          <w:rFonts w:hint="eastAsia"/>
          <w:color w:val="auto"/>
          <w:highlight w:val="none"/>
          <w:lang w:val="pt-BR"/>
        </w:rPr>
        <w:t>①涉事船舶或企业应该初步评估并确认发生事故，立即电话报告应急救援办公室（也可通过值班电话</w:t>
      </w:r>
      <w:r>
        <w:rPr>
          <w:rFonts w:hint="eastAsia"/>
          <w:color w:val="auto"/>
          <w:highlight w:val="none"/>
          <w:shd w:val="clear" w:fill="FFFFFF"/>
          <w:lang w:val="pt-BR"/>
        </w:rPr>
        <w:t>（</w:t>
      </w:r>
      <w:r>
        <w:rPr>
          <w:rFonts w:hint="eastAsia"/>
          <w:color w:val="auto"/>
          <w:highlight w:val="none"/>
          <w:lang w:val="pt-BR"/>
        </w:rPr>
        <w:t>023</w:t>
      </w:r>
      <w:r>
        <w:rPr>
          <w:rFonts w:hint="eastAsia"/>
          <w:color w:val="auto"/>
          <w:highlight w:val="none"/>
          <w:shd w:val="clear" w:fill="FFFFFF"/>
          <w:lang w:val="pt-BR"/>
        </w:rPr>
        <w:t>）</w:t>
      </w:r>
      <w:r>
        <w:rPr>
          <w:rFonts w:hint="eastAsia"/>
          <w:color w:val="auto"/>
          <w:highlight w:val="none"/>
          <w:lang w:val="pt-BR"/>
        </w:rPr>
        <w:t>89112369向市生态环境局报告，或通过“12345”政务服务便民热线向市政府总值班室报告），并同时采取措施控制事故源防止事故恶化。溢油或化学物质泄漏事故发生时，立即通知工程附近江段各水厂，组织有关监测单位人员对取水口水域水质进行密集监测，一旦发现污染超标现象，立即停止取水。</w:t>
      </w:r>
    </w:p>
    <w:p>
      <w:pPr>
        <w:spacing w:line="460" w:lineRule="exact"/>
        <w:ind w:firstLine="520" w:firstLineChars="200"/>
        <w:rPr>
          <w:rFonts w:hint="eastAsia"/>
          <w:color w:val="auto"/>
          <w:highlight w:val="none"/>
          <w:lang w:val="pt-BR"/>
        </w:rPr>
      </w:pPr>
      <w:r>
        <w:rPr>
          <w:rFonts w:hint="eastAsia"/>
          <w:color w:val="auto"/>
          <w:highlight w:val="none"/>
          <w:lang w:val="pt-BR"/>
        </w:rPr>
        <w:t>②应急救援办公室接到报警后，立即赶赴现场，做出初始评估（事故性质、准确的事故源、数量、事故可能对环境等造成的危害），确定应急影响级别，启动相应的应急预案，并通知应急人员和机构（如应急领导机构成员、应急队伍或者外部应急救援力量）；如果需要外部救援，则应当呼叫有关应急救援部门并立即通知地方政府有关主管部门，必要时，应当向周边住户发出通知。若污染物质为化学原料类物质，应摸清化学物质名称、数量、化学特性及污染面积等，及时向指挥机构报告，指挥机构研究相应的处置方案</w:t>
      </w:r>
      <w:r>
        <w:rPr>
          <w:rFonts w:hint="eastAsia"/>
          <w:color w:val="auto"/>
          <w:highlight w:val="none"/>
          <w:shd w:val="clear" w:fill="FFFFFF"/>
          <w:lang w:val="pt-BR"/>
        </w:rPr>
        <w:t>，</w:t>
      </w:r>
      <w:r>
        <w:rPr>
          <w:rFonts w:hint="eastAsia"/>
          <w:color w:val="auto"/>
          <w:highlight w:val="none"/>
          <w:lang w:val="pt-BR"/>
        </w:rPr>
        <w:t>有关部门组织实施，防止污染事态扩大。现场污染常用处置手段包括拦截、导流、疏浚等形式防止水体污染扩大；隔离、吸附、打捞、氧化还原、中和、沉淀、消毒、临时收贮、微生物消解、转移异地处置或临时建设污染处置工程等方法处置污染物。</w:t>
      </w:r>
    </w:p>
    <w:p>
      <w:pPr>
        <w:spacing w:line="460" w:lineRule="exact"/>
        <w:ind w:firstLine="520" w:firstLineChars="200"/>
        <w:rPr>
          <w:rFonts w:hint="eastAsia"/>
          <w:color w:val="auto"/>
          <w:highlight w:val="none"/>
          <w:lang w:val="pt-BR"/>
        </w:rPr>
      </w:pPr>
      <w:r>
        <w:rPr>
          <w:rFonts w:hint="eastAsia"/>
          <w:color w:val="auto"/>
          <w:highlight w:val="none"/>
          <w:lang w:val="pt-BR"/>
        </w:rPr>
        <w:t>③各有关单位接到警报后，应当按照应急预案的要求启动相应的工作。</w:t>
      </w:r>
    </w:p>
    <w:p>
      <w:pPr>
        <w:spacing w:line="460" w:lineRule="exact"/>
        <w:ind w:firstLine="520" w:firstLineChars="200"/>
        <w:rPr>
          <w:rFonts w:hint="eastAsia"/>
          <w:color w:val="auto"/>
          <w:highlight w:val="none"/>
          <w:lang w:val="pt-BR"/>
        </w:rPr>
      </w:pPr>
      <w:r>
        <w:rPr>
          <w:rFonts w:hint="eastAsia"/>
          <w:color w:val="auto"/>
          <w:highlight w:val="none"/>
          <w:lang w:val="pt-BR"/>
        </w:rPr>
        <w:t>④应急救援办公室应按照专业对口迅速向政府主管部门等上级领导机关（</w:t>
      </w:r>
      <w:r>
        <w:rPr>
          <w:rFonts w:hint="eastAsia"/>
          <w:color w:val="auto"/>
          <w:highlight w:val="none"/>
          <w:lang w:val="pt-BR" w:eastAsia="zh-CN"/>
        </w:rPr>
        <w:t>水利、</w:t>
      </w:r>
      <w:r>
        <w:rPr>
          <w:rFonts w:hint="eastAsia"/>
          <w:color w:val="auto"/>
          <w:highlight w:val="none"/>
          <w:lang w:val="pt-BR"/>
        </w:rPr>
        <w:t>渔业、环保等）报告。</w:t>
      </w:r>
    </w:p>
    <w:p>
      <w:pPr>
        <w:spacing w:line="460" w:lineRule="exact"/>
        <w:ind w:firstLine="520" w:firstLineChars="200"/>
        <w:rPr>
          <w:color w:val="auto"/>
          <w:highlight w:val="none"/>
          <w:lang w:val="pt-BR"/>
        </w:rPr>
      </w:pPr>
      <w:r>
        <w:rPr>
          <w:rFonts w:hint="eastAsia"/>
          <w:color w:val="auto"/>
          <w:highlight w:val="none"/>
          <w:lang w:val="pt-BR"/>
        </w:rPr>
        <w:t>报告内容主要包括事件发生时间、地点、信息来源、起因和性质、基本过程、主要污染物质和数量、影响范围、人员受害情况、饮用水水源地等环境敏感点受影响情况、发展趋势、处置情况、拟采取的措施以及下一步工作建议等</w:t>
      </w:r>
      <w:r>
        <w:rPr>
          <w:color w:val="auto"/>
          <w:highlight w:val="none"/>
          <w:lang w:val="pt-BR"/>
        </w:rPr>
        <w:t>。</w:t>
      </w:r>
    </w:p>
    <w:p>
      <w:pPr>
        <w:spacing w:line="460" w:lineRule="exact"/>
        <w:ind w:firstLine="520" w:firstLineChars="200"/>
        <w:rPr>
          <w:color w:val="auto"/>
          <w:highlight w:val="none"/>
          <w:lang w:val="pt-BR"/>
        </w:rPr>
      </w:pPr>
      <w:r>
        <w:rPr>
          <w:rFonts w:hint="eastAsia"/>
          <w:color w:val="auto"/>
          <w:highlight w:val="none"/>
          <w:lang w:val="pt-BR" w:eastAsia="zh-CN"/>
        </w:rPr>
        <w:t>（</w:t>
      </w:r>
      <w:r>
        <w:rPr>
          <w:rFonts w:hint="eastAsia"/>
          <w:color w:val="auto"/>
          <w:highlight w:val="none"/>
          <w:lang w:val="en-US" w:eastAsia="zh-CN"/>
        </w:rPr>
        <w:t>5</w:t>
      </w:r>
      <w:r>
        <w:rPr>
          <w:rFonts w:hint="eastAsia"/>
          <w:color w:val="auto"/>
          <w:highlight w:val="none"/>
          <w:lang w:val="pt-BR" w:eastAsia="zh-CN"/>
        </w:rPr>
        <w:t>）</w:t>
      </w:r>
      <w:r>
        <w:rPr>
          <w:color w:val="auto"/>
          <w:highlight w:val="none"/>
          <w:lang w:val="pt-BR"/>
        </w:rPr>
        <w:t>应急监测、救援及控制措施</w:t>
      </w:r>
    </w:p>
    <w:p>
      <w:pPr>
        <w:spacing w:line="460" w:lineRule="exact"/>
        <w:ind w:firstLine="520" w:firstLineChars="200"/>
        <w:rPr>
          <w:color w:val="auto"/>
          <w:highlight w:val="none"/>
          <w:lang w:val="pt-BR"/>
        </w:rPr>
      </w:pPr>
      <w:r>
        <w:rPr>
          <w:color w:val="auto"/>
          <w:highlight w:val="none"/>
          <w:lang w:val="pt-BR"/>
        </w:rPr>
        <w:t>环境监测组负责人带领环境监测人员及应急查询资料到达现场，对事故原因、性质进行初步分析、取样、送样、并做好样品快速检测工作，及时提供监测数据、污染物种类、性质、控制方法及防护、处理意见，并发布应急监测简报，对事故出现后周围的安全防护距离、应急人员进出现场的要求、群众的疏散范围和路线等提供科学依据，确保群众和救援人员的安全防护。</w:t>
      </w:r>
    </w:p>
    <w:p>
      <w:pPr>
        <w:spacing w:line="460" w:lineRule="exact"/>
        <w:ind w:firstLine="520" w:firstLineChars="200"/>
        <w:rPr>
          <w:color w:val="auto"/>
          <w:highlight w:val="none"/>
          <w:lang w:val="pt-BR"/>
        </w:rPr>
      </w:pPr>
      <w:r>
        <w:rPr>
          <w:rFonts w:hint="eastAsia"/>
          <w:color w:val="auto"/>
          <w:highlight w:val="none"/>
          <w:lang w:val="pt-BR" w:eastAsia="zh-CN"/>
        </w:rPr>
        <w:t>（</w:t>
      </w:r>
      <w:r>
        <w:rPr>
          <w:rFonts w:hint="eastAsia"/>
          <w:color w:val="auto"/>
          <w:highlight w:val="none"/>
          <w:lang w:val="en-US" w:eastAsia="zh-CN"/>
        </w:rPr>
        <w:t>6</w:t>
      </w:r>
      <w:r>
        <w:rPr>
          <w:rFonts w:hint="eastAsia"/>
          <w:color w:val="auto"/>
          <w:highlight w:val="none"/>
          <w:lang w:val="pt-BR" w:eastAsia="zh-CN"/>
        </w:rPr>
        <w:t>）</w:t>
      </w:r>
      <w:r>
        <w:rPr>
          <w:color w:val="auto"/>
          <w:highlight w:val="none"/>
          <w:lang w:val="pt-BR"/>
        </w:rPr>
        <w:t>应急防护措施</w:t>
      </w:r>
    </w:p>
    <w:p>
      <w:pPr>
        <w:spacing w:line="460" w:lineRule="exact"/>
        <w:ind w:firstLine="520" w:firstLineChars="200"/>
        <w:rPr>
          <w:color w:val="auto"/>
          <w:highlight w:val="none"/>
          <w:lang w:val="pt-BR"/>
        </w:rPr>
      </w:pPr>
      <w:r>
        <w:rPr>
          <w:color w:val="auto"/>
          <w:highlight w:val="none"/>
          <w:lang w:val="pt-BR"/>
        </w:rPr>
        <w:t>危险源控制组和消防组对事故现场进行调查取证，对事故类型、发生时间、污染源、主要污染物、影响范围和程度等进行调查分析，形成初步意见，反馈现场指挥和应急领导机构。</w:t>
      </w:r>
    </w:p>
    <w:p>
      <w:pPr>
        <w:spacing w:line="460" w:lineRule="exact"/>
        <w:ind w:firstLine="520" w:firstLineChars="200"/>
        <w:rPr>
          <w:color w:val="auto"/>
          <w:highlight w:val="none"/>
          <w:lang w:val="pt-BR"/>
        </w:rPr>
      </w:pPr>
      <w:r>
        <w:rPr>
          <w:color w:val="auto"/>
          <w:highlight w:val="none"/>
          <w:lang w:val="pt-BR"/>
        </w:rPr>
        <w:t>安全警戒组在事故区域设置</w:t>
      </w:r>
      <w:r>
        <w:rPr>
          <w:color w:val="auto"/>
          <w:highlight w:val="none"/>
          <w:shd w:val="clear" w:fill="FFFFFF"/>
          <w:lang w:val="pt-BR"/>
        </w:rPr>
        <w:t>警戒标识</w:t>
      </w:r>
      <w:r>
        <w:rPr>
          <w:color w:val="auto"/>
          <w:highlight w:val="none"/>
          <w:lang w:val="pt-BR"/>
        </w:rPr>
        <w:t>，禁止无关人员进入。各小组协作，由专业人员负责，及时控制危险源，切断传播途径，控制防火、防爆区域，对污染源及时处置，防止污染扩散，物资供应组及时提供所需各项物资和设备。</w:t>
      </w:r>
    </w:p>
    <w:p>
      <w:pPr>
        <w:spacing w:line="460" w:lineRule="exact"/>
        <w:ind w:firstLine="520" w:firstLineChars="200"/>
        <w:rPr>
          <w:color w:val="auto"/>
          <w:highlight w:val="none"/>
          <w:lang w:val="pt-BR"/>
        </w:rPr>
      </w:pPr>
      <w:r>
        <w:rPr>
          <w:rFonts w:hint="eastAsia"/>
          <w:color w:val="auto"/>
          <w:highlight w:val="none"/>
          <w:lang w:val="pt-BR" w:eastAsia="zh-CN"/>
        </w:rPr>
        <w:t>（</w:t>
      </w:r>
      <w:r>
        <w:rPr>
          <w:rFonts w:hint="eastAsia"/>
          <w:color w:val="auto"/>
          <w:highlight w:val="none"/>
          <w:lang w:val="en-US" w:eastAsia="zh-CN"/>
        </w:rPr>
        <w:t>7</w:t>
      </w:r>
      <w:r>
        <w:rPr>
          <w:rFonts w:hint="eastAsia"/>
          <w:color w:val="auto"/>
          <w:highlight w:val="none"/>
          <w:lang w:val="pt-BR" w:eastAsia="zh-CN"/>
        </w:rPr>
        <w:t>）</w:t>
      </w:r>
      <w:r>
        <w:rPr>
          <w:color w:val="auto"/>
          <w:highlight w:val="none"/>
          <w:lang w:val="pt-BR"/>
        </w:rPr>
        <w:t>人员疏散、撤离组织计划</w:t>
      </w:r>
    </w:p>
    <w:p>
      <w:pPr>
        <w:spacing w:line="460" w:lineRule="exact"/>
        <w:ind w:firstLine="520" w:firstLineChars="200"/>
        <w:rPr>
          <w:color w:val="auto"/>
          <w:highlight w:val="none"/>
          <w:lang w:val="pt-BR"/>
        </w:rPr>
      </w:pPr>
      <w:r>
        <w:rPr>
          <w:color w:val="auto"/>
          <w:highlight w:val="none"/>
          <w:lang w:val="pt-BR"/>
        </w:rPr>
        <w:t>受灾区域内被围困人员由安全疏散组负责搜救；警戒区域内无关人员由建设单位配合安全疏散组实施紧急疏散。</w:t>
      </w:r>
    </w:p>
    <w:p>
      <w:pPr>
        <w:spacing w:line="460" w:lineRule="exact"/>
        <w:ind w:firstLine="520" w:firstLineChars="200"/>
        <w:rPr>
          <w:color w:val="auto"/>
          <w:highlight w:val="none"/>
          <w:lang w:val="pt-BR"/>
        </w:rPr>
      </w:pPr>
      <w:r>
        <w:rPr>
          <w:color w:val="auto"/>
          <w:highlight w:val="none"/>
          <w:lang w:val="pt-BR"/>
        </w:rPr>
        <w:t>当事故可能危及周边地区较大范围人员安全时，现场指挥应综合专家组及有关部门的意见，及时向领导小组提出实施群体性人员紧急疏散的建议，建议应当明确疏散的范围、时间与方向。</w:t>
      </w:r>
    </w:p>
    <w:p>
      <w:pPr>
        <w:spacing w:line="460" w:lineRule="exact"/>
        <w:ind w:firstLine="520" w:firstLineChars="200"/>
        <w:rPr>
          <w:color w:val="auto"/>
          <w:highlight w:val="none"/>
          <w:lang w:val="pt-BR"/>
        </w:rPr>
      </w:pPr>
      <w:r>
        <w:rPr>
          <w:color w:val="auto"/>
          <w:highlight w:val="none"/>
          <w:lang w:val="pt-BR"/>
        </w:rPr>
        <w:t>现场指挥应当及时发布事故信息，经领导小组批准，及时发布周边地区人员紧急疏散的公告；当地政府及各有关部门，应当按照领导小组的指令，及时、有序、全面、安全地实施人员疏散，妥善解决疏散人员的临时生活保障问题。</w:t>
      </w:r>
    </w:p>
    <w:p>
      <w:pPr>
        <w:spacing w:line="460" w:lineRule="exact"/>
        <w:ind w:firstLine="520" w:firstLineChars="200"/>
        <w:rPr>
          <w:color w:val="auto"/>
          <w:highlight w:val="none"/>
          <w:lang w:val="pt-BR"/>
        </w:rPr>
      </w:pPr>
      <w:r>
        <w:rPr>
          <w:rFonts w:hint="eastAsia"/>
          <w:color w:val="auto"/>
          <w:highlight w:val="none"/>
          <w:lang w:val="pt-BR" w:eastAsia="zh-CN"/>
        </w:rPr>
        <w:t>（</w:t>
      </w:r>
      <w:r>
        <w:rPr>
          <w:rFonts w:hint="eastAsia"/>
          <w:color w:val="auto"/>
          <w:highlight w:val="none"/>
          <w:lang w:val="en-US" w:eastAsia="zh-CN"/>
        </w:rPr>
        <w:t>8</w:t>
      </w:r>
      <w:r>
        <w:rPr>
          <w:rFonts w:hint="eastAsia"/>
          <w:color w:val="auto"/>
          <w:highlight w:val="none"/>
          <w:lang w:val="pt-BR" w:eastAsia="zh-CN"/>
        </w:rPr>
        <w:t>）</w:t>
      </w:r>
      <w:r>
        <w:rPr>
          <w:color w:val="auto"/>
          <w:highlight w:val="none"/>
          <w:lang w:val="pt-BR"/>
        </w:rPr>
        <w:t>应急救援保障</w:t>
      </w:r>
    </w:p>
    <w:p>
      <w:pPr>
        <w:spacing w:line="460" w:lineRule="exact"/>
        <w:ind w:firstLine="520" w:firstLineChars="200"/>
        <w:rPr>
          <w:rFonts w:hint="eastAsia"/>
          <w:color w:val="auto"/>
          <w:highlight w:val="none"/>
          <w:lang w:val="pt-BR" w:eastAsia="zh-CN"/>
        </w:rPr>
      </w:pPr>
      <w:r>
        <w:rPr>
          <w:color w:val="auto"/>
          <w:highlight w:val="none"/>
          <w:lang w:val="pt-BR"/>
        </w:rPr>
        <w:t>主要包括专用消防水池、消火栓、灭火器、消防车、消防水收集系统、吸油毡、溢油控制器材、各类药品等。</w:t>
      </w:r>
    </w:p>
    <w:p>
      <w:pPr>
        <w:spacing w:line="460" w:lineRule="exact"/>
        <w:ind w:firstLine="520" w:firstLineChars="200"/>
        <w:rPr>
          <w:color w:val="auto"/>
          <w:highlight w:val="none"/>
          <w:lang w:val="pt-BR"/>
        </w:rPr>
      </w:pPr>
      <w:r>
        <w:rPr>
          <w:rFonts w:hint="eastAsia"/>
          <w:color w:val="auto"/>
          <w:highlight w:val="none"/>
          <w:lang w:val="pt-BR" w:eastAsia="zh-CN"/>
        </w:rPr>
        <w:t>（</w:t>
      </w:r>
      <w:r>
        <w:rPr>
          <w:rFonts w:hint="eastAsia"/>
          <w:color w:val="auto"/>
          <w:highlight w:val="none"/>
          <w:lang w:val="en-US" w:eastAsia="zh-CN"/>
        </w:rPr>
        <w:t>9</w:t>
      </w:r>
      <w:r>
        <w:rPr>
          <w:rFonts w:hint="eastAsia"/>
          <w:color w:val="auto"/>
          <w:highlight w:val="none"/>
          <w:lang w:val="pt-BR" w:eastAsia="zh-CN"/>
        </w:rPr>
        <w:t>）</w:t>
      </w:r>
      <w:r>
        <w:rPr>
          <w:color w:val="auto"/>
          <w:highlight w:val="none"/>
          <w:lang w:val="pt-BR"/>
        </w:rPr>
        <w:t>事故应急救援关闭程序与恢复措施</w:t>
      </w:r>
    </w:p>
    <w:p>
      <w:pPr>
        <w:spacing w:line="460" w:lineRule="exact"/>
        <w:ind w:firstLine="520" w:firstLineChars="200"/>
        <w:rPr>
          <w:color w:val="auto"/>
          <w:highlight w:val="none"/>
          <w:lang w:val="pt-BR"/>
        </w:rPr>
      </w:pPr>
      <w:r>
        <w:rPr>
          <w:color w:val="auto"/>
          <w:highlight w:val="none"/>
          <w:lang w:val="pt-BR"/>
        </w:rPr>
        <w:t>整个应急处置和救援工作完成后，即事件现场得到控制，事件条件已经消除；污染源的泄漏或释放已降至规定限值以内；事件所造成的危害已被彻底消除，无续发可能；事件现场的各种专业应急处置行动已无继续的必要；采取了必要的防护措施已能保证公众免受再次危害，并使事件可能引起的中长期影响趋于合理且尽量低的水平。经现场指挥提议、领导小组批准，由现场指挥宣布解除应急状态，并发布有关信息。</w:t>
      </w:r>
    </w:p>
    <w:p>
      <w:pPr>
        <w:spacing w:line="460" w:lineRule="exact"/>
        <w:ind w:firstLine="520" w:firstLineChars="200"/>
        <w:rPr>
          <w:color w:val="auto"/>
          <w:highlight w:val="none"/>
          <w:lang w:val="pt-BR"/>
        </w:rPr>
      </w:pPr>
      <w:r>
        <w:rPr>
          <w:color w:val="auto"/>
          <w:highlight w:val="none"/>
          <w:lang w:val="pt-BR"/>
        </w:rPr>
        <w:t>工程建设单位协同有关部门做好现场清洁与清理，消除危害因素。</w:t>
      </w:r>
    </w:p>
    <w:p>
      <w:pPr>
        <w:spacing w:line="460" w:lineRule="exact"/>
        <w:ind w:firstLine="520" w:firstLineChars="200"/>
        <w:rPr>
          <w:color w:val="auto"/>
          <w:highlight w:val="none"/>
          <w:lang w:val="pt-BR"/>
        </w:rPr>
      </w:pPr>
      <w:r>
        <w:rPr>
          <w:color w:val="auto"/>
          <w:highlight w:val="none"/>
          <w:lang w:val="pt-BR"/>
        </w:rPr>
        <w:t>善后处理组针对事故对人体、动植物、土壤、水体、空气造成的现实危害和可能的危害，提供处置建议等相关技术支持，并对事故现场和周边环境进行跟踪监测，直至符合国家环境保护标准。做好事故调查处理。</w:t>
      </w:r>
    </w:p>
    <w:p>
      <w:pPr>
        <w:spacing w:line="460" w:lineRule="exact"/>
        <w:ind w:firstLine="520" w:firstLineChars="200"/>
        <w:rPr>
          <w:color w:val="auto"/>
          <w:highlight w:val="none"/>
          <w:lang w:val="pt-BR"/>
        </w:rPr>
      </w:pPr>
      <w:r>
        <w:rPr>
          <w:rFonts w:hint="eastAsia"/>
          <w:color w:val="auto"/>
          <w:highlight w:val="none"/>
          <w:lang w:val="pt-BR" w:eastAsia="zh-CN"/>
        </w:rPr>
        <w:t>（</w:t>
      </w:r>
      <w:r>
        <w:rPr>
          <w:rFonts w:hint="eastAsia"/>
          <w:color w:val="auto"/>
          <w:highlight w:val="none"/>
          <w:lang w:val="en-US" w:eastAsia="zh-CN"/>
        </w:rPr>
        <w:t>10</w:t>
      </w:r>
      <w:r>
        <w:rPr>
          <w:rFonts w:hint="eastAsia"/>
          <w:color w:val="auto"/>
          <w:highlight w:val="none"/>
          <w:lang w:val="pt-BR" w:eastAsia="zh-CN"/>
        </w:rPr>
        <w:t>）</w:t>
      </w:r>
      <w:r>
        <w:rPr>
          <w:color w:val="auto"/>
          <w:highlight w:val="none"/>
          <w:lang w:val="pt-BR"/>
        </w:rPr>
        <w:t>应急培训计划</w:t>
      </w:r>
    </w:p>
    <w:p>
      <w:pPr>
        <w:spacing w:line="460" w:lineRule="exact"/>
        <w:ind w:firstLine="520" w:firstLineChars="200"/>
        <w:rPr>
          <w:color w:val="auto"/>
          <w:highlight w:val="none"/>
          <w:lang w:val="pt-BR"/>
        </w:rPr>
      </w:pPr>
      <w:r>
        <w:rPr>
          <w:color w:val="auto"/>
          <w:highlight w:val="none"/>
          <w:lang w:val="pt-BR"/>
        </w:rPr>
        <w:t>为了确保应急计划的有效性和可操作性，必须预先对计划中所涉及的人员、设备器材进行训练和保养，使参加应急行动的每一个人都能做到应知应会、熟练掌握。</w:t>
      </w:r>
    </w:p>
    <w:p>
      <w:pPr>
        <w:spacing w:line="460" w:lineRule="exact"/>
        <w:ind w:firstLine="520" w:firstLineChars="200"/>
        <w:rPr>
          <w:color w:val="auto"/>
          <w:highlight w:val="none"/>
          <w:lang w:val="pt-BR"/>
        </w:rPr>
      </w:pPr>
      <w:r>
        <w:rPr>
          <w:color w:val="auto"/>
          <w:highlight w:val="none"/>
          <w:lang w:val="pt-BR"/>
        </w:rPr>
        <w:t>每年定期组织应急人员培训，使受培训人员</w:t>
      </w:r>
      <w:r>
        <w:rPr>
          <w:color w:val="auto"/>
          <w:highlight w:val="none"/>
          <w:shd w:val="clear" w:fill="FFFFFF"/>
          <w:lang w:val="pt-BR"/>
        </w:rPr>
        <w:t>能</w:t>
      </w:r>
      <w:r>
        <w:rPr>
          <w:color w:val="auto"/>
          <w:highlight w:val="none"/>
          <w:lang w:val="pt-BR"/>
        </w:rPr>
        <w:t>掌握使用和维护、保养各种应急设备和器材，并具有在指挥人员指导下完成应急反应的能力。</w:t>
      </w:r>
    </w:p>
    <w:p>
      <w:pPr>
        <w:spacing w:line="460" w:lineRule="exact"/>
        <w:ind w:firstLine="520" w:firstLineChars="200"/>
        <w:rPr>
          <w:color w:val="auto"/>
          <w:highlight w:val="none"/>
          <w:lang w:val="pt-BR"/>
        </w:rPr>
      </w:pPr>
      <w:r>
        <w:rPr>
          <w:color w:val="auto"/>
          <w:highlight w:val="none"/>
          <w:lang w:val="pt-BR"/>
        </w:rPr>
        <w:t>定期进行一次应急演习，在模拟的事故状态下，检查应急机构，应急队伍，应急设备和器材，</w:t>
      </w:r>
      <w:r>
        <w:rPr>
          <w:rFonts w:hint="eastAsia"/>
          <w:color w:val="auto"/>
          <w:highlight w:val="none"/>
          <w:shd w:val="clear" w:fill="FFFFFF"/>
          <w:lang w:val="pt-BR" w:eastAsia="zh-CN"/>
        </w:rPr>
        <w:t>应急通信</w:t>
      </w:r>
      <w:r>
        <w:rPr>
          <w:color w:val="auto"/>
          <w:highlight w:val="none"/>
          <w:lang w:val="pt-BR"/>
        </w:rPr>
        <w:t>等各方面的实战能力。通过演习，发现工作中薄弱环节，并修改、完善应急计划。</w:t>
      </w:r>
    </w:p>
    <w:p>
      <w:pPr>
        <w:spacing w:line="460" w:lineRule="exact"/>
        <w:ind w:firstLine="520" w:firstLineChars="200"/>
        <w:rPr>
          <w:color w:val="auto"/>
          <w:highlight w:val="none"/>
          <w:lang w:val="pt-BR"/>
        </w:rPr>
      </w:pPr>
      <w:r>
        <w:rPr>
          <w:rFonts w:hint="eastAsia"/>
          <w:color w:val="auto"/>
          <w:highlight w:val="none"/>
          <w:lang w:val="pt-BR" w:eastAsia="zh-CN"/>
        </w:rPr>
        <w:t>（</w:t>
      </w:r>
      <w:r>
        <w:rPr>
          <w:rFonts w:hint="eastAsia"/>
          <w:color w:val="auto"/>
          <w:highlight w:val="none"/>
          <w:lang w:val="en-US" w:eastAsia="zh-CN"/>
        </w:rPr>
        <w:t>11</w:t>
      </w:r>
      <w:r>
        <w:rPr>
          <w:rFonts w:hint="eastAsia"/>
          <w:color w:val="auto"/>
          <w:highlight w:val="none"/>
          <w:lang w:val="pt-BR" w:eastAsia="zh-CN"/>
        </w:rPr>
        <w:t>）</w:t>
      </w:r>
      <w:r>
        <w:rPr>
          <w:color w:val="auto"/>
          <w:highlight w:val="none"/>
          <w:lang w:val="pt-BR"/>
        </w:rPr>
        <w:t>公众教育和信息</w:t>
      </w:r>
    </w:p>
    <w:p>
      <w:pPr>
        <w:spacing w:line="460" w:lineRule="exact"/>
        <w:ind w:firstLine="520" w:firstLineChars="200"/>
        <w:rPr>
          <w:color w:val="auto"/>
          <w:highlight w:val="none"/>
          <w:lang w:val="pt-BR"/>
        </w:rPr>
      </w:pPr>
      <w:r>
        <w:rPr>
          <w:color w:val="auto"/>
          <w:highlight w:val="none"/>
          <w:lang w:val="pt-BR"/>
        </w:rPr>
        <w:t>对可能发生事故的附近区域居民进行宣传教育，并发布相关信息。</w:t>
      </w:r>
    </w:p>
    <w:p>
      <w:pPr>
        <w:pStyle w:val="5"/>
        <w:ind w:firstLine="522" w:firstLineChars="0"/>
        <w:jc w:val="left"/>
        <w:rPr>
          <w:color w:val="auto"/>
          <w:highlight w:val="none"/>
        </w:rPr>
      </w:pPr>
      <w:r>
        <w:rPr>
          <w:rFonts w:hint="eastAsia"/>
          <w:color w:val="auto"/>
          <w:highlight w:val="none"/>
        </w:rPr>
        <w:t>环境风险分析结论</w:t>
      </w:r>
    </w:p>
    <w:p>
      <w:pPr>
        <w:autoSpaceDE w:val="0"/>
        <w:autoSpaceDN w:val="0"/>
        <w:adjustRightInd w:val="0"/>
        <w:spacing w:line="460" w:lineRule="exact"/>
        <w:ind w:firstLine="520" w:firstLineChars="0"/>
        <w:rPr>
          <w:color w:val="auto"/>
          <w:szCs w:val="26"/>
          <w:highlight w:val="none"/>
        </w:rPr>
      </w:pPr>
      <w:r>
        <w:rPr>
          <w:rFonts w:hint="eastAsia"/>
          <w:color w:val="auto"/>
          <w:szCs w:val="26"/>
          <w:highlight w:val="none"/>
        </w:rPr>
        <w:t>本项目</w:t>
      </w:r>
      <w:r>
        <w:rPr>
          <w:rFonts w:hint="eastAsia"/>
          <w:color w:val="auto"/>
          <w:szCs w:val="26"/>
          <w:highlight w:val="none"/>
          <w:lang w:eastAsia="zh-CN"/>
        </w:rPr>
        <w:t>运营期</w:t>
      </w:r>
      <w:r>
        <w:rPr>
          <w:rFonts w:hint="eastAsia"/>
          <w:color w:val="auto"/>
          <w:szCs w:val="26"/>
          <w:highlight w:val="none"/>
        </w:rPr>
        <w:t>本身不存在物质危险性和功能性危险源，环境风险事故的发生由间接行为导致，主要环境风险为</w:t>
      </w:r>
      <w:r>
        <w:rPr>
          <w:rFonts w:hint="eastAsia"/>
          <w:color w:val="auto"/>
          <w:szCs w:val="26"/>
          <w:highlight w:val="none"/>
          <w:lang w:eastAsia="zh-CN"/>
        </w:rPr>
        <w:t>过闸船舶环境风险物质</w:t>
      </w:r>
      <w:r>
        <w:rPr>
          <w:rFonts w:hint="eastAsia"/>
          <w:color w:val="auto"/>
          <w:szCs w:val="26"/>
          <w:highlight w:val="none"/>
          <w:shd w:val="clear" w:fill="FFFFFF"/>
          <w:lang w:eastAsia="zh-CN"/>
        </w:rPr>
        <w:t>泄漏</w:t>
      </w:r>
      <w:r>
        <w:rPr>
          <w:rFonts w:hint="eastAsia"/>
          <w:color w:val="auto"/>
          <w:szCs w:val="26"/>
          <w:highlight w:val="none"/>
          <w:lang w:eastAsia="zh-CN"/>
        </w:rPr>
        <w:t>，</w:t>
      </w:r>
      <w:r>
        <w:rPr>
          <w:rFonts w:hint="eastAsia"/>
          <w:color w:val="auto"/>
          <w:szCs w:val="26"/>
          <w:highlight w:val="none"/>
        </w:rPr>
        <w:t>项目涉及的危险物质主要</w:t>
      </w:r>
      <w:r>
        <w:rPr>
          <w:rFonts w:hint="eastAsia"/>
          <w:color w:val="auto"/>
          <w:szCs w:val="26"/>
          <w:highlight w:val="none"/>
          <w:lang w:eastAsia="zh-CN"/>
        </w:rPr>
        <w:t>为油类物质</w:t>
      </w:r>
      <w:r>
        <w:rPr>
          <w:rFonts w:hint="eastAsia"/>
          <w:color w:val="auto"/>
          <w:szCs w:val="26"/>
          <w:highlight w:val="none"/>
        </w:rPr>
        <w:t>等。环境风险类型主要为</w:t>
      </w:r>
      <w:r>
        <w:rPr>
          <w:rFonts w:hint="eastAsia"/>
          <w:color w:val="auto"/>
          <w:szCs w:val="26"/>
          <w:highlight w:val="none"/>
          <w:lang w:eastAsia="zh-CN"/>
        </w:rPr>
        <w:t>过</w:t>
      </w:r>
      <w:r>
        <w:rPr>
          <w:rFonts w:hint="eastAsia"/>
          <w:color w:val="auto"/>
          <w:highlight w:val="none"/>
          <w:lang w:eastAsia="zh-CN"/>
        </w:rPr>
        <w:t>闸</w:t>
      </w:r>
      <w:r>
        <w:rPr>
          <w:rFonts w:hint="eastAsia"/>
          <w:color w:val="auto"/>
          <w:highlight w:val="none"/>
        </w:rPr>
        <w:t>船舶燃料油直接泄漏入江，对涪江水生生态环境和水环境产生影响</w:t>
      </w:r>
      <w:r>
        <w:rPr>
          <w:rFonts w:hint="eastAsia"/>
          <w:color w:val="auto"/>
          <w:szCs w:val="26"/>
          <w:highlight w:val="none"/>
        </w:rPr>
        <w:t>。</w:t>
      </w:r>
      <w:r>
        <w:rPr>
          <w:color w:val="auto"/>
          <w:szCs w:val="26"/>
          <w:highlight w:val="none"/>
        </w:rPr>
        <w:t>本项目在采取设计和环评报告中提出的风险防范措施，以及制定相应的应急预案后，可以满足环境风险事故的防范和处理要求，环境风险可控。</w:t>
      </w:r>
    </w:p>
    <w:p>
      <w:pPr>
        <w:pStyle w:val="15"/>
        <w:tabs>
          <w:tab w:val="left" w:pos="1080"/>
        </w:tabs>
        <w:snapToGrid w:val="0"/>
        <w:spacing w:line="240" w:lineRule="auto"/>
        <w:ind w:firstLine="520"/>
        <w:jc w:val="center"/>
        <w:rPr>
          <w:rFonts w:ascii="Times New Roman" w:hAnsi="Times New Roman"/>
          <w:color w:val="auto"/>
          <w:sz w:val="26"/>
          <w:szCs w:val="26"/>
          <w:highlight w:val="none"/>
        </w:rPr>
      </w:pPr>
    </w:p>
    <w:p>
      <w:pPr>
        <w:pStyle w:val="15"/>
        <w:tabs>
          <w:tab w:val="left" w:pos="1080"/>
        </w:tabs>
        <w:snapToGrid w:val="0"/>
        <w:spacing w:line="240" w:lineRule="auto"/>
        <w:ind w:firstLine="520"/>
        <w:jc w:val="center"/>
        <w:rPr>
          <w:rFonts w:ascii="Times New Roman" w:hAnsi="Times New Roman"/>
          <w:color w:val="auto"/>
          <w:sz w:val="26"/>
          <w:szCs w:val="26"/>
          <w:highlight w:val="none"/>
        </w:rPr>
      </w:pPr>
      <w:r>
        <w:rPr>
          <w:rFonts w:ascii="Times New Roman" w:hAnsi="Times New Roman"/>
          <w:color w:val="auto"/>
          <w:sz w:val="26"/>
          <w:szCs w:val="26"/>
          <w:highlight w:val="none"/>
        </w:rPr>
        <w:t>表</w:t>
      </w:r>
      <w:r>
        <w:rPr>
          <w:rFonts w:hint="eastAsia" w:ascii="Times New Roman" w:hAnsi="Times New Roman"/>
          <w:color w:val="auto"/>
          <w:sz w:val="26"/>
          <w:szCs w:val="26"/>
          <w:highlight w:val="none"/>
          <w:lang w:val="en-US" w:eastAsia="zh-CN"/>
        </w:rPr>
        <w:t>4.6.8</w:t>
      </w:r>
      <w:r>
        <w:rPr>
          <w:rFonts w:hint="eastAsia" w:ascii="Times New Roman" w:hAnsi="Times New Roman"/>
          <w:color w:val="auto"/>
          <w:sz w:val="26"/>
          <w:szCs w:val="26"/>
          <w:highlight w:val="none"/>
        </w:rPr>
        <w:t>-1</w:t>
      </w:r>
      <w:r>
        <w:rPr>
          <w:rFonts w:hint="eastAsia" w:ascii="Times New Roman" w:hAnsi="Times New Roman"/>
          <w:color w:val="auto"/>
          <w:sz w:val="26"/>
          <w:szCs w:val="26"/>
          <w:highlight w:val="none"/>
          <w:lang w:val="en-US" w:eastAsia="zh-CN"/>
        </w:rPr>
        <w:t xml:space="preserve">  </w:t>
      </w:r>
      <w:r>
        <w:rPr>
          <w:rFonts w:ascii="Times New Roman" w:hAnsi="Times New Roman"/>
          <w:color w:val="auto"/>
          <w:sz w:val="26"/>
          <w:szCs w:val="26"/>
          <w:highlight w:val="none"/>
        </w:rPr>
        <w:t>建设项目环境风险简单分析内容表</w:t>
      </w:r>
    </w:p>
    <w:tbl>
      <w:tblPr>
        <w:tblStyle w:val="28"/>
        <w:tblW w:w="48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3"/>
        <w:gridCol w:w="1707"/>
        <w:gridCol w:w="1275"/>
        <w:gridCol w:w="993"/>
        <w:gridCol w:w="1909"/>
        <w:gridCol w:w="11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Align w:val="center"/>
          </w:tcPr>
          <w:p>
            <w:pPr>
              <w:pStyle w:val="15"/>
              <w:tabs>
                <w:tab w:val="left" w:pos="1080"/>
              </w:tabs>
              <w:adjustRightInd w:val="0"/>
              <w:snapToGrid w:val="0"/>
              <w:spacing w:line="240" w:lineRule="auto"/>
              <w:ind w:firstLine="0" w:firstLineChars="0"/>
              <w:jc w:val="center"/>
              <w:rPr>
                <w:rFonts w:ascii="Times New Roman" w:hAnsi="Times New Roman"/>
                <w:color w:val="auto"/>
                <w:sz w:val="22"/>
                <w:highlight w:val="none"/>
              </w:rPr>
            </w:pPr>
            <w:r>
              <w:rPr>
                <w:rFonts w:ascii="Times New Roman" w:hAnsi="Times New Roman"/>
                <w:color w:val="auto"/>
                <w:sz w:val="22"/>
                <w:highlight w:val="none"/>
              </w:rPr>
              <w:t>建设项目名称</w:t>
            </w:r>
          </w:p>
        </w:tc>
        <w:tc>
          <w:tcPr>
            <w:tcW w:w="7005" w:type="dxa"/>
            <w:gridSpan w:val="5"/>
            <w:vAlign w:val="center"/>
          </w:tcPr>
          <w:p>
            <w:pPr>
              <w:pStyle w:val="15"/>
              <w:tabs>
                <w:tab w:val="left" w:pos="1080"/>
              </w:tabs>
              <w:adjustRightInd w:val="0"/>
              <w:snapToGrid w:val="0"/>
              <w:spacing w:line="240" w:lineRule="auto"/>
              <w:ind w:firstLine="0" w:firstLineChars="0"/>
              <w:jc w:val="center"/>
              <w:rPr>
                <w:rFonts w:ascii="Times New Roman" w:hAnsi="Times New Roman"/>
                <w:color w:val="auto"/>
                <w:sz w:val="22"/>
                <w:highlight w:val="none"/>
              </w:rPr>
            </w:pPr>
            <w:r>
              <w:rPr>
                <w:rFonts w:hint="eastAsia" w:ascii="Times New Roman" w:hAnsi="Times New Roman"/>
                <w:color w:val="auto"/>
                <w:sz w:val="22"/>
                <w:highlight w:val="none"/>
              </w:rPr>
              <w:t>涪江干流渭沱电厂船闸扩能升级改造工程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Align w:val="center"/>
          </w:tcPr>
          <w:p>
            <w:pPr>
              <w:pStyle w:val="15"/>
              <w:tabs>
                <w:tab w:val="left" w:pos="1080"/>
              </w:tabs>
              <w:adjustRightInd w:val="0"/>
              <w:snapToGrid w:val="0"/>
              <w:spacing w:line="240" w:lineRule="auto"/>
              <w:ind w:firstLine="0" w:firstLineChars="0"/>
              <w:jc w:val="center"/>
              <w:rPr>
                <w:rFonts w:ascii="Times New Roman" w:hAnsi="Times New Roman"/>
                <w:color w:val="auto"/>
                <w:sz w:val="22"/>
                <w:highlight w:val="none"/>
              </w:rPr>
            </w:pPr>
            <w:r>
              <w:rPr>
                <w:rFonts w:ascii="Times New Roman" w:hAnsi="Times New Roman"/>
                <w:color w:val="auto"/>
                <w:sz w:val="22"/>
                <w:highlight w:val="none"/>
              </w:rPr>
              <w:t>建设地点</w:t>
            </w:r>
          </w:p>
        </w:tc>
        <w:tc>
          <w:tcPr>
            <w:tcW w:w="1707" w:type="dxa"/>
            <w:vAlign w:val="center"/>
          </w:tcPr>
          <w:p>
            <w:pPr>
              <w:pStyle w:val="15"/>
              <w:tabs>
                <w:tab w:val="left" w:pos="1080"/>
              </w:tabs>
              <w:adjustRightInd w:val="0"/>
              <w:snapToGrid w:val="0"/>
              <w:spacing w:line="240" w:lineRule="auto"/>
              <w:ind w:firstLine="0" w:firstLineChars="0"/>
              <w:jc w:val="center"/>
              <w:rPr>
                <w:rFonts w:ascii="Times New Roman" w:hAnsi="Times New Roman"/>
                <w:color w:val="auto"/>
                <w:sz w:val="22"/>
                <w:highlight w:val="none"/>
              </w:rPr>
            </w:pPr>
            <w:r>
              <w:rPr>
                <w:rFonts w:hint="eastAsia" w:ascii="Times New Roman" w:hAnsi="Times New Roman"/>
                <w:color w:val="auto"/>
                <w:sz w:val="22"/>
                <w:highlight w:val="none"/>
                <w:shd w:val="clear" w:fill="FFFFFF"/>
              </w:rPr>
              <w:t>（/</w:t>
            </w:r>
            <w:r>
              <w:rPr>
                <w:rFonts w:hint="eastAsia" w:ascii="Times New Roman" w:hAnsi="Times New Roman"/>
                <w:color w:val="auto"/>
                <w:sz w:val="22"/>
                <w:highlight w:val="none"/>
              </w:rPr>
              <w:t>）省</w:t>
            </w:r>
          </w:p>
        </w:tc>
        <w:tc>
          <w:tcPr>
            <w:tcW w:w="1275" w:type="dxa"/>
            <w:vAlign w:val="center"/>
          </w:tcPr>
          <w:p>
            <w:pPr>
              <w:pStyle w:val="15"/>
              <w:tabs>
                <w:tab w:val="left" w:pos="1080"/>
              </w:tabs>
              <w:adjustRightInd w:val="0"/>
              <w:snapToGrid w:val="0"/>
              <w:spacing w:line="240" w:lineRule="auto"/>
              <w:ind w:firstLine="0" w:firstLineChars="0"/>
              <w:jc w:val="center"/>
              <w:rPr>
                <w:rFonts w:ascii="Times New Roman" w:hAnsi="Times New Roman"/>
                <w:color w:val="auto"/>
                <w:sz w:val="22"/>
                <w:highlight w:val="none"/>
              </w:rPr>
            </w:pPr>
            <w:r>
              <w:rPr>
                <w:rFonts w:hint="eastAsia" w:ascii="Times New Roman" w:hAnsi="Times New Roman"/>
                <w:color w:val="auto"/>
                <w:sz w:val="22"/>
                <w:highlight w:val="none"/>
              </w:rPr>
              <w:t>重庆市</w:t>
            </w:r>
          </w:p>
        </w:tc>
        <w:tc>
          <w:tcPr>
            <w:tcW w:w="993" w:type="dxa"/>
            <w:vAlign w:val="center"/>
          </w:tcPr>
          <w:p>
            <w:pPr>
              <w:pStyle w:val="15"/>
              <w:tabs>
                <w:tab w:val="left" w:pos="1080"/>
              </w:tabs>
              <w:adjustRightInd w:val="0"/>
              <w:snapToGrid w:val="0"/>
              <w:spacing w:line="240" w:lineRule="auto"/>
              <w:ind w:firstLine="0" w:firstLineChars="0"/>
              <w:jc w:val="center"/>
              <w:rPr>
                <w:rFonts w:hint="eastAsia" w:ascii="Times New Roman" w:hAnsi="Times New Roman" w:eastAsia="宋体"/>
                <w:color w:val="auto"/>
                <w:sz w:val="22"/>
                <w:highlight w:val="none"/>
                <w:lang w:eastAsia="zh-CN"/>
              </w:rPr>
            </w:pPr>
            <w:r>
              <w:rPr>
                <w:rFonts w:hint="eastAsia" w:ascii="Times New Roman" w:hAnsi="Times New Roman"/>
                <w:color w:val="auto"/>
                <w:sz w:val="22"/>
                <w:highlight w:val="none"/>
                <w:lang w:eastAsia="zh-CN"/>
              </w:rPr>
              <w:t>合川区</w:t>
            </w:r>
          </w:p>
        </w:tc>
        <w:tc>
          <w:tcPr>
            <w:tcW w:w="1909" w:type="dxa"/>
            <w:vAlign w:val="center"/>
          </w:tcPr>
          <w:p>
            <w:pPr>
              <w:pStyle w:val="15"/>
              <w:tabs>
                <w:tab w:val="left" w:pos="1080"/>
              </w:tabs>
              <w:adjustRightInd w:val="0"/>
              <w:snapToGrid w:val="0"/>
              <w:spacing w:line="240" w:lineRule="auto"/>
              <w:ind w:firstLine="0" w:firstLineChars="0"/>
              <w:jc w:val="center"/>
              <w:rPr>
                <w:rFonts w:hint="eastAsia" w:ascii="Times New Roman" w:hAnsi="Times New Roman" w:eastAsia="宋体"/>
                <w:color w:val="auto"/>
                <w:sz w:val="22"/>
                <w:highlight w:val="none"/>
                <w:lang w:eastAsia="zh-CN"/>
              </w:rPr>
            </w:pPr>
            <w:r>
              <w:rPr>
                <w:rFonts w:hint="eastAsia" w:ascii="Times New Roman" w:hAnsi="Times New Roman"/>
                <w:color w:val="auto"/>
                <w:sz w:val="22"/>
                <w:highlight w:val="none"/>
                <w:lang w:eastAsia="zh-CN"/>
              </w:rPr>
              <w:t>铜溪镇</w:t>
            </w:r>
          </w:p>
        </w:tc>
        <w:tc>
          <w:tcPr>
            <w:tcW w:w="1121" w:type="dxa"/>
            <w:vAlign w:val="center"/>
          </w:tcPr>
          <w:p>
            <w:pPr>
              <w:pStyle w:val="15"/>
              <w:tabs>
                <w:tab w:val="left" w:pos="1080"/>
              </w:tabs>
              <w:adjustRightInd w:val="0"/>
              <w:snapToGrid w:val="0"/>
              <w:spacing w:line="240" w:lineRule="auto"/>
              <w:ind w:firstLine="0" w:firstLineChars="0"/>
              <w:jc w:val="center"/>
              <w:rPr>
                <w:rFonts w:ascii="Times New Roman" w:hAnsi="Times New Roman"/>
                <w:color w:val="auto"/>
                <w:sz w:val="22"/>
                <w:highlight w:val="none"/>
              </w:rPr>
            </w:pPr>
            <w:r>
              <w:rPr>
                <w:rFonts w:hint="eastAsia" w:ascii="Times New Roman" w:hAnsi="Times New Roman"/>
                <w:color w:val="auto"/>
                <w:sz w:val="22"/>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Align w:val="center"/>
          </w:tcPr>
          <w:p>
            <w:pPr>
              <w:pStyle w:val="15"/>
              <w:tabs>
                <w:tab w:val="left" w:pos="1080"/>
              </w:tabs>
              <w:adjustRightInd w:val="0"/>
              <w:snapToGrid w:val="0"/>
              <w:spacing w:line="240" w:lineRule="auto"/>
              <w:ind w:firstLine="0" w:firstLineChars="0"/>
              <w:jc w:val="center"/>
              <w:rPr>
                <w:rFonts w:ascii="Times New Roman" w:hAnsi="Times New Roman"/>
                <w:color w:val="auto"/>
                <w:sz w:val="22"/>
                <w:highlight w:val="none"/>
              </w:rPr>
            </w:pPr>
            <w:r>
              <w:rPr>
                <w:rFonts w:ascii="Times New Roman" w:hAnsi="Times New Roman"/>
                <w:color w:val="auto"/>
                <w:sz w:val="22"/>
                <w:highlight w:val="none"/>
              </w:rPr>
              <w:t>地理坐标</w:t>
            </w:r>
          </w:p>
        </w:tc>
        <w:tc>
          <w:tcPr>
            <w:tcW w:w="1707" w:type="dxa"/>
            <w:vAlign w:val="center"/>
          </w:tcPr>
          <w:p>
            <w:pPr>
              <w:pStyle w:val="15"/>
              <w:tabs>
                <w:tab w:val="left" w:pos="1080"/>
              </w:tabs>
              <w:adjustRightInd w:val="0"/>
              <w:snapToGrid w:val="0"/>
              <w:spacing w:line="240" w:lineRule="auto"/>
              <w:ind w:firstLine="0" w:firstLineChars="0"/>
              <w:jc w:val="center"/>
              <w:rPr>
                <w:rFonts w:ascii="Times New Roman" w:hAnsi="Times New Roman"/>
                <w:color w:val="auto"/>
                <w:sz w:val="22"/>
                <w:highlight w:val="none"/>
              </w:rPr>
            </w:pPr>
            <w:r>
              <w:rPr>
                <w:rFonts w:ascii="Times New Roman" w:hAnsi="Times New Roman"/>
                <w:color w:val="auto"/>
                <w:sz w:val="22"/>
                <w:highlight w:val="none"/>
              </w:rPr>
              <w:t>经度</w:t>
            </w:r>
          </w:p>
        </w:tc>
        <w:tc>
          <w:tcPr>
            <w:tcW w:w="1275" w:type="dxa"/>
            <w:vAlign w:val="center"/>
          </w:tcPr>
          <w:p>
            <w:pPr>
              <w:pStyle w:val="15"/>
              <w:tabs>
                <w:tab w:val="left" w:pos="1080"/>
              </w:tabs>
              <w:adjustRightInd w:val="0"/>
              <w:snapToGrid w:val="0"/>
              <w:spacing w:line="240" w:lineRule="auto"/>
              <w:ind w:firstLine="0" w:firstLineChars="0"/>
              <w:jc w:val="center"/>
              <w:rPr>
                <w:rFonts w:hint="eastAsia" w:ascii="Times New Roman" w:hAnsi="Times New Roman" w:eastAsia="宋体"/>
                <w:color w:val="auto"/>
                <w:sz w:val="22"/>
                <w:highlight w:val="none"/>
                <w:lang w:eastAsia="zh-CN"/>
              </w:rPr>
            </w:pPr>
            <w:r>
              <w:rPr>
                <w:rFonts w:hint="eastAsia"/>
                <w:color w:val="auto"/>
                <w:kern w:val="0"/>
                <w:sz w:val="22"/>
                <w:szCs w:val="22"/>
                <w:highlight w:val="none"/>
                <w:lang w:val="en-US" w:eastAsia="zh-CN" w:bidi="ar"/>
              </w:rPr>
              <w:t>***</w:t>
            </w:r>
          </w:p>
        </w:tc>
        <w:tc>
          <w:tcPr>
            <w:tcW w:w="993" w:type="dxa"/>
            <w:vAlign w:val="center"/>
          </w:tcPr>
          <w:p>
            <w:pPr>
              <w:pStyle w:val="15"/>
              <w:tabs>
                <w:tab w:val="left" w:pos="1080"/>
              </w:tabs>
              <w:adjustRightInd w:val="0"/>
              <w:snapToGrid w:val="0"/>
              <w:spacing w:line="240" w:lineRule="auto"/>
              <w:ind w:firstLine="0" w:firstLineChars="0"/>
              <w:jc w:val="center"/>
              <w:rPr>
                <w:rFonts w:ascii="Times New Roman" w:hAnsi="Times New Roman"/>
                <w:color w:val="auto"/>
                <w:sz w:val="22"/>
                <w:highlight w:val="none"/>
              </w:rPr>
            </w:pPr>
            <w:r>
              <w:rPr>
                <w:rFonts w:ascii="Times New Roman" w:hAnsi="Times New Roman"/>
                <w:color w:val="auto"/>
                <w:sz w:val="22"/>
                <w:highlight w:val="none"/>
              </w:rPr>
              <w:t>纬度</w:t>
            </w:r>
          </w:p>
        </w:tc>
        <w:tc>
          <w:tcPr>
            <w:tcW w:w="3030" w:type="dxa"/>
            <w:gridSpan w:val="2"/>
            <w:vAlign w:val="center"/>
          </w:tcPr>
          <w:p>
            <w:pPr>
              <w:pStyle w:val="15"/>
              <w:tabs>
                <w:tab w:val="left" w:pos="1080"/>
              </w:tabs>
              <w:adjustRightInd w:val="0"/>
              <w:snapToGrid w:val="0"/>
              <w:spacing w:line="240" w:lineRule="auto"/>
              <w:ind w:firstLine="0" w:firstLineChars="0"/>
              <w:jc w:val="center"/>
              <w:rPr>
                <w:rFonts w:hint="eastAsia" w:ascii="Times New Roman" w:hAnsi="Times New Roman" w:eastAsia="宋体"/>
                <w:color w:val="auto"/>
                <w:sz w:val="22"/>
                <w:highlight w:val="none"/>
                <w:lang w:eastAsia="zh-CN"/>
              </w:rPr>
            </w:pPr>
            <w:r>
              <w:rPr>
                <w:rFonts w:hint="eastAsia"/>
                <w:color w:val="auto"/>
                <w:kern w:val="0"/>
                <w:sz w:val="22"/>
                <w:szCs w:val="22"/>
                <w:highlight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Align w:val="center"/>
          </w:tcPr>
          <w:p>
            <w:pPr>
              <w:pStyle w:val="15"/>
              <w:tabs>
                <w:tab w:val="left" w:pos="1080"/>
              </w:tabs>
              <w:adjustRightInd w:val="0"/>
              <w:snapToGrid w:val="0"/>
              <w:spacing w:line="240" w:lineRule="auto"/>
              <w:ind w:firstLine="0" w:firstLineChars="0"/>
              <w:jc w:val="center"/>
              <w:rPr>
                <w:rFonts w:ascii="Times New Roman" w:hAnsi="Times New Roman"/>
                <w:color w:val="auto"/>
                <w:sz w:val="22"/>
                <w:highlight w:val="none"/>
              </w:rPr>
            </w:pPr>
            <w:r>
              <w:rPr>
                <w:rFonts w:ascii="Times New Roman" w:hAnsi="Times New Roman"/>
                <w:color w:val="auto"/>
                <w:sz w:val="22"/>
                <w:highlight w:val="none"/>
              </w:rPr>
              <w:t>主要危险物质及分布</w:t>
            </w:r>
          </w:p>
        </w:tc>
        <w:tc>
          <w:tcPr>
            <w:tcW w:w="7005" w:type="dxa"/>
            <w:gridSpan w:val="5"/>
            <w:vAlign w:val="center"/>
          </w:tcPr>
          <w:p>
            <w:pPr>
              <w:pStyle w:val="15"/>
              <w:tabs>
                <w:tab w:val="left" w:pos="1080"/>
              </w:tabs>
              <w:adjustRightInd w:val="0"/>
              <w:snapToGrid w:val="0"/>
              <w:spacing w:line="240" w:lineRule="auto"/>
              <w:ind w:firstLine="0" w:firstLineChars="0"/>
              <w:jc w:val="left"/>
              <w:rPr>
                <w:rFonts w:hint="eastAsia" w:ascii="Times New Roman" w:hAnsi="Times New Roman" w:eastAsia="宋体"/>
                <w:color w:val="auto"/>
                <w:sz w:val="22"/>
                <w:highlight w:val="none"/>
                <w:lang w:eastAsia="zh-CN"/>
              </w:rPr>
            </w:pPr>
            <w:r>
              <w:rPr>
                <w:rFonts w:hint="eastAsia" w:ascii="Times New Roman" w:hAnsi="Times New Roman"/>
                <w:color w:val="auto"/>
                <w:sz w:val="22"/>
                <w:highlight w:val="none"/>
                <w:lang w:eastAsia="zh-CN"/>
              </w:rPr>
              <w:t>油类物质：分布在施工船舶、过闸船舶内。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Align w:val="center"/>
          </w:tcPr>
          <w:p>
            <w:pPr>
              <w:pStyle w:val="15"/>
              <w:tabs>
                <w:tab w:val="left" w:pos="1080"/>
              </w:tabs>
              <w:adjustRightInd w:val="0"/>
              <w:snapToGrid w:val="0"/>
              <w:spacing w:line="240" w:lineRule="auto"/>
              <w:ind w:firstLine="0" w:firstLineChars="0"/>
              <w:jc w:val="center"/>
              <w:rPr>
                <w:rFonts w:ascii="Times New Roman" w:hAnsi="Times New Roman"/>
                <w:color w:val="auto"/>
                <w:sz w:val="22"/>
                <w:highlight w:val="none"/>
              </w:rPr>
            </w:pPr>
            <w:r>
              <w:rPr>
                <w:rFonts w:ascii="Times New Roman" w:hAnsi="Times New Roman"/>
                <w:color w:val="auto"/>
                <w:sz w:val="22"/>
                <w:highlight w:val="none"/>
              </w:rPr>
              <w:t>环境影响途径及危害后果（大气、地表水、地下水等）</w:t>
            </w:r>
          </w:p>
        </w:tc>
        <w:tc>
          <w:tcPr>
            <w:tcW w:w="7005" w:type="dxa"/>
            <w:gridSpan w:val="5"/>
            <w:vAlign w:val="center"/>
          </w:tcPr>
          <w:p>
            <w:pPr>
              <w:numPr>
                <w:ilvl w:val="0"/>
                <w:numId w:val="0"/>
              </w:numPr>
              <w:adjustRightInd w:val="0"/>
              <w:snapToGrid w:val="0"/>
              <w:spacing w:line="240" w:lineRule="auto"/>
              <w:rPr>
                <w:color w:val="auto"/>
                <w:sz w:val="22"/>
                <w:szCs w:val="22"/>
                <w:highlight w:val="none"/>
              </w:rPr>
            </w:pPr>
            <w:r>
              <w:rPr>
                <w:rFonts w:hint="eastAsia"/>
                <w:color w:val="auto"/>
                <w:sz w:val="22"/>
                <w:szCs w:val="22"/>
                <w:highlight w:val="none"/>
                <w:lang w:eastAsia="zh-CN"/>
              </w:rPr>
              <w:t>施工船舶、</w:t>
            </w:r>
            <w:r>
              <w:rPr>
                <w:rFonts w:hint="eastAsia"/>
                <w:color w:val="auto"/>
                <w:sz w:val="22"/>
                <w:szCs w:val="22"/>
                <w:highlight w:val="none"/>
              </w:rPr>
              <w:t>过闸船舶燃料油直接泄漏入江，对涪江水生生态环境和水环境</w:t>
            </w:r>
            <w:r>
              <w:rPr>
                <w:rFonts w:hint="eastAsia"/>
                <w:color w:val="auto"/>
                <w:sz w:val="22"/>
                <w:szCs w:val="22"/>
                <w:highlight w:val="none"/>
                <w:lang w:eastAsia="zh-CN"/>
              </w:rPr>
              <w:t>造成破坏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3" w:type="dxa"/>
            <w:vAlign w:val="center"/>
          </w:tcPr>
          <w:p>
            <w:pPr>
              <w:pStyle w:val="15"/>
              <w:tabs>
                <w:tab w:val="left" w:pos="1080"/>
              </w:tabs>
              <w:adjustRightInd w:val="0"/>
              <w:snapToGrid w:val="0"/>
              <w:spacing w:line="240" w:lineRule="auto"/>
              <w:ind w:firstLine="0" w:firstLineChars="0"/>
              <w:jc w:val="center"/>
              <w:rPr>
                <w:rFonts w:ascii="Times New Roman" w:hAnsi="Times New Roman"/>
                <w:color w:val="auto"/>
                <w:sz w:val="22"/>
                <w:highlight w:val="none"/>
              </w:rPr>
            </w:pPr>
            <w:r>
              <w:rPr>
                <w:rFonts w:ascii="Times New Roman" w:hAnsi="Times New Roman"/>
                <w:color w:val="auto"/>
                <w:sz w:val="22"/>
                <w:highlight w:val="none"/>
              </w:rPr>
              <w:t>风险防范措施</w:t>
            </w:r>
          </w:p>
        </w:tc>
        <w:tc>
          <w:tcPr>
            <w:tcW w:w="7005" w:type="dxa"/>
            <w:gridSpan w:val="5"/>
            <w:vAlign w:val="center"/>
          </w:tcPr>
          <w:p>
            <w:pPr>
              <w:adjustRightInd w:val="0"/>
              <w:snapToGrid w:val="0"/>
              <w:spacing w:line="240" w:lineRule="auto"/>
              <w:ind w:firstLine="0" w:firstLineChars="0"/>
              <w:rPr>
                <w:rFonts w:hint="eastAsia"/>
                <w:color w:val="auto"/>
                <w:sz w:val="22"/>
                <w:szCs w:val="22"/>
                <w:highlight w:val="none"/>
              </w:rPr>
            </w:pPr>
            <w:r>
              <w:rPr>
                <w:rFonts w:hint="eastAsia"/>
                <w:color w:val="auto"/>
                <w:sz w:val="22"/>
                <w:szCs w:val="22"/>
                <w:highlight w:val="none"/>
              </w:rPr>
              <w:t>①定期监督检查航运环保设施运行使用及安全情况</w:t>
            </w:r>
            <w:r>
              <w:rPr>
                <w:rFonts w:hint="eastAsia"/>
                <w:color w:val="auto"/>
                <w:sz w:val="22"/>
                <w:szCs w:val="22"/>
                <w:highlight w:val="none"/>
                <w:lang w:eastAsia="zh-CN"/>
              </w:rPr>
              <w:t>，</w:t>
            </w:r>
            <w:r>
              <w:rPr>
                <w:rFonts w:hint="eastAsia"/>
                <w:color w:val="auto"/>
                <w:sz w:val="22"/>
                <w:szCs w:val="22"/>
                <w:highlight w:val="none"/>
              </w:rPr>
              <w:t>加强维护维修，发现问题及时处理，避免污染事故发生。</w:t>
            </w:r>
          </w:p>
          <w:p>
            <w:pPr>
              <w:adjustRightInd w:val="0"/>
              <w:snapToGrid w:val="0"/>
              <w:spacing w:line="240" w:lineRule="auto"/>
              <w:ind w:firstLine="0" w:firstLineChars="0"/>
              <w:rPr>
                <w:rFonts w:hint="eastAsia"/>
                <w:color w:val="auto"/>
                <w:sz w:val="22"/>
                <w:szCs w:val="22"/>
                <w:highlight w:val="none"/>
              </w:rPr>
            </w:pPr>
            <w:r>
              <w:rPr>
                <w:rFonts w:hint="eastAsia"/>
                <w:color w:val="auto"/>
                <w:sz w:val="22"/>
                <w:szCs w:val="22"/>
                <w:highlight w:val="none"/>
              </w:rPr>
              <w:t>②加强船舶运输管理，禁止运输剧毒化学品以及国家规定禁止通过内河运输的其他危险化学品，避免发生化学品泄漏等污染水质的情况。</w:t>
            </w:r>
          </w:p>
          <w:p>
            <w:pPr>
              <w:adjustRightInd w:val="0"/>
              <w:snapToGrid w:val="0"/>
              <w:spacing w:line="240" w:lineRule="auto"/>
              <w:ind w:firstLine="0" w:firstLineChars="0"/>
              <w:rPr>
                <w:rFonts w:hint="eastAsia"/>
                <w:color w:val="auto"/>
                <w:sz w:val="22"/>
                <w:szCs w:val="22"/>
                <w:highlight w:val="none"/>
              </w:rPr>
            </w:pPr>
            <w:r>
              <w:rPr>
                <w:rFonts w:hint="eastAsia"/>
                <w:color w:val="auto"/>
                <w:sz w:val="22"/>
                <w:szCs w:val="22"/>
                <w:highlight w:val="none"/>
              </w:rPr>
              <w:t>③严格按照主体工程设计要求，设立导航及有关警示标志，警示船舶安全驾驶；危险品运输应当避开暴雨、洪水、大雾等不利时段，避免由于天气影响造成行船隐患。</w:t>
            </w:r>
          </w:p>
          <w:p>
            <w:pPr>
              <w:adjustRightInd w:val="0"/>
              <w:snapToGrid w:val="0"/>
              <w:spacing w:line="240" w:lineRule="auto"/>
              <w:ind w:firstLine="0" w:firstLineChars="0"/>
              <w:rPr>
                <w:color w:val="auto"/>
                <w:sz w:val="22"/>
                <w:szCs w:val="22"/>
                <w:highlight w:val="none"/>
              </w:rPr>
            </w:pPr>
            <w:r>
              <w:rPr>
                <w:rFonts w:hint="eastAsia"/>
                <w:color w:val="auto"/>
                <w:sz w:val="22"/>
                <w:szCs w:val="22"/>
                <w:highlight w:val="none"/>
              </w:rPr>
              <w:t>④制定</w:t>
            </w:r>
            <w:r>
              <w:rPr>
                <w:rFonts w:hint="eastAsia"/>
                <w:color w:val="auto"/>
                <w:sz w:val="22"/>
                <w:szCs w:val="22"/>
                <w:highlight w:val="none"/>
                <w:lang w:eastAsia="zh-CN"/>
              </w:rPr>
              <w:t>突发环境风险事故应急预案</w:t>
            </w:r>
            <w:r>
              <w:rPr>
                <w:rFonts w:hint="eastAsia"/>
                <w:color w:val="auto"/>
                <w:sz w:val="22"/>
                <w:szCs w:val="22"/>
                <w:highlight w:val="none"/>
              </w:rPr>
              <w:t>，配备收油机、围油栏、吸油毡等应急物资。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78" w:type="dxa"/>
            <w:gridSpan w:val="6"/>
            <w:vAlign w:val="center"/>
          </w:tcPr>
          <w:p>
            <w:pPr>
              <w:pStyle w:val="15"/>
              <w:tabs>
                <w:tab w:val="left" w:pos="1080"/>
              </w:tabs>
              <w:adjustRightInd w:val="0"/>
              <w:snapToGrid w:val="0"/>
              <w:spacing w:line="240" w:lineRule="auto"/>
              <w:ind w:firstLine="0" w:firstLineChars="0"/>
              <w:rPr>
                <w:rFonts w:ascii="Times New Roman" w:hAnsi="Times New Roman"/>
                <w:color w:val="auto"/>
                <w:sz w:val="22"/>
                <w:highlight w:val="none"/>
              </w:rPr>
            </w:pPr>
            <w:r>
              <w:rPr>
                <w:rFonts w:ascii="Times New Roman" w:hAnsi="Times New Roman"/>
                <w:color w:val="auto"/>
                <w:sz w:val="22"/>
                <w:highlight w:val="none"/>
              </w:rPr>
              <w:t>填表说明：无</w:t>
            </w:r>
          </w:p>
        </w:tc>
      </w:tr>
    </w:tbl>
    <w:p>
      <w:pPr>
        <w:ind w:firstLine="520"/>
        <w:rPr>
          <w:color w:val="auto"/>
          <w:highlight w:val="none"/>
        </w:rPr>
        <w:sectPr>
          <w:pgSz w:w="11907" w:h="16840"/>
          <w:pgMar w:top="1701" w:right="1588" w:bottom="1588" w:left="1588" w:header="1304" w:footer="1247" w:gutter="0"/>
          <w:cols w:space="425" w:num="1"/>
          <w:docGrid w:linePitch="354" w:charSpace="0"/>
        </w:sectPr>
      </w:pPr>
    </w:p>
    <w:p>
      <w:pPr>
        <w:spacing w:line="240" w:lineRule="auto"/>
        <w:ind w:firstLine="520"/>
        <w:rPr>
          <w:color w:val="auto"/>
          <w:highlight w:val="none"/>
        </w:rPr>
      </w:pPr>
    </w:p>
    <w:p>
      <w:pPr>
        <w:pStyle w:val="3"/>
        <w:ind w:firstLineChars="0"/>
        <w:rPr>
          <w:color w:val="auto"/>
          <w:highlight w:val="none"/>
        </w:rPr>
      </w:pPr>
      <w:bookmarkStart w:id="123" w:name="_Toc32387"/>
      <w:r>
        <w:rPr>
          <w:rFonts w:hint="eastAsia"/>
          <w:color w:val="auto"/>
          <w:highlight w:val="none"/>
        </w:rPr>
        <w:t>环境保护</w:t>
      </w:r>
      <w:r>
        <w:rPr>
          <w:color w:val="auto"/>
          <w:highlight w:val="none"/>
        </w:rPr>
        <w:t>措施</w:t>
      </w:r>
      <w:r>
        <w:rPr>
          <w:rFonts w:hint="eastAsia"/>
          <w:color w:val="auto"/>
          <w:highlight w:val="none"/>
        </w:rPr>
        <w:t>及其</w:t>
      </w:r>
      <w:r>
        <w:rPr>
          <w:color w:val="auto"/>
          <w:highlight w:val="none"/>
        </w:rPr>
        <w:t>可行性论证</w:t>
      </w:r>
      <w:bookmarkEnd w:id="123"/>
    </w:p>
    <w:p>
      <w:pPr>
        <w:spacing w:line="240" w:lineRule="auto"/>
        <w:ind w:firstLine="520"/>
        <w:rPr>
          <w:color w:val="auto"/>
          <w:highlight w:val="none"/>
        </w:rPr>
      </w:pPr>
    </w:p>
    <w:p>
      <w:pPr>
        <w:pStyle w:val="4"/>
        <w:rPr>
          <w:color w:val="auto"/>
          <w:highlight w:val="none"/>
        </w:rPr>
      </w:pPr>
      <w:bookmarkStart w:id="124" w:name="_Toc3273"/>
      <w:r>
        <w:rPr>
          <w:rFonts w:hint="eastAsia"/>
          <w:color w:val="auto"/>
          <w:highlight w:val="none"/>
        </w:rPr>
        <w:t>施工期环境</w:t>
      </w:r>
      <w:r>
        <w:rPr>
          <w:color w:val="auto"/>
          <w:highlight w:val="none"/>
        </w:rPr>
        <w:t>保护措施</w:t>
      </w:r>
      <w:r>
        <w:rPr>
          <w:rFonts w:hint="eastAsia"/>
          <w:color w:val="auto"/>
          <w:highlight w:val="none"/>
        </w:rPr>
        <w:t>及</w:t>
      </w:r>
      <w:r>
        <w:rPr>
          <w:color w:val="auto"/>
          <w:highlight w:val="none"/>
        </w:rPr>
        <w:t>可行性论证</w:t>
      </w:r>
      <w:bookmarkEnd w:id="124"/>
    </w:p>
    <w:p>
      <w:pPr>
        <w:pStyle w:val="5"/>
        <w:keepNext w:val="0"/>
        <w:keepLines w:val="0"/>
        <w:adjustRightInd w:val="0"/>
        <w:snapToGrid w:val="0"/>
        <w:ind w:firstLine="522"/>
        <w:rPr>
          <w:color w:val="auto"/>
          <w:highlight w:val="none"/>
        </w:rPr>
      </w:pPr>
      <w:r>
        <w:rPr>
          <w:rFonts w:hint="eastAsia"/>
          <w:color w:val="auto"/>
          <w:highlight w:val="none"/>
        </w:rPr>
        <w:t>施工期地表水污染防治措施</w:t>
      </w:r>
    </w:p>
    <w:p>
      <w:pPr>
        <w:adjustRightInd w:val="0"/>
        <w:snapToGrid w:val="0"/>
        <w:ind w:firstLine="52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）混凝土</w:t>
      </w:r>
      <w:r>
        <w:rPr>
          <w:rFonts w:hint="eastAsia"/>
          <w:color w:val="auto"/>
          <w:highlight w:val="none"/>
          <w:shd w:val="clear" w:fill="FFFFFF"/>
          <w:lang w:eastAsia="zh-CN"/>
        </w:rPr>
        <w:t>拌合系统</w:t>
      </w:r>
      <w:r>
        <w:rPr>
          <w:rFonts w:hint="eastAsia"/>
          <w:color w:val="auto"/>
          <w:highlight w:val="none"/>
          <w:lang w:eastAsia="zh-CN"/>
        </w:rPr>
        <w:t>废水处理措施</w:t>
      </w:r>
    </w:p>
    <w:p>
      <w:pPr>
        <w:snapToGrid w:val="0"/>
        <w:spacing w:line="460" w:lineRule="exact"/>
        <w:ind w:firstLine="520" w:firstLineChars="200"/>
        <w:rPr>
          <w:rFonts w:hint="eastAsia" w:eastAsia="宋体"/>
          <w:snapToGrid w:val="0"/>
          <w:color w:val="auto"/>
          <w:szCs w:val="24"/>
          <w:highlight w:val="none"/>
          <w:lang w:eastAsia="zh-CN"/>
        </w:rPr>
      </w:pPr>
      <w:r>
        <w:rPr>
          <w:rFonts w:hint="eastAsia"/>
          <w:snapToGrid w:val="0"/>
          <w:color w:val="auto"/>
          <w:highlight w:val="none"/>
        </w:rPr>
        <w:t>针对混凝土冲洗废水间歇性排放，且悬浮物浓度较高等特点，采用沉淀池进行处理</w:t>
      </w:r>
      <w:r>
        <w:rPr>
          <w:rFonts w:hint="eastAsia"/>
          <w:snapToGrid w:val="0"/>
          <w:color w:val="auto"/>
          <w:highlight w:val="none"/>
          <w:lang w:eastAsia="zh-CN"/>
        </w:rPr>
        <w:t>，设置沉淀池、清水池各</w:t>
      </w:r>
      <w:r>
        <w:rPr>
          <w:rFonts w:hint="eastAsia"/>
          <w:snapToGrid w:val="0"/>
          <w:color w:val="auto"/>
          <w:highlight w:val="none"/>
          <w:lang w:val="en-US" w:eastAsia="zh-CN"/>
        </w:rPr>
        <w:t>1个</w:t>
      </w:r>
      <w:r>
        <w:rPr>
          <w:rFonts w:hint="eastAsia"/>
          <w:snapToGrid w:val="0"/>
          <w:color w:val="auto"/>
          <w:highlight w:val="none"/>
          <w:lang w:eastAsia="zh-CN"/>
        </w:rPr>
        <w:t>，</w:t>
      </w:r>
      <w:r>
        <w:rPr>
          <w:rFonts w:hint="eastAsia"/>
          <w:snapToGrid w:val="0"/>
          <w:color w:val="auto"/>
          <w:highlight w:val="none"/>
        </w:rPr>
        <w:t>对混凝土</w:t>
      </w:r>
      <w:r>
        <w:rPr>
          <w:rFonts w:hint="eastAsia"/>
          <w:snapToGrid w:val="0"/>
          <w:color w:val="auto"/>
          <w:highlight w:val="none"/>
          <w:shd w:val="clear" w:fill="FFFFFF"/>
        </w:rPr>
        <w:t>拌和</w:t>
      </w:r>
      <w:r>
        <w:rPr>
          <w:rFonts w:hint="eastAsia"/>
          <w:snapToGrid w:val="0"/>
          <w:color w:val="auto"/>
          <w:highlight w:val="none"/>
        </w:rPr>
        <w:t>系统的废水经沉淀、中和处理后，再循环利用</w:t>
      </w:r>
      <w:r>
        <w:rPr>
          <w:rFonts w:hint="eastAsia"/>
          <w:snapToGrid w:val="0"/>
          <w:color w:val="auto"/>
          <w:highlight w:val="none"/>
          <w:lang w:eastAsia="zh-CN"/>
        </w:rPr>
        <w:t>。</w:t>
      </w:r>
      <w:r>
        <w:rPr>
          <w:rFonts w:hint="eastAsia"/>
          <w:snapToGrid w:val="0"/>
          <w:color w:val="auto"/>
          <w:highlight w:val="none"/>
        </w:rPr>
        <w:t>该处理方法特点是构造简单，造价低，管理方便，仅需定期清池</w:t>
      </w:r>
      <w:r>
        <w:rPr>
          <w:rFonts w:hint="eastAsia"/>
          <w:snapToGrid w:val="0"/>
          <w:color w:val="auto"/>
          <w:highlight w:val="none"/>
          <w:lang w:eastAsia="zh-CN"/>
        </w:rPr>
        <w:t>，属于同类项目混凝土</w:t>
      </w:r>
      <w:r>
        <w:rPr>
          <w:rFonts w:hint="eastAsia"/>
          <w:snapToGrid w:val="0"/>
          <w:color w:val="auto"/>
          <w:highlight w:val="none"/>
          <w:shd w:val="clear" w:fill="FFFFFF"/>
          <w:lang w:eastAsia="zh-CN"/>
        </w:rPr>
        <w:t>拌合</w:t>
      </w:r>
      <w:r>
        <w:rPr>
          <w:rFonts w:hint="eastAsia"/>
          <w:snapToGrid w:val="0"/>
          <w:color w:val="auto"/>
          <w:highlight w:val="none"/>
          <w:lang w:eastAsia="zh-CN"/>
        </w:rPr>
        <w:t>废水常用处理工艺，用于处理项目产生的混凝土搅拌拌合废水可行</w:t>
      </w:r>
      <w:r>
        <w:rPr>
          <w:rFonts w:hint="eastAsia"/>
          <w:snapToGrid w:val="0"/>
          <w:color w:val="auto"/>
          <w:highlight w:val="none"/>
        </w:rPr>
        <w:t>。该类废水工艺流程如</w:t>
      </w:r>
      <w:r>
        <w:rPr>
          <w:rFonts w:hint="eastAsia"/>
          <w:snapToGrid w:val="0"/>
          <w:color w:val="auto"/>
          <w:highlight w:val="none"/>
          <w:lang w:eastAsia="zh-CN"/>
        </w:rPr>
        <w:t>下图所示：</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color w:val="auto"/>
          <w:highlight w:val="none"/>
        </w:rPr>
      </w:pPr>
      <w:r>
        <w:rPr>
          <w:color w:val="auto"/>
          <w:highlight w:val="none"/>
        </w:rPr>
        <w:drawing>
          <wp:inline distT="0" distB="0" distL="114300" distR="114300">
            <wp:extent cx="5260975" cy="1612265"/>
            <wp:effectExtent l="0" t="0" r="15875" b="6985"/>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90"/>
                    <a:srcRect l="2580" t="4036" r="5022" b="6537"/>
                    <a:stretch>
                      <a:fillRect/>
                    </a:stretch>
                  </pic:blipFill>
                  <pic:spPr>
                    <a:xfrm>
                      <a:off x="0" y="0"/>
                      <a:ext cx="5260975" cy="161226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snapToGrid w:val="0"/>
        <w:jc w:val="center"/>
        <w:textAlignment w:val="auto"/>
        <w:rPr>
          <w:rFonts w:hint="eastAsia"/>
          <w:b/>
          <w:bCs/>
          <w:color w:val="auto"/>
          <w:highlight w:val="none"/>
          <w:lang w:eastAsia="zh-CN"/>
        </w:rPr>
      </w:pPr>
      <w:r>
        <w:rPr>
          <w:rFonts w:hint="eastAsia"/>
          <w:b/>
          <w:bCs/>
          <w:color w:val="auto"/>
          <w:highlight w:val="none"/>
          <w:lang w:eastAsia="zh-CN"/>
        </w:rPr>
        <w:t>图</w:t>
      </w:r>
      <w:r>
        <w:rPr>
          <w:rFonts w:hint="eastAsia"/>
          <w:b/>
          <w:bCs/>
          <w:color w:val="auto"/>
          <w:highlight w:val="none"/>
          <w:lang w:val="en-US" w:eastAsia="zh-CN"/>
        </w:rPr>
        <w:t>5.1.2-1</w:t>
      </w:r>
      <w:r>
        <w:rPr>
          <w:rFonts w:hint="eastAsia"/>
          <w:b/>
          <w:bCs/>
          <w:color w:val="auto"/>
          <w:highlight w:val="none"/>
          <w:lang w:eastAsia="zh-CN"/>
        </w:rPr>
        <w:t xml:space="preserve"> 混凝土拌和系统废水处理工艺示意图</w:t>
      </w:r>
    </w:p>
    <w:p>
      <w:pPr>
        <w:adjustRightInd w:val="0"/>
        <w:snapToGrid w:val="0"/>
        <w:spacing w:line="240" w:lineRule="auto"/>
        <w:ind w:firstLine="520"/>
        <w:rPr>
          <w:rFonts w:hint="eastAsia" w:cs="Times New Roman"/>
          <w:bCs w:val="0"/>
          <w:color w:val="auto"/>
          <w:highlight w:val="none"/>
          <w:lang w:eastAsia="zh-CN"/>
        </w:rPr>
      </w:pPr>
    </w:p>
    <w:p>
      <w:pPr>
        <w:adjustRightInd w:val="0"/>
        <w:snapToGrid w:val="0"/>
        <w:ind w:firstLine="520"/>
        <w:rPr>
          <w:rFonts w:hint="eastAsia" w:cs="Times New Roman"/>
          <w:bCs w:val="0"/>
          <w:color w:val="auto"/>
          <w:highlight w:val="none"/>
          <w:lang w:eastAsia="zh-CN"/>
        </w:rPr>
      </w:pPr>
      <w:r>
        <w:rPr>
          <w:rFonts w:hint="eastAsia" w:cs="Times New Roman"/>
          <w:bCs w:val="0"/>
          <w:color w:val="auto"/>
          <w:highlight w:val="none"/>
          <w:lang w:eastAsia="zh-CN"/>
        </w:rPr>
        <w:t>（</w:t>
      </w:r>
      <w:r>
        <w:rPr>
          <w:rFonts w:hint="eastAsia" w:cs="Times New Roman"/>
          <w:bCs w:val="0"/>
          <w:color w:val="auto"/>
          <w:highlight w:val="none"/>
          <w:lang w:val="en-US" w:eastAsia="zh-CN"/>
        </w:rPr>
        <w:t>2</w:t>
      </w:r>
      <w:r>
        <w:rPr>
          <w:rFonts w:hint="eastAsia" w:cs="Times New Roman"/>
          <w:bCs w:val="0"/>
          <w:color w:val="auto"/>
          <w:highlight w:val="none"/>
          <w:lang w:eastAsia="zh-CN"/>
        </w:rPr>
        <w:t>）生活污水处理</w:t>
      </w:r>
      <w:r>
        <w:rPr>
          <w:rFonts w:hint="eastAsia"/>
          <w:color w:val="auto"/>
          <w:highlight w:val="none"/>
          <w:lang w:eastAsia="zh-CN"/>
        </w:rPr>
        <w:t>措施</w:t>
      </w:r>
    </w:p>
    <w:p>
      <w:pPr>
        <w:snapToGrid w:val="0"/>
        <w:spacing w:line="460" w:lineRule="exact"/>
        <w:ind w:firstLine="520" w:firstLineChars="200"/>
        <w:rPr>
          <w:snapToGrid w:val="0"/>
          <w:color w:val="auto"/>
          <w:highlight w:val="none"/>
        </w:rPr>
      </w:pPr>
      <w:r>
        <w:rPr>
          <w:snapToGrid w:val="0"/>
          <w:color w:val="auto"/>
          <w:highlight w:val="none"/>
        </w:rPr>
        <w:t>施工期生活污水主要包括施工生活区的食堂废水、粪便污水、洗涤污水、淋浴污水等，</w:t>
      </w:r>
      <w:r>
        <w:rPr>
          <w:rFonts w:hint="eastAsia" w:ascii="Times New Roman" w:hAnsi="Times New Roman"/>
          <w:snapToGrid w:val="0"/>
          <w:color w:val="auto"/>
          <w:highlight w:val="none"/>
          <w:lang w:val="en-US" w:eastAsia="zh-CN"/>
        </w:rPr>
        <w:t>高峰期生活</w:t>
      </w:r>
      <w:r>
        <w:rPr>
          <w:rFonts w:ascii="Times New Roman" w:hAnsi="Times New Roman"/>
          <w:snapToGrid w:val="0"/>
          <w:color w:val="auto"/>
          <w:highlight w:val="none"/>
        </w:rPr>
        <w:t>污水</w:t>
      </w:r>
      <w:r>
        <w:rPr>
          <w:rFonts w:hint="eastAsia" w:ascii="Times New Roman" w:hAnsi="Times New Roman"/>
          <w:snapToGrid w:val="0"/>
          <w:color w:val="auto"/>
          <w:highlight w:val="none"/>
          <w:lang w:eastAsia="zh-CN"/>
        </w:rPr>
        <w:t>产生</w:t>
      </w:r>
      <w:r>
        <w:rPr>
          <w:rFonts w:ascii="Times New Roman" w:hAnsi="Times New Roman"/>
          <w:snapToGrid w:val="0"/>
          <w:color w:val="auto"/>
          <w:highlight w:val="none"/>
        </w:rPr>
        <w:t>量约</w:t>
      </w:r>
      <w:r>
        <w:rPr>
          <w:rFonts w:hint="eastAsia" w:ascii="Times New Roman" w:hAnsi="Times New Roman"/>
          <w:snapToGrid w:val="0"/>
          <w:color w:val="auto"/>
          <w:highlight w:val="none"/>
          <w:lang w:val="en-US" w:eastAsia="zh-CN"/>
        </w:rPr>
        <w:t>60</w:t>
      </w:r>
      <w:r>
        <w:rPr>
          <w:rFonts w:ascii="Times New Roman" w:hAnsi="Times New Roman"/>
          <w:snapToGrid w:val="0"/>
          <w:color w:val="auto"/>
          <w:highlight w:val="none"/>
        </w:rPr>
        <w:t>m</w:t>
      </w:r>
      <w:r>
        <w:rPr>
          <w:rFonts w:ascii="Times New Roman" w:hAnsi="Times New Roman"/>
          <w:snapToGrid w:val="0"/>
          <w:color w:val="auto"/>
          <w:highlight w:val="none"/>
          <w:vertAlign w:val="superscript"/>
        </w:rPr>
        <w:t>3</w:t>
      </w:r>
      <w:r>
        <w:rPr>
          <w:rFonts w:ascii="Times New Roman" w:hAnsi="Times New Roman"/>
          <w:snapToGrid w:val="0"/>
          <w:color w:val="auto"/>
          <w:highlight w:val="none"/>
        </w:rPr>
        <w:t>/d</w:t>
      </w:r>
      <w:r>
        <w:rPr>
          <w:rFonts w:hint="eastAsia" w:ascii="Times New Roman" w:hAnsi="Times New Roman"/>
          <w:snapToGrid w:val="0"/>
          <w:color w:val="auto"/>
          <w:highlight w:val="none"/>
          <w:lang w:eastAsia="zh-CN"/>
        </w:rPr>
        <w:t>，</w:t>
      </w:r>
      <w:r>
        <w:rPr>
          <w:snapToGrid w:val="0"/>
          <w:color w:val="auto"/>
          <w:highlight w:val="none"/>
        </w:rPr>
        <w:t>所含污染物主要为BOD</w:t>
      </w:r>
      <w:r>
        <w:rPr>
          <w:snapToGrid w:val="0"/>
          <w:color w:val="auto"/>
          <w:highlight w:val="none"/>
          <w:vertAlign w:val="subscript"/>
        </w:rPr>
        <w:t>5</w:t>
      </w:r>
      <w:r>
        <w:rPr>
          <w:snapToGrid w:val="0"/>
          <w:color w:val="auto"/>
          <w:highlight w:val="none"/>
        </w:rPr>
        <w:t>、COD、SS等，</w:t>
      </w:r>
      <w:r>
        <w:rPr>
          <w:rFonts w:hint="eastAsia"/>
          <w:snapToGrid w:val="0"/>
          <w:color w:val="auto"/>
          <w:highlight w:val="none"/>
        </w:rPr>
        <w:t>工程</w:t>
      </w:r>
      <w:r>
        <w:rPr>
          <w:rFonts w:hint="eastAsia"/>
          <w:snapToGrid w:val="0"/>
          <w:color w:val="auto"/>
          <w:highlight w:val="none"/>
          <w:lang w:eastAsia="zh-CN"/>
        </w:rPr>
        <w:t>施工期在办公生活区内建设</w:t>
      </w:r>
      <w:r>
        <w:rPr>
          <w:rFonts w:hint="eastAsia"/>
          <w:snapToGrid w:val="0"/>
          <w:color w:val="auto"/>
          <w:highlight w:val="none"/>
          <w:lang w:val="en-US" w:eastAsia="zh-CN"/>
        </w:rPr>
        <w:t>1套</w:t>
      </w:r>
      <w:r>
        <w:rPr>
          <w:rFonts w:hint="eastAsia"/>
          <w:snapToGrid w:val="0"/>
          <w:color w:val="auto"/>
          <w:highlight w:val="none"/>
        </w:rPr>
        <w:t>地埋式一体化污水处理设施</w:t>
      </w:r>
      <w:r>
        <w:rPr>
          <w:rFonts w:hint="eastAsia"/>
          <w:snapToGrid w:val="0"/>
          <w:color w:val="auto"/>
          <w:highlight w:val="none"/>
          <w:lang w:eastAsia="zh-CN"/>
        </w:rPr>
        <w:t>，处理规模</w:t>
      </w:r>
      <w:r>
        <w:rPr>
          <w:rFonts w:hint="eastAsia"/>
          <w:color w:val="auto"/>
          <w:szCs w:val="24"/>
          <w:highlight w:val="none"/>
        </w:rPr>
        <w:t>8</w:t>
      </w:r>
      <w:r>
        <w:rPr>
          <w:color w:val="auto"/>
          <w:szCs w:val="24"/>
          <w:highlight w:val="none"/>
        </w:rPr>
        <w:t>m</w:t>
      </w:r>
      <w:r>
        <w:rPr>
          <w:color w:val="auto"/>
          <w:szCs w:val="24"/>
          <w:highlight w:val="none"/>
          <w:vertAlign w:val="superscript"/>
        </w:rPr>
        <w:t>3</w:t>
      </w:r>
      <w:r>
        <w:rPr>
          <w:color w:val="auto"/>
          <w:szCs w:val="24"/>
          <w:highlight w:val="none"/>
        </w:rPr>
        <w:t>/h</w:t>
      </w:r>
      <w:r>
        <w:rPr>
          <w:rFonts w:hint="eastAsia"/>
          <w:color w:val="auto"/>
          <w:szCs w:val="24"/>
          <w:highlight w:val="none"/>
          <w:lang w:eastAsia="zh-CN"/>
        </w:rPr>
        <w:t>，</w:t>
      </w:r>
      <w:r>
        <w:rPr>
          <w:rFonts w:hint="eastAsia"/>
          <w:snapToGrid w:val="0"/>
          <w:color w:val="auto"/>
          <w:highlight w:val="none"/>
          <w:lang w:eastAsia="zh-CN"/>
        </w:rPr>
        <w:t>采用生化处理工艺，污水处理设施工艺流程如下：</w:t>
      </w:r>
    </w:p>
    <w:p>
      <w:pPr>
        <w:spacing w:line="240" w:lineRule="auto"/>
        <w:ind w:left="0" w:leftChars="0" w:firstLine="0" w:firstLineChars="0"/>
        <w:jc w:val="center"/>
        <w:rPr>
          <w:color w:val="auto"/>
          <w:highlight w:val="none"/>
        </w:rPr>
      </w:pPr>
      <w:r>
        <w:rPr>
          <w:color w:val="auto"/>
          <w:sz w:val="26"/>
          <w:highlight w:val="none"/>
        </w:rPr>
        <mc:AlternateContent>
          <mc:Choice Requires="wps">
            <w:drawing>
              <wp:anchor distT="0" distB="0" distL="114300" distR="114300" simplePos="0" relativeHeight="251668480" behindDoc="0" locked="0" layoutInCell="1" allowOverlap="1">
                <wp:simplePos x="0" y="0"/>
                <wp:positionH relativeFrom="column">
                  <wp:posOffset>4869180</wp:posOffset>
                </wp:positionH>
                <wp:positionV relativeFrom="paragraph">
                  <wp:posOffset>732790</wp:posOffset>
                </wp:positionV>
                <wp:extent cx="571500" cy="142875"/>
                <wp:effectExtent l="0" t="0" r="0" b="9525"/>
                <wp:wrapNone/>
                <wp:docPr id="42" name="矩形 42"/>
                <wp:cNvGraphicFramePr/>
                <a:graphic xmlns:a="http://schemas.openxmlformats.org/drawingml/2006/main">
                  <a:graphicData uri="http://schemas.microsoft.com/office/word/2010/wordprocessingShape">
                    <wps:wsp>
                      <wps:cNvSpPr/>
                      <wps:spPr>
                        <a:xfrm>
                          <a:off x="5877560" y="8385175"/>
                          <a:ext cx="57150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3.4pt;margin-top:57.7pt;height:11.25pt;width:45pt;z-index:251668480;v-text-anchor:middle;mso-width-relative:page;mso-height-relative:page;" fillcolor="#FFFFFF [3212]" filled="t" stroked="f" coordsize="21600,21600" o:gfxdata="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FVm9PdkAAAALAQAADwAAAAAAAAABACAAAAAiAAAAZHJz&#10;L2Rvd25yZXYueG1sUEsBAhQAFAAAAAgAh07iQEvTS451AgAA2AQAAA4AAAAAAAAAAQAgAAAAKAEA&#10;AGRycy9lMm9Eb2MueG1sUEsFBgAAAAAGAAYAWQEAAA8GAAAAAA==&#10;">
                <v:fill on="t" focussize="0,0"/>
                <v:stroke on="f" weight="1pt" miterlimit="8" joinstyle="miter"/>
                <v:imagedata o:title=""/>
                <o:lock v:ext="edit" aspectratio="f"/>
              </v:rect>
            </w:pict>
          </mc:Fallback>
        </mc:AlternateContent>
      </w:r>
      <w:r>
        <w:rPr>
          <w:color w:val="auto"/>
          <w:highlight w:val="none"/>
        </w:rPr>
        <w:drawing>
          <wp:inline distT="0" distB="0" distL="114300" distR="114300">
            <wp:extent cx="5537835" cy="1307465"/>
            <wp:effectExtent l="0" t="0" r="5715" b="6985"/>
            <wp:docPr id="13" name="图片 7" descr="未标题-2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descr="未标题-2 副本"/>
                    <pic:cNvPicPr>
                      <a:picLocks noChangeAspect="1"/>
                    </pic:cNvPicPr>
                  </pic:nvPicPr>
                  <pic:blipFill>
                    <a:blip r:embed="rId91"/>
                    <a:stretch>
                      <a:fillRect/>
                    </a:stretch>
                  </pic:blipFill>
                  <pic:spPr>
                    <a:xfrm>
                      <a:off x="0" y="0"/>
                      <a:ext cx="5537835" cy="130746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b/>
          <w:bCs/>
          <w:color w:val="auto"/>
          <w:highlight w:val="none"/>
          <w:lang w:eastAsia="zh-CN"/>
        </w:rPr>
      </w:pPr>
      <w:bookmarkStart w:id="125" w:name="_Toc118815032"/>
      <w:bookmarkStart w:id="126" w:name="_Toc118813454"/>
      <w:bookmarkStart w:id="127" w:name="_Toc118813980"/>
      <w:bookmarkStart w:id="128" w:name="_Toc118814506"/>
      <w:r>
        <w:rPr>
          <w:rFonts w:hint="eastAsia" w:ascii="Times New Roman" w:hAnsi="Times New Roman" w:eastAsia="宋体" w:cs="Times New Roman"/>
          <w:b/>
          <w:bCs/>
          <w:color w:val="auto"/>
          <w:highlight w:val="none"/>
          <w:lang w:eastAsia="zh-CN"/>
        </w:rPr>
        <w:t>图</w:t>
      </w:r>
      <w:r>
        <w:rPr>
          <w:rFonts w:hint="eastAsia" w:cs="Times New Roman"/>
          <w:b/>
          <w:bCs/>
          <w:color w:val="auto"/>
          <w:highlight w:val="none"/>
          <w:lang w:val="en-US" w:eastAsia="zh-CN"/>
        </w:rPr>
        <w:t>5.1.2-2</w:t>
      </w:r>
      <w:r>
        <w:rPr>
          <w:rFonts w:hint="eastAsia" w:ascii="Times New Roman" w:hAnsi="Times New Roman" w:eastAsia="宋体" w:cs="Times New Roman"/>
          <w:b/>
          <w:bCs/>
          <w:color w:val="auto"/>
          <w:highlight w:val="none"/>
          <w:lang w:eastAsia="zh-CN"/>
        </w:rPr>
        <w:t xml:space="preserve">  施工区生活污水处理流程图</w:t>
      </w:r>
      <w:bookmarkEnd w:id="125"/>
      <w:bookmarkEnd w:id="126"/>
      <w:bookmarkEnd w:id="127"/>
      <w:bookmarkEnd w:id="128"/>
    </w:p>
    <w:p>
      <w:pPr>
        <w:bidi w:val="0"/>
        <w:spacing w:line="240" w:lineRule="auto"/>
        <w:rPr>
          <w:rFonts w:hint="eastAsia"/>
          <w:color w:val="auto"/>
          <w:highlight w:val="none"/>
        </w:rPr>
      </w:pPr>
    </w:p>
    <w:p>
      <w:pPr>
        <w:bidi w:val="0"/>
        <w:rPr>
          <w:rFonts w:hint="eastAsia" w:eastAsia="宋体"/>
          <w:color w:val="auto"/>
          <w:highlight w:val="none"/>
          <w:lang w:eastAsia="zh-CN"/>
        </w:rPr>
      </w:pPr>
      <w:r>
        <w:rPr>
          <w:rFonts w:hint="eastAsia"/>
          <w:color w:val="auto"/>
          <w:highlight w:val="none"/>
        </w:rPr>
        <w:t>施工人员生活污水经一体化污水处理设备处理达标后，优先</w:t>
      </w:r>
      <w:r>
        <w:rPr>
          <w:rFonts w:hint="eastAsia"/>
          <w:color w:val="auto"/>
          <w:highlight w:val="none"/>
          <w:lang w:eastAsia="zh-CN"/>
        </w:rPr>
        <w:t>回</w:t>
      </w:r>
      <w:r>
        <w:rPr>
          <w:rFonts w:hint="eastAsia"/>
          <w:color w:val="auto"/>
          <w:highlight w:val="none"/>
        </w:rPr>
        <w:t>用于</w:t>
      </w:r>
      <w:r>
        <w:rPr>
          <w:rFonts w:hint="eastAsia"/>
          <w:color w:val="auto"/>
          <w:highlight w:val="none"/>
          <w:lang w:eastAsia="zh-CN"/>
        </w:rPr>
        <w:t>车辆冲洗、洒水抑尘或</w:t>
      </w:r>
      <w:r>
        <w:rPr>
          <w:rFonts w:hint="eastAsia"/>
          <w:color w:val="auto"/>
          <w:highlight w:val="none"/>
        </w:rPr>
        <w:t>周边绿化</w:t>
      </w:r>
      <w:r>
        <w:rPr>
          <w:rFonts w:hint="eastAsia"/>
          <w:color w:val="auto"/>
          <w:highlight w:val="none"/>
          <w:lang w:eastAsia="zh-CN"/>
        </w:rPr>
        <w:t>，不外排</w:t>
      </w:r>
      <w:r>
        <w:rPr>
          <w:rFonts w:hint="eastAsia"/>
          <w:color w:val="auto"/>
          <w:highlight w:val="none"/>
        </w:rPr>
        <w:t>。</w:t>
      </w:r>
      <w:r>
        <w:rPr>
          <w:rFonts w:hint="eastAsia"/>
          <w:color w:val="auto"/>
          <w:highlight w:val="none"/>
          <w:lang w:eastAsia="zh-CN"/>
        </w:rPr>
        <w:t>项目一体化污水处理设备采用的生化处理工艺为常用处理工艺，施工期生活污水水质简单，经处理之后回用可行。</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color w:val="auto"/>
          <w:highlight w:val="none"/>
        </w:rPr>
        <w:t>基坑排水处理</w:t>
      </w:r>
      <w:r>
        <w:rPr>
          <w:rFonts w:hint="eastAsia"/>
          <w:color w:val="auto"/>
          <w:highlight w:val="none"/>
          <w:lang w:eastAsia="zh-CN"/>
        </w:rPr>
        <w:t>措施</w:t>
      </w:r>
    </w:p>
    <w:p>
      <w:pPr>
        <w:snapToGrid w:val="0"/>
        <w:spacing w:line="460" w:lineRule="exact"/>
        <w:ind w:firstLine="520" w:firstLineChars="200"/>
        <w:rPr>
          <w:rFonts w:hint="eastAsia" w:eastAsia="宋体"/>
          <w:color w:val="auto"/>
          <w:szCs w:val="24"/>
          <w:highlight w:val="none"/>
          <w:lang w:eastAsia="zh-CN"/>
        </w:rPr>
      </w:pPr>
      <w:bookmarkStart w:id="129" w:name="_Toc426913476"/>
      <w:r>
        <w:rPr>
          <w:color w:val="auto"/>
          <w:szCs w:val="24"/>
          <w:highlight w:val="none"/>
        </w:rPr>
        <w:t>基坑排水大部分都汇集在基坑内，与围堰渗水、自然降水混合后，污染物浓度一般较低</w:t>
      </w:r>
      <w:r>
        <w:rPr>
          <w:rFonts w:hint="eastAsia"/>
          <w:color w:val="auto"/>
          <w:szCs w:val="24"/>
          <w:highlight w:val="none"/>
          <w:lang w:eastAsia="zh-CN"/>
        </w:rPr>
        <w:t>，</w:t>
      </w:r>
      <w:r>
        <w:rPr>
          <w:rFonts w:hint="eastAsia"/>
          <w:color w:val="auto"/>
          <w:szCs w:val="24"/>
          <w:highlight w:val="none"/>
        </w:rPr>
        <w:t>本工程的船闸基坑排水采用自然沉淀法，在基坑内开挖矩形沉淀池，向基坑内加入适量的酸调节pH值至中性，必要时可投加絮凝剂让坑水静置沉淀2h后抽出</w:t>
      </w:r>
      <w:r>
        <w:rPr>
          <w:rFonts w:hint="eastAsia"/>
          <w:color w:val="auto"/>
          <w:szCs w:val="24"/>
          <w:highlight w:val="none"/>
          <w:lang w:eastAsia="zh-CN"/>
        </w:rPr>
        <w:t>排入首先用于施工期洒水降尘等，难以综合利用部分排入涪江</w:t>
      </w:r>
      <w:r>
        <w:rPr>
          <w:rFonts w:hint="eastAsia"/>
          <w:color w:val="auto"/>
          <w:szCs w:val="24"/>
          <w:highlight w:val="none"/>
        </w:rPr>
        <w:t>，剩余污泥定期人工清至渣场。根据已建和在建水利水电工程对基坑排水的处理经验，采用中和絮凝沉淀处理方法，在沉淀池内中和、絮凝，静置、沉淀后，可以排入周边地表水体。该处理方法技术合理，在国内水利水电项目中应用广泛，处理后废水中主要污染物（pH、SS）能够满足排放要求</w:t>
      </w:r>
      <w:r>
        <w:rPr>
          <w:rFonts w:hint="eastAsia"/>
          <w:color w:val="auto"/>
          <w:szCs w:val="24"/>
          <w:highlight w:val="none"/>
          <w:lang w:eastAsia="zh-CN"/>
        </w:rPr>
        <w:t>，该处理方案是可行的。</w:t>
      </w:r>
    </w:p>
    <w:p>
      <w:pPr>
        <w:snapToGrid w:val="0"/>
        <w:spacing w:line="460" w:lineRule="exact"/>
        <w:ind w:firstLine="520" w:firstLineChars="200"/>
        <w:rPr>
          <w:color w:val="auto"/>
          <w:szCs w:val="24"/>
          <w:highlight w:val="none"/>
        </w:rPr>
      </w:pPr>
      <w:r>
        <w:rPr>
          <w:rFonts w:hint="eastAsia"/>
          <w:color w:val="auto"/>
          <w:szCs w:val="24"/>
          <w:highlight w:val="none"/>
        </w:rPr>
        <w:t>基坑排水</w:t>
      </w:r>
      <w:r>
        <w:rPr>
          <w:color w:val="auto"/>
          <w:szCs w:val="24"/>
          <w:highlight w:val="none"/>
        </w:rPr>
        <w:t>处理工艺见</w:t>
      </w:r>
      <w:r>
        <w:rPr>
          <w:rFonts w:hint="eastAsia"/>
          <w:color w:val="auto"/>
          <w:szCs w:val="24"/>
          <w:highlight w:val="none"/>
          <w:lang w:eastAsia="zh-CN"/>
        </w:rPr>
        <w:t>下图</w:t>
      </w:r>
      <w:bookmarkEnd w:id="129"/>
      <w:r>
        <w:rPr>
          <w:rFonts w:hint="eastAsia"/>
          <w:color w:val="auto"/>
          <w:szCs w:val="24"/>
          <w:highlight w:val="none"/>
          <w:lang w:eastAsia="zh-CN"/>
        </w:rPr>
        <w:t>：</w:t>
      </w:r>
    </w:p>
    <w:p>
      <w:pPr>
        <w:spacing w:line="240" w:lineRule="auto"/>
        <w:rPr>
          <w:color w:val="auto"/>
          <w:highlight w:val="none"/>
        </w:rPr>
      </w:pPr>
      <w:r>
        <w:rPr>
          <w:snapToGrid w:val="0"/>
          <w:color w:val="auto"/>
          <w:highlight w:val="none"/>
        </w:rPr>
        <mc:AlternateContent>
          <mc:Choice Requires="wpg">
            <w:drawing>
              <wp:anchor distT="0" distB="0" distL="114300" distR="114300" simplePos="0" relativeHeight="251664384" behindDoc="0" locked="0" layoutInCell="1" allowOverlap="1">
                <wp:simplePos x="0" y="0"/>
                <wp:positionH relativeFrom="character">
                  <wp:posOffset>0</wp:posOffset>
                </wp:positionH>
                <wp:positionV relativeFrom="line">
                  <wp:posOffset>0</wp:posOffset>
                </wp:positionV>
                <wp:extent cx="5303520" cy="1805940"/>
                <wp:effectExtent l="0" t="0" r="0" b="0"/>
                <wp:wrapNone/>
                <wp:docPr id="26" name="组合 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03520" cy="1805940"/>
                          <a:chOff x="2280" y="2293"/>
                          <a:chExt cx="8352" cy="2844"/>
                        </a:xfrm>
                      </wpg:grpSpPr>
                      <wps:wsp>
                        <wps:cNvPr id="14" name="矩形 14"/>
                        <wps:cNvSpPr>
                          <a:spLocks noChangeAspect="1" noTextEdit="1"/>
                        </wps:cNvSpPr>
                        <wps:spPr>
                          <a:xfrm>
                            <a:off x="2280" y="2293"/>
                            <a:ext cx="8352" cy="2844"/>
                          </a:xfrm>
                          <a:prstGeom prst="rect">
                            <a:avLst/>
                          </a:prstGeom>
                          <a:noFill/>
                          <a:ln>
                            <a:noFill/>
                          </a:ln>
                        </wps:spPr>
                        <wps:bodyPr upright="1"/>
                      </wps:wsp>
                      <wps:wsp>
                        <wps:cNvPr id="15" name="文本框 15"/>
                        <wps:cNvSpPr txBox="1"/>
                        <wps:spPr>
                          <a:xfrm>
                            <a:off x="6050" y="3966"/>
                            <a:ext cx="902" cy="456"/>
                          </a:xfrm>
                          <a:prstGeom prst="rect">
                            <a:avLst/>
                          </a:prstGeom>
                          <a:solidFill>
                            <a:srgbClr val="FFFFFF"/>
                          </a:solidFill>
                          <a:ln>
                            <a:noFill/>
                          </a:ln>
                        </wps:spPr>
                        <wps:txbx>
                          <w:txbxContent>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rPr>
                              </w:pPr>
                              <w:r>
                                <w:rPr>
                                  <w:rFonts w:hint="eastAsia"/>
                                  <w:sz w:val="21"/>
                                </w:rPr>
                                <w:t>泥 渣</w:t>
                              </w:r>
                            </w:p>
                          </w:txbxContent>
                        </wps:txbx>
                        <wps:bodyPr upright="1"/>
                      </wps:wsp>
                      <wps:wsp>
                        <wps:cNvPr id="16" name="文本框 16"/>
                        <wps:cNvSpPr txBox="1"/>
                        <wps:spPr>
                          <a:xfrm>
                            <a:off x="5217" y="3394"/>
                            <a:ext cx="1552" cy="455"/>
                          </a:xfrm>
                          <a:prstGeom prst="rect">
                            <a:avLst/>
                          </a:prstGeom>
                          <a:solidFill>
                            <a:srgbClr val="FFFFFF"/>
                          </a:solidFill>
                          <a:ln w="12700"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rPr>
                              </w:pPr>
                              <w:r>
                                <w:rPr>
                                  <w:rFonts w:hint="eastAsia"/>
                                  <w:sz w:val="21"/>
                                </w:rPr>
                                <w:t>基  坑</w:t>
                              </w:r>
                            </w:p>
                          </w:txbxContent>
                        </wps:txbx>
                        <wps:bodyPr upright="1"/>
                      </wps:wsp>
                      <wps:wsp>
                        <wps:cNvPr id="17" name="文本框 17"/>
                        <wps:cNvSpPr txBox="1"/>
                        <wps:spPr>
                          <a:xfrm>
                            <a:off x="7370" y="3424"/>
                            <a:ext cx="1976" cy="678"/>
                          </a:xfrm>
                          <a:prstGeom prst="rect">
                            <a:avLst/>
                          </a:prstGeom>
                          <a:solidFill>
                            <a:srgbClr val="FFFFFF"/>
                          </a:solidFill>
                          <a:ln>
                            <a:noFill/>
                          </a:ln>
                        </wps:spPr>
                        <wps:txbx>
                          <w:txbxContent>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sz w:val="21"/>
                                </w:rPr>
                              </w:pPr>
                              <w:r>
                                <w:rPr>
                                  <w:rFonts w:hint="eastAsia"/>
                                  <w:sz w:val="21"/>
                                  <w:lang w:eastAsia="zh-CN"/>
                                </w:rPr>
                                <w:t>优先回用，不能利用的排入涪江</w:t>
                              </w:r>
                            </w:p>
                          </w:txbxContent>
                        </wps:txbx>
                        <wps:bodyPr upright="1"/>
                      </wps:wsp>
                      <wps:wsp>
                        <wps:cNvPr id="18" name="直接连接符 18"/>
                        <wps:cNvCnPr/>
                        <wps:spPr>
                          <a:xfrm>
                            <a:off x="6769" y="3620"/>
                            <a:ext cx="736" cy="4"/>
                          </a:xfrm>
                          <a:prstGeom prst="line">
                            <a:avLst/>
                          </a:prstGeom>
                          <a:ln w="19050" cap="flat" cmpd="sng">
                            <a:solidFill>
                              <a:srgbClr val="000000"/>
                            </a:solidFill>
                            <a:prstDash val="solid"/>
                            <a:headEnd type="none" w="med" len="med"/>
                            <a:tailEnd type="triangle" w="med" len="med"/>
                          </a:ln>
                        </wps:spPr>
                        <wps:bodyPr upright="1"/>
                      </wps:wsp>
                      <wps:wsp>
                        <wps:cNvPr id="19" name="直接连接符 19"/>
                        <wps:cNvCnPr/>
                        <wps:spPr>
                          <a:xfrm>
                            <a:off x="5994" y="3905"/>
                            <a:ext cx="5" cy="567"/>
                          </a:xfrm>
                          <a:prstGeom prst="line">
                            <a:avLst/>
                          </a:prstGeom>
                          <a:ln w="19050" cap="flat" cmpd="sng">
                            <a:solidFill>
                              <a:srgbClr val="000000"/>
                            </a:solidFill>
                            <a:prstDash val="solid"/>
                            <a:headEnd type="none" w="med" len="med"/>
                            <a:tailEnd type="triangle" w="med" len="med"/>
                          </a:ln>
                        </wps:spPr>
                        <wps:bodyPr upright="1"/>
                      </wps:wsp>
                      <wps:wsp>
                        <wps:cNvPr id="20" name="文本框 20"/>
                        <wps:cNvSpPr txBox="1"/>
                        <wps:spPr>
                          <a:xfrm>
                            <a:off x="5232" y="4577"/>
                            <a:ext cx="1610" cy="449"/>
                          </a:xfrm>
                          <a:prstGeom prst="rect">
                            <a:avLst/>
                          </a:prstGeom>
                          <a:solidFill>
                            <a:srgbClr val="FFFFFF"/>
                          </a:solidFill>
                          <a:ln w="12700"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rPr>
                              </w:pPr>
                              <w:r>
                                <w:rPr>
                                  <w:rFonts w:hint="eastAsia"/>
                                  <w:sz w:val="21"/>
                                </w:rPr>
                                <w:t>清  运</w:t>
                              </w:r>
                            </w:p>
                          </w:txbxContent>
                        </wps:txbx>
                        <wps:bodyPr upright="1"/>
                      </wps:wsp>
                      <wps:wsp>
                        <wps:cNvPr id="21" name="文本框 21"/>
                        <wps:cNvSpPr txBox="1"/>
                        <wps:spPr>
                          <a:xfrm>
                            <a:off x="7681" y="4580"/>
                            <a:ext cx="1136" cy="451"/>
                          </a:xfrm>
                          <a:prstGeom prst="rect">
                            <a:avLst/>
                          </a:prstGeom>
                          <a:solidFill>
                            <a:srgbClr val="FFFFFF"/>
                          </a:solidFill>
                          <a:ln w="12700"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rFonts w:hint="eastAsia"/>
                                  <w:sz w:val="18"/>
                                  <w:szCs w:val="18"/>
                                  <w:lang w:eastAsia="zh-CN"/>
                                </w:rPr>
                                <w:t>弃</w:t>
                              </w:r>
                              <w:r>
                                <w:rPr>
                                  <w:rFonts w:hint="eastAsia"/>
                                  <w:sz w:val="18"/>
                                  <w:szCs w:val="18"/>
                                </w:rPr>
                                <w:t>渣场</w:t>
                              </w:r>
                            </w:p>
                          </w:txbxContent>
                        </wps:txbx>
                        <wps:bodyPr upright="1"/>
                      </wps:wsp>
                      <wps:wsp>
                        <wps:cNvPr id="22" name="直接连接符 22"/>
                        <wps:cNvCnPr/>
                        <wps:spPr>
                          <a:xfrm>
                            <a:off x="6860" y="4777"/>
                            <a:ext cx="792" cy="7"/>
                          </a:xfrm>
                          <a:prstGeom prst="line">
                            <a:avLst/>
                          </a:prstGeom>
                          <a:ln w="19050" cap="flat" cmpd="sng">
                            <a:solidFill>
                              <a:srgbClr val="000000"/>
                            </a:solidFill>
                            <a:prstDash val="solid"/>
                            <a:headEnd type="none" w="med" len="med"/>
                            <a:tailEnd type="triangle" w="med" len="med"/>
                          </a:ln>
                        </wps:spPr>
                        <wps:bodyPr upright="1"/>
                      </wps:wsp>
                      <wps:wsp>
                        <wps:cNvPr id="24" name="文本框 24"/>
                        <wps:cNvSpPr txBox="1"/>
                        <wps:spPr>
                          <a:xfrm>
                            <a:off x="5315" y="2363"/>
                            <a:ext cx="1363" cy="456"/>
                          </a:xfrm>
                          <a:prstGeom prst="rect">
                            <a:avLst/>
                          </a:prstGeom>
                          <a:solidFill>
                            <a:srgbClr val="FFFFFF"/>
                          </a:solidFill>
                          <a:ln>
                            <a:noFill/>
                          </a:ln>
                        </wps:spPr>
                        <wps:txbx>
                          <w:txbxContent>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rPr>
                              </w:pPr>
                              <w:r>
                                <w:rPr>
                                  <w:rFonts w:hint="eastAsia"/>
                                  <w:sz w:val="21"/>
                                </w:rPr>
                                <w:t>絮凝剂</w:t>
                              </w:r>
                            </w:p>
                          </w:txbxContent>
                        </wps:txbx>
                        <wps:bodyPr upright="1"/>
                      </wps:wsp>
                      <wps:wsp>
                        <wps:cNvPr id="25" name="直接连接符 25"/>
                        <wps:cNvCnPr/>
                        <wps:spPr>
                          <a:xfrm>
                            <a:off x="5999" y="2741"/>
                            <a:ext cx="5" cy="567"/>
                          </a:xfrm>
                          <a:prstGeom prst="line">
                            <a:avLst/>
                          </a:prstGeom>
                          <a:ln w="19050" cap="flat" cmpd="sng">
                            <a:solidFill>
                              <a:srgbClr val="000000"/>
                            </a:solidFill>
                            <a:prstDash val="solid"/>
                            <a:headEnd type="none" w="med" len="med"/>
                            <a:tailEnd type="triangle" w="med" len="med"/>
                          </a:ln>
                        </wps:spPr>
                        <wps:bodyPr upright="1"/>
                      </wps:wsp>
                    </wpg:wgp>
                  </a:graphicData>
                </a:graphic>
              </wp:anchor>
            </w:drawing>
          </mc:Choice>
          <mc:Fallback>
            <w:pict>
              <v:group id="_x0000_s1026" o:spid="_x0000_s1026" o:spt="203" style="position:absolute;left:0pt;margin-left:0pt;margin-top:0pt;height:142.2pt;width:417.6pt;mso-position-horizontal-relative:char;mso-position-vertical-relative:line;z-index:251664384;mso-width-relative:page;mso-height-relative:page;" coordorigin="2280,2293" coordsize="8352,2844" o:gfxdata="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">
                <o:lock v:ext="edit" aspectratio="t"/>
                <v:rect id="_x0000_s1026" o:spid="_x0000_s1026" o:spt="1" style="position:absolute;left:2280;top:2293;height:2844;width:8352;" filled="f" stroked="f" coordsize="21600,21600" o:gfxdata="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BKITugAAANsA&#10;AAAPAAAAAAAAAAEAIAAAACIAAABkcnMvZG93bnJldi54bWxQSwECFAAUAAAACACHTuJAMy8FnjsA&#10;AAA5AAAAEAAAAAAAAAABACAAAAAJAQAAZHJzL3NoYXBleG1sLnhtbFBLBQYAAAAABgAGAFsBAACz&#10;AwAAAAA=&#10;">
                  <v:fill on="f" focussize="0,0"/>
                  <v:stroke on="f"/>
                  <v:imagedata o:title=""/>
                  <o:lock v:ext="edit" text="t" aspectratio="t"/>
                </v:rect>
                <v:shape id="_x0000_s1026" o:spid="_x0000_s1026" o:spt="202" type="#_x0000_t202" style="position:absolute;left:6050;top:3966;height:456;width:902;" fillcolor="#FFFFFF" filled="t" stroked="f" coordsize="21600,21600" o:gfxdata="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IIlC+q2AAAA2wAAAA8A&#10;AAAAAAAAAQAgAAAAIgAAAGRycy9kb3ducmV2LnhtbFBLAQIUABQAAAAIAIdO4kAzLwWeOwAAADkA&#10;AAAQAAAAAAAAAAEAIAAAAAUBAABkcnMvc2hhcGV4bWwueG1sUEsFBgAAAAAGAAYAWwEAAK8DAAAA&#10;AA==&#10;">
                  <v:fill on="t"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rPr>
                        </w:pPr>
                        <w:r>
                          <w:rPr>
                            <w:rFonts w:hint="eastAsia"/>
                            <w:sz w:val="21"/>
                          </w:rPr>
                          <w:t>泥 渣</w:t>
                        </w:r>
                      </w:p>
                    </w:txbxContent>
                  </v:textbox>
                </v:shape>
                <v:shape id="_x0000_s1026" o:spid="_x0000_s1026" o:spt="202" type="#_x0000_t202" style="position:absolute;left:5217;top:3394;height:455;width:1552;" fillcolor="#FFFFFF" filled="t" stroked="t" coordsize="21600,21600" o:gfxdata="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62p2bsAAADb&#10;AAAADwAAAAAAAAABACAAAAAiAAAAZHJzL2Rvd25yZXYueG1sUEsBAhQAFAAAAAgAh07iQDMvBZ47&#10;AAAAOQAAABAAAAAAAAAAAQAgAAAACgEAAGRycy9zaGFwZXhtbC54bWxQSwUGAAAAAAYABgBbAQAA&#10;tAMAAAAA&#10;">
                  <v:fill on="t" focussize="0,0"/>
                  <v:stroke weight="1pt"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rPr>
                        </w:pPr>
                        <w:r>
                          <w:rPr>
                            <w:rFonts w:hint="eastAsia"/>
                            <w:sz w:val="21"/>
                          </w:rPr>
                          <w:t>基  坑</w:t>
                        </w:r>
                      </w:p>
                    </w:txbxContent>
                  </v:textbox>
                </v:shape>
                <v:shape id="_x0000_s1026" o:spid="_x0000_s1026" o:spt="202" type="#_x0000_t202" style="position:absolute;left:7370;top:3424;height:678;width:1976;" fillcolor="#FFFFFF" filled="t" stroked="f" coordsize="21600,21600" o:gfxdata="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B27MAa2AAAA2wAAAA8A&#10;AAAAAAAAAQAgAAAAIgAAAGRycy9kb3ducmV2LnhtbFBLAQIUABQAAAAIAIdO4kAzLwWeOwAAADkA&#10;AAAQAAAAAAAAAAEAIAAAAAUBAABkcnMvc2hhcGV4bWwueG1sUEsFBgAAAAAGAAYAWwEAAK8DAAAA&#10;AA==&#10;">
                  <v:fill on="t"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sz w:val="21"/>
                          </w:rPr>
                        </w:pPr>
                        <w:r>
                          <w:rPr>
                            <w:rFonts w:hint="eastAsia"/>
                            <w:sz w:val="21"/>
                            <w:lang w:eastAsia="zh-CN"/>
                          </w:rPr>
                          <w:t>优先回用，不能利用的排入涪江</w:t>
                        </w:r>
                      </w:p>
                    </w:txbxContent>
                  </v:textbox>
                </v:shape>
                <v:line id="_x0000_s1026" o:spid="_x0000_s1026" o:spt="20" style="position:absolute;left:6769;top:3620;height:4;width:736;" filled="f" stroked="t" coordsize="21600,21600" o:gfxdata="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hssbLsAAADb&#10;AAAADwAAAAAAAAABACAAAAAiAAAAZHJzL2Rvd25yZXYueG1sUEsBAhQAFAAAAAgAh07iQDMvBZ47&#10;AAAAOQAAABAAAAAAAAAAAQAgAAAACgEAAGRycy9zaGFwZXhtbC54bWxQSwUGAAAAAAYABgBbAQAA&#10;tAMAAAAA&#10;">
                  <v:fill on="f" focussize="0,0"/>
                  <v:stroke weight="1.5pt" color="#000000" joinstyle="round" endarrow="block"/>
                  <v:imagedata o:title=""/>
                  <o:lock v:ext="edit" aspectratio="f"/>
                </v:line>
                <v:line id="_x0000_s1026" o:spid="_x0000_s1026" o:spt="20" style="position:absolute;left:5994;top:3905;height:567;width:5;" filled="f" stroked="t" coordsize="21600,21600" o:gfxdata="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VeJ97sAAADb&#10;AAAADwAAAAAAAAABACAAAAAiAAAAZHJzL2Rvd25yZXYueG1sUEsBAhQAFAAAAAgAh07iQDMvBZ47&#10;AAAAOQAAABAAAAAAAAAAAQAgAAAACgEAAGRycy9zaGFwZXhtbC54bWxQSwUGAAAAAAYABgBbAQAA&#10;tAMAAAAA&#10;">
                  <v:fill on="f" focussize="0,0"/>
                  <v:stroke weight="1.5pt" color="#000000" joinstyle="round" endarrow="block"/>
                  <v:imagedata o:title=""/>
                  <o:lock v:ext="edit" aspectratio="f"/>
                </v:line>
                <v:shape id="_x0000_s1026" o:spid="_x0000_s1026" o:spt="202" type="#_x0000_t202" style="position:absolute;left:5232;top:4577;height:449;width:1610;" fillcolor="#FFFFFF" filled="t" stroked="t" coordsize="21600,21600" o:gfxdata="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WRei7sAAADb&#10;AAAADwAAAAAAAAABACAAAAAiAAAAZHJzL2Rvd25yZXYueG1sUEsBAhQAFAAAAAgAh07iQDMvBZ47&#10;AAAAOQAAABAAAAAAAAAAAQAgAAAACgEAAGRycy9zaGFwZXhtbC54bWxQSwUGAAAAAAYABgBbAQAA&#10;tAMAAAAA&#10;">
                  <v:fill on="t" focussize="0,0"/>
                  <v:stroke weight="1pt"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rPr>
                        </w:pPr>
                        <w:r>
                          <w:rPr>
                            <w:rFonts w:hint="eastAsia"/>
                            <w:sz w:val="21"/>
                          </w:rPr>
                          <w:t>清  运</w:t>
                        </w:r>
                      </w:p>
                    </w:txbxContent>
                  </v:textbox>
                </v:shape>
                <v:shape id="_x0000_s1026" o:spid="_x0000_s1026" o:spt="202" type="#_x0000_t202" style="position:absolute;left:7681;top:4580;height:451;width:1136;" fillcolor="#FFFFFF" filled="t" stroked="t" coordsize="21600,21600" o:gfxdata="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Yo+xC/&#10;AAAA2wAAAA8AAAAAAAAAAQAgAAAAIgAAAGRycy9kb3ducmV2LnhtbFBLAQIUABQAAAAIAIdO4kAz&#10;LwWeOwAAADkAAAAQAAAAAAAAAAEAIAAAAA4BAABkcnMvc2hhcGV4bWwueG1sUEsFBgAAAAAGAAYA&#10;WwEAALgDAAAAAA==&#10;">
                  <v:fill on="t" focussize="0,0"/>
                  <v:stroke weight="1pt"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18"/>
                            <w:szCs w:val="18"/>
                          </w:rPr>
                        </w:pPr>
                        <w:r>
                          <w:rPr>
                            <w:rFonts w:hint="eastAsia"/>
                            <w:sz w:val="18"/>
                            <w:szCs w:val="18"/>
                            <w:lang w:eastAsia="zh-CN"/>
                          </w:rPr>
                          <w:t>弃</w:t>
                        </w:r>
                        <w:r>
                          <w:rPr>
                            <w:rFonts w:hint="eastAsia"/>
                            <w:sz w:val="18"/>
                            <w:szCs w:val="18"/>
                          </w:rPr>
                          <w:t>渣场</w:t>
                        </w:r>
                      </w:p>
                    </w:txbxContent>
                  </v:textbox>
                </v:shape>
                <v:line id="_x0000_s1026" o:spid="_x0000_s1026" o:spt="20" style="position:absolute;left:6860;top:4777;height:7;width:792;" filled="f" stroked="t" coordsize="21600,21600" o:gfxdata="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n9E7ugAAANsA&#10;AAAPAAAAAAAAAAEAIAAAACIAAABkcnMvZG93bnJldi54bWxQSwECFAAUAAAACACHTuJAMy8FnjsA&#10;AAA5AAAAEAAAAAAAAAABACAAAAAJAQAAZHJzL3NoYXBleG1sLnhtbFBLBQYAAAAABgAGAFsBAACz&#10;AwAAAAA=&#10;">
                  <v:fill on="f" focussize="0,0"/>
                  <v:stroke weight="1.5pt" color="#000000" joinstyle="round" endarrow="block"/>
                  <v:imagedata o:title=""/>
                  <o:lock v:ext="edit" aspectratio="f"/>
                </v:line>
                <v:shape id="_x0000_s1026" o:spid="_x0000_s1026" o:spt="202" type="#_x0000_t202" style="position:absolute;left:5315;top:2363;height:456;width:1363;" fillcolor="#FFFFFF" filled="t" stroked="f" coordsize="21600,21600" o:gfxdata="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wVkzLgAAADbAAAA&#10;DwAAAAAAAAABACAAAAAiAAAAZHJzL2Rvd25yZXYueG1sUEsBAhQAFAAAAAgAh07iQDMvBZ47AAAA&#10;OQAAABAAAAAAAAAAAQAgAAAABwEAAGRycy9zaGFwZXhtbC54bWxQSwUGAAAAAAYABgBbAQAAsQMA&#10;AAAA&#10;">
                  <v:fill on="t"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rPr>
                        </w:pPr>
                        <w:r>
                          <w:rPr>
                            <w:rFonts w:hint="eastAsia"/>
                            <w:sz w:val="21"/>
                          </w:rPr>
                          <w:t>絮凝剂</w:t>
                        </w:r>
                      </w:p>
                    </w:txbxContent>
                  </v:textbox>
                </v:shape>
                <v:line id="_x0000_s1026" o:spid="_x0000_s1026" o:spt="20" style="position:absolute;left:5999;top:2741;height:567;width:5;" filled="f" stroked="t" coordsize="21600,21600" o:gfxdata="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J2SU+8AAAA&#10;2wAAAA8AAAAAAAAAAQAgAAAAIgAAAGRycy9kb3ducmV2LnhtbFBLAQIUABQAAAAIAIdO4kAzLwWe&#10;OwAAADkAAAAQAAAAAAAAAAEAIAAAAAsBAABkcnMvc2hhcGV4bWwueG1sUEsFBgAAAAAGAAYAWwEA&#10;ALUDAAAAAA==&#10;">
                  <v:fill on="f" focussize="0,0"/>
                  <v:stroke weight="1.5pt" color="#000000" joinstyle="round" endarrow="block"/>
                  <v:imagedata o:title=""/>
                  <o:lock v:ext="edit" aspectratio="f"/>
                </v:line>
              </v:group>
            </w:pict>
          </mc:Fallback>
        </mc:AlternateContent>
      </w:r>
      <w:r>
        <w:rPr>
          <w:snapToGrid w:val="0"/>
          <w:color w:val="auto"/>
          <w:highlight w:val="none"/>
        </w:rPr>
        <mc:AlternateContent>
          <mc:Choice Requires="wps">
            <w:drawing>
              <wp:inline distT="0" distB="0" distL="114300" distR="114300">
                <wp:extent cx="4895215" cy="1898650"/>
                <wp:effectExtent l="0" t="0" r="0" b="0"/>
                <wp:docPr id="28" name="矩形 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895215" cy="1898650"/>
                        </a:xfrm>
                        <a:prstGeom prst="rect">
                          <a:avLst/>
                        </a:prstGeom>
                        <a:noFill/>
                        <a:ln>
                          <a:noFill/>
                        </a:ln>
                      </wps:spPr>
                      <wps:bodyPr upright="1"/>
                    </wps:wsp>
                  </a:graphicData>
                </a:graphic>
              </wp:inline>
            </w:drawing>
          </mc:Choice>
          <mc:Fallback>
            <w:pict>
              <v:rect id="_x0000_s1026" o:spid="_x0000_s1026" o:spt="1" style="height:149.5pt;width:385.45pt;" filled="f" stroked="f" coordsize="21600,21600" o:gfxdata="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PtSmOTXAAAABQEAAA8AAAAAAAAAAQAgAAAAIgAAAGRycy9kb3ducmV2LnhtbFBLAQIUABQAAAAI&#10;AIdO4kBwnnO3tQEAAGUDAAAOAAAAAAAAAAEAIAAAACYBAABkcnMvZTJvRG9jLnhtbFBLBQYAAAAA&#10;BgAGAFkBAABNBQAAAAA=&#10;">
                <v:fill on="f" focussize="0,0"/>
                <v:stroke on="f"/>
                <v:imagedata o:title=""/>
                <o:lock v:ext="edit" aspectratio="t"/>
                <w10:wrap type="none"/>
                <w10:anchorlock/>
              </v:rect>
            </w:pict>
          </mc:Fallback>
        </mc:AlternateContent>
      </w:r>
    </w:p>
    <w:p>
      <w:pPr>
        <w:pStyle w:val="233"/>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图</w:t>
      </w:r>
      <w:r>
        <w:rPr>
          <w:rFonts w:hint="eastAsia" w:eastAsia="宋体" w:cs="Times New Roman"/>
          <w:b/>
          <w:bCs/>
          <w:color w:val="auto"/>
          <w:highlight w:val="none"/>
          <w:lang w:val="en-US" w:eastAsia="zh-CN"/>
        </w:rPr>
        <w:t>5.1.2-3</w:t>
      </w:r>
      <w:r>
        <w:rPr>
          <w:rFonts w:hint="default" w:ascii="Times New Roman" w:hAnsi="Times New Roman" w:eastAsia="宋体" w:cs="Times New Roman"/>
          <w:b/>
          <w:bCs/>
          <w:color w:val="auto"/>
          <w:highlight w:val="none"/>
        </w:rPr>
        <w:t xml:space="preserve">  基坑排水处理工艺流程图</w:t>
      </w:r>
    </w:p>
    <w:p>
      <w:pPr>
        <w:spacing w:line="240" w:lineRule="auto"/>
        <w:rPr>
          <w:rFonts w:hint="eastAsia"/>
          <w:color w:val="auto"/>
          <w:highlight w:val="none"/>
          <w:lang w:val="en-US" w:eastAsia="zh-CN"/>
        </w:rPr>
      </w:pPr>
    </w:p>
    <w:p>
      <w:pPr>
        <w:bidi w:val="0"/>
        <w:rPr>
          <w:rFonts w:hint="eastAsia"/>
          <w:color w:val="auto"/>
          <w:highlight w:val="none"/>
          <w:lang w:val="en-US" w:eastAsia="zh-CN"/>
        </w:rPr>
      </w:pPr>
      <w:r>
        <w:rPr>
          <w:rFonts w:hint="eastAsia"/>
          <w:color w:val="auto"/>
          <w:highlight w:val="none"/>
          <w:lang w:val="en-US" w:eastAsia="zh-CN"/>
        </w:rPr>
        <w:t>（4）施工船舶废水处理</w:t>
      </w:r>
      <w:r>
        <w:rPr>
          <w:rFonts w:hint="eastAsia"/>
          <w:color w:val="auto"/>
          <w:highlight w:val="none"/>
          <w:lang w:eastAsia="zh-CN"/>
        </w:rPr>
        <w:t>措施</w:t>
      </w:r>
    </w:p>
    <w:p>
      <w:pPr>
        <w:bidi w:val="0"/>
        <w:rPr>
          <w:rFonts w:hint="eastAsia"/>
          <w:color w:val="auto"/>
          <w:highlight w:val="none"/>
          <w:lang w:val="en-US" w:eastAsia="zh-CN"/>
        </w:rPr>
      </w:pPr>
      <w:r>
        <w:rPr>
          <w:rFonts w:hint="eastAsia"/>
          <w:color w:val="auto"/>
          <w:highlight w:val="none"/>
          <w:lang w:val="en-US" w:eastAsia="zh-CN"/>
        </w:rPr>
        <w:t>施工船舶舱底油污水、生活污水应遵守《中华人民共和国防治船舶污染内河水域环境管理规定》《重庆市船舶污染防治条例》，</w:t>
      </w:r>
      <w:r>
        <w:rPr>
          <w:rFonts w:hint="eastAsia" w:ascii="Times New Roman" w:hAnsi="Times New Roman"/>
          <w:snapToGrid w:val="0"/>
          <w:color w:val="auto"/>
          <w:highlight w:val="none"/>
        </w:rPr>
        <w:t>由船舶自带的油水分离器处理后</w:t>
      </w:r>
      <w:r>
        <w:rPr>
          <w:rFonts w:hint="eastAsia" w:ascii="Times New Roman" w:hAnsi="Times New Roman"/>
          <w:snapToGrid w:val="0"/>
          <w:color w:val="auto"/>
          <w:highlight w:val="none"/>
          <w:lang w:eastAsia="zh-CN"/>
        </w:rPr>
        <w:t>，</w:t>
      </w:r>
      <w:r>
        <w:rPr>
          <w:rFonts w:hint="eastAsia"/>
          <w:color w:val="auto"/>
          <w:highlight w:val="none"/>
          <w:lang w:val="en-US" w:eastAsia="zh-CN"/>
        </w:rPr>
        <w:t>交由港口、码头、装卸站、水上服务区或者其他水污染物接收单位依法处理，禁止向水体排放。同时加强施工中油类的管理，减少机械油类的跑、冒、滴、漏，防止含油废水泄漏进入涪江。</w:t>
      </w:r>
    </w:p>
    <w:p>
      <w:pPr>
        <w:bidi w:val="0"/>
        <w:rPr>
          <w:rFonts w:hint="eastAsia"/>
          <w:color w:val="auto"/>
          <w:highlight w:val="none"/>
          <w:lang w:val="en-US" w:eastAsia="zh-CN"/>
        </w:rPr>
      </w:pPr>
      <w:r>
        <w:rPr>
          <w:rFonts w:hint="eastAsia"/>
          <w:color w:val="auto"/>
          <w:highlight w:val="none"/>
          <w:lang w:val="en-US" w:eastAsia="zh-CN"/>
        </w:rPr>
        <w:t>（5）车辆冲洗水处理措施</w:t>
      </w:r>
    </w:p>
    <w:p>
      <w:pPr>
        <w:bidi w:val="0"/>
        <w:rPr>
          <w:rFonts w:hint="eastAsia"/>
          <w:color w:val="auto"/>
          <w:highlight w:val="none"/>
          <w:lang w:val="en-US" w:eastAsia="zh-CN"/>
        </w:rPr>
      </w:pPr>
      <w:r>
        <w:rPr>
          <w:rFonts w:hint="eastAsia"/>
          <w:color w:val="auto"/>
          <w:highlight w:val="none"/>
          <w:lang w:val="en-US" w:eastAsia="zh-CN"/>
        </w:rPr>
        <w:t>工程在施工期出入口设置车辆冲洗设备对进出车辆进行冲洗，配套建设沉淀池，对车辆冲洗废水沉淀处理后，回用于车辆冲洗。</w:t>
      </w:r>
    </w:p>
    <w:p>
      <w:pPr>
        <w:bidi w:val="0"/>
        <w:rPr>
          <w:rFonts w:hint="eastAsia"/>
          <w:color w:val="auto"/>
          <w:highlight w:val="none"/>
          <w:lang w:val="en-US" w:eastAsia="zh-CN"/>
        </w:rPr>
      </w:pPr>
      <w:r>
        <w:rPr>
          <w:rFonts w:hint="eastAsia"/>
          <w:color w:val="auto"/>
          <w:highlight w:val="none"/>
          <w:lang w:val="en-US" w:eastAsia="zh-CN"/>
        </w:rPr>
        <w:t>（6）</w:t>
      </w:r>
      <w:r>
        <w:rPr>
          <w:rFonts w:ascii="Times New Roman" w:hAnsi="Times New Roman"/>
          <w:color w:val="auto"/>
          <w:highlight w:val="none"/>
        </w:rPr>
        <w:t>疏浚</w:t>
      </w:r>
      <w:r>
        <w:rPr>
          <w:rFonts w:hint="eastAsia" w:ascii="Times New Roman" w:hAnsi="Times New Roman"/>
          <w:color w:val="auto"/>
          <w:highlight w:val="none"/>
          <w:lang w:eastAsia="zh-CN"/>
        </w:rPr>
        <w:t>对水体影响减缓措施</w:t>
      </w:r>
    </w:p>
    <w:p>
      <w:pPr>
        <w:bidi w:val="0"/>
        <w:rPr>
          <w:rFonts w:hint="eastAsia"/>
          <w:color w:val="auto"/>
          <w:highlight w:val="none"/>
          <w:lang w:val="en-US" w:eastAsia="zh-CN"/>
        </w:rPr>
      </w:pPr>
      <w:r>
        <w:rPr>
          <w:rFonts w:hint="eastAsia"/>
          <w:color w:val="auto"/>
          <w:highlight w:val="none"/>
          <w:lang w:val="en-US" w:eastAsia="zh-CN"/>
        </w:rPr>
        <w:fldChar w:fldCharType="begin"/>
      </w:r>
      <w:r>
        <w:rPr>
          <w:rFonts w:hint="eastAsia"/>
          <w:color w:val="auto"/>
          <w:highlight w:val="none"/>
          <w:lang w:val="en-US" w:eastAsia="zh-CN"/>
        </w:rPr>
        <w:instrText xml:space="preserve"> = 1 \* GB3 \* MERGEFORMAT </w:instrText>
      </w:r>
      <w:r>
        <w:rPr>
          <w:rFonts w:hint="eastAsia"/>
          <w:color w:val="auto"/>
          <w:highlight w:val="none"/>
          <w:lang w:val="en-US" w:eastAsia="zh-CN"/>
        </w:rPr>
        <w:fldChar w:fldCharType="separate"/>
      </w:r>
      <w:r>
        <w:rPr>
          <w:color w:val="auto"/>
          <w:highlight w:val="none"/>
        </w:rPr>
        <w:t>①</w:t>
      </w:r>
      <w:r>
        <w:rPr>
          <w:rFonts w:hint="eastAsia"/>
          <w:color w:val="auto"/>
          <w:highlight w:val="none"/>
          <w:lang w:val="en-US" w:eastAsia="zh-CN"/>
        </w:rPr>
        <w:fldChar w:fldCharType="end"/>
      </w:r>
      <w:r>
        <w:rPr>
          <w:rFonts w:hint="eastAsia"/>
          <w:color w:val="auto"/>
          <w:highlight w:val="none"/>
          <w:lang w:val="en-US" w:eastAsia="zh-CN"/>
        </w:rPr>
        <w:t>采用环保疏浚的工艺和设备</w:t>
      </w:r>
    </w:p>
    <w:p>
      <w:pPr>
        <w:bidi w:val="0"/>
        <w:rPr>
          <w:rFonts w:hint="eastAsia"/>
          <w:color w:val="auto"/>
          <w:highlight w:val="none"/>
          <w:lang w:val="en-US" w:eastAsia="zh-CN"/>
        </w:rPr>
      </w:pPr>
      <w:r>
        <w:rPr>
          <w:rFonts w:hint="eastAsia"/>
          <w:color w:val="auto"/>
          <w:highlight w:val="none"/>
          <w:lang w:val="en-US" w:eastAsia="zh-CN"/>
        </w:rPr>
        <w:t>利用先进的疏浚船只，建议采用专用环保型疏浚船，疏浚船舶配备先进的定位、监控系统。抓斗挖泥船采用封闭抓斗，并加强维护和保养，使得疏挖时不泄漏污泥。同时采用环保疏浚工艺，采用分层、分段、分区施工，采用挖掘能力稍小于输送能力施工，目的是减少污染沉积物平面分布不均带来的问题，减少泥浆扩散及浅点的形成。</w:t>
      </w:r>
    </w:p>
    <w:p>
      <w:pPr>
        <w:bidi w:val="0"/>
        <w:rPr>
          <w:rFonts w:hint="eastAsia"/>
          <w:color w:val="auto"/>
          <w:highlight w:val="none"/>
          <w:lang w:val="en-US" w:eastAsia="zh-CN"/>
        </w:rPr>
      </w:pPr>
      <w:r>
        <w:rPr>
          <w:rFonts w:hint="eastAsia"/>
          <w:color w:val="auto"/>
          <w:highlight w:val="none"/>
          <w:lang w:val="en-US" w:eastAsia="zh-CN"/>
        </w:rPr>
        <w:fldChar w:fldCharType="begin"/>
      </w:r>
      <w:r>
        <w:rPr>
          <w:rFonts w:hint="eastAsia"/>
          <w:color w:val="auto"/>
          <w:highlight w:val="none"/>
          <w:lang w:val="en-US" w:eastAsia="zh-CN"/>
        </w:rPr>
        <w:instrText xml:space="preserve"> = 2 \* GB3 \* MERGEFORMAT </w:instrText>
      </w:r>
      <w:r>
        <w:rPr>
          <w:rFonts w:hint="eastAsia"/>
          <w:color w:val="auto"/>
          <w:highlight w:val="none"/>
          <w:lang w:val="en-US" w:eastAsia="zh-CN"/>
        </w:rPr>
        <w:fldChar w:fldCharType="separate"/>
      </w:r>
      <w:r>
        <w:rPr>
          <w:color w:val="auto"/>
          <w:highlight w:val="none"/>
        </w:rPr>
        <w:t>②</w:t>
      </w:r>
      <w:r>
        <w:rPr>
          <w:rFonts w:hint="eastAsia"/>
          <w:color w:val="auto"/>
          <w:highlight w:val="none"/>
          <w:lang w:val="en-US" w:eastAsia="zh-CN"/>
        </w:rPr>
        <w:fldChar w:fldCharType="end"/>
      </w:r>
      <w:r>
        <w:rPr>
          <w:rFonts w:hint="eastAsia"/>
          <w:color w:val="auto"/>
          <w:highlight w:val="none"/>
          <w:lang w:val="en-US" w:eastAsia="zh-CN"/>
        </w:rPr>
        <w:t>加强疏浚施工管理，合理安排施工组织</w:t>
      </w:r>
    </w:p>
    <w:p>
      <w:pPr>
        <w:bidi w:val="0"/>
        <w:rPr>
          <w:rFonts w:hint="eastAsia"/>
          <w:color w:val="auto"/>
          <w:highlight w:val="none"/>
          <w:lang w:val="en-US" w:eastAsia="zh-CN"/>
        </w:rPr>
      </w:pPr>
      <w:r>
        <w:rPr>
          <w:rFonts w:hint="eastAsia"/>
          <w:color w:val="auto"/>
          <w:highlight w:val="none"/>
          <w:lang w:val="en-US" w:eastAsia="zh-CN"/>
        </w:rPr>
        <w:t>按照《疏浚工程设计规范》，进行初步设计及施工图设计，对水深和地形进行精准测量，提高定位精度和开挖精度，尽量减少超挖量，即在保证疏浚效果的前提下降低过量开挖对底泥的搅动，从而减少悬浮物扩散对周围水体的污染。严格控制疏浚区域在工可设定的范围内，不得任意抛在其他水域内，禁止在集中式生活饮用水水源地保护区进行抛泥活动，避免大风期的作业，保障船只安全和减少泥浆洒落对水环境的影响。泥驳需安装GPS系统，确保运泥路线正确以及便于对运泥船进行监督。优化驳泥时船舶航行路线，尽量避开生活饮用水水源地保护区或减少在保护区内航行距离和时间，禁止泥驳在生活饮用水取水口附近水域停留。与坝址下游的水厂提前沟通涉水施工计划，加强涉水施工区域水环境监测，制定事故应急预案。</w:t>
      </w:r>
    </w:p>
    <w:p>
      <w:pPr>
        <w:bidi w:val="0"/>
        <w:rPr>
          <w:rFonts w:hint="eastAsia"/>
          <w:color w:val="auto"/>
          <w:highlight w:val="none"/>
          <w:lang w:val="en-US" w:eastAsia="zh-CN"/>
        </w:rPr>
      </w:pPr>
      <w:r>
        <w:rPr>
          <w:rFonts w:hint="eastAsia"/>
          <w:color w:val="auto"/>
          <w:highlight w:val="none"/>
          <w:lang w:val="en-US" w:eastAsia="zh-CN"/>
        </w:rPr>
        <w:fldChar w:fldCharType="begin"/>
      </w:r>
      <w:r>
        <w:rPr>
          <w:rFonts w:hint="eastAsia"/>
          <w:color w:val="auto"/>
          <w:highlight w:val="none"/>
          <w:lang w:val="en-US" w:eastAsia="zh-CN"/>
        </w:rPr>
        <w:instrText xml:space="preserve"> = 3 \* GB3 \* MERGEFORMAT </w:instrText>
      </w:r>
      <w:r>
        <w:rPr>
          <w:rFonts w:hint="eastAsia"/>
          <w:color w:val="auto"/>
          <w:highlight w:val="none"/>
          <w:lang w:val="en-US" w:eastAsia="zh-CN"/>
        </w:rPr>
        <w:fldChar w:fldCharType="separate"/>
      </w:r>
      <w:r>
        <w:rPr>
          <w:color w:val="auto"/>
          <w:highlight w:val="none"/>
        </w:rPr>
        <w:t>③</w:t>
      </w:r>
      <w:r>
        <w:rPr>
          <w:rFonts w:hint="eastAsia"/>
          <w:color w:val="auto"/>
          <w:highlight w:val="none"/>
          <w:lang w:val="en-US" w:eastAsia="zh-CN"/>
        </w:rPr>
        <w:fldChar w:fldCharType="end"/>
      </w:r>
      <w:r>
        <w:rPr>
          <w:rFonts w:hint="eastAsia"/>
          <w:color w:val="auto"/>
          <w:highlight w:val="none"/>
          <w:lang w:val="en-US" w:eastAsia="zh-CN"/>
        </w:rPr>
        <w:t>防止运输环节发生溢流污染</w:t>
      </w:r>
    </w:p>
    <w:p>
      <w:pPr>
        <w:bidi w:val="0"/>
        <w:rPr>
          <w:rFonts w:hint="eastAsia"/>
          <w:color w:val="auto"/>
          <w:highlight w:val="none"/>
          <w:lang w:val="en-US" w:eastAsia="zh-CN"/>
        </w:rPr>
      </w:pPr>
      <w:r>
        <w:rPr>
          <w:rFonts w:hint="eastAsia"/>
          <w:color w:val="auto"/>
          <w:highlight w:val="none"/>
          <w:lang w:val="en-US" w:eastAsia="zh-CN"/>
        </w:rPr>
        <w:t>加强船舶维护管理，确保各施工船舶船机状况始终处于良好的状态，保证输泥管连接处水密性能，防止泄漏造成污染水体。确保泥门密闭，严防泥浆泄漏。泥舱密封条的严密性能和控制泥门开启与关闭的传动部分，及时更换泥门封条和液压杆上的密封圈，以免液压系统失控或密封条失灵而导致泥门关闭不严的现象发生。泥驳必须在疏浚施工水域溢流完成后才能启航运输，防止运输环节发生溢流污染。泥舱不能过于装满，避免溢舱泥浆对航行过程中的水污染。不能利用的疏浚渣在临时堆场沥干后，再通过车辆运输至弃渣场。</w:t>
      </w:r>
    </w:p>
    <w:p>
      <w:pPr>
        <w:bidi w:val="0"/>
        <w:rPr>
          <w:rFonts w:hint="eastAsia"/>
          <w:color w:val="auto"/>
          <w:highlight w:val="none"/>
          <w:lang w:val="en-US" w:eastAsia="zh-CN"/>
        </w:rPr>
      </w:pPr>
      <w:r>
        <w:rPr>
          <w:rFonts w:hint="eastAsia"/>
          <w:color w:val="auto"/>
          <w:highlight w:val="none"/>
          <w:lang w:val="en-US" w:eastAsia="zh-CN"/>
        </w:rPr>
        <w:fldChar w:fldCharType="begin"/>
      </w:r>
      <w:r>
        <w:rPr>
          <w:rFonts w:hint="eastAsia"/>
          <w:color w:val="auto"/>
          <w:highlight w:val="none"/>
          <w:lang w:val="en-US" w:eastAsia="zh-CN"/>
        </w:rPr>
        <w:instrText xml:space="preserve"> = 4 \* GB3 \* MERGEFORMAT </w:instrText>
      </w:r>
      <w:r>
        <w:rPr>
          <w:rFonts w:hint="eastAsia"/>
          <w:color w:val="auto"/>
          <w:highlight w:val="none"/>
          <w:lang w:val="en-US" w:eastAsia="zh-CN"/>
        </w:rPr>
        <w:fldChar w:fldCharType="separate"/>
      </w:r>
      <w:r>
        <w:rPr>
          <w:color w:val="auto"/>
          <w:highlight w:val="none"/>
        </w:rPr>
        <w:t>④</w:t>
      </w:r>
      <w:r>
        <w:rPr>
          <w:rFonts w:hint="eastAsia"/>
          <w:color w:val="auto"/>
          <w:highlight w:val="none"/>
          <w:lang w:val="en-US" w:eastAsia="zh-CN"/>
        </w:rPr>
        <w:fldChar w:fldCharType="end"/>
      </w:r>
      <w:r>
        <w:rPr>
          <w:rFonts w:hint="eastAsia"/>
          <w:color w:val="auto"/>
          <w:highlight w:val="none"/>
          <w:lang w:val="en-US" w:eastAsia="zh-CN"/>
        </w:rPr>
        <w:t>疏浚渣临时堆存余水处置措施</w:t>
      </w:r>
    </w:p>
    <w:p>
      <w:pPr>
        <w:bidi w:val="0"/>
        <w:rPr>
          <w:rFonts w:hint="eastAsia"/>
          <w:color w:val="auto"/>
          <w:highlight w:val="none"/>
          <w:lang w:val="en-US" w:eastAsia="zh-CN"/>
        </w:rPr>
      </w:pPr>
      <w:r>
        <w:rPr>
          <w:rFonts w:hint="eastAsia"/>
          <w:color w:val="auto"/>
          <w:highlight w:val="none"/>
          <w:lang w:val="en-US" w:eastAsia="zh-CN"/>
        </w:rPr>
        <w:t>疏浚渣堆场产生的余水量为30m³/d，在临时堆料场四周设置截水沟及配套沉淀池，堆场产生的余水经沉淀处理后，回用施工场地洒水降尘、绿化。</w:t>
      </w:r>
    </w:p>
    <w:p>
      <w:pPr>
        <w:bidi w:val="0"/>
        <w:rPr>
          <w:rFonts w:hint="eastAsia" w:ascii="Times New Roman" w:hAnsi="Times New Roman"/>
          <w:color w:val="auto"/>
          <w:highlight w:val="none"/>
          <w:lang w:eastAsia="zh-CN"/>
        </w:rPr>
      </w:pPr>
      <w:r>
        <w:rPr>
          <w:rFonts w:hint="eastAsia"/>
          <w:color w:val="auto"/>
          <w:highlight w:val="none"/>
          <w:lang w:val="en-US" w:eastAsia="zh-CN"/>
        </w:rPr>
        <w:t>（6）其他</w:t>
      </w:r>
      <w:r>
        <w:rPr>
          <w:rFonts w:hint="eastAsia" w:ascii="Times New Roman" w:hAnsi="Times New Roman"/>
          <w:color w:val="auto"/>
          <w:highlight w:val="none"/>
          <w:lang w:eastAsia="zh-CN"/>
        </w:rPr>
        <w:t>水体影响减缓措施</w:t>
      </w:r>
    </w:p>
    <w:p>
      <w:pPr>
        <w:bidi w:val="0"/>
        <w:rPr>
          <w:rFonts w:hint="eastAsia"/>
          <w:color w:val="auto"/>
          <w:highlight w:val="none"/>
          <w:lang w:val="en-US" w:eastAsia="zh-CN"/>
        </w:rPr>
      </w:pPr>
      <w:r>
        <w:rPr>
          <w:rFonts w:hint="eastAsia"/>
          <w:color w:val="auto"/>
          <w:highlight w:val="none"/>
          <w:lang w:val="en-US" w:eastAsia="zh-CN"/>
        </w:rPr>
        <w:t>项目其他涉水工程施工过程中，应加强管理，制定涉水施工管理办法，尽量在枯水期进行施工，减轻对水体的扰动，禁止在河道管理范围内及地表水体附近洗车或检修、堆放施工建筑垃圾、生活垃圾等。</w:t>
      </w:r>
    </w:p>
    <w:p>
      <w:pPr>
        <w:pStyle w:val="5"/>
        <w:ind w:firstLine="522"/>
        <w:rPr>
          <w:color w:val="auto"/>
          <w:highlight w:val="none"/>
        </w:rPr>
      </w:pPr>
      <w:r>
        <w:rPr>
          <w:rFonts w:hint="eastAsia"/>
          <w:color w:val="auto"/>
          <w:highlight w:val="none"/>
        </w:rPr>
        <w:t>施工期大气污染防治措施</w:t>
      </w:r>
    </w:p>
    <w:p>
      <w:pPr>
        <w:ind w:left="0" w:leftChars="0" w:firstLine="520" w:firstLineChars="200"/>
        <w:rPr>
          <w:rFonts w:hint="eastAsia"/>
          <w:color w:val="auto"/>
          <w:highlight w:val="none"/>
        </w:rPr>
      </w:pPr>
      <w:r>
        <w:rPr>
          <w:rFonts w:hint="eastAsia"/>
          <w:color w:val="auto"/>
          <w:highlight w:val="none"/>
          <w:lang w:eastAsia="zh-CN"/>
        </w:rPr>
        <w:t>项目施工期大气污染防治应严格落实</w:t>
      </w:r>
      <w:r>
        <w:rPr>
          <w:rFonts w:hint="eastAsia"/>
          <w:color w:val="auto"/>
          <w:highlight w:val="none"/>
        </w:rPr>
        <w:t>《重庆市空气质量持续改善行动实施方案</w:t>
      </w:r>
      <w:r>
        <w:rPr>
          <w:rFonts w:hint="eastAsia"/>
          <w:color w:val="auto"/>
          <w:highlight w:val="none"/>
          <w:shd w:val="clear" w:fill="FFFFFF"/>
        </w:rPr>
        <w:t>》、《</w:t>
      </w:r>
      <w:r>
        <w:rPr>
          <w:rFonts w:hint="eastAsia"/>
          <w:color w:val="auto"/>
          <w:highlight w:val="none"/>
        </w:rPr>
        <w:t>合川区空气质量持续改善行动实施方案》等文件对施工现场大气污染防治的管理要求，具体措施如下：</w:t>
      </w:r>
    </w:p>
    <w:p>
      <w:pPr>
        <w:ind w:firstLine="520"/>
        <w:rPr>
          <w:rFonts w:hint="eastAsia" w:eastAsia="宋体"/>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rPr>
        <w:t>开挖、爆破</w:t>
      </w:r>
      <w:r>
        <w:rPr>
          <w:rFonts w:hint="eastAsia"/>
          <w:color w:val="auto"/>
          <w:highlight w:val="none"/>
          <w:lang w:eastAsia="zh-CN"/>
        </w:rPr>
        <w:t>扬尘</w:t>
      </w:r>
      <w:r>
        <w:rPr>
          <w:rFonts w:hint="eastAsia"/>
          <w:color w:val="auto"/>
          <w:highlight w:val="none"/>
        </w:rPr>
        <w:t>控制</w:t>
      </w:r>
      <w:r>
        <w:rPr>
          <w:rFonts w:hint="eastAsia"/>
          <w:color w:val="auto"/>
          <w:highlight w:val="none"/>
          <w:lang w:eastAsia="zh-CN"/>
        </w:rPr>
        <w:t>措施</w:t>
      </w:r>
    </w:p>
    <w:p>
      <w:pPr>
        <w:ind w:firstLine="520"/>
        <w:rPr>
          <w:rFonts w:hint="eastAsia"/>
          <w:color w:val="auto"/>
          <w:highlight w:val="none"/>
        </w:rPr>
      </w:pPr>
      <w:r>
        <w:rPr>
          <w:rFonts w:hint="eastAsia"/>
          <w:color w:val="auto"/>
          <w:highlight w:val="none"/>
        </w:rPr>
        <w:fldChar w:fldCharType="begin"/>
      </w:r>
      <w:r>
        <w:rPr>
          <w:rFonts w:hint="eastAsia"/>
          <w:color w:val="auto"/>
          <w:highlight w:val="none"/>
        </w:rPr>
        <w:instrText xml:space="preserve"> = 1 \* GB3 \* MERGEFORMAT </w:instrText>
      </w:r>
      <w:r>
        <w:rPr>
          <w:rFonts w:hint="eastAsia"/>
          <w:color w:val="auto"/>
          <w:highlight w:val="none"/>
        </w:rPr>
        <w:fldChar w:fldCharType="separate"/>
      </w:r>
      <w:r>
        <w:rPr>
          <w:color w:val="auto"/>
          <w:highlight w:val="none"/>
        </w:rPr>
        <w:t>①</w:t>
      </w:r>
      <w:r>
        <w:rPr>
          <w:rFonts w:hint="eastAsia"/>
          <w:color w:val="auto"/>
          <w:highlight w:val="none"/>
        </w:rPr>
        <w:fldChar w:fldCharType="end"/>
      </w:r>
      <w:r>
        <w:rPr>
          <w:rFonts w:hint="eastAsia"/>
          <w:color w:val="auto"/>
          <w:highlight w:val="none"/>
        </w:rPr>
        <w:t>制定扬尘污染防治方案，建立相应的责任制度和作业记录台账；将施工场地扬尘污染防治纳入文明施工管理范畴，落实保洁人员，定时清扫施工现场。</w:t>
      </w:r>
    </w:p>
    <w:p>
      <w:pPr>
        <w:ind w:firstLine="520"/>
        <w:rPr>
          <w:rFonts w:hint="eastAsia"/>
          <w:color w:val="auto"/>
          <w:highlight w:val="none"/>
        </w:rPr>
      </w:pPr>
      <w:r>
        <w:rPr>
          <w:rFonts w:hint="eastAsia"/>
          <w:color w:val="auto"/>
          <w:highlight w:val="none"/>
        </w:rPr>
        <w:fldChar w:fldCharType="begin"/>
      </w:r>
      <w:r>
        <w:rPr>
          <w:rFonts w:hint="eastAsia"/>
          <w:color w:val="auto"/>
          <w:highlight w:val="none"/>
        </w:rPr>
        <w:instrText xml:space="preserve"> = 2 \* GB3 \* MERGEFORMAT </w:instrText>
      </w:r>
      <w:r>
        <w:rPr>
          <w:rFonts w:hint="eastAsia"/>
          <w:color w:val="auto"/>
          <w:highlight w:val="none"/>
        </w:rPr>
        <w:fldChar w:fldCharType="separate"/>
      </w:r>
      <w:r>
        <w:rPr>
          <w:color w:val="auto"/>
          <w:highlight w:val="none"/>
        </w:rPr>
        <w:t>②</w:t>
      </w:r>
      <w:r>
        <w:rPr>
          <w:rFonts w:hint="eastAsia"/>
          <w:color w:val="auto"/>
          <w:highlight w:val="none"/>
        </w:rPr>
        <w:fldChar w:fldCharType="end"/>
      </w:r>
      <w:r>
        <w:rPr>
          <w:rFonts w:hint="eastAsia"/>
          <w:color w:val="auto"/>
          <w:highlight w:val="none"/>
        </w:rPr>
        <w:t>土方开挖应尽量避开干燥多风天气，施工现场土方开挖后尽快完成回填，不能及时回填的场地，应采取覆盖等防尘措施。临时堆放的土方要定期对顶面洒水和做好苫盖措施，并及时清运。在场地内堆放作回填使用的土石方应集中堆放，同时，在未干化之前，经表面整平压实后，采取覆盖措施，并定时洒水维持湿润；土料堆积过程中，堆积边坡角度不宜过大。遇到5级及以上大风天气，应停止土方作业，同时作业处覆以防尘网。</w:t>
      </w:r>
    </w:p>
    <w:p>
      <w:pPr>
        <w:ind w:firstLine="520"/>
        <w:rPr>
          <w:rFonts w:hint="eastAsia"/>
          <w:color w:val="auto"/>
          <w:highlight w:val="none"/>
        </w:rPr>
      </w:pPr>
      <w:r>
        <w:rPr>
          <w:rFonts w:hint="eastAsia"/>
          <w:color w:val="auto"/>
          <w:highlight w:val="none"/>
        </w:rPr>
        <w:fldChar w:fldCharType="begin"/>
      </w:r>
      <w:r>
        <w:rPr>
          <w:rFonts w:hint="eastAsia"/>
          <w:color w:val="auto"/>
          <w:highlight w:val="none"/>
        </w:rPr>
        <w:instrText xml:space="preserve"> = 3 \* GB3 \* MERGEFORMAT </w:instrText>
      </w:r>
      <w:r>
        <w:rPr>
          <w:rFonts w:hint="eastAsia"/>
          <w:color w:val="auto"/>
          <w:highlight w:val="none"/>
        </w:rPr>
        <w:fldChar w:fldCharType="separate"/>
      </w:r>
      <w:r>
        <w:rPr>
          <w:color w:val="auto"/>
          <w:highlight w:val="none"/>
        </w:rPr>
        <w:t>③</w:t>
      </w:r>
      <w:r>
        <w:rPr>
          <w:rFonts w:hint="eastAsia"/>
          <w:color w:val="auto"/>
          <w:highlight w:val="none"/>
        </w:rPr>
        <w:fldChar w:fldCharType="end"/>
      </w:r>
      <w:r>
        <w:rPr>
          <w:rFonts w:hint="eastAsia"/>
          <w:color w:val="auto"/>
          <w:highlight w:val="none"/>
        </w:rPr>
        <w:t>裸土与物料堆放覆盖。对易干燥起尘的裸露场地和堆放土方，超过4小时的，必须采取覆盖(六针以上密目网)、绿化或固化等防尘措施。施工现场料具堆放整齐，产生扬尘的材料露天堆放时，应采取定期洒水、防尘网覆盖等措施。施工现场应分类设置建筑垃圾堆放场地和垃圾池，上部应有覆盖密闭措施，起尘时应及时湿润。建筑垃圾宜日产日清，严禁凌空抛掷和现场焚烧。</w:t>
      </w:r>
    </w:p>
    <w:p>
      <w:pPr>
        <w:ind w:firstLine="520"/>
        <w:rPr>
          <w:rFonts w:hint="eastAsia"/>
          <w:color w:val="auto"/>
          <w:highlight w:val="none"/>
        </w:rPr>
      </w:pPr>
      <w:r>
        <w:rPr>
          <w:rFonts w:hint="eastAsia"/>
          <w:color w:val="auto"/>
          <w:highlight w:val="none"/>
        </w:rPr>
        <w:fldChar w:fldCharType="begin"/>
      </w:r>
      <w:r>
        <w:rPr>
          <w:rFonts w:hint="eastAsia"/>
          <w:color w:val="auto"/>
          <w:highlight w:val="none"/>
        </w:rPr>
        <w:instrText xml:space="preserve"> = 4 \* GB3 \* MERGEFORMAT </w:instrText>
      </w:r>
      <w:r>
        <w:rPr>
          <w:rFonts w:hint="eastAsia"/>
          <w:color w:val="auto"/>
          <w:highlight w:val="none"/>
        </w:rPr>
        <w:fldChar w:fldCharType="separate"/>
      </w:r>
      <w:r>
        <w:rPr>
          <w:color w:val="auto"/>
          <w:highlight w:val="none"/>
        </w:rPr>
        <w:t>④</w:t>
      </w:r>
      <w:r>
        <w:rPr>
          <w:rFonts w:hint="eastAsia"/>
          <w:color w:val="auto"/>
          <w:highlight w:val="none"/>
        </w:rPr>
        <w:fldChar w:fldCharType="end"/>
      </w:r>
      <w:r>
        <w:rPr>
          <w:rFonts w:hint="eastAsia"/>
          <w:color w:val="auto"/>
          <w:highlight w:val="none"/>
        </w:rPr>
        <w:t>场内配备人员及洒水车等降尘设备进行定期洒水，在高温干燥或大风天气适当增加洒水次数，洒水面积需尽量覆盖所有干燥裸露面。</w:t>
      </w:r>
    </w:p>
    <w:p>
      <w:pPr>
        <w:ind w:firstLine="520"/>
        <w:rPr>
          <w:rFonts w:hint="eastAsia"/>
          <w:color w:val="auto"/>
          <w:highlight w:val="none"/>
        </w:rPr>
      </w:pPr>
      <w:r>
        <w:rPr>
          <w:rFonts w:hint="eastAsia"/>
          <w:color w:val="auto"/>
          <w:highlight w:val="none"/>
        </w:rPr>
        <w:fldChar w:fldCharType="begin"/>
      </w:r>
      <w:r>
        <w:rPr>
          <w:rFonts w:hint="eastAsia"/>
          <w:color w:val="auto"/>
          <w:highlight w:val="none"/>
        </w:rPr>
        <w:instrText xml:space="preserve"> = 5 \* GB3 \* MERGEFORMAT </w:instrText>
      </w:r>
      <w:r>
        <w:rPr>
          <w:rFonts w:hint="eastAsia"/>
          <w:color w:val="auto"/>
          <w:highlight w:val="none"/>
        </w:rPr>
        <w:fldChar w:fldCharType="separate"/>
      </w:r>
      <w:r>
        <w:rPr>
          <w:color w:val="auto"/>
          <w:highlight w:val="none"/>
        </w:rPr>
        <w:t>⑤</w:t>
      </w:r>
      <w:r>
        <w:rPr>
          <w:rFonts w:hint="eastAsia"/>
          <w:color w:val="auto"/>
          <w:highlight w:val="none"/>
        </w:rPr>
        <w:fldChar w:fldCharType="end"/>
      </w:r>
      <w:r>
        <w:rPr>
          <w:rFonts w:hint="eastAsia"/>
          <w:color w:val="auto"/>
          <w:highlight w:val="none"/>
        </w:rPr>
        <w:t>对土石方开挖等多扬尘的施工作业面，在局部时段对附近敏感目标扬尘影响较大的施工区周围设置连续的围挡，高度不得低于1.8m，在工地围挡上均匀设置给水管及水雾喷头。</w:t>
      </w:r>
    </w:p>
    <w:p>
      <w:pPr>
        <w:ind w:firstLine="520"/>
        <w:rPr>
          <w:rFonts w:hint="eastAsia"/>
          <w:color w:val="auto"/>
          <w:highlight w:val="none"/>
        </w:rPr>
      </w:pPr>
      <w:r>
        <w:rPr>
          <w:rFonts w:hint="eastAsia"/>
          <w:color w:val="auto"/>
          <w:highlight w:val="none"/>
        </w:rPr>
        <w:fldChar w:fldCharType="begin"/>
      </w:r>
      <w:r>
        <w:rPr>
          <w:rFonts w:hint="eastAsia"/>
          <w:color w:val="auto"/>
          <w:highlight w:val="none"/>
        </w:rPr>
        <w:instrText xml:space="preserve"> = 6 \* GB3 \* MERGEFORMAT </w:instrText>
      </w:r>
      <w:r>
        <w:rPr>
          <w:rFonts w:hint="eastAsia"/>
          <w:color w:val="auto"/>
          <w:highlight w:val="none"/>
        </w:rPr>
        <w:fldChar w:fldCharType="separate"/>
      </w:r>
      <w:r>
        <w:rPr>
          <w:color w:val="auto"/>
          <w:highlight w:val="none"/>
        </w:rPr>
        <w:t>⑥</w:t>
      </w:r>
      <w:r>
        <w:rPr>
          <w:rFonts w:hint="eastAsia"/>
          <w:color w:val="auto"/>
          <w:highlight w:val="none"/>
        </w:rPr>
        <w:fldChar w:fldCharType="end"/>
      </w:r>
      <w:r>
        <w:rPr>
          <w:rFonts w:hint="eastAsia"/>
          <w:color w:val="auto"/>
          <w:highlight w:val="none"/>
          <w:lang w:eastAsia="zh-CN"/>
        </w:rPr>
        <w:t>现有管理区</w:t>
      </w:r>
      <w:r>
        <w:rPr>
          <w:rFonts w:hint="eastAsia"/>
          <w:color w:val="auto"/>
          <w:highlight w:val="none"/>
        </w:rPr>
        <w:t>拆除实行湿法作业，缩短起尘操作时间；采取喷淋、洒水、喷雾等扬尘污染防治措施，严禁冲淋水溢出场外。整理拆除后的建筑材料（构件）、翻渣和清运拆除垃圾时，应采取洒水或喷淋措施。</w:t>
      </w:r>
    </w:p>
    <w:p>
      <w:pPr>
        <w:ind w:firstLine="520"/>
        <w:rPr>
          <w:rFonts w:hint="eastAsia"/>
          <w:color w:val="auto"/>
          <w:highlight w:val="none"/>
        </w:rPr>
      </w:pPr>
      <w:r>
        <w:rPr>
          <w:rFonts w:hint="eastAsia"/>
          <w:color w:val="auto"/>
          <w:highlight w:val="none"/>
        </w:rPr>
        <w:fldChar w:fldCharType="begin"/>
      </w:r>
      <w:r>
        <w:rPr>
          <w:rFonts w:hint="eastAsia"/>
          <w:color w:val="auto"/>
          <w:highlight w:val="none"/>
        </w:rPr>
        <w:instrText xml:space="preserve"> = 7 \* GB3 \* MERGEFORMAT </w:instrText>
      </w:r>
      <w:r>
        <w:rPr>
          <w:rFonts w:hint="eastAsia"/>
          <w:color w:val="auto"/>
          <w:highlight w:val="none"/>
        </w:rPr>
        <w:fldChar w:fldCharType="separate"/>
      </w:r>
      <w:r>
        <w:rPr>
          <w:color w:val="auto"/>
          <w:highlight w:val="none"/>
        </w:rPr>
        <w:t>⑦</w:t>
      </w:r>
      <w:r>
        <w:rPr>
          <w:rFonts w:hint="eastAsia"/>
          <w:color w:val="auto"/>
          <w:highlight w:val="none"/>
        </w:rPr>
        <w:fldChar w:fldCharType="end"/>
      </w:r>
      <w:r>
        <w:rPr>
          <w:rFonts w:hint="eastAsia"/>
          <w:color w:val="auto"/>
          <w:highlight w:val="none"/>
        </w:rPr>
        <w:t>拆除工程产生的可利用建筑材料（构件）、建筑垃圾应分类存放、分类运输。拆除后应当及时清运，不能及时清运的，应采用防尘网覆盖，并定期洒水保持湿润。拆除工程完工后应做到工完料尽，对场地进行覆盖。</w:t>
      </w:r>
    </w:p>
    <w:p>
      <w:pPr>
        <w:ind w:firstLine="520"/>
        <w:rPr>
          <w:rFonts w:hint="eastAsia"/>
          <w:color w:val="auto"/>
          <w:highlight w:val="none"/>
        </w:rPr>
      </w:pPr>
      <w:r>
        <w:rPr>
          <w:rFonts w:hint="eastAsia"/>
          <w:color w:val="auto"/>
          <w:highlight w:val="none"/>
        </w:rPr>
        <w:fldChar w:fldCharType="begin"/>
      </w:r>
      <w:r>
        <w:rPr>
          <w:rFonts w:hint="eastAsia"/>
          <w:color w:val="auto"/>
          <w:highlight w:val="none"/>
        </w:rPr>
        <w:instrText xml:space="preserve"> = 8 \* GB3 \* MERGEFORMAT </w:instrText>
      </w:r>
      <w:r>
        <w:rPr>
          <w:rFonts w:hint="eastAsia"/>
          <w:color w:val="auto"/>
          <w:highlight w:val="none"/>
        </w:rPr>
        <w:fldChar w:fldCharType="separate"/>
      </w:r>
      <w:r>
        <w:rPr>
          <w:color w:val="auto"/>
          <w:highlight w:val="none"/>
        </w:rPr>
        <w:t>⑧</w:t>
      </w:r>
      <w:r>
        <w:rPr>
          <w:rFonts w:hint="eastAsia"/>
          <w:color w:val="auto"/>
          <w:highlight w:val="none"/>
        </w:rPr>
        <w:fldChar w:fldCharType="end"/>
      </w:r>
      <w:r>
        <w:rPr>
          <w:rFonts w:hint="eastAsia"/>
          <w:color w:val="auto"/>
          <w:highlight w:val="none"/>
        </w:rPr>
        <w:t>建筑垃圾和土方运输车辆运输中必须采取密闭措施，切实达到无外露、无遗撒、无</w:t>
      </w:r>
      <w:r>
        <w:rPr>
          <w:rFonts w:hint="eastAsia"/>
          <w:color w:val="auto"/>
          <w:highlight w:val="none"/>
          <w:shd w:val="clear" w:fill="FFFFFF"/>
        </w:rPr>
        <w:t>高尖</w:t>
      </w:r>
      <w:r>
        <w:rPr>
          <w:rFonts w:hint="eastAsia"/>
          <w:color w:val="auto"/>
          <w:highlight w:val="none"/>
        </w:rPr>
        <w:t>、无扬尘的要求，按规定的时间、地点、线路运输和装卸。建筑垃圾运输及处理时，应按当地行政主管部门规定的时间、路线和要求，清运到指定的场所处理。</w:t>
      </w:r>
    </w:p>
    <w:p>
      <w:pPr>
        <w:ind w:firstLine="520"/>
        <w:rPr>
          <w:rFonts w:hint="eastAsia"/>
          <w:color w:val="auto"/>
          <w:highlight w:val="none"/>
        </w:rPr>
      </w:pPr>
      <w:r>
        <w:rPr>
          <w:rFonts w:hint="eastAsia"/>
          <w:color w:val="auto"/>
          <w:highlight w:val="none"/>
        </w:rPr>
        <w:fldChar w:fldCharType="begin"/>
      </w:r>
      <w:r>
        <w:rPr>
          <w:rFonts w:hint="eastAsia"/>
          <w:color w:val="auto"/>
          <w:highlight w:val="none"/>
        </w:rPr>
        <w:instrText xml:space="preserve"> = 9 \* GB3 \* MERGEFORMAT </w:instrText>
      </w:r>
      <w:r>
        <w:rPr>
          <w:rFonts w:hint="eastAsia"/>
          <w:color w:val="auto"/>
          <w:highlight w:val="none"/>
        </w:rPr>
        <w:fldChar w:fldCharType="separate"/>
      </w:r>
      <w:r>
        <w:rPr>
          <w:color w:val="auto"/>
          <w:highlight w:val="none"/>
        </w:rPr>
        <w:t>⑨</w:t>
      </w:r>
      <w:r>
        <w:rPr>
          <w:rFonts w:hint="eastAsia"/>
          <w:color w:val="auto"/>
          <w:highlight w:val="none"/>
        </w:rPr>
        <w:fldChar w:fldCharType="end"/>
      </w:r>
      <w:r>
        <w:rPr>
          <w:rFonts w:hint="eastAsia"/>
          <w:color w:val="auto"/>
          <w:highlight w:val="none"/>
        </w:rPr>
        <w:t>在施工现场建设单位必须设置控制扬尘污染责任标志牌，标明扬尘污染防治措施、主管部门、责任人及环保监督电话等内容。</w:t>
      </w:r>
    </w:p>
    <w:p>
      <w:pPr>
        <w:ind w:firstLine="520"/>
        <w:rPr>
          <w:rFonts w:hint="eastAsia"/>
          <w:color w:val="auto"/>
          <w:highlight w:val="none"/>
        </w:rPr>
      </w:pPr>
      <w:r>
        <w:rPr>
          <w:rFonts w:hint="eastAsia"/>
          <w:color w:val="auto"/>
          <w:highlight w:val="none"/>
        </w:rPr>
        <w:fldChar w:fldCharType="begin"/>
      </w:r>
      <w:r>
        <w:rPr>
          <w:rFonts w:hint="eastAsia"/>
          <w:color w:val="auto"/>
          <w:highlight w:val="none"/>
        </w:rPr>
        <w:instrText xml:space="preserve"> = 10 \* GB3 \* MERGEFORMAT </w:instrText>
      </w:r>
      <w:r>
        <w:rPr>
          <w:rFonts w:hint="eastAsia"/>
          <w:color w:val="auto"/>
          <w:highlight w:val="none"/>
        </w:rPr>
        <w:fldChar w:fldCharType="separate"/>
      </w:r>
      <w:r>
        <w:rPr>
          <w:color w:val="auto"/>
          <w:highlight w:val="none"/>
        </w:rPr>
        <w:t>⑩</w:t>
      </w:r>
      <w:r>
        <w:rPr>
          <w:rFonts w:hint="eastAsia"/>
          <w:color w:val="auto"/>
          <w:highlight w:val="none"/>
        </w:rPr>
        <w:fldChar w:fldCharType="end"/>
      </w:r>
      <w:r>
        <w:rPr>
          <w:rFonts w:hint="eastAsia"/>
          <w:color w:val="auto"/>
          <w:highlight w:val="none"/>
        </w:rPr>
        <w:t>爆破前，应优化开挖爆破方法，采取产尘率低的开挖爆破方法。爆破钻孔设备要选用带除尘器的钻机，尽可能选择水钻；采用湿式作业，如果采用带有扑尘罩的潜孔钻进行钻孔，施工过程中必须收集、妥善处理岩粉，禁止采用岩粉作为炮孔的堵塞炮泥，以防止岩粉在炮堆的鼓包运动过程中被扬起。</w:t>
      </w:r>
    </w:p>
    <w:p>
      <w:pPr>
        <w:ind w:firstLine="520"/>
        <w:rPr>
          <w:rFonts w:hint="eastAsia"/>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混凝土</w:t>
      </w:r>
      <w:r>
        <w:rPr>
          <w:rFonts w:hint="eastAsia"/>
          <w:color w:val="auto"/>
          <w:highlight w:val="none"/>
          <w:shd w:val="clear" w:fill="FFFFFF"/>
        </w:rPr>
        <w:t>拌和</w:t>
      </w:r>
      <w:r>
        <w:rPr>
          <w:rFonts w:hint="eastAsia"/>
          <w:color w:val="auto"/>
          <w:highlight w:val="none"/>
        </w:rPr>
        <w:t>系统</w:t>
      </w:r>
      <w:r>
        <w:rPr>
          <w:rFonts w:hint="eastAsia"/>
          <w:color w:val="auto"/>
          <w:highlight w:val="none"/>
          <w:lang w:eastAsia="zh-CN"/>
        </w:rPr>
        <w:t>扬尘</w:t>
      </w:r>
      <w:r>
        <w:rPr>
          <w:rFonts w:hint="eastAsia"/>
          <w:color w:val="auto"/>
          <w:highlight w:val="none"/>
        </w:rPr>
        <w:t>控制</w:t>
      </w:r>
      <w:r>
        <w:rPr>
          <w:rFonts w:hint="eastAsia"/>
          <w:color w:val="auto"/>
          <w:highlight w:val="none"/>
          <w:lang w:eastAsia="zh-CN"/>
        </w:rPr>
        <w:t>措施</w:t>
      </w:r>
    </w:p>
    <w:p>
      <w:pPr>
        <w:ind w:firstLine="520"/>
        <w:rPr>
          <w:rFonts w:hint="eastAsia"/>
          <w:color w:val="auto"/>
          <w:highlight w:val="none"/>
        </w:rPr>
      </w:pPr>
      <w:r>
        <w:rPr>
          <w:rFonts w:hint="eastAsia"/>
          <w:color w:val="auto"/>
          <w:highlight w:val="none"/>
        </w:rPr>
        <w:t>混凝土</w:t>
      </w:r>
      <w:r>
        <w:rPr>
          <w:rFonts w:hint="eastAsia"/>
          <w:color w:val="auto"/>
          <w:highlight w:val="none"/>
          <w:shd w:val="clear" w:fill="FFFFFF"/>
        </w:rPr>
        <w:t>拌和</w:t>
      </w:r>
      <w:r>
        <w:rPr>
          <w:rFonts w:hint="eastAsia"/>
          <w:color w:val="auto"/>
          <w:highlight w:val="none"/>
        </w:rPr>
        <w:t>系统采用全封闭拌和楼，配有除尘设备，除尘效率可达99%；水泥和粉煤灰输送采用封闭设备，避免水泥、粉煤灰输送和</w:t>
      </w:r>
      <w:r>
        <w:rPr>
          <w:rFonts w:hint="eastAsia"/>
          <w:color w:val="auto"/>
          <w:highlight w:val="none"/>
          <w:shd w:val="clear" w:fill="FFFFFF"/>
        </w:rPr>
        <w:t>拌和</w:t>
      </w:r>
      <w:r>
        <w:rPr>
          <w:rFonts w:hint="eastAsia"/>
          <w:color w:val="auto"/>
          <w:highlight w:val="none"/>
        </w:rPr>
        <w:t>楼运行过程中的扬尘。</w:t>
      </w:r>
      <w:r>
        <w:rPr>
          <w:rFonts w:hint="eastAsia"/>
          <w:color w:val="auto"/>
          <w:highlight w:val="none"/>
          <w:shd w:val="clear" w:fill="FFFFFF"/>
        </w:rPr>
        <w:t>在拌和楼</w:t>
      </w:r>
      <w:r>
        <w:rPr>
          <w:rFonts w:hint="eastAsia"/>
          <w:color w:val="auto"/>
          <w:highlight w:val="none"/>
        </w:rPr>
        <w:t>生产过程中，要制定</w:t>
      </w:r>
      <w:r>
        <w:rPr>
          <w:rFonts w:hint="eastAsia"/>
          <w:color w:val="auto"/>
          <w:highlight w:val="none"/>
          <w:shd w:val="clear" w:fill="FFFFFF"/>
        </w:rPr>
        <w:t>除尘设备</w:t>
      </w:r>
      <w:r>
        <w:rPr>
          <w:rFonts w:hint="eastAsia"/>
          <w:color w:val="auto"/>
          <w:highlight w:val="none"/>
        </w:rPr>
        <w:t>的使用、维护和检修制度，将除尘设备的操作规程编入作业人员工作手册，并加强除尘设备的维修、保养，使除尘设备始终处于良好的工作状态，确保除尘装置与生产设备同时正常使用，维持除尘器的效率。</w:t>
      </w:r>
    </w:p>
    <w:p>
      <w:pPr>
        <w:ind w:firstLine="520"/>
        <w:rPr>
          <w:rFonts w:hint="eastAsia"/>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交通运输扬尘控制</w:t>
      </w:r>
    </w:p>
    <w:p>
      <w:pPr>
        <w:ind w:firstLine="520"/>
        <w:rPr>
          <w:rFonts w:hint="eastAsia" w:eastAsia="宋体"/>
          <w:color w:val="auto"/>
          <w:highlight w:val="none"/>
          <w:lang w:eastAsia="zh-CN"/>
        </w:rPr>
      </w:pPr>
      <w:r>
        <w:rPr>
          <w:rFonts w:hint="eastAsia"/>
          <w:color w:val="auto"/>
          <w:highlight w:val="none"/>
        </w:rPr>
        <w:fldChar w:fldCharType="begin"/>
      </w:r>
      <w:r>
        <w:rPr>
          <w:rFonts w:hint="eastAsia"/>
          <w:color w:val="auto"/>
          <w:highlight w:val="none"/>
        </w:rPr>
        <w:instrText xml:space="preserve"> = 1 \* GB3 \* MERGEFORMAT </w:instrText>
      </w:r>
      <w:r>
        <w:rPr>
          <w:rFonts w:hint="eastAsia"/>
          <w:color w:val="auto"/>
          <w:highlight w:val="none"/>
        </w:rPr>
        <w:fldChar w:fldCharType="separate"/>
      </w:r>
      <w:r>
        <w:rPr>
          <w:color w:val="auto"/>
          <w:highlight w:val="none"/>
        </w:rPr>
        <w:t>①</w:t>
      </w:r>
      <w:r>
        <w:rPr>
          <w:rFonts w:hint="eastAsia"/>
          <w:color w:val="auto"/>
          <w:highlight w:val="none"/>
        </w:rPr>
        <w:fldChar w:fldCharType="end"/>
      </w:r>
      <w:r>
        <w:rPr>
          <w:rFonts w:hint="eastAsia"/>
          <w:color w:val="auto"/>
          <w:highlight w:val="none"/>
        </w:rPr>
        <w:t>施工阶段对汽车行驶路面勤清扫，可以较好地减少粉尘排放量。配置洒水车在非雨日进行洒水降尘，特别是在施工前后应增加洒水降尘频次</w:t>
      </w:r>
      <w:r>
        <w:rPr>
          <w:rFonts w:hint="eastAsia"/>
          <w:color w:val="auto"/>
          <w:highlight w:val="none"/>
          <w:lang w:eastAsia="zh-CN"/>
        </w:rPr>
        <w:t>。</w:t>
      </w:r>
    </w:p>
    <w:p>
      <w:pPr>
        <w:ind w:firstLine="520"/>
        <w:rPr>
          <w:rFonts w:hint="eastAsia"/>
          <w:color w:val="auto"/>
          <w:highlight w:val="none"/>
        </w:rPr>
      </w:pPr>
      <w:r>
        <w:rPr>
          <w:rFonts w:hint="eastAsia"/>
          <w:color w:val="auto"/>
          <w:highlight w:val="none"/>
        </w:rPr>
        <w:fldChar w:fldCharType="begin"/>
      </w:r>
      <w:r>
        <w:rPr>
          <w:rFonts w:hint="eastAsia"/>
          <w:color w:val="auto"/>
          <w:highlight w:val="none"/>
        </w:rPr>
        <w:instrText xml:space="preserve"> = 2 \* GB3 \* MERGEFORMAT </w:instrText>
      </w:r>
      <w:r>
        <w:rPr>
          <w:rFonts w:hint="eastAsia"/>
          <w:color w:val="auto"/>
          <w:highlight w:val="none"/>
        </w:rPr>
        <w:fldChar w:fldCharType="separate"/>
      </w:r>
      <w:r>
        <w:rPr>
          <w:color w:val="auto"/>
          <w:highlight w:val="none"/>
        </w:rPr>
        <w:t>②</w:t>
      </w:r>
      <w:r>
        <w:rPr>
          <w:rFonts w:hint="eastAsia"/>
          <w:color w:val="auto"/>
          <w:highlight w:val="none"/>
        </w:rPr>
        <w:fldChar w:fldCharType="end"/>
      </w:r>
      <w:r>
        <w:rPr>
          <w:rFonts w:hint="eastAsia"/>
          <w:color w:val="auto"/>
          <w:highlight w:val="none"/>
        </w:rPr>
        <w:t>规范建筑垃圾（渣土）绿色运输和“冒装撒漏”防控措施，做好运输车辆的密封和车辆保洁，渣土车辆100%密闭运输，减少因弃渣、砂、土的外泄造成的扬尘污染。凡运送土石方、石灰、粉煤灰等道路材料的运货车，都应用</w:t>
      </w:r>
      <w:r>
        <w:rPr>
          <w:rFonts w:hint="eastAsia"/>
          <w:color w:val="auto"/>
          <w:highlight w:val="none"/>
          <w:shd w:val="clear" w:fill="FFFFFF"/>
          <w:lang w:eastAsia="zh-CN"/>
        </w:rPr>
        <w:t>篷布</w:t>
      </w:r>
      <w:r>
        <w:rPr>
          <w:rFonts w:hint="eastAsia"/>
          <w:color w:val="auto"/>
          <w:highlight w:val="none"/>
        </w:rPr>
        <w:t>或塑料布覆盖，或用编织袋分装堆码，避免</w:t>
      </w:r>
      <w:r>
        <w:rPr>
          <w:rFonts w:hint="eastAsia"/>
          <w:color w:val="auto"/>
          <w:highlight w:val="none"/>
          <w:lang w:eastAsia="zh-CN"/>
        </w:rPr>
        <w:t>道</w:t>
      </w:r>
      <w:r>
        <w:rPr>
          <w:rFonts w:hint="eastAsia"/>
          <w:color w:val="auto"/>
          <w:highlight w:val="none"/>
        </w:rPr>
        <w:t>路扬尘。</w:t>
      </w:r>
    </w:p>
    <w:p>
      <w:pPr>
        <w:ind w:firstLine="520"/>
        <w:rPr>
          <w:rFonts w:hint="eastAsia"/>
          <w:color w:val="auto"/>
          <w:highlight w:val="none"/>
        </w:rPr>
      </w:pPr>
      <w:r>
        <w:rPr>
          <w:rFonts w:hint="eastAsia"/>
          <w:color w:val="auto"/>
          <w:highlight w:val="none"/>
        </w:rPr>
        <w:fldChar w:fldCharType="begin"/>
      </w:r>
      <w:r>
        <w:rPr>
          <w:rFonts w:hint="eastAsia"/>
          <w:color w:val="auto"/>
          <w:highlight w:val="none"/>
        </w:rPr>
        <w:instrText xml:space="preserve"> = 3 \* GB3 \* MERGEFORMAT </w:instrText>
      </w:r>
      <w:r>
        <w:rPr>
          <w:rFonts w:hint="eastAsia"/>
          <w:color w:val="auto"/>
          <w:highlight w:val="none"/>
        </w:rPr>
        <w:fldChar w:fldCharType="separate"/>
      </w:r>
      <w:r>
        <w:rPr>
          <w:color w:val="auto"/>
          <w:highlight w:val="none"/>
        </w:rPr>
        <w:t>③</w:t>
      </w:r>
      <w:r>
        <w:rPr>
          <w:rFonts w:hint="eastAsia"/>
          <w:color w:val="auto"/>
          <w:highlight w:val="none"/>
        </w:rPr>
        <w:fldChar w:fldCharType="end"/>
      </w:r>
      <w:r>
        <w:rPr>
          <w:rFonts w:hint="eastAsia"/>
          <w:color w:val="auto"/>
          <w:highlight w:val="none"/>
        </w:rPr>
        <w:t>在施工场地出口处各设置一个洗车槽，施工车辆须经过清洗后上路，可避免施工车辆把泥土带出施工现场。</w:t>
      </w:r>
    </w:p>
    <w:p>
      <w:pPr>
        <w:ind w:firstLine="520"/>
        <w:rPr>
          <w:rFonts w:hint="eastAsia" w:eastAsia="宋体"/>
          <w:color w:val="auto"/>
          <w:highlight w:val="none"/>
          <w:lang w:eastAsia="zh-CN"/>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w:t>
      </w:r>
      <w:r>
        <w:rPr>
          <w:rFonts w:hint="eastAsia"/>
          <w:color w:val="auto"/>
          <w:highlight w:val="none"/>
        </w:rPr>
        <w:t>燃油机械废气</w:t>
      </w:r>
      <w:r>
        <w:rPr>
          <w:rFonts w:hint="eastAsia"/>
          <w:color w:val="auto"/>
          <w:highlight w:val="none"/>
          <w:lang w:eastAsia="zh-CN"/>
        </w:rPr>
        <w:t>控制措施</w:t>
      </w:r>
    </w:p>
    <w:p>
      <w:pPr>
        <w:ind w:firstLine="520"/>
        <w:rPr>
          <w:rFonts w:hint="eastAsia"/>
          <w:color w:val="auto"/>
          <w:highlight w:val="none"/>
        </w:rPr>
      </w:pPr>
      <w:r>
        <w:rPr>
          <w:rFonts w:hint="eastAsia"/>
          <w:color w:val="auto"/>
          <w:highlight w:val="none"/>
        </w:rPr>
        <w:t>设备选型时应优先选择废气排放量少的环保型高效装卸机械和运输车辆，加强机械、车辆的保养、维修，使其保持正常运行，减少污染物的排放，使用合格的燃料油，在燃柴油机械的燃料油中添加助燃剂，使其充分燃烧，减少尾气中污染物的排放量。</w:t>
      </w:r>
    </w:p>
    <w:p>
      <w:pPr>
        <w:ind w:firstLine="52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）弃渣场扬尘控制措施</w:t>
      </w:r>
    </w:p>
    <w:p>
      <w:pPr>
        <w:ind w:firstLine="520"/>
        <w:rPr>
          <w:rFonts w:hint="eastAsia"/>
          <w:color w:val="auto"/>
          <w:highlight w:val="none"/>
          <w:lang w:eastAsia="zh-CN"/>
        </w:rPr>
      </w:pPr>
      <w:r>
        <w:rPr>
          <w:rFonts w:hint="eastAsia"/>
          <w:color w:val="auto"/>
          <w:highlight w:val="none"/>
          <w:lang w:eastAsia="zh-CN"/>
        </w:rPr>
        <w:t>弃渣场扬尘主要是工程渣土运输、倾倒、压实过程中产生，需按规定设置硬质密封围挡，按要求进行洒水或者冲洗，对非作业区应当进行绿化或者铺设防尘网。同时通过降低渣土倾倒角度、设置洒水车、地块周围设置临时喷淋设施、每日堆填后进行临时覆盖、永久堆坡形成到最终堆料高程后及时覆土等措施减少扬尘对周边环境的影响。</w:t>
      </w:r>
    </w:p>
    <w:p>
      <w:pPr>
        <w:ind w:firstLine="520"/>
        <w:rPr>
          <w:rFonts w:hint="eastAsia" w:eastAsia="宋体"/>
          <w:color w:val="auto"/>
          <w:highlight w:val="none"/>
          <w:lang w:eastAsia="zh-CN"/>
        </w:rPr>
      </w:pPr>
      <w:r>
        <w:rPr>
          <w:rFonts w:hint="eastAsia"/>
          <w:color w:val="auto"/>
          <w:highlight w:val="none"/>
          <w:lang w:eastAsia="zh-CN"/>
        </w:rPr>
        <w:t>项目施工期废气主要为施工扬尘，受扬尘影响的敏感目标主要是附近的村庄，通过采取洒水抑尘、隔挡等常用扬尘控制措施后，主要影响范围在施工现场内，对周边大气环境质量影响较小，且施工扬尘不利的影响是局部的，也是施工过程中不可避免的，其将随施工的结束而消失。</w:t>
      </w:r>
    </w:p>
    <w:p>
      <w:pPr>
        <w:pStyle w:val="5"/>
        <w:ind w:firstLine="522"/>
        <w:rPr>
          <w:color w:val="auto"/>
          <w:highlight w:val="none"/>
        </w:rPr>
      </w:pPr>
      <w:r>
        <w:rPr>
          <w:rFonts w:hint="eastAsia"/>
          <w:color w:val="auto"/>
          <w:highlight w:val="none"/>
        </w:rPr>
        <w:t>施工期噪声污染防治措施</w:t>
      </w:r>
    </w:p>
    <w:p>
      <w:pPr>
        <w:ind w:firstLine="520"/>
        <w:rPr>
          <w:rFonts w:hint="eastAsia"/>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rPr>
        <w:t>选用符合国家标准的低噪声设备，尽量选用低噪声的施工机械或工艺，从根本上降低噪声源强。并加强对设备的维修保养，避免由于设备非正常工作而产生高噪声污染。</w:t>
      </w:r>
    </w:p>
    <w:p>
      <w:pPr>
        <w:ind w:firstLine="520"/>
        <w:rPr>
          <w:rFonts w:hint="eastAsia"/>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合理布局施工机械，充分利用施工区的地形、地势等自然隔声屏障，进行合理布置。场地布置时利用地形将高噪声设备布置在地势较低的地段，降低噪声对外传播</w:t>
      </w:r>
      <w:r>
        <w:rPr>
          <w:rFonts w:hint="eastAsia"/>
          <w:color w:val="auto"/>
          <w:highlight w:val="none"/>
          <w:lang w:eastAsia="zh-CN"/>
        </w:rPr>
        <w:t>，</w:t>
      </w:r>
      <w:r>
        <w:rPr>
          <w:rFonts w:hint="eastAsia"/>
          <w:color w:val="auto"/>
          <w:highlight w:val="none"/>
        </w:rPr>
        <w:t>高噪声源布置在远离居民点的一侧；施工作业区与施工生活办公区之间应有一定距离，以降低噪声的影响。</w:t>
      </w:r>
    </w:p>
    <w:p>
      <w:pPr>
        <w:ind w:firstLine="520"/>
        <w:rPr>
          <w:rFonts w:hint="eastAsia"/>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对拌合楼、空压机等</w:t>
      </w:r>
      <w:r>
        <w:rPr>
          <w:rFonts w:hint="eastAsia"/>
          <w:color w:val="auto"/>
          <w:highlight w:val="none"/>
          <w:lang w:eastAsia="zh-CN"/>
        </w:rPr>
        <w:t>高噪声</w:t>
      </w:r>
      <w:r>
        <w:rPr>
          <w:rFonts w:hint="eastAsia"/>
          <w:color w:val="auto"/>
          <w:highlight w:val="none"/>
        </w:rPr>
        <w:t>固定声源，要求能封闭尽量封闭作业，以控制噪声的传播途径，尽量减少噪声的影响。</w:t>
      </w:r>
      <w:r>
        <w:rPr>
          <w:rFonts w:hint="eastAsia"/>
          <w:color w:val="auto"/>
          <w:highlight w:val="none"/>
          <w:lang w:eastAsia="zh-CN"/>
        </w:rPr>
        <w:t>同时</w:t>
      </w:r>
      <w:r>
        <w:rPr>
          <w:rFonts w:hint="eastAsia"/>
          <w:color w:val="auto"/>
          <w:highlight w:val="none"/>
        </w:rPr>
        <w:t>尽量缩短高噪声施工作业、机械设备的使用时间，配备</w:t>
      </w:r>
      <w:r>
        <w:rPr>
          <w:rFonts w:hint="eastAsia"/>
          <w:color w:val="auto"/>
          <w:highlight w:val="none"/>
          <w:shd w:val="clear" w:fill="FFFFFF"/>
          <w:lang w:eastAsia="zh-CN"/>
        </w:rPr>
        <w:t>减震座垫</w:t>
      </w:r>
      <w:r>
        <w:rPr>
          <w:rFonts w:hint="eastAsia"/>
          <w:color w:val="auto"/>
          <w:highlight w:val="none"/>
        </w:rPr>
        <w:t>和隔音装置，</w:t>
      </w:r>
      <w:r>
        <w:rPr>
          <w:rFonts w:hint="eastAsia"/>
          <w:color w:val="auto"/>
          <w:highlight w:val="none"/>
          <w:shd w:val="clear" w:fill="FFFFFF"/>
          <w:lang w:eastAsia="zh-CN"/>
        </w:rPr>
        <w:t>降低</w:t>
      </w:r>
      <w:r>
        <w:rPr>
          <w:rFonts w:hint="eastAsia"/>
          <w:color w:val="auto"/>
          <w:highlight w:val="none"/>
        </w:rPr>
        <w:t>噪声源的声级强度。</w:t>
      </w:r>
    </w:p>
    <w:p>
      <w:pPr>
        <w:ind w:firstLine="52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w:t>
      </w:r>
      <w:r>
        <w:rPr>
          <w:rFonts w:hint="eastAsia"/>
          <w:color w:val="auto"/>
          <w:highlight w:val="none"/>
        </w:rPr>
        <w:t>合理安排施工强度，</w:t>
      </w:r>
      <w:r>
        <w:rPr>
          <w:rFonts w:hint="eastAsia"/>
          <w:color w:val="auto"/>
          <w:highlight w:val="none"/>
          <w:shd w:val="clear" w:fill="FFFFFF"/>
          <w:lang w:eastAsia="zh-CN"/>
        </w:rPr>
        <w:t>做好</w:t>
      </w:r>
      <w:r>
        <w:rPr>
          <w:rFonts w:hint="eastAsia"/>
          <w:color w:val="auto"/>
          <w:highlight w:val="none"/>
        </w:rPr>
        <w:t>施工组织设计，尽可能将施工机械远离周围的敏感点。</w:t>
      </w:r>
    </w:p>
    <w:p>
      <w:pPr>
        <w:ind w:firstLine="520"/>
        <w:rPr>
          <w:rFonts w:hint="eastAsia"/>
          <w:color w:val="auto"/>
          <w:highlight w:val="none"/>
        </w:rPr>
      </w:pPr>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w:t>
      </w:r>
      <w:r>
        <w:rPr>
          <w:rFonts w:hint="eastAsia"/>
          <w:color w:val="auto"/>
          <w:highlight w:val="none"/>
        </w:rPr>
        <w:t>尽量控制爆破的单响用量，做好爆破参数的优化和炮孔的堵塞，用草袋覆盖爆破面。</w:t>
      </w:r>
    </w:p>
    <w:p>
      <w:pPr>
        <w:ind w:firstLine="520"/>
        <w:rPr>
          <w:rFonts w:hint="eastAsia"/>
          <w:color w:val="auto"/>
          <w:highlight w:val="none"/>
        </w:rPr>
      </w:pPr>
      <w:r>
        <w:rPr>
          <w:rFonts w:hint="eastAsia"/>
          <w:color w:val="auto"/>
          <w:highlight w:val="none"/>
        </w:rPr>
        <w:t>（</w:t>
      </w:r>
      <w:r>
        <w:rPr>
          <w:rFonts w:hint="eastAsia"/>
          <w:color w:val="auto"/>
          <w:highlight w:val="none"/>
          <w:lang w:val="en-US" w:eastAsia="zh-CN"/>
        </w:rPr>
        <w:t>6</w:t>
      </w:r>
      <w:r>
        <w:rPr>
          <w:rFonts w:hint="eastAsia"/>
          <w:color w:val="auto"/>
          <w:highlight w:val="none"/>
        </w:rPr>
        <w:t>）合理安排施工时间，禁止夜间（22：00-次日6：00）施工，若因特殊状况需要连续施工的，应向</w:t>
      </w:r>
      <w:r>
        <w:rPr>
          <w:rFonts w:hint="eastAsia"/>
          <w:color w:val="auto"/>
          <w:highlight w:val="none"/>
          <w:lang w:eastAsia="zh-CN"/>
        </w:rPr>
        <w:t>有关</w:t>
      </w:r>
      <w:r>
        <w:rPr>
          <w:rFonts w:hint="eastAsia"/>
          <w:color w:val="auto"/>
          <w:highlight w:val="none"/>
        </w:rPr>
        <w:t>部门申请，批准后才能根据规定夜间施工。同时在施工前做好施工告知工作，并在现场张贴施工告示。</w:t>
      </w:r>
    </w:p>
    <w:p>
      <w:pPr>
        <w:ind w:firstLine="520"/>
        <w:rPr>
          <w:rFonts w:hint="eastAsia"/>
          <w:color w:val="auto"/>
          <w:highlight w:val="none"/>
        </w:rPr>
      </w:pPr>
      <w:r>
        <w:rPr>
          <w:rFonts w:hint="eastAsia"/>
          <w:color w:val="auto"/>
          <w:highlight w:val="none"/>
          <w:lang w:eastAsia="zh-CN"/>
        </w:rPr>
        <w:t>（</w:t>
      </w:r>
      <w:r>
        <w:rPr>
          <w:rFonts w:hint="eastAsia"/>
          <w:color w:val="auto"/>
          <w:highlight w:val="none"/>
          <w:lang w:val="en-US" w:eastAsia="zh-CN"/>
        </w:rPr>
        <w:t>7</w:t>
      </w:r>
      <w:r>
        <w:rPr>
          <w:rFonts w:hint="eastAsia"/>
          <w:color w:val="auto"/>
          <w:highlight w:val="none"/>
          <w:lang w:eastAsia="zh-CN"/>
        </w:rPr>
        <w:t>）合理安排运输路线及物料运输时间，</w:t>
      </w:r>
      <w:r>
        <w:rPr>
          <w:rFonts w:hint="eastAsia"/>
          <w:color w:val="auto"/>
          <w:highlight w:val="none"/>
        </w:rPr>
        <w:t>加强施工道路维修，材料</w:t>
      </w:r>
      <w:r>
        <w:rPr>
          <w:rFonts w:hint="eastAsia"/>
          <w:color w:val="auto"/>
          <w:highlight w:val="none"/>
          <w:lang w:eastAsia="zh-CN"/>
        </w:rPr>
        <w:t>、弃渣</w:t>
      </w:r>
      <w:r>
        <w:rPr>
          <w:rFonts w:hint="eastAsia"/>
          <w:color w:val="auto"/>
          <w:highlight w:val="none"/>
        </w:rPr>
        <w:t>运输车辆在经过</w:t>
      </w:r>
      <w:r>
        <w:rPr>
          <w:rFonts w:hint="eastAsia"/>
          <w:color w:val="auto"/>
          <w:highlight w:val="none"/>
          <w:lang w:eastAsia="zh-CN"/>
        </w:rPr>
        <w:t>铜溪镇镇区和</w:t>
      </w:r>
      <w:r>
        <w:rPr>
          <w:rFonts w:hint="eastAsia"/>
          <w:color w:val="auto"/>
          <w:highlight w:val="none"/>
        </w:rPr>
        <w:t xml:space="preserve">道路沿线的村庄时，速度不应超过40km/h，运载卡车车辆速度低于40km/h时，其噪声源强可降低8dB(A)～9dB(A)；运输车辆行驶时，不得鸣笛；加强运输车辆管理，禁止运输车辆随意空载运行。 </w:t>
      </w:r>
    </w:p>
    <w:p>
      <w:pPr>
        <w:ind w:firstLine="520"/>
        <w:rPr>
          <w:color w:val="auto"/>
          <w:highlight w:val="none"/>
        </w:rPr>
      </w:pPr>
      <w:r>
        <w:rPr>
          <w:rFonts w:hint="eastAsia"/>
          <w:color w:val="auto"/>
          <w:highlight w:val="none"/>
        </w:rPr>
        <w:t>（</w:t>
      </w:r>
      <w:r>
        <w:rPr>
          <w:rFonts w:hint="eastAsia"/>
          <w:color w:val="auto"/>
          <w:highlight w:val="none"/>
          <w:lang w:val="en-US" w:eastAsia="zh-CN"/>
        </w:rPr>
        <w:t>8</w:t>
      </w:r>
      <w:r>
        <w:rPr>
          <w:rFonts w:hint="eastAsia"/>
          <w:color w:val="auto"/>
          <w:highlight w:val="none"/>
        </w:rPr>
        <w:t>）</w:t>
      </w:r>
      <w:r>
        <w:rPr>
          <w:rFonts w:hint="eastAsia"/>
          <w:color w:val="auto"/>
          <w:highlight w:val="none"/>
          <w:lang w:eastAsia="zh-CN"/>
        </w:rPr>
        <w:t>施工期间加强与</w:t>
      </w:r>
      <w:r>
        <w:rPr>
          <w:rFonts w:hint="eastAsia"/>
          <w:color w:val="auto"/>
          <w:highlight w:val="none"/>
        </w:rPr>
        <w:t>周围居民沟通工作，减少对敏感点的影响，防止发生噪声扰民现象。</w:t>
      </w:r>
    </w:p>
    <w:p>
      <w:pPr>
        <w:pStyle w:val="5"/>
        <w:ind w:firstLine="522"/>
        <w:rPr>
          <w:color w:val="auto"/>
          <w:highlight w:val="none"/>
        </w:rPr>
      </w:pPr>
      <w:r>
        <w:rPr>
          <w:rFonts w:hint="eastAsia"/>
          <w:color w:val="auto"/>
          <w:highlight w:val="none"/>
        </w:rPr>
        <w:t>施工期固体废物污染防治措施</w:t>
      </w:r>
    </w:p>
    <w:p>
      <w:pPr>
        <w:ind w:firstLine="520"/>
        <w:rPr>
          <w:rFonts w:hint="eastAsia"/>
          <w:color w:val="auto"/>
          <w:highlight w:val="none"/>
        </w:rPr>
      </w:pPr>
      <w:r>
        <w:rPr>
          <w:rFonts w:hint="eastAsia"/>
          <w:color w:val="auto"/>
          <w:highlight w:val="none"/>
        </w:rPr>
        <w:t>（1）弃渣处理</w:t>
      </w:r>
    </w:p>
    <w:p>
      <w:pPr>
        <w:ind w:firstLine="520"/>
        <w:rPr>
          <w:rFonts w:hint="eastAsia"/>
          <w:color w:val="auto"/>
          <w:highlight w:val="none"/>
        </w:rPr>
      </w:pPr>
      <w:r>
        <w:rPr>
          <w:rFonts w:hint="eastAsia"/>
          <w:color w:val="auto"/>
          <w:highlight w:val="none"/>
        </w:rPr>
        <w:t>工程施工期产生弃渣主要是场地平整、</w:t>
      </w:r>
      <w:r>
        <w:rPr>
          <w:rFonts w:hint="eastAsia"/>
          <w:color w:val="auto"/>
          <w:highlight w:val="none"/>
          <w:shd w:val="clear" w:fill="FFFFFF"/>
        </w:rPr>
        <w:t>基础开挖</w:t>
      </w:r>
      <w:r>
        <w:rPr>
          <w:rFonts w:hint="eastAsia"/>
          <w:color w:val="auto"/>
          <w:highlight w:val="none"/>
        </w:rPr>
        <w:t>、</w:t>
      </w:r>
      <w:r>
        <w:rPr>
          <w:rFonts w:hint="eastAsia"/>
          <w:color w:val="auto"/>
          <w:highlight w:val="none"/>
          <w:lang w:eastAsia="zh-CN"/>
        </w:rPr>
        <w:t>疏浚产生</w:t>
      </w:r>
      <w:r>
        <w:rPr>
          <w:rFonts w:hint="eastAsia"/>
          <w:color w:val="auto"/>
          <w:highlight w:val="none"/>
        </w:rPr>
        <w:t>，质地都是天然</w:t>
      </w:r>
      <w:r>
        <w:rPr>
          <w:rFonts w:hint="eastAsia"/>
          <w:color w:val="auto"/>
          <w:highlight w:val="none"/>
          <w:shd w:val="clear" w:fill="FFFFFF"/>
          <w:lang w:eastAsia="zh-CN"/>
        </w:rPr>
        <w:t>砂砾</w:t>
      </w:r>
      <w:r>
        <w:rPr>
          <w:rFonts w:hint="eastAsia"/>
          <w:color w:val="auto"/>
          <w:highlight w:val="none"/>
        </w:rPr>
        <w:t>石及土壤。经土石方平衡后，</w:t>
      </w:r>
      <w:r>
        <w:rPr>
          <w:rFonts w:hint="eastAsia"/>
          <w:color w:val="auto"/>
          <w:highlight w:val="none"/>
          <w:lang w:eastAsia="zh-CN"/>
        </w:rPr>
        <w:t>拟建项目</w:t>
      </w:r>
      <w:r>
        <w:rPr>
          <w:rFonts w:hint="eastAsia"/>
          <w:color w:val="auto"/>
          <w:highlight w:val="none"/>
        </w:rPr>
        <w:t>弃渣量</w:t>
      </w:r>
      <w:r>
        <w:rPr>
          <w:rFonts w:hint="eastAsia" w:cs="Times New Roman"/>
          <w:color w:val="auto"/>
          <w:highlight w:val="none"/>
          <w:lang w:val="en-US" w:eastAsia="zh-CN"/>
        </w:rPr>
        <w:t>172.20</w:t>
      </w:r>
      <w:r>
        <w:rPr>
          <w:rFonts w:hint="eastAsia"/>
          <w:color w:val="auto"/>
          <w:highlight w:val="none"/>
        </w:rPr>
        <w:t>万</w:t>
      </w:r>
      <w:r>
        <w:rPr>
          <w:rFonts w:hint="eastAsia"/>
          <w:color w:val="auto"/>
          <w:highlight w:val="none"/>
          <w:lang w:val="en-US" w:eastAsia="zh-CN"/>
        </w:rPr>
        <w:t>m³</w:t>
      </w:r>
      <w:r>
        <w:rPr>
          <w:rFonts w:hint="eastAsia"/>
          <w:color w:val="auto"/>
          <w:highlight w:val="none"/>
        </w:rPr>
        <w:t>（实方），</w:t>
      </w:r>
      <w:r>
        <w:rPr>
          <w:rFonts w:hint="default" w:ascii="Times New Roman" w:hAnsi="Times New Roman" w:cs="Times New Roman"/>
          <w:color w:val="auto"/>
          <w:kern w:val="2"/>
          <w:highlight w:val="none"/>
        </w:rPr>
        <w:t>弃渣运至</w:t>
      </w:r>
      <w:r>
        <w:rPr>
          <w:rFonts w:hint="eastAsia" w:cs="Times New Roman"/>
          <w:color w:val="auto"/>
          <w:kern w:val="2"/>
          <w:highlight w:val="none"/>
          <w:lang w:eastAsia="zh-CN"/>
        </w:rPr>
        <w:t>设置的</w:t>
      </w:r>
      <w:r>
        <w:rPr>
          <w:rFonts w:hint="eastAsia" w:cs="Times New Roman"/>
          <w:color w:val="auto"/>
          <w:kern w:val="2"/>
          <w:highlight w:val="none"/>
          <w:lang w:val="en-US" w:eastAsia="zh-CN"/>
        </w:rPr>
        <w:t>2处</w:t>
      </w:r>
      <w:r>
        <w:rPr>
          <w:rFonts w:hint="eastAsia" w:ascii="Times New Roman" w:hAnsi="Times New Roman" w:cs="Times New Roman"/>
          <w:color w:val="auto"/>
          <w:kern w:val="2"/>
          <w:highlight w:val="none"/>
          <w:lang w:eastAsia="zh-CN"/>
        </w:rPr>
        <w:t>临时弃渣场</w:t>
      </w:r>
      <w:r>
        <w:rPr>
          <w:rFonts w:hint="eastAsia"/>
          <w:color w:val="auto"/>
          <w:highlight w:val="none"/>
        </w:rPr>
        <w:t>。</w:t>
      </w:r>
    </w:p>
    <w:p>
      <w:pPr>
        <w:ind w:firstLine="520"/>
        <w:rPr>
          <w:rFonts w:hint="eastAsia"/>
          <w:color w:val="auto"/>
          <w:highlight w:val="none"/>
        </w:rPr>
      </w:pPr>
      <w:r>
        <w:rPr>
          <w:rFonts w:hint="eastAsia"/>
          <w:color w:val="auto"/>
          <w:highlight w:val="none"/>
        </w:rPr>
        <w:t>对于弃渣场，施工期间应按照水保方案采取临时性水土保持措施。渣场分块分层堆渣，倾倒后，及时推平，适当压实，洒水降尘，减少扬尘污染，预留山坳雨水排泄沟渠，防止雨水冲刷，减少水土流失。</w:t>
      </w:r>
    </w:p>
    <w:p>
      <w:pPr>
        <w:ind w:firstLine="520"/>
        <w:rPr>
          <w:rFonts w:hint="eastAsia"/>
          <w:color w:val="auto"/>
          <w:highlight w:val="none"/>
        </w:rPr>
      </w:pPr>
      <w:r>
        <w:rPr>
          <w:rFonts w:hint="eastAsia"/>
          <w:color w:val="auto"/>
          <w:highlight w:val="none"/>
        </w:rPr>
        <w:t>施工结束后，应按水保方案采取永久性水保措施，对渣场分块做好平整、覆土、排水、渣脚挡护和坡面绿化措施，恢复弃渣场土地生态功能。</w:t>
      </w:r>
    </w:p>
    <w:p>
      <w:pPr>
        <w:ind w:firstLine="520"/>
        <w:rPr>
          <w:rFonts w:hint="eastAsia" w:eastAsia="宋体"/>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）建筑垃圾处理</w:t>
      </w:r>
    </w:p>
    <w:p>
      <w:pPr>
        <w:ind w:firstLine="520"/>
        <w:rPr>
          <w:rFonts w:hint="eastAsia"/>
          <w:color w:val="auto"/>
          <w:highlight w:val="none"/>
        </w:rPr>
      </w:pPr>
      <w:r>
        <w:rPr>
          <w:rFonts w:hint="eastAsia"/>
          <w:color w:val="auto"/>
          <w:highlight w:val="none"/>
          <w:lang w:eastAsia="zh-CN"/>
        </w:rPr>
        <w:t>对于施工及拆除过程中产生的建筑垃圾，</w:t>
      </w:r>
      <w:r>
        <w:rPr>
          <w:rFonts w:hint="eastAsia" w:ascii="Times New Roman" w:hAnsi="Times New Roman"/>
          <w:color w:val="auto"/>
          <w:highlight w:val="none"/>
          <w:lang w:eastAsia="zh-CN"/>
        </w:rPr>
        <w:t>优先进行回收利用，不能回收利用的运送至合法的建筑垃圾消纳场进行处置</w:t>
      </w:r>
      <w:r>
        <w:rPr>
          <w:rFonts w:hint="eastAsia"/>
          <w:color w:val="auto"/>
          <w:highlight w:val="none"/>
        </w:rPr>
        <w:t>。</w:t>
      </w:r>
    </w:p>
    <w:p>
      <w:pPr>
        <w:ind w:firstLine="520"/>
        <w:rPr>
          <w:rFonts w:hint="eastAsia"/>
          <w:color w:val="auto"/>
          <w:highlight w:val="none"/>
        </w:rPr>
      </w:pPr>
      <w:r>
        <w:rPr>
          <w:rFonts w:hint="eastAsia"/>
          <w:color w:val="auto"/>
          <w:highlight w:val="none"/>
        </w:rPr>
        <w:t>（</w:t>
      </w:r>
      <w:r>
        <w:rPr>
          <w:rFonts w:hint="eastAsia"/>
          <w:color w:val="auto"/>
          <w:highlight w:val="none"/>
          <w:lang w:val="en-US" w:eastAsia="zh-CN"/>
        </w:rPr>
        <w:t>3</w:t>
      </w:r>
      <w:r>
        <w:rPr>
          <w:rFonts w:hint="eastAsia"/>
          <w:color w:val="auto"/>
          <w:highlight w:val="none"/>
        </w:rPr>
        <w:t>）生活垃圾处理</w:t>
      </w:r>
    </w:p>
    <w:p>
      <w:pPr>
        <w:ind w:firstLine="520"/>
        <w:rPr>
          <w:color w:val="auto"/>
          <w:highlight w:val="none"/>
        </w:rPr>
      </w:pPr>
      <w:r>
        <w:rPr>
          <w:rFonts w:hint="eastAsia"/>
          <w:color w:val="auto"/>
          <w:highlight w:val="none"/>
          <w:lang w:eastAsia="zh-CN"/>
        </w:rPr>
        <w:t>施工期生活垃圾由</w:t>
      </w:r>
      <w:r>
        <w:rPr>
          <w:rFonts w:hint="eastAsia"/>
          <w:color w:val="auto"/>
          <w:highlight w:val="none"/>
        </w:rPr>
        <w:t>生活及办公区设置</w:t>
      </w:r>
      <w:r>
        <w:rPr>
          <w:rFonts w:hint="eastAsia"/>
          <w:color w:val="auto"/>
          <w:highlight w:val="none"/>
          <w:lang w:eastAsia="zh-CN"/>
        </w:rPr>
        <w:t>的</w:t>
      </w:r>
      <w:r>
        <w:rPr>
          <w:rFonts w:hint="eastAsia"/>
          <w:color w:val="auto"/>
          <w:highlight w:val="none"/>
        </w:rPr>
        <w:t>垃圾桶</w:t>
      </w:r>
      <w:r>
        <w:rPr>
          <w:rFonts w:hint="eastAsia"/>
          <w:color w:val="auto"/>
          <w:highlight w:val="none"/>
          <w:lang w:eastAsia="zh-CN"/>
        </w:rPr>
        <w:t>收集后</w:t>
      </w:r>
      <w:r>
        <w:rPr>
          <w:rFonts w:hint="eastAsia"/>
          <w:color w:val="auto"/>
          <w:highlight w:val="none"/>
        </w:rPr>
        <w:t>，施工承包商安排专人负责生活垃圾的清扫和定期转运至</w:t>
      </w:r>
      <w:r>
        <w:rPr>
          <w:rFonts w:hint="eastAsia"/>
          <w:color w:val="auto"/>
          <w:highlight w:val="none"/>
          <w:lang w:eastAsia="zh-CN"/>
        </w:rPr>
        <w:t>环卫</w:t>
      </w:r>
      <w:r>
        <w:rPr>
          <w:rFonts w:hint="eastAsia"/>
          <w:color w:val="auto"/>
          <w:highlight w:val="none"/>
        </w:rPr>
        <w:t>部门指定的堆放地，</w:t>
      </w:r>
      <w:r>
        <w:rPr>
          <w:rFonts w:hint="eastAsia"/>
          <w:color w:val="auto"/>
          <w:highlight w:val="none"/>
          <w:lang w:eastAsia="zh-CN"/>
        </w:rPr>
        <w:t>由环卫部门定期清运处置，</w:t>
      </w:r>
      <w:r>
        <w:rPr>
          <w:rFonts w:hint="eastAsia"/>
          <w:color w:val="auto"/>
          <w:highlight w:val="none"/>
        </w:rPr>
        <w:t>严禁进行焚烧、随机堆放等行为。</w:t>
      </w:r>
    </w:p>
    <w:p>
      <w:pPr>
        <w:pStyle w:val="5"/>
        <w:ind w:firstLine="522"/>
        <w:rPr>
          <w:color w:val="auto"/>
          <w:highlight w:val="none"/>
        </w:rPr>
      </w:pPr>
      <w:r>
        <w:rPr>
          <w:rFonts w:hint="eastAsia"/>
          <w:color w:val="auto"/>
          <w:highlight w:val="none"/>
        </w:rPr>
        <w:t>施工期污染防治措施可行性论证</w:t>
      </w:r>
    </w:p>
    <w:p>
      <w:pPr>
        <w:ind w:firstLine="520"/>
        <w:rPr>
          <w:color w:val="auto"/>
          <w:highlight w:val="none"/>
        </w:rPr>
      </w:pPr>
      <w:r>
        <w:rPr>
          <w:rFonts w:hint="eastAsia"/>
          <w:color w:val="auto"/>
          <w:highlight w:val="none"/>
        </w:rPr>
        <w:t>本项目对生态环境及各环境要素的影响主要是在施工阶段，包括施工扬尘、施工机械噪声、开挖土石方等，</w:t>
      </w:r>
      <w:r>
        <w:rPr>
          <w:rFonts w:hint="eastAsia"/>
          <w:color w:val="auto"/>
          <w:highlight w:val="none"/>
          <w:lang w:eastAsia="zh-CN"/>
        </w:rPr>
        <w:t>目前，同类型水利项目施工方法已十分成熟，</w:t>
      </w:r>
      <w:r>
        <w:rPr>
          <w:rFonts w:hint="eastAsia"/>
          <w:color w:val="auto"/>
          <w:highlight w:val="none"/>
        </w:rPr>
        <w:t>上述拟采取的各类环境保护</w:t>
      </w:r>
      <w:r>
        <w:rPr>
          <w:rFonts w:hint="eastAsia"/>
          <w:color w:val="auto"/>
          <w:highlight w:val="none"/>
          <w:shd w:val="clear" w:fill="FFFFFF"/>
          <w:lang w:eastAsia="zh-CN"/>
        </w:rPr>
        <w:t>措施</w:t>
      </w:r>
      <w:r>
        <w:rPr>
          <w:rFonts w:hint="eastAsia"/>
          <w:color w:val="auto"/>
          <w:highlight w:val="none"/>
          <w:lang w:eastAsia="zh-CN"/>
        </w:rPr>
        <w:t>均为水利项目常用措施。</w:t>
      </w:r>
      <w:r>
        <w:rPr>
          <w:rFonts w:hint="eastAsia"/>
          <w:color w:val="auto"/>
          <w:highlight w:val="none"/>
        </w:rPr>
        <w:t>在采取上述措施后可有效</w:t>
      </w:r>
      <w:r>
        <w:rPr>
          <w:rFonts w:hint="eastAsia"/>
          <w:color w:val="auto"/>
          <w:highlight w:val="none"/>
          <w:shd w:val="clear" w:fill="FFFFFF"/>
          <w:lang w:eastAsia="zh-CN"/>
        </w:rPr>
        <w:t>减少</w:t>
      </w:r>
      <w:r>
        <w:rPr>
          <w:rFonts w:hint="eastAsia"/>
          <w:color w:val="auto"/>
          <w:highlight w:val="none"/>
        </w:rPr>
        <w:t>项目施工对耕地（包括永久基本农田）、林地、水体、野生动植物等生态环境以及地表水、地下水、环境空气、声环境等的影响，并且各环保措施均成熟可靠，因此，本项目施工期所采取的各类环境保护措施是可行的。</w:t>
      </w:r>
    </w:p>
    <w:p>
      <w:pPr>
        <w:pStyle w:val="4"/>
        <w:rPr>
          <w:color w:val="auto"/>
          <w:highlight w:val="none"/>
        </w:rPr>
      </w:pPr>
      <w:bookmarkStart w:id="130" w:name="_Toc26763"/>
      <w:r>
        <w:rPr>
          <w:rFonts w:hint="eastAsia"/>
          <w:color w:val="auto"/>
          <w:highlight w:val="none"/>
        </w:rPr>
        <w:t>运营期环境保护措施及其可行性论证</w:t>
      </w:r>
      <w:bookmarkEnd w:id="130"/>
    </w:p>
    <w:p>
      <w:pPr>
        <w:pStyle w:val="5"/>
        <w:ind w:firstLine="522"/>
        <w:rPr>
          <w:color w:val="auto"/>
          <w:highlight w:val="none"/>
        </w:rPr>
      </w:pPr>
      <w:r>
        <w:rPr>
          <w:rFonts w:hint="eastAsia"/>
          <w:color w:val="auto"/>
          <w:highlight w:val="none"/>
        </w:rPr>
        <w:t>地表水污染防治措施及其可行性论证</w:t>
      </w:r>
    </w:p>
    <w:p>
      <w:pPr>
        <w:adjustRightInd w:val="0"/>
        <w:snapToGrid w:val="0"/>
        <w:ind w:firstLine="520"/>
        <w:rPr>
          <w:rFonts w:hint="eastAsia" w:cs="宋体"/>
          <w:color w:val="auto"/>
          <w:kern w:val="0"/>
          <w:szCs w:val="21"/>
          <w:highlight w:val="none"/>
        </w:rPr>
      </w:pPr>
      <w:r>
        <w:rPr>
          <w:rFonts w:hint="eastAsia" w:cs="宋体"/>
          <w:color w:val="auto"/>
          <w:kern w:val="0"/>
          <w:szCs w:val="21"/>
          <w:highlight w:val="none"/>
        </w:rPr>
        <w:t>运行期污水主要是船闸管理区生活污水。</w:t>
      </w:r>
      <w:r>
        <w:rPr>
          <w:rFonts w:hint="eastAsia" w:cs="Times New Roman"/>
          <w:color w:val="auto"/>
          <w:szCs w:val="26"/>
          <w:highlight w:val="none"/>
          <w:lang w:eastAsia="zh-CN"/>
        </w:rPr>
        <w:t>本次项目实施后，渭沱枢纽新增船闸管理人员</w:t>
      </w:r>
      <w:r>
        <w:rPr>
          <w:rFonts w:hint="eastAsia" w:cs="Times New Roman"/>
          <w:color w:val="auto"/>
          <w:szCs w:val="26"/>
          <w:highlight w:val="none"/>
          <w:lang w:val="en-US" w:eastAsia="zh-CN"/>
        </w:rPr>
        <w:t>9人</w:t>
      </w:r>
      <w:r>
        <w:rPr>
          <w:rFonts w:hint="eastAsia" w:cs="Times New Roman"/>
          <w:color w:val="auto"/>
          <w:szCs w:val="26"/>
          <w:highlight w:val="none"/>
          <w:lang w:eastAsia="zh-CN"/>
        </w:rPr>
        <w:t>，管理区工作人员合计约</w:t>
      </w:r>
      <w:r>
        <w:rPr>
          <w:rFonts w:hint="eastAsia" w:cs="Times New Roman"/>
          <w:color w:val="auto"/>
          <w:szCs w:val="26"/>
          <w:highlight w:val="none"/>
          <w:lang w:val="en-US" w:eastAsia="zh-CN"/>
        </w:rPr>
        <w:t>68</w:t>
      </w:r>
      <w:r>
        <w:rPr>
          <w:rFonts w:hint="eastAsia" w:cs="Times New Roman"/>
          <w:color w:val="auto"/>
          <w:szCs w:val="26"/>
          <w:highlight w:val="none"/>
          <w:lang w:eastAsia="zh-CN"/>
        </w:rPr>
        <w:t>人，排水量约</w:t>
      </w:r>
      <w:r>
        <w:rPr>
          <w:rFonts w:hint="eastAsia" w:cs="Times New Roman"/>
          <w:color w:val="auto"/>
          <w:szCs w:val="26"/>
          <w:highlight w:val="none"/>
          <w:lang w:val="en-US" w:eastAsia="zh-CN"/>
        </w:rPr>
        <w:t>6.92m³/d</w:t>
      </w:r>
      <w:r>
        <w:rPr>
          <w:rFonts w:hint="eastAsia" w:cs="宋体"/>
          <w:color w:val="auto"/>
          <w:kern w:val="0"/>
          <w:szCs w:val="21"/>
          <w:highlight w:val="none"/>
        </w:rPr>
        <w:t>，</w:t>
      </w:r>
      <w:r>
        <w:rPr>
          <w:rFonts w:hint="eastAsia" w:cs="宋体"/>
          <w:color w:val="auto"/>
          <w:kern w:val="0"/>
          <w:szCs w:val="21"/>
          <w:highlight w:val="none"/>
          <w:lang w:eastAsia="zh-CN"/>
        </w:rPr>
        <w:t>复建后的管理区生活污水经一体化污水处理设备处理</w:t>
      </w:r>
      <w:r>
        <w:rPr>
          <w:rFonts w:hint="eastAsia" w:cs="宋体"/>
          <w:color w:val="auto"/>
          <w:kern w:val="0"/>
          <w:szCs w:val="21"/>
          <w:highlight w:val="none"/>
          <w:shd w:val="clear" w:fill="FFFFFF"/>
          <w:lang w:eastAsia="zh-CN"/>
        </w:rPr>
        <w:t>达</w:t>
      </w:r>
      <w:r>
        <w:rPr>
          <w:rFonts w:hint="eastAsia" w:cs="宋体"/>
          <w:color w:val="auto"/>
          <w:kern w:val="0"/>
          <w:szCs w:val="21"/>
          <w:highlight w:val="none"/>
          <w:lang w:eastAsia="zh-CN"/>
        </w:rPr>
        <w:t>《城市污水再生利用 城市杂用水水质》(GB/T18920-2020)相应标准后回用于绿化，不外排</w:t>
      </w:r>
      <w:r>
        <w:rPr>
          <w:rFonts w:hint="eastAsia" w:cs="宋体"/>
          <w:color w:val="auto"/>
          <w:kern w:val="0"/>
          <w:szCs w:val="21"/>
          <w:highlight w:val="none"/>
        </w:rPr>
        <w:t>。</w:t>
      </w:r>
    </w:p>
    <w:p>
      <w:pPr>
        <w:adjustRightInd w:val="0"/>
        <w:snapToGrid w:val="0"/>
        <w:ind w:firstLine="520"/>
        <w:rPr>
          <w:rFonts w:hint="eastAsia" w:cs="宋体"/>
          <w:color w:val="auto"/>
          <w:kern w:val="0"/>
          <w:szCs w:val="21"/>
          <w:highlight w:val="none"/>
          <w:lang w:val="en-US" w:eastAsia="zh-CN"/>
        </w:rPr>
      </w:pPr>
      <w:r>
        <w:rPr>
          <w:rFonts w:hint="eastAsia" w:cs="宋体"/>
          <w:color w:val="auto"/>
          <w:kern w:val="0"/>
          <w:szCs w:val="21"/>
          <w:highlight w:val="none"/>
          <w:lang w:eastAsia="zh-CN"/>
        </w:rPr>
        <w:t>污水处理设施设计规模</w:t>
      </w:r>
      <w:r>
        <w:rPr>
          <w:rFonts w:hint="eastAsia" w:cs="宋体"/>
          <w:color w:val="auto"/>
          <w:kern w:val="0"/>
          <w:szCs w:val="21"/>
          <w:highlight w:val="none"/>
          <w:lang w:val="en-US" w:eastAsia="zh-CN"/>
        </w:rPr>
        <w:t>3m³/h，采用“厌氧+生物接触氧化”处理工艺，可满足生活污水处理需求。</w:t>
      </w:r>
    </w:p>
    <w:p>
      <w:pPr>
        <w:spacing w:line="240" w:lineRule="auto"/>
        <w:rPr>
          <w:rFonts w:hint="eastAsia"/>
          <w:color w:val="auto"/>
          <w:highlight w:val="none"/>
          <w:lang w:eastAsia="zh-CN"/>
        </w:rPr>
      </w:pPr>
      <w:r>
        <w:rPr>
          <w:color w:val="auto"/>
          <w:sz w:val="21"/>
          <w:highlight w:val="none"/>
        </w:rPr>
        <mc:AlternateContent>
          <mc:Choice Requires="wps">
            <w:drawing>
              <wp:anchor distT="0" distB="0" distL="114300" distR="114300" simplePos="0" relativeHeight="251665408" behindDoc="0" locked="0" layoutInCell="1" allowOverlap="1">
                <wp:simplePos x="0" y="0"/>
                <wp:positionH relativeFrom="column">
                  <wp:posOffset>2171065</wp:posOffset>
                </wp:positionH>
                <wp:positionV relativeFrom="paragraph">
                  <wp:posOffset>3921125</wp:posOffset>
                </wp:positionV>
                <wp:extent cx="833755" cy="248285"/>
                <wp:effectExtent l="0" t="0" r="4445" b="18415"/>
                <wp:wrapNone/>
                <wp:docPr id="33" name="矩形 33"/>
                <wp:cNvGraphicFramePr/>
                <a:graphic xmlns:a="http://schemas.openxmlformats.org/drawingml/2006/main">
                  <a:graphicData uri="http://schemas.microsoft.com/office/word/2010/wordprocessingShape">
                    <wps:wsp>
                      <wps:cNvSpPr/>
                      <wps:spPr>
                        <a:xfrm>
                          <a:off x="3242310" y="5229225"/>
                          <a:ext cx="833755" cy="2482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黑体" w:hAnsi="黑体" w:eastAsia="黑体" w:cs="黑体"/>
                                <w:color w:val="000000" w:themeColor="text1"/>
                                <w:sz w:val="20"/>
                                <w:szCs w:val="20"/>
                                <w:highlight w:val="none"/>
                                <w:lang w:eastAsia="zh-CN"/>
                                <w14:textFill>
                                  <w14:solidFill>
                                    <w14:schemeClr w14:val="tx1"/>
                                  </w14:solidFill>
                                </w14:textFill>
                              </w:rPr>
                            </w:pPr>
                            <w:r>
                              <w:rPr>
                                <w:rFonts w:hint="eastAsia" w:ascii="黑体" w:hAnsi="黑体" w:eastAsia="黑体" w:cs="黑体"/>
                                <w:color w:val="000000" w:themeColor="text1"/>
                                <w:sz w:val="20"/>
                                <w:szCs w:val="20"/>
                                <w:highlight w:val="none"/>
                                <w:lang w:eastAsia="zh-CN"/>
                                <w14:textFill>
                                  <w14:solidFill>
                                    <w14:schemeClr w14:val="tx1"/>
                                  </w14:solidFill>
                                </w14:textFill>
                              </w:rPr>
                              <w:t>厂区绿化</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0.95pt;margin-top:308.75pt;height:19.55pt;width:65.65pt;z-index:251665408;v-text-anchor:middle;mso-width-relative:page;mso-height-relative:page;" fillcolor="#FFFFFF [3212]" filled="t" stroked="f" coordsize="21600,21600" o:gfxdata="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856HrdsAAAALAQAADwAAAAAAAAAB&#10;ACAAAAAiAAAAZHJzL2Rvd25yZXYueG1sUEsBAhQAFAAAAAgAh07iQDb1bmt/AgAA4wQAAA4AAAAA&#10;AAAAAQAgAAAAKgEAAGRycy9lMm9Eb2MueG1sUEsFBgAAAAAGAAYAWQEAABsGAAAAAA==&#10;">
                <v:fill on="t" focussize="0,0"/>
                <v:stroke on="f" weight="1pt"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黑体" w:hAnsi="黑体" w:eastAsia="黑体" w:cs="黑体"/>
                          <w:color w:val="000000" w:themeColor="text1"/>
                          <w:sz w:val="20"/>
                          <w:szCs w:val="20"/>
                          <w:highlight w:val="none"/>
                          <w:lang w:eastAsia="zh-CN"/>
                          <w14:textFill>
                            <w14:solidFill>
                              <w14:schemeClr w14:val="tx1"/>
                            </w14:solidFill>
                          </w14:textFill>
                        </w:rPr>
                      </w:pPr>
                      <w:r>
                        <w:rPr>
                          <w:rFonts w:hint="eastAsia" w:ascii="黑体" w:hAnsi="黑体" w:eastAsia="黑体" w:cs="黑体"/>
                          <w:color w:val="000000" w:themeColor="text1"/>
                          <w:sz w:val="20"/>
                          <w:szCs w:val="20"/>
                          <w:highlight w:val="none"/>
                          <w:lang w:eastAsia="zh-CN"/>
                          <w14:textFill>
                            <w14:solidFill>
                              <w14:schemeClr w14:val="tx1"/>
                            </w14:solidFill>
                          </w14:textFill>
                        </w:rPr>
                        <w:t>厂区绿化</w:t>
                      </w:r>
                    </w:p>
                  </w:txbxContent>
                </v:textbox>
              </v:rect>
            </w:pict>
          </mc:Fallback>
        </mc:AlternateContent>
      </w:r>
      <w:r>
        <w:rPr>
          <w:rStyle w:val="236"/>
          <w:rFonts w:hint="eastAsia" w:ascii="仿宋" w:hAnsi="仿宋" w:eastAsia="仿宋" w:cs="仿宋"/>
          <w:color w:val="auto"/>
          <w:highlight w:val="none"/>
        </w:rPr>
        <w:object>
          <v:shape id="_x0000_i1029" o:spt="75" type="#_x0000_t75" style="height:327.95pt;width:371.8pt;" o:ole="t" filled="f" o:preferrelative="t" stroked="f" coordsize="21600,21600">
            <v:path/>
            <v:fill on="f" focussize="0,0"/>
            <v:stroke on="f"/>
            <v:imagedata r:id="rId26" croptop="1335f" cropbottom="3005f" o:title=""/>
            <o:lock v:ext="edit" aspectratio="t"/>
            <w10:wrap type="none"/>
            <w10:anchorlock/>
          </v:shape>
          <o:OLEObject Type="Embed" ProgID="Visio.Drawing.15" ShapeID="_x0000_i1029" DrawAspect="Content" ObjectID="_1468075729" r:id="rId92">
            <o:LockedField>false</o:LockedField>
          </o:OLEObject>
        </w:object>
      </w:r>
    </w:p>
    <w:p>
      <w:pPr>
        <w:spacing w:line="240" w:lineRule="auto"/>
        <w:ind w:left="0" w:leftChars="0" w:firstLine="0" w:firstLineChars="0"/>
        <w:jc w:val="center"/>
        <w:rPr>
          <w:rFonts w:hint="default"/>
          <w:color w:val="auto"/>
          <w:highlight w:val="none"/>
          <w:lang w:val="en-US" w:eastAsia="zh-CN"/>
        </w:rPr>
      </w:pPr>
      <w:r>
        <w:rPr>
          <w:rFonts w:hint="eastAsia"/>
          <w:color w:val="auto"/>
          <w:highlight w:val="none"/>
          <w:lang w:eastAsia="zh-CN"/>
        </w:rPr>
        <w:t>图</w:t>
      </w:r>
      <w:r>
        <w:rPr>
          <w:rFonts w:hint="eastAsia"/>
          <w:color w:val="auto"/>
          <w:highlight w:val="none"/>
          <w:lang w:val="en-US" w:eastAsia="zh-CN"/>
        </w:rPr>
        <w:t>5.2.1-1  生活污水处理设备工艺流程图</w:t>
      </w:r>
    </w:p>
    <w:p>
      <w:pPr>
        <w:pStyle w:val="2"/>
        <w:rPr>
          <w:rFonts w:hint="default"/>
          <w:color w:val="auto"/>
          <w:highlight w:val="none"/>
          <w:lang w:val="en-US" w:eastAsia="zh-CN"/>
        </w:rPr>
      </w:pPr>
    </w:p>
    <w:p>
      <w:pPr>
        <w:pStyle w:val="5"/>
        <w:ind w:firstLine="522"/>
        <w:rPr>
          <w:color w:val="auto"/>
          <w:highlight w:val="none"/>
        </w:rPr>
      </w:pPr>
      <w:r>
        <w:rPr>
          <w:rFonts w:hint="eastAsia"/>
          <w:color w:val="auto"/>
          <w:highlight w:val="none"/>
        </w:rPr>
        <w:t>大气污染防治措施及其可行性论证</w:t>
      </w:r>
    </w:p>
    <w:p>
      <w:pPr>
        <w:snapToGrid w:val="0"/>
        <w:spacing w:line="460" w:lineRule="exact"/>
        <w:ind w:firstLine="520" w:firstLineChars="200"/>
        <w:rPr>
          <w:rFonts w:hint="eastAsia"/>
          <w:color w:val="auto"/>
          <w:highlight w:val="none"/>
        </w:rPr>
      </w:pPr>
      <w:r>
        <w:rPr>
          <w:rFonts w:hint="eastAsia"/>
          <w:color w:val="auto"/>
          <w:szCs w:val="24"/>
          <w:highlight w:val="none"/>
          <w:lang w:eastAsia="zh-CN"/>
        </w:rPr>
        <w:t>项目运营</w:t>
      </w:r>
      <w:r>
        <w:rPr>
          <w:rFonts w:hint="eastAsia"/>
          <w:color w:val="auto"/>
          <w:szCs w:val="24"/>
          <w:highlight w:val="none"/>
          <w:shd w:val="clear" w:fill="FFFFFF"/>
          <w:lang w:eastAsia="zh-CN"/>
        </w:rPr>
        <w:t>期</w:t>
      </w:r>
      <w:r>
        <w:rPr>
          <w:rFonts w:hint="eastAsia"/>
          <w:color w:val="auto"/>
          <w:szCs w:val="24"/>
          <w:highlight w:val="none"/>
        </w:rPr>
        <w:t>大气</w:t>
      </w:r>
      <w:r>
        <w:rPr>
          <w:rFonts w:hint="eastAsia"/>
          <w:color w:val="auto"/>
          <w:szCs w:val="24"/>
          <w:highlight w:val="none"/>
          <w:shd w:val="clear" w:fill="FFFFFF"/>
          <w:lang w:eastAsia="zh-CN"/>
        </w:rPr>
        <w:t>污染物</w:t>
      </w:r>
      <w:r>
        <w:rPr>
          <w:rFonts w:hint="eastAsia"/>
          <w:color w:val="auto"/>
          <w:szCs w:val="24"/>
          <w:highlight w:val="none"/>
          <w:lang w:eastAsia="zh-CN"/>
        </w:rPr>
        <w:t>主要为</w:t>
      </w:r>
      <w:r>
        <w:rPr>
          <w:rFonts w:hint="eastAsia"/>
          <w:color w:val="auto"/>
          <w:szCs w:val="24"/>
          <w:highlight w:val="none"/>
        </w:rPr>
        <w:t>枢纽管理区</w:t>
      </w:r>
      <w:r>
        <w:rPr>
          <w:rFonts w:hint="eastAsia"/>
          <w:color w:val="auto"/>
          <w:szCs w:val="24"/>
          <w:highlight w:val="none"/>
          <w:lang w:eastAsia="zh-CN"/>
        </w:rPr>
        <w:t>复建后的</w:t>
      </w:r>
      <w:r>
        <w:rPr>
          <w:rFonts w:hint="eastAsia"/>
          <w:color w:val="auto"/>
          <w:szCs w:val="24"/>
          <w:highlight w:val="none"/>
        </w:rPr>
        <w:t>职工食堂产生的油烟，根据同类型食堂餐厅的调查，油烟排放浓度约9</w:t>
      </w:r>
      <w:r>
        <w:rPr>
          <w:color w:val="auto"/>
          <w:szCs w:val="24"/>
          <w:highlight w:val="none"/>
        </w:rPr>
        <w:t>.5</w:t>
      </w:r>
      <w:r>
        <w:rPr>
          <w:rFonts w:hint="eastAsia"/>
          <w:color w:val="auto"/>
          <w:szCs w:val="24"/>
          <w:highlight w:val="none"/>
        </w:rPr>
        <w:t>mg</w:t>
      </w:r>
      <w:r>
        <w:rPr>
          <w:color w:val="auto"/>
          <w:szCs w:val="24"/>
          <w:highlight w:val="none"/>
        </w:rPr>
        <w:t>/m</w:t>
      </w:r>
      <w:r>
        <w:rPr>
          <w:color w:val="auto"/>
          <w:szCs w:val="24"/>
          <w:highlight w:val="none"/>
          <w:vertAlign w:val="superscript"/>
        </w:rPr>
        <w:t>3</w:t>
      </w:r>
      <w:r>
        <w:rPr>
          <w:rFonts w:hint="eastAsia"/>
          <w:color w:val="auto"/>
          <w:szCs w:val="24"/>
          <w:highlight w:val="none"/>
        </w:rPr>
        <w:t>。食堂应考虑油烟的收集处理措施，可采用静电油烟净化器，将厨房油烟经集气罩收集后，通过油烟净化器进行净化后高空排放。该设备的净化效率超过9</w:t>
      </w:r>
      <w:r>
        <w:rPr>
          <w:color w:val="auto"/>
          <w:szCs w:val="24"/>
          <w:highlight w:val="none"/>
        </w:rPr>
        <w:t>0</w:t>
      </w:r>
      <w:r>
        <w:rPr>
          <w:rFonts w:hint="eastAsia"/>
          <w:color w:val="auto"/>
          <w:szCs w:val="24"/>
          <w:highlight w:val="none"/>
        </w:rPr>
        <w:t>%，可有效净化枢纽区职工食堂日常产生的油烟</w:t>
      </w:r>
      <w:r>
        <w:rPr>
          <w:rFonts w:hint="eastAsia"/>
          <w:color w:val="auto"/>
          <w:highlight w:val="none"/>
        </w:rPr>
        <w:t>。</w:t>
      </w:r>
    </w:p>
    <w:p>
      <w:pPr>
        <w:bidi w:val="0"/>
        <w:rPr>
          <w:color w:val="auto"/>
          <w:highlight w:val="none"/>
        </w:rPr>
      </w:pPr>
      <w:r>
        <w:rPr>
          <w:rFonts w:hint="eastAsia"/>
          <w:color w:val="auto"/>
          <w:highlight w:val="none"/>
          <w:lang w:eastAsia="zh-CN"/>
        </w:rPr>
        <w:t>对于</w:t>
      </w:r>
      <w:r>
        <w:rPr>
          <w:rFonts w:hint="eastAsia"/>
          <w:color w:val="auto"/>
          <w:highlight w:val="none"/>
        </w:rPr>
        <w:t>运行</w:t>
      </w:r>
      <w:r>
        <w:rPr>
          <w:rFonts w:hint="eastAsia"/>
          <w:color w:val="auto"/>
          <w:highlight w:val="none"/>
          <w:shd w:val="clear" w:fill="FFFFFF"/>
        </w:rPr>
        <w:t>期</w:t>
      </w:r>
      <w:r>
        <w:rPr>
          <w:rFonts w:hint="eastAsia"/>
          <w:color w:val="auto"/>
          <w:highlight w:val="none"/>
          <w:lang w:eastAsia="zh-CN"/>
        </w:rPr>
        <w:t>过闸船舶废气</w:t>
      </w:r>
      <w:r>
        <w:rPr>
          <w:rFonts w:hint="eastAsia"/>
          <w:color w:val="auto"/>
          <w:highlight w:val="none"/>
        </w:rPr>
        <w:t>，交通运输部门负责船舶标准化管理工作，对于不符合环保要求的船舶禁止过闸，禁止在航道内通行。交通主管部门设置的船舶检验机构应对航道内船舶进行检验，符合船舶标准船型指标体系和相关环保要求的签发船舶检验证书；对于符合船舶标准化相关要求的船舶</w:t>
      </w:r>
      <w:r>
        <w:rPr>
          <w:rFonts w:hint="eastAsia"/>
          <w:color w:val="auto"/>
          <w:highlight w:val="none"/>
          <w:shd w:val="clear" w:fill="FFFFFF"/>
        </w:rPr>
        <w:t>，</w:t>
      </w:r>
      <w:r>
        <w:rPr>
          <w:rFonts w:hint="eastAsia"/>
          <w:color w:val="auto"/>
          <w:highlight w:val="none"/>
        </w:rPr>
        <w:t>交通主管部门核发《船舶营业运输证》，不符合的取消《船舶营业运输证》或明确在该水域禁止通行；对于不符合船舶标准化相关要求的船舶，航道管理机构不予办理过闸手续。</w:t>
      </w:r>
    </w:p>
    <w:p>
      <w:pPr>
        <w:pStyle w:val="5"/>
        <w:ind w:firstLine="522"/>
        <w:rPr>
          <w:color w:val="auto"/>
          <w:highlight w:val="none"/>
        </w:rPr>
      </w:pPr>
      <w:r>
        <w:rPr>
          <w:rFonts w:hint="eastAsia"/>
          <w:color w:val="auto"/>
          <w:highlight w:val="none"/>
        </w:rPr>
        <w:t>噪声污染防治措施及其可行性论证</w:t>
      </w:r>
    </w:p>
    <w:p>
      <w:pPr>
        <w:ind w:firstLine="520"/>
        <w:rPr>
          <w:rFonts w:hint="eastAsia"/>
          <w:color w:val="auto"/>
          <w:highlight w:val="none"/>
        </w:rPr>
      </w:pPr>
      <w:r>
        <w:rPr>
          <w:rFonts w:hint="eastAsia"/>
          <w:color w:val="auto"/>
          <w:highlight w:val="none"/>
        </w:rPr>
        <w:t>为保障船闸周边良好的声环境质量，项目运营期间采取措施如下：</w:t>
      </w:r>
    </w:p>
    <w:p>
      <w:pPr>
        <w:ind w:firstLine="520"/>
        <w:rPr>
          <w:rFonts w:hint="eastAsia"/>
          <w:color w:val="auto"/>
          <w:highlight w:val="none"/>
        </w:rPr>
      </w:pPr>
      <w:r>
        <w:rPr>
          <w:rFonts w:hint="eastAsia"/>
          <w:color w:val="auto"/>
          <w:highlight w:val="none"/>
        </w:rPr>
        <w:t>（1）加强对运输船舶的管理。加强对船闸设备的保养及检修，保持正常运行，降低噪声。船舶发动机应装置有效的消声器，航运船舶噪声应满足国家《内河船舶噪声级规定》（GB5980-2009）规定，对船机设备噪声达不到船检要求的船舶应禁止其进入航道从事运输活动。</w:t>
      </w:r>
    </w:p>
    <w:p>
      <w:pPr>
        <w:ind w:firstLine="520"/>
        <w:rPr>
          <w:rFonts w:hint="eastAsia"/>
          <w:color w:val="auto"/>
          <w:highlight w:val="none"/>
        </w:rPr>
      </w:pPr>
      <w:r>
        <w:rPr>
          <w:rFonts w:hint="eastAsia"/>
          <w:color w:val="auto"/>
          <w:highlight w:val="none"/>
        </w:rPr>
        <w:t>（2）加强船闸管理，合理安排船舶进出船闸工作，设置禁止鸣笛警示牌，尽量减少船舶交通噪声对航道沿线居民正常生产、生活的影响。</w:t>
      </w:r>
    </w:p>
    <w:p>
      <w:pPr>
        <w:pStyle w:val="5"/>
        <w:bidi w:val="0"/>
        <w:rPr>
          <w:color w:val="auto"/>
          <w:highlight w:val="none"/>
        </w:rPr>
      </w:pPr>
      <w:r>
        <w:rPr>
          <w:rFonts w:hint="eastAsia"/>
          <w:color w:val="auto"/>
          <w:highlight w:val="none"/>
          <w:lang w:eastAsia="zh-CN"/>
        </w:rPr>
        <w:t>固体废物处理处置措施及可行性论证</w:t>
      </w:r>
    </w:p>
    <w:p>
      <w:pPr>
        <w:rPr>
          <w:rFonts w:hint="eastAsia"/>
          <w:color w:val="auto"/>
          <w:highlight w:val="none"/>
          <w:lang w:eastAsia="zh-CN"/>
        </w:rPr>
      </w:pPr>
      <w:r>
        <w:rPr>
          <w:rFonts w:hint="eastAsia"/>
          <w:color w:val="auto"/>
          <w:highlight w:val="none"/>
          <w:lang w:eastAsia="zh-CN"/>
        </w:rPr>
        <w:t>项目运营期固体废物较少，主要为管理区员工生活垃圾和船闸检修过程中产生的含油危险废物。</w:t>
      </w:r>
    </w:p>
    <w:p>
      <w:pPr>
        <w:rPr>
          <w:rFonts w:hint="eastAsia"/>
          <w:color w:val="auto"/>
          <w:highlight w:val="none"/>
        </w:rPr>
      </w:pPr>
      <w:r>
        <w:rPr>
          <w:rFonts w:hint="eastAsia"/>
          <w:color w:val="auto"/>
          <w:highlight w:val="none"/>
          <w:lang w:eastAsia="zh-CN"/>
        </w:rPr>
        <w:t>项目管理区设置垃圾箱、垃圾桶等生活垃圾收集设施，生活垃圾经分类集中收集后，由当地环卫部门定期清运处置。</w:t>
      </w:r>
      <w:r>
        <w:rPr>
          <w:rFonts w:hint="eastAsia"/>
          <w:color w:val="auto"/>
          <w:highlight w:val="none"/>
        </w:rPr>
        <w:t>船闸检修废油</w:t>
      </w:r>
      <w:r>
        <w:rPr>
          <w:rFonts w:hint="eastAsia"/>
          <w:color w:val="auto"/>
          <w:highlight w:val="none"/>
          <w:lang w:eastAsia="zh-CN"/>
        </w:rPr>
        <w:t>置于废油桶内，与含油棉纱手套等危险废物分类暂存于管理区新建的危废暂存间内，定期交由</w:t>
      </w:r>
      <w:r>
        <w:rPr>
          <w:rFonts w:hint="eastAsia"/>
          <w:color w:val="auto"/>
          <w:highlight w:val="none"/>
        </w:rPr>
        <w:t>有</w:t>
      </w:r>
      <w:r>
        <w:rPr>
          <w:rFonts w:hint="eastAsia"/>
          <w:color w:val="auto"/>
          <w:highlight w:val="none"/>
          <w:lang w:eastAsia="zh-CN"/>
        </w:rPr>
        <w:t>危废处理</w:t>
      </w:r>
      <w:r>
        <w:rPr>
          <w:rFonts w:hint="eastAsia"/>
          <w:color w:val="auto"/>
          <w:highlight w:val="none"/>
        </w:rPr>
        <w:t>资质的单位一并接收处理并妥善处置。</w:t>
      </w:r>
      <w:r>
        <w:rPr>
          <w:rFonts w:hint="eastAsia"/>
          <w:color w:val="auto"/>
          <w:highlight w:val="none"/>
          <w:lang w:eastAsia="zh-CN"/>
        </w:rPr>
        <w:t>新建危废暂存间应按照《危险废物贮存污染控制标准》（GB 18597—2023）</w:t>
      </w:r>
      <w:r>
        <w:rPr>
          <w:rFonts w:hint="eastAsia"/>
          <w:color w:val="auto"/>
          <w:highlight w:val="none"/>
        </w:rPr>
        <w:t>做好防风、防雨、防晒和防止危险废物流失、扬散等措施，设置液体泄漏收集池，并张贴危废标识、标牌及相关警示标语。同时应严格按照危险废物规范化管理台账要求，认真登记危险废物产生、贮存、利用、处置、转移等各环节地点建立的相关台账，按时、详细、准确记录各环节危险废物相关数据，管理台账要严格保管。</w:t>
      </w:r>
    </w:p>
    <w:p>
      <w:pPr>
        <w:rPr>
          <w:rFonts w:hint="eastAsia" w:eastAsia="宋体"/>
          <w:color w:val="auto"/>
          <w:highlight w:val="none"/>
          <w:lang w:eastAsia="zh-CN"/>
        </w:rPr>
      </w:pPr>
      <w:r>
        <w:rPr>
          <w:rFonts w:hint="eastAsia"/>
          <w:color w:val="auto"/>
          <w:highlight w:val="none"/>
          <w:lang w:eastAsia="zh-CN"/>
        </w:rPr>
        <w:t>采取上述措施后，项目产生的固体废物可</w:t>
      </w:r>
      <w:r>
        <w:rPr>
          <w:rFonts w:hint="eastAsia"/>
          <w:color w:val="auto"/>
          <w:highlight w:val="none"/>
          <w:shd w:val="clear" w:fill="FFFFFF"/>
          <w:lang w:eastAsia="zh-CN"/>
        </w:rPr>
        <w:t>得到</w:t>
      </w:r>
      <w:r>
        <w:rPr>
          <w:rFonts w:hint="eastAsia"/>
          <w:color w:val="auto"/>
          <w:highlight w:val="none"/>
          <w:lang w:eastAsia="zh-CN"/>
        </w:rPr>
        <w:t>合理有效处置。</w:t>
      </w:r>
    </w:p>
    <w:p>
      <w:pPr>
        <w:pStyle w:val="4"/>
        <w:rPr>
          <w:color w:val="auto"/>
          <w:highlight w:val="none"/>
        </w:rPr>
      </w:pPr>
      <w:bookmarkStart w:id="131" w:name="_Toc18550"/>
      <w:r>
        <w:rPr>
          <w:rFonts w:hint="eastAsia"/>
          <w:color w:val="auto"/>
          <w:highlight w:val="none"/>
          <w:lang w:eastAsia="zh-CN"/>
        </w:rPr>
        <w:t>生态保护对策措施</w:t>
      </w:r>
      <w:bookmarkEnd w:id="131"/>
    </w:p>
    <w:p>
      <w:pPr>
        <w:pStyle w:val="5"/>
        <w:bidi w:val="0"/>
        <w:rPr>
          <w:color w:val="auto"/>
          <w:highlight w:val="none"/>
        </w:rPr>
      </w:pPr>
      <w:r>
        <w:rPr>
          <w:rFonts w:hint="eastAsia"/>
          <w:color w:val="auto"/>
          <w:highlight w:val="none"/>
          <w:lang w:eastAsia="zh-CN"/>
        </w:rPr>
        <w:t>陆生生态保护措施</w:t>
      </w:r>
    </w:p>
    <w:p>
      <w:pPr>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）陆生植物保护措施</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1 \* GB3 \* MERGEFORMAT </w:instrText>
      </w:r>
      <w:r>
        <w:rPr>
          <w:rFonts w:hint="eastAsia"/>
          <w:color w:val="auto"/>
          <w:highlight w:val="none"/>
          <w:lang w:eastAsia="zh-CN"/>
        </w:rPr>
        <w:fldChar w:fldCharType="separate"/>
      </w:r>
      <w:r>
        <w:rPr>
          <w:color w:val="auto"/>
          <w:highlight w:val="none"/>
        </w:rPr>
        <w:t>①</w:t>
      </w:r>
      <w:r>
        <w:rPr>
          <w:rFonts w:hint="eastAsia"/>
          <w:color w:val="auto"/>
          <w:highlight w:val="none"/>
          <w:lang w:eastAsia="zh-CN"/>
        </w:rPr>
        <w:fldChar w:fldCharType="end"/>
      </w:r>
      <w:r>
        <w:rPr>
          <w:rFonts w:hint="eastAsia"/>
          <w:color w:val="auto"/>
          <w:highlight w:val="none"/>
          <w:lang w:eastAsia="zh-CN"/>
        </w:rPr>
        <w:t>避让措施</w:t>
      </w:r>
    </w:p>
    <w:p>
      <w:pPr>
        <w:bidi w:val="0"/>
        <w:rPr>
          <w:rFonts w:hint="eastAsia"/>
          <w:color w:val="auto"/>
          <w:highlight w:val="none"/>
          <w:lang w:eastAsia="zh-CN"/>
        </w:rPr>
      </w:pPr>
      <w:r>
        <w:rPr>
          <w:rFonts w:hint="eastAsia"/>
          <w:color w:val="auto"/>
          <w:highlight w:val="none"/>
          <w:lang w:val="en-US" w:eastAsia="zh-CN"/>
        </w:rPr>
        <w:t>A</w:t>
      </w:r>
      <w:r>
        <w:rPr>
          <w:rFonts w:hint="eastAsia"/>
          <w:color w:val="auto"/>
          <w:highlight w:val="none"/>
          <w:shd w:val="clear" w:fill="FFFFFF"/>
          <w:lang w:val="en-US" w:eastAsia="zh-CN"/>
        </w:rPr>
        <w:t>、</w:t>
      </w:r>
      <w:r>
        <w:rPr>
          <w:rFonts w:hint="eastAsia"/>
          <w:color w:val="auto"/>
          <w:highlight w:val="none"/>
          <w:lang w:eastAsia="zh-CN"/>
        </w:rPr>
        <w:t>工程后续施工阶段应根据现场情况进一步优化工程布置，合理规划施工道路等临时占地，尽量避免占用成片林地，应尽量选择荒地、未利用地，减少对周边自然生态和植被的破坏。</w:t>
      </w:r>
    </w:p>
    <w:p>
      <w:pPr>
        <w:bidi w:val="0"/>
        <w:rPr>
          <w:rFonts w:hint="eastAsia"/>
          <w:color w:val="auto"/>
          <w:highlight w:val="none"/>
          <w:lang w:eastAsia="zh-CN"/>
        </w:rPr>
      </w:pPr>
      <w:r>
        <w:rPr>
          <w:rFonts w:hint="eastAsia"/>
          <w:color w:val="auto"/>
          <w:highlight w:val="none"/>
          <w:lang w:val="en-US" w:eastAsia="zh-CN"/>
        </w:rPr>
        <w:t>B</w:t>
      </w:r>
      <w:r>
        <w:rPr>
          <w:rFonts w:hint="eastAsia"/>
          <w:color w:val="auto"/>
          <w:highlight w:val="none"/>
          <w:shd w:val="clear" w:fill="FFFFFF"/>
          <w:lang w:val="en-US" w:eastAsia="zh-CN"/>
        </w:rPr>
        <w:t>、</w:t>
      </w:r>
      <w:r>
        <w:rPr>
          <w:rFonts w:hint="eastAsia"/>
          <w:color w:val="auto"/>
          <w:highlight w:val="none"/>
          <w:lang w:eastAsia="zh-CN"/>
        </w:rPr>
        <w:t>优化施工方案，弃渣场、临时堆存场、加工系统等工程的设置要在最大限度上做到挖填平衡，减少土石方远距离调运，尽可能地减轻在施工过程中因土石方运输造成的扬尘污染以及雨季施工潜在的水土流失等对植被的破坏。</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2 \* GB3 \* MERGEFORMAT </w:instrText>
      </w:r>
      <w:r>
        <w:rPr>
          <w:rFonts w:hint="eastAsia"/>
          <w:color w:val="auto"/>
          <w:highlight w:val="none"/>
          <w:lang w:eastAsia="zh-CN"/>
        </w:rPr>
        <w:fldChar w:fldCharType="separate"/>
      </w:r>
      <w:r>
        <w:rPr>
          <w:color w:val="auto"/>
          <w:highlight w:val="none"/>
        </w:rPr>
        <w:t>②</w:t>
      </w:r>
      <w:r>
        <w:rPr>
          <w:rFonts w:hint="eastAsia"/>
          <w:color w:val="auto"/>
          <w:highlight w:val="none"/>
          <w:lang w:eastAsia="zh-CN"/>
        </w:rPr>
        <w:fldChar w:fldCharType="end"/>
      </w:r>
      <w:r>
        <w:rPr>
          <w:rFonts w:hint="eastAsia"/>
          <w:color w:val="auto"/>
          <w:highlight w:val="none"/>
          <w:lang w:eastAsia="zh-CN"/>
        </w:rPr>
        <w:t>减缓措施</w:t>
      </w:r>
    </w:p>
    <w:p>
      <w:pPr>
        <w:numPr>
          <w:ilvl w:val="0"/>
          <w:numId w:val="32"/>
        </w:numPr>
        <w:bidi w:val="0"/>
        <w:rPr>
          <w:rFonts w:hint="eastAsia"/>
          <w:color w:val="auto"/>
          <w:highlight w:val="none"/>
          <w:lang w:val="en-US" w:eastAsia="zh-CN"/>
        </w:rPr>
      </w:pPr>
      <w:r>
        <w:rPr>
          <w:rFonts w:hint="eastAsia"/>
          <w:color w:val="auto"/>
          <w:highlight w:val="none"/>
          <w:lang w:eastAsia="zh-CN"/>
        </w:rPr>
        <w:t>施工期前，对于施工场地、弃渣场等占地范围内可剥离表土进行剥离，堆放于渣场占地范围内，表土堆放区表面临时撒播绿肥草籽，堆土场周边设置临时拦挡，拦挡外侧设置临时排水沟及沉沙池，堆土表面设密目网苫盖。其中，表土集中堆放，周边设置袋装土拦挡，表面苫盖密目网并临时撒播草籽养护，施工结束后进行土地整治。</w:t>
      </w:r>
    </w:p>
    <w:p>
      <w:pPr>
        <w:bidi w:val="0"/>
        <w:rPr>
          <w:rFonts w:hint="default"/>
          <w:color w:val="auto"/>
          <w:highlight w:val="none"/>
          <w:lang w:val="en-US" w:eastAsia="zh-CN"/>
        </w:rPr>
      </w:pPr>
      <w:r>
        <w:rPr>
          <w:rFonts w:hint="eastAsia"/>
          <w:color w:val="auto"/>
          <w:highlight w:val="none"/>
          <w:lang w:val="en-US" w:eastAsia="zh-CN"/>
        </w:rPr>
        <w:t>B</w:t>
      </w:r>
      <w:r>
        <w:rPr>
          <w:rFonts w:hint="eastAsia"/>
          <w:color w:val="auto"/>
          <w:highlight w:val="none"/>
          <w:shd w:val="clear" w:fill="FFFFFF"/>
          <w:lang w:val="en-US" w:eastAsia="zh-CN"/>
        </w:rPr>
        <w:t>、</w:t>
      </w:r>
      <w:r>
        <w:rPr>
          <w:rFonts w:hint="eastAsia"/>
          <w:color w:val="auto"/>
          <w:highlight w:val="none"/>
          <w:lang w:val="en-US" w:eastAsia="zh-CN"/>
        </w:rPr>
        <w:t>现有枢纽管理区内</w:t>
      </w:r>
      <w:r>
        <w:rPr>
          <w:rFonts w:hint="eastAsia"/>
          <w:color w:val="auto"/>
          <w:highlight w:val="none"/>
          <w:shd w:val="clear" w:fill="FFFFFF"/>
          <w:lang w:val="en-US" w:eastAsia="zh-CN"/>
        </w:rPr>
        <w:t>现状分布</w:t>
      </w:r>
      <w:r>
        <w:rPr>
          <w:rFonts w:hint="eastAsia"/>
          <w:color w:val="auto"/>
          <w:highlight w:val="none"/>
          <w:lang w:val="en-US" w:eastAsia="zh-CN"/>
        </w:rPr>
        <w:t>有较多乔木树种，主要为小叶榕、黄葛树等，施工期应尽量对现有高大乔木树种进行移栽，有效减少植被损失。</w:t>
      </w:r>
    </w:p>
    <w:p>
      <w:pPr>
        <w:bidi w:val="0"/>
        <w:rPr>
          <w:rFonts w:hint="eastAsia"/>
          <w:color w:val="auto"/>
          <w:highlight w:val="none"/>
          <w:lang w:eastAsia="zh-CN"/>
        </w:rPr>
      </w:pPr>
      <w:r>
        <w:rPr>
          <w:rFonts w:hint="eastAsia"/>
          <w:color w:val="auto"/>
          <w:highlight w:val="none"/>
          <w:lang w:val="en-US" w:eastAsia="zh-CN"/>
        </w:rPr>
        <w:t>C</w:t>
      </w:r>
      <w:r>
        <w:rPr>
          <w:rFonts w:hint="eastAsia"/>
          <w:color w:val="auto"/>
          <w:highlight w:val="none"/>
          <w:shd w:val="clear" w:fill="FFFFFF"/>
          <w:lang w:val="en-US" w:eastAsia="zh-CN"/>
        </w:rPr>
        <w:t>、</w:t>
      </w:r>
      <w:r>
        <w:rPr>
          <w:rFonts w:hint="eastAsia"/>
          <w:color w:val="auto"/>
          <w:highlight w:val="none"/>
          <w:lang w:eastAsia="zh-CN"/>
        </w:rPr>
        <w:t>在工程施工时应选用对植被和环境破坏较小的先进施工手段，同时应严格按设计要求施工，严格控制施工范围，减少植被破坏面积。</w:t>
      </w:r>
    </w:p>
    <w:p>
      <w:pPr>
        <w:bidi w:val="0"/>
        <w:rPr>
          <w:rFonts w:hint="eastAsia"/>
          <w:color w:val="auto"/>
          <w:highlight w:val="none"/>
          <w:lang w:eastAsia="zh-CN"/>
        </w:rPr>
      </w:pPr>
      <w:r>
        <w:rPr>
          <w:rFonts w:hint="eastAsia"/>
          <w:color w:val="auto"/>
          <w:highlight w:val="none"/>
          <w:lang w:val="en-US" w:eastAsia="zh-CN"/>
        </w:rPr>
        <w:t>D</w:t>
      </w:r>
      <w:r>
        <w:rPr>
          <w:rFonts w:hint="eastAsia"/>
          <w:color w:val="auto"/>
          <w:highlight w:val="none"/>
          <w:shd w:val="clear" w:fill="FFFFFF"/>
          <w:lang w:val="en-US" w:eastAsia="zh-CN"/>
        </w:rPr>
        <w:t>、</w:t>
      </w:r>
      <w:r>
        <w:rPr>
          <w:rFonts w:hint="eastAsia"/>
          <w:color w:val="auto"/>
          <w:highlight w:val="none"/>
          <w:lang w:eastAsia="zh-CN"/>
        </w:rPr>
        <w:t>严禁施工材料乱堆乱放、施工垃圾的随意处置、及时清除多余的土方和石料，运走建筑垃圾、生活垃圾，以减轻对植被的占压、干扰和破坏，最大可能保护地表植被自然性，努力使地表植被的受影响范围降低。</w:t>
      </w:r>
    </w:p>
    <w:p>
      <w:pPr>
        <w:bidi w:val="0"/>
        <w:rPr>
          <w:rFonts w:hint="eastAsia"/>
          <w:color w:val="auto"/>
          <w:highlight w:val="none"/>
          <w:lang w:eastAsia="zh-CN"/>
        </w:rPr>
      </w:pPr>
      <w:r>
        <w:rPr>
          <w:rFonts w:hint="eastAsia"/>
          <w:color w:val="auto"/>
          <w:highlight w:val="none"/>
          <w:lang w:val="en-US" w:eastAsia="zh-CN"/>
        </w:rPr>
        <w:t>E</w:t>
      </w:r>
      <w:r>
        <w:rPr>
          <w:rFonts w:hint="eastAsia"/>
          <w:color w:val="auto"/>
          <w:highlight w:val="none"/>
          <w:shd w:val="clear" w:fill="FFFFFF"/>
          <w:lang w:val="en-US" w:eastAsia="zh-CN"/>
        </w:rPr>
        <w:t>、</w:t>
      </w:r>
      <w:r>
        <w:rPr>
          <w:rFonts w:hint="eastAsia"/>
          <w:color w:val="auto"/>
          <w:highlight w:val="none"/>
          <w:lang w:eastAsia="zh-CN"/>
        </w:rPr>
        <w:t>施工结束后，对施工临时设施予以清除，对临时占地及施工迹地及时进行植被恢复，恢复原有的地表状态，根据当地的土壤及气候条件，依照“适地适树”和乔、灌、草</w:t>
      </w:r>
      <w:r>
        <w:rPr>
          <w:rFonts w:hint="eastAsia"/>
          <w:color w:val="auto"/>
          <w:highlight w:val="none"/>
          <w:shd w:val="clear" w:fill="FFFFFF"/>
          <w:lang w:eastAsia="zh-CN"/>
        </w:rPr>
        <w:t>相结合的</w:t>
      </w:r>
      <w:r>
        <w:rPr>
          <w:rFonts w:hint="eastAsia"/>
          <w:color w:val="auto"/>
          <w:highlight w:val="none"/>
          <w:lang w:eastAsia="zh-CN"/>
        </w:rPr>
        <w:t>原则，选择当地的植物进行植被恢复，进一步降低工程对植被造成的不利影响。</w:t>
      </w:r>
    </w:p>
    <w:p>
      <w:pPr>
        <w:bidi w:val="0"/>
        <w:rPr>
          <w:rFonts w:hint="eastAsia"/>
          <w:color w:val="auto"/>
          <w:highlight w:val="none"/>
          <w:lang w:eastAsia="zh-CN"/>
        </w:rPr>
      </w:pPr>
      <w:r>
        <w:rPr>
          <w:rFonts w:hint="eastAsia"/>
          <w:color w:val="auto"/>
          <w:highlight w:val="none"/>
          <w:lang w:val="en-US" w:eastAsia="zh-CN"/>
        </w:rPr>
        <w:t>F</w:t>
      </w:r>
      <w:r>
        <w:rPr>
          <w:rFonts w:hint="eastAsia"/>
          <w:color w:val="auto"/>
          <w:highlight w:val="none"/>
          <w:shd w:val="clear" w:fill="FFFFFF"/>
          <w:lang w:val="en-US" w:eastAsia="zh-CN"/>
        </w:rPr>
        <w:t>、</w:t>
      </w:r>
      <w:r>
        <w:rPr>
          <w:rFonts w:hint="eastAsia"/>
          <w:color w:val="auto"/>
          <w:highlight w:val="none"/>
          <w:lang w:eastAsia="zh-CN"/>
        </w:rPr>
        <w:t>施工人</w:t>
      </w:r>
      <w:r>
        <w:rPr>
          <w:rFonts w:hint="eastAsia"/>
          <w:color w:val="auto"/>
          <w:highlight w:val="none"/>
          <w:shd w:val="clear" w:fill="FFFFFF"/>
          <w:lang w:eastAsia="zh-CN"/>
        </w:rPr>
        <w:t>员在</w:t>
      </w:r>
      <w:r>
        <w:rPr>
          <w:rFonts w:hint="eastAsia"/>
          <w:color w:val="auto"/>
          <w:highlight w:val="none"/>
          <w:lang w:eastAsia="zh-CN"/>
        </w:rPr>
        <w:t>施工区作业时，严禁吸烟和野外用火，一旦发生火灾，将给施工区附近植被带来潜在威胁。因此，施工时施工方应该配合防火工作，积极贯彻《森林防火条例》，加强防火宣传教育，做好施工人员吸烟以及其他生活和生产用火的火源管理。</w:t>
      </w:r>
    </w:p>
    <w:p>
      <w:pPr>
        <w:bidi w:val="0"/>
        <w:rPr>
          <w:rFonts w:hint="eastAsia"/>
          <w:color w:val="auto"/>
          <w:highlight w:val="none"/>
          <w:lang w:eastAsia="zh-CN"/>
        </w:rPr>
      </w:pPr>
      <w:r>
        <w:rPr>
          <w:rFonts w:hint="eastAsia"/>
          <w:color w:val="auto"/>
          <w:highlight w:val="none"/>
          <w:lang w:val="en-US" w:eastAsia="zh-CN"/>
        </w:rPr>
        <w:t>G</w:t>
      </w:r>
      <w:r>
        <w:rPr>
          <w:rFonts w:hint="eastAsia"/>
          <w:color w:val="auto"/>
          <w:highlight w:val="none"/>
          <w:shd w:val="clear" w:fill="FFFFFF"/>
          <w:lang w:val="en-US" w:eastAsia="zh-CN"/>
        </w:rPr>
        <w:t>、</w:t>
      </w:r>
      <w:r>
        <w:rPr>
          <w:rFonts w:hint="eastAsia"/>
          <w:color w:val="auto"/>
          <w:highlight w:val="none"/>
          <w:lang w:eastAsia="zh-CN"/>
        </w:rPr>
        <w:t>强化野生植物的保护管理，严禁施工相关人员在工程附近区域实施伐树、砍柴等活动。</w:t>
      </w:r>
    </w:p>
    <w:p>
      <w:pPr>
        <w:bidi w:val="0"/>
        <w:rPr>
          <w:rFonts w:hint="eastAsia"/>
          <w:color w:val="auto"/>
          <w:highlight w:val="none"/>
          <w:lang w:eastAsia="zh-CN"/>
        </w:rPr>
      </w:pPr>
      <w:r>
        <w:rPr>
          <w:rFonts w:hint="eastAsia"/>
          <w:color w:val="auto"/>
          <w:highlight w:val="none"/>
          <w:lang w:val="en-US" w:eastAsia="zh-CN"/>
        </w:rPr>
        <w:t>H</w:t>
      </w:r>
      <w:r>
        <w:rPr>
          <w:rFonts w:hint="eastAsia"/>
          <w:color w:val="auto"/>
          <w:highlight w:val="none"/>
          <w:shd w:val="clear" w:fill="FFFFFF"/>
          <w:lang w:val="en-US" w:eastAsia="zh-CN"/>
        </w:rPr>
        <w:t>、</w:t>
      </w:r>
      <w:r>
        <w:rPr>
          <w:rFonts w:hint="eastAsia"/>
          <w:color w:val="auto"/>
          <w:highlight w:val="none"/>
          <w:lang w:eastAsia="zh-CN"/>
        </w:rPr>
        <w:t>加强植物检疫工作，防止外来病虫害危害评价区植物资源和栖息地环境。做好相关人员出入检查工作，严禁相关人员将外来物种带入工程区域及附近种植。</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3 \* GB3 \* MERGEFORMAT </w:instrText>
      </w:r>
      <w:r>
        <w:rPr>
          <w:rFonts w:hint="eastAsia"/>
          <w:color w:val="auto"/>
          <w:highlight w:val="none"/>
          <w:lang w:eastAsia="zh-CN"/>
        </w:rPr>
        <w:fldChar w:fldCharType="separate"/>
      </w:r>
      <w:r>
        <w:rPr>
          <w:color w:val="auto"/>
          <w:highlight w:val="none"/>
        </w:rPr>
        <w:t>③</w:t>
      </w:r>
      <w:r>
        <w:rPr>
          <w:rFonts w:hint="eastAsia"/>
          <w:color w:val="auto"/>
          <w:highlight w:val="none"/>
          <w:lang w:eastAsia="zh-CN"/>
        </w:rPr>
        <w:fldChar w:fldCharType="end"/>
      </w:r>
      <w:r>
        <w:rPr>
          <w:rFonts w:hint="eastAsia"/>
          <w:color w:val="auto"/>
          <w:highlight w:val="none"/>
          <w:lang w:eastAsia="zh-CN"/>
        </w:rPr>
        <w:t>恢复和补偿措施</w:t>
      </w:r>
    </w:p>
    <w:p>
      <w:pPr>
        <w:bidi w:val="0"/>
        <w:rPr>
          <w:rFonts w:hint="eastAsia"/>
          <w:color w:val="auto"/>
          <w:highlight w:val="none"/>
          <w:lang w:eastAsia="zh-CN"/>
        </w:rPr>
      </w:pPr>
      <w:r>
        <w:rPr>
          <w:rFonts w:hint="eastAsia"/>
          <w:color w:val="auto"/>
          <w:highlight w:val="none"/>
          <w:lang w:val="en-US" w:eastAsia="zh-CN"/>
        </w:rPr>
        <w:t>A</w:t>
      </w:r>
      <w:r>
        <w:rPr>
          <w:rFonts w:hint="eastAsia"/>
          <w:color w:val="auto"/>
          <w:highlight w:val="none"/>
          <w:shd w:val="clear" w:fill="FFFFFF"/>
          <w:lang w:val="en-US" w:eastAsia="zh-CN"/>
        </w:rPr>
        <w:t>、</w:t>
      </w:r>
      <w:r>
        <w:rPr>
          <w:rFonts w:hint="eastAsia"/>
          <w:color w:val="auto"/>
          <w:highlight w:val="none"/>
          <w:lang w:eastAsia="zh-CN"/>
        </w:rPr>
        <w:t>植被恢复原则</w:t>
      </w:r>
    </w:p>
    <w:p>
      <w:pPr>
        <w:bidi w:val="0"/>
        <w:rPr>
          <w:rFonts w:hint="eastAsia"/>
          <w:color w:val="auto"/>
          <w:highlight w:val="none"/>
          <w:lang w:eastAsia="zh-CN"/>
        </w:rPr>
      </w:pPr>
      <w:r>
        <w:rPr>
          <w:rFonts w:hint="eastAsia"/>
          <w:color w:val="auto"/>
          <w:highlight w:val="none"/>
          <w:lang w:val="en-US" w:eastAsia="zh-CN"/>
        </w:rPr>
        <w:t>a-</w:t>
      </w:r>
      <w:r>
        <w:rPr>
          <w:rFonts w:hint="eastAsia"/>
          <w:color w:val="auto"/>
          <w:highlight w:val="none"/>
          <w:lang w:eastAsia="zh-CN"/>
        </w:rPr>
        <w:t>保护原有生态系统的原则</w:t>
      </w:r>
    </w:p>
    <w:p>
      <w:pPr>
        <w:bidi w:val="0"/>
        <w:rPr>
          <w:rFonts w:hint="eastAsia"/>
          <w:color w:val="auto"/>
          <w:highlight w:val="none"/>
          <w:lang w:eastAsia="zh-CN"/>
        </w:rPr>
      </w:pPr>
      <w:r>
        <w:rPr>
          <w:rFonts w:hint="eastAsia"/>
          <w:color w:val="auto"/>
          <w:highlight w:val="none"/>
          <w:lang w:eastAsia="zh-CN"/>
        </w:rPr>
        <w:t>区域自然植被以人工林为主。本项目建设</w:t>
      </w:r>
      <w:r>
        <w:rPr>
          <w:rFonts w:hint="eastAsia"/>
          <w:color w:val="auto"/>
          <w:highlight w:val="none"/>
          <w:shd w:val="clear" w:fill="FFFFFF"/>
          <w:lang w:eastAsia="zh-CN"/>
        </w:rPr>
        <w:t>不可避免地会</w:t>
      </w:r>
      <w:r>
        <w:rPr>
          <w:rFonts w:hint="eastAsia"/>
          <w:color w:val="auto"/>
          <w:highlight w:val="none"/>
          <w:lang w:eastAsia="zh-CN"/>
        </w:rPr>
        <w:t>占用区域内的耕地、林地、灌草地等，原区域内植被破坏，生态系统结构及功能受到影响。因此在植被修复过程中，必须尽量保护施工占地区域原有体系的生态环境，尽量种植本地常见物种，乔、灌、草相结合。</w:t>
      </w:r>
    </w:p>
    <w:p>
      <w:pPr>
        <w:bidi w:val="0"/>
        <w:rPr>
          <w:rFonts w:hint="eastAsia"/>
          <w:color w:val="auto"/>
          <w:highlight w:val="none"/>
          <w:lang w:eastAsia="zh-CN"/>
        </w:rPr>
      </w:pPr>
      <w:r>
        <w:rPr>
          <w:rFonts w:hint="eastAsia"/>
          <w:color w:val="auto"/>
          <w:highlight w:val="none"/>
          <w:lang w:val="en-US" w:eastAsia="zh-CN"/>
        </w:rPr>
        <w:t>b-</w:t>
      </w:r>
      <w:r>
        <w:rPr>
          <w:rFonts w:hint="eastAsia"/>
          <w:color w:val="auto"/>
          <w:highlight w:val="none"/>
          <w:lang w:eastAsia="zh-CN"/>
        </w:rPr>
        <w:t>保护生物多样性的原则</w:t>
      </w:r>
    </w:p>
    <w:p>
      <w:pPr>
        <w:bidi w:val="0"/>
        <w:rPr>
          <w:rFonts w:hint="eastAsia"/>
          <w:color w:val="auto"/>
          <w:highlight w:val="none"/>
          <w:lang w:eastAsia="zh-CN"/>
        </w:rPr>
      </w:pPr>
      <w:r>
        <w:rPr>
          <w:rFonts w:hint="eastAsia"/>
          <w:color w:val="auto"/>
          <w:highlight w:val="none"/>
          <w:lang w:eastAsia="zh-CN"/>
        </w:rPr>
        <w:t>植被修复措施不仅考虑植被覆盖率，而且需要在利用当地乡土物种的情况下，尽量丰富物种多样性，避免植被相对单一。在保证物种多样性的前提下，防止外来入侵种的扩散。</w:t>
      </w:r>
    </w:p>
    <w:p>
      <w:pPr>
        <w:bidi w:val="0"/>
        <w:rPr>
          <w:rFonts w:hint="eastAsia"/>
          <w:color w:val="auto"/>
          <w:highlight w:val="none"/>
          <w:lang w:eastAsia="zh-CN"/>
        </w:rPr>
      </w:pPr>
      <w:r>
        <w:rPr>
          <w:rFonts w:hint="eastAsia"/>
          <w:color w:val="auto"/>
          <w:highlight w:val="none"/>
          <w:lang w:val="en-US" w:eastAsia="zh-CN"/>
        </w:rPr>
        <w:t>c-</w:t>
      </w:r>
      <w:r>
        <w:rPr>
          <w:rFonts w:hint="eastAsia"/>
          <w:color w:val="auto"/>
          <w:highlight w:val="none"/>
          <w:lang w:eastAsia="zh-CN"/>
        </w:rPr>
        <w:t>景观优化的原则</w:t>
      </w:r>
    </w:p>
    <w:p>
      <w:pPr>
        <w:bidi w:val="0"/>
        <w:rPr>
          <w:rFonts w:hint="eastAsia"/>
          <w:color w:val="auto"/>
          <w:highlight w:val="none"/>
          <w:lang w:eastAsia="zh-CN"/>
        </w:rPr>
      </w:pPr>
      <w:r>
        <w:rPr>
          <w:rFonts w:hint="eastAsia"/>
          <w:color w:val="auto"/>
          <w:highlight w:val="none"/>
          <w:lang w:eastAsia="zh-CN"/>
        </w:rPr>
        <w:t>植被恢复时应与景观美化相结合，在恢复原有植被、生态系统的同时，尽量与提升景观质量相结合。</w:t>
      </w:r>
    </w:p>
    <w:p>
      <w:pPr>
        <w:bidi w:val="0"/>
        <w:rPr>
          <w:rFonts w:hint="eastAsia"/>
          <w:color w:val="auto"/>
          <w:highlight w:val="none"/>
          <w:lang w:eastAsia="zh-CN"/>
        </w:rPr>
      </w:pPr>
      <w:r>
        <w:rPr>
          <w:rFonts w:hint="eastAsia"/>
          <w:color w:val="auto"/>
          <w:highlight w:val="none"/>
          <w:lang w:val="en-US" w:eastAsia="zh-CN"/>
        </w:rPr>
        <w:t>B</w:t>
      </w:r>
      <w:r>
        <w:rPr>
          <w:rFonts w:hint="eastAsia"/>
          <w:color w:val="auto"/>
          <w:highlight w:val="none"/>
          <w:shd w:val="clear" w:fill="FFFFFF"/>
          <w:lang w:val="en-US" w:eastAsia="zh-CN"/>
        </w:rPr>
        <w:t>、</w:t>
      </w:r>
      <w:r>
        <w:rPr>
          <w:rFonts w:hint="eastAsia"/>
          <w:color w:val="auto"/>
          <w:highlight w:val="none"/>
          <w:lang w:eastAsia="zh-CN"/>
        </w:rPr>
        <w:t>植被恢复措施</w:t>
      </w:r>
    </w:p>
    <w:p>
      <w:pPr>
        <w:bidi w:val="0"/>
        <w:rPr>
          <w:rFonts w:hint="eastAsia"/>
          <w:color w:val="auto"/>
          <w:highlight w:val="none"/>
          <w:lang w:eastAsia="zh-CN"/>
        </w:rPr>
      </w:pPr>
      <w:r>
        <w:rPr>
          <w:rFonts w:hint="eastAsia"/>
          <w:color w:val="auto"/>
          <w:highlight w:val="none"/>
          <w:lang w:eastAsia="zh-CN"/>
        </w:rPr>
        <w:t>施工结束后，应结合水土保持植物措施，对各施工迹地实施植被修复措施。</w:t>
      </w:r>
    </w:p>
    <w:p>
      <w:pPr>
        <w:bidi w:val="0"/>
        <w:rPr>
          <w:rFonts w:hint="eastAsia"/>
          <w:color w:val="auto"/>
          <w:highlight w:val="none"/>
          <w:lang w:eastAsia="zh-CN"/>
        </w:rPr>
      </w:pPr>
      <w:r>
        <w:rPr>
          <w:rFonts w:hint="eastAsia"/>
          <w:color w:val="auto"/>
          <w:highlight w:val="none"/>
          <w:lang w:val="en-US" w:eastAsia="zh-CN"/>
        </w:rPr>
        <w:t>C</w:t>
      </w:r>
      <w:r>
        <w:rPr>
          <w:rFonts w:hint="eastAsia"/>
          <w:color w:val="auto"/>
          <w:highlight w:val="none"/>
          <w:shd w:val="clear" w:fill="FFFFFF"/>
          <w:lang w:val="en-US" w:eastAsia="zh-CN"/>
        </w:rPr>
        <w:t>、</w:t>
      </w:r>
      <w:r>
        <w:rPr>
          <w:rFonts w:hint="eastAsia"/>
          <w:color w:val="auto"/>
          <w:highlight w:val="none"/>
          <w:lang w:eastAsia="zh-CN"/>
        </w:rPr>
        <w:t>恢复植物的选择</w:t>
      </w:r>
    </w:p>
    <w:p>
      <w:pPr>
        <w:bidi w:val="0"/>
        <w:rPr>
          <w:rFonts w:hint="eastAsia"/>
          <w:color w:val="auto"/>
          <w:highlight w:val="none"/>
          <w:lang w:eastAsia="zh-CN"/>
        </w:rPr>
      </w:pPr>
      <w:r>
        <w:rPr>
          <w:rFonts w:hint="eastAsia"/>
          <w:color w:val="auto"/>
          <w:highlight w:val="none"/>
          <w:lang w:val="en-US" w:eastAsia="zh-CN"/>
        </w:rPr>
        <w:t>a-</w:t>
      </w:r>
      <w:r>
        <w:rPr>
          <w:rFonts w:hint="eastAsia"/>
          <w:color w:val="auto"/>
          <w:highlight w:val="none"/>
          <w:lang w:eastAsia="zh-CN"/>
        </w:rPr>
        <w:t>选择的原则</w:t>
      </w:r>
    </w:p>
    <w:p>
      <w:pPr>
        <w:bidi w:val="0"/>
        <w:rPr>
          <w:rFonts w:hint="eastAsia"/>
          <w:color w:val="auto"/>
          <w:highlight w:val="none"/>
          <w:lang w:eastAsia="zh-CN"/>
        </w:rPr>
      </w:pPr>
      <w:r>
        <w:rPr>
          <w:rFonts w:hint="eastAsia"/>
          <w:color w:val="auto"/>
          <w:highlight w:val="none"/>
          <w:lang w:eastAsia="zh-CN"/>
        </w:rPr>
        <w:t>本土植物优先原则，乡土树种对植被恢复具有重要作用，其能快速融于周边生态环境，减轻对景观的影响，并可阻止外来物种入侵。由于乡土种在当地食物链中已经形成相对稳定的结构，与生境建立和谐的关系，其适应性强、生长快、自我繁殖和更新能力强，有利于保护生物多样性和维持当地生态平衡。</w:t>
      </w:r>
    </w:p>
    <w:p>
      <w:pPr>
        <w:bidi w:val="0"/>
        <w:rPr>
          <w:rFonts w:hint="eastAsia"/>
          <w:color w:val="auto"/>
          <w:highlight w:val="none"/>
          <w:lang w:eastAsia="zh-CN"/>
        </w:rPr>
      </w:pPr>
      <w:r>
        <w:rPr>
          <w:rFonts w:hint="eastAsia"/>
          <w:color w:val="auto"/>
          <w:highlight w:val="none"/>
          <w:lang w:val="en-US" w:eastAsia="zh-CN"/>
        </w:rPr>
        <w:t>b-</w:t>
      </w:r>
      <w:r>
        <w:rPr>
          <w:rFonts w:hint="eastAsia"/>
          <w:color w:val="auto"/>
          <w:highlight w:val="none"/>
          <w:lang w:eastAsia="zh-CN"/>
        </w:rPr>
        <w:t>恢复植物的选择</w:t>
      </w:r>
    </w:p>
    <w:p>
      <w:pPr>
        <w:bidi w:val="0"/>
        <w:rPr>
          <w:rFonts w:hint="eastAsia" w:eastAsia="宋体"/>
          <w:color w:val="auto"/>
          <w:highlight w:val="none"/>
          <w:lang w:eastAsia="zh-CN"/>
        </w:rPr>
      </w:pPr>
      <w:r>
        <w:rPr>
          <w:rFonts w:hint="eastAsia"/>
          <w:color w:val="auto"/>
          <w:highlight w:val="none"/>
          <w:lang w:eastAsia="zh-CN"/>
        </w:rPr>
        <w:t>根据评价区生态环境特点及区域植被分布特征，选择评价区常见种，其适应性强，生长快，且可起到较好的水土保持的作用。采用乔灌草结合的方式恢复植被，乔木植物可以选择枫杨、小叶榕、黄葛树等，灌木植物可以选择构树、小叶女贞等，草本植物可以选择沿阶草、狗牙根等。</w:t>
      </w:r>
    </w:p>
    <w:p>
      <w:pPr>
        <w:bidi w:val="0"/>
        <w:rPr>
          <w:rFonts w:hint="eastAsia"/>
          <w:color w:val="auto"/>
          <w:highlight w:val="none"/>
          <w:lang w:eastAsia="zh-CN"/>
        </w:rPr>
      </w:pPr>
      <w:r>
        <w:rPr>
          <w:rFonts w:hint="eastAsia"/>
          <w:color w:val="auto"/>
          <w:highlight w:val="none"/>
          <w:lang w:val="en-US" w:eastAsia="zh-CN"/>
        </w:rPr>
        <w:t>D</w:t>
      </w:r>
      <w:r>
        <w:rPr>
          <w:rFonts w:hint="eastAsia"/>
          <w:color w:val="auto"/>
          <w:highlight w:val="none"/>
          <w:shd w:val="clear" w:fill="FFFFFF"/>
          <w:lang w:val="en-US" w:eastAsia="zh-CN"/>
        </w:rPr>
        <w:t>、</w:t>
      </w:r>
      <w:r>
        <w:rPr>
          <w:rFonts w:hint="eastAsia"/>
          <w:color w:val="auto"/>
          <w:highlight w:val="none"/>
          <w:lang w:eastAsia="zh-CN"/>
        </w:rPr>
        <w:t>恢复区域的确定</w:t>
      </w:r>
    </w:p>
    <w:p>
      <w:pPr>
        <w:bidi w:val="0"/>
        <w:rPr>
          <w:rFonts w:hint="eastAsia"/>
          <w:color w:val="auto"/>
          <w:highlight w:val="none"/>
          <w:lang w:eastAsia="zh-CN"/>
        </w:rPr>
      </w:pPr>
      <w:r>
        <w:rPr>
          <w:rFonts w:hint="eastAsia"/>
          <w:color w:val="auto"/>
          <w:highlight w:val="none"/>
          <w:lang w:eastAsia="zh-CN"/>
        </w:rPr>
        <w:t>评价区生态恢复分区总体思路为：首先对工程区域的植被现状进行调查和分析，确定工程区域主要的植物群落类型以及主要特征；其次对工程区域扰动后立地条件进行分析，对工程区域立地条件（</w:t>
      </w:r>
      <w:r>
        <w:rPr>
          <w:rFonts w:hint="eastAsia"/>
          <w:color w:val="auto"/>
          <w:highlight w:val="none"/>
          <w:shd w:val="clear" w:fill="FFFFFF"/>
          <w:lang w:eastAsia="zh-CN"/>
        </w:rPr>
        <w:t>海拔</w:t>
      </w:r>
      <w:r>
        <w:rPr>
          <w:rFonts w:hint="eastAsia"/>
          <w:color w:val="auto"/>
          <w:highlight w:val="none"/>
          <w:lang w:eastAsia="zh-CN"/>
        </w:rPr>
        <w:t>、地形、坡度、坡向与部位、土壤条件、水文）分类；再次根据工程总布置和施工总布置确定工程建成运行后的功能要求；最后根据工程区域现状植被特征、各工程区域立地条件以及各工程区域功能要求确定生态修复分区。</w:t>
      </w:r>
    </w:p>
    <w:p>
      <w:pPr>
        <w:bidi w:val="0"/>
        <w:rPr>
          <w:rFonts w:hint="eastAsia"/>
          <w:color w:val="auto"/>
          <w:highlight w:val="none"/>
          <w:lang w:eastAsia="zh-CN"/>
        </w:rPr>
      </w:pPr>
      <w:r>
        <w:rPr>
          <w:rFonts w:hint="eastAsia"/>
          <w:color w:val="auto"/>
          <w:highlight w:val="none"/>
          <w:lang w:val="en-US" w:eastAsia="zh-CN"/>
        </w:rPr>
        <w:t>E</w:t>
      </w:r>
      <w:r>
        <w:rPr>
          <w:rFonts w:hint="eastAsia"/>
          <w:color w:val="auto"/>
          <w:highlight w:val="none"/>
          <w:shd w:val="clear" w:fill="FFFFFF"/>
          <w:lang w:val="en-US" w:eastAsia="zh-CN"/>
        </w:rPr>
        <w:t>、</w:t>
      </w:r>
      <w:r>
        <w:rPr>
          <w:rFonts w:hint="eastAsia"/>
          <w:color w:val="auto"/>
          <w:highlight w:val="none"/>
          <w:lang w:eastAsia="zh-CN"/>
        </w:rPr>
        <w:t>植物恢复方法</w:t>
      </w:r>
    </w:p>
    <w:p>
      <w:pPr>
        <w:bidi w:val="0"/>
        <w:rPr>
          <w:rFonts w:hint="eastAsia"/>
          <w:color w:val="auto"/>
          <w:highlight w:val="none"/>
          <w:lang w:eastAsia="zh-CN"/>
        </w:rPr>
      </w:pPr>
      <w:r>
        <w:rPr>
          <w:rFonts w:hint="eastAsia"/>
          <w:color w:val="auto"/>
          <w:highlight w:val="none"/>
          <w:lang w:val="en-US" w:eastAsia="zh-CN"/>
        </w:rPr>
        <w:t>a-</w:t>
      </w:r>
      <w:r>
        <w:rPr>
          <w:rFonts w:hint="eastAsia"/>
          <w:color w:val="auto"/>
          <w:highlight w:val="none"/>
          <w:lang w:eastAsia="zh-CN"/>
        </w:rPr>
        <w:t>植物恢复方法</w:t>
      </w:r>
    </w:p>
    <w:p>
      <w:pPr>
        <w:bidi w:val="0"/>
        <w:rPr>
          <w:rFonts w:hint="eastAsia"/>
          <w:color w:val="auto"/>
          <w:highlight w:val="none"/>
          <w:lang w:eastAsia="zh-CN"/>
        </w:rPr>
      </w:pPr>
      <w:r>
        <w:rPr>
          <w:rFonts w:hint="eastAsia"/>
          <w:color w:val="auto"/>
          <w:highlight w:val="none"/>
          <w:lang w:eastAsia="zh-CN"/>
        </w:rPr>
        <w:t>植物恢复措施包括施工迹地区植被恢复和工程施工创伤面两大方面：</w:t>
      </w:r>
    </w:p>
    <w:p>
      <w:pPr>
        <w:bidi w:val="0"/>
        <w:rPr>
          <w:rFonts w:hint="eastAsia"/>
          <w:color w:val="auto"/>
          <w:highlight w:val="none"/>
          <w:lang w:eastAsia="zh-CN"/>
        </w:rPr>
      </w:pPr>
      <w:r>
        <w:rPr>
          <w:rFonts w:hint="eastAsia"/>
          <w:color w:val="auto"/>
          <w:highlight w:val="none"/>
          <w:lang w:eastAsia="zh-CN"/>
        </w:rPr>
        <w:t>工程施工迹地植被恢复以水土保持林为主，一般采用株间混交的方式种植，品字形排列，草籽采用撒播方式种植。</w:t>
      </w:r>
    </w:p>
    <w:p>
      <w:pPr>
        <w:bidi w:val="0"/>
        <w:rPr>
          <w:rFonts w:hint="eastAsia"/>
          <w:color w:val="auto"/>
          <w:highlight w:val="none"/>
          <w:lang w:eastAsia="zh-CN"/>
        </w:rPr>
      </w:pPr>
      <w:r>
        <w:rPr>
          <w:rFonts w:hint="eastAsia"/>
          <w:color w:val="auto"/>
          <w:highlight w:val="none"/>
          <w:lang w:eastAsia="zh-CN"/>
        </w:rPr>
        <w:t>工程施工创伤面主要包括开挖边坡、堆渣和土料迹地边坡等，植被恢复措施包括种植槽栽植</w:t>
      </w:r>
      <w:r>
        <w:rPr>
          <w:rFonts w:hint="eastAsia"/>
          <w:color w:val="auto"/>
          <w:highlight w:val="none"/>
          <w:shd w:val="clear" w:fill="FFFFFF"/>
          <w:lang w:eastAsia="zh-CN"/>
        </w:rPr>
        <w:t>攀援</w:t>
      </w:r>
      <w:r>
        <w:rPr>
          <w:rFonts w:hint="eastAsia"/>
          <w:color w:val="auto"/>
          <w:highlight w:val="none"/>
          <w:lang w:eastAsia="zh-CN"/>
        </w:rPr>
        <w:t>植物和灌草绿化、厚层基材植被护坡、撒播灌草护坡、液力喷播植草护坡和框格植草护坡等。</w:t>
      </w:r>
    </w:p>
    <w:p>
      <w:pPr>
        <w:bidi w:val="0"/>
        <w:rPr>
          <w:rFonts w:hint="eastAsia"/>
          <w:color w:val="auto"/>
          <w:highlight w:val="none"/>
          <w:lang w:eastAsia="zh-CN"/>
        </w:rPr>
      </w:pPr>
      <w:r>
        <w:rPr>
          <w:rFonts w:hint="eastAsia"/>
          <w:color w:val="auto"/>
          <w:highlight w:val="none"/>
          <w:lang w:eastAsia="zh-CN"/>
        </w:rPr>
        <w:t>根据不同恢复区的特点及植物现状，对工程分区进行植被恢复。植被恢复工程植物种类的选择需遵循“适地适树、适地适草”的原则，同时还</w:t>
      </w:r>
      <w:r>
        <w:rPr>
          <w:rFonts w:hint="eastAsia"/>
          <w:color w:val="auto"/>
          <w:highlight w:val="none"/>
          <w:shd w:val="clear" w:fill="FFFFFF"/>
          <w:lang w:eastAsia="zh-CN"/>
        </w:rPr>
        <w:t>须具备</w:t>
      </w:r>
      <w:r>
        <w:rPr>
          <w:rFonts w:hint="eastAsia"/>
          <w:color w:val="auto"/>
          <w:highlight w:val="none"/>
          <w:lang w:eastAsia="zh-CN"/>
        </w:rPr>
        <w:t>耐贫瘠、速生等功能，以在最短时间内发挥固土保水的效果。</w:t>
      </w:r>
    </w:p>
    <w:p>
      <w:pPr>
        <w:bidi w:val="0"/>
        <w:rPr>
          <w:rFonts w:hint="eastAsia"/>
          <w:color w:val="auto"/>
          <w:highlight w:val="none"/>
          <w:lang w:eastAsia="zh-CN"/>
        </w:rPr>
      </w:pPr>
      <w:r>
        <w:rPr>
          <w:rFonts w:hint="eastAsia"/>
          <w:color w:val="auto"/>
          <w:highlight w:val="none"/>
          <w:lang w:eastAsia="zh-CN"/>
        </w:rPr>
        <w:t>植被恢复的可行性：用于植被恢复的植物均为当地常见种，能适应当地气候。适应性强，生长快，能起到良好的水土保持作用。结合工程布置和水土保持方案，分区进行植被恢复设计，植被恢复具有针对性。施工期边施工边恢复，施工期不能完成的，施工结束后继续植被恢复，植被恢复经费由业主出资，成立专门的小组对植被恢复进展和效果进行监控，植被恢复具有可行性。</w:t>
      </w:r>
    </w:p>
    <w:p>
      <w:pPr>
        <w:bidi w:val="0"/>
        <w:rPr>
          <w:rFonts w:hint="eastAsia"/>
          <w:color w:val="auto"/>
          <w:highlight w:val="none"/>
          <w:lang w:eastAsia="zh-CN"/>
        </w:rPr>
      </w:pPr>
      <w:r>
        <w:rPr>
          <w:rFonts w:hint="eastAsia"/>
          <w:color w:val="auto"/>
          <w:highlight w:val="none"/>
          <w:lang w:val="en-US" w:eastAsia="zh-CN"/>
        </w:rPr>
        <w:t>F</w:t>
      </w:r>
      <w:r>
        <w:rPr>
          <w:rFonts w:hint="eastAsia"/>
          <w:color w:val="auto"/>
          <w:highlight w:val="none"/>
          <w:shd w:val="clear" w:fill="FFFFFF"/>
          <w:lang w:val="en-US" w:eastAsia="zh-CN"/>
        </w:rPr>
        <w:t>、</w:t>
      </w:r>
      <w:r>
        <w:rPr>
          <w:rFonts w:hint="eastAsia"/>
          <w:color w:val="auto"/>
          <w:highlight w:val="none"/>
          <w:lang w:eastAsia="zh-CN"/>
        </w:rPr>
        <w:t>补偿措施</w:t>
      </w:r>
    </w:p>
    <w:p>
      <w:pPr>
        <w:bidi w:val="0"/>
        <w:rPr>
          <w:rFonts w:hint="eastAsia"/>
          <w:color w:val="auto"/>
          <w:highlight w:val="none"/>
          <w:lang w:eastAsia="zh-CN"/>
        </w:rPr>
      </w:pPr>
      <w:r>
        <w:rPr>
          <w:rFonts w:hint="eastAsia"/>
          <w:color w:val="auto"/>
          <w:highlight w:val="none"/>
          <w:lang w:val="en-US" w:eastAsia="zh-CN"/>
        </w:rPr>
        <w:t>a-</w:t>
      </w:r>
      <w:r>
        <w:rPr>
          <w:rFonts w:hint="eastAsia"/>
          <w:color w:val="auto"/>
          <w:highlight w:val="none"/>
          <w:lang w:eastAsia="zh-CN"/>
        </w:rPr>
        <w:t>施工临时用地结束后，根据各临时用地地块的用地性质、使用方式和使用年限，进行相应的恢复，对原有用地类型为耕地的恢复为耕地；原有用地为林地、灌草丛的，恢复其林地、灌草丛生产条件。</w:t>
      </w:r>
    </w:p>
    <w:p>
      <w:pPr>
        <w:bidi w:val="0"/>
        <w:rPr>
          <w:rFonts w:hint="eastAsia"/>
          <w:color w:val="auto"/>
          <w:highlight w:val="none"/>
          <w:lang w:eastAsia="zh-CN"/>
        </w:rPr>
      </w:pPr>
      <w:r>
        <w:rPr>
          <w:rFonts w:hint="eastAsia"/>
          <w:color w:val="auto"/>
          <w:highlight w:val="none"/>
          <w:lang w:val="en-US" w:eastAsia="zh-CN"/>
        </w:rPr>
        <w:t>b-</w:t>
      </w:r>
      <w:r>
        <w:rPr>
          <w:rFonts w:hint="eastAsia"/>
          <w:color w:val="auto"/>
          <w:highlight w:val="none"/>
          <w:lang w:eastAsia="zh-CN"/>
        </w:rPr>
        <w:t>对于永久占用林地的区域，应根据国家相关规定，业主向地方缴纳森林植被恢复费，专款用于异地造林和养护。</w:t>
      </w:r>
    </w:p>
    <w:p>
      <w:pPr>
        <w:snapToGrid w:val="0"/>
        <w:ind w:firstLine="520"/>
        <w:rPr>
          <w:rFonts w:hint="default"/>
          <w:b/>
          <w:bCs/>
          <w:color w:val="auto"/>
          <w:highlight w:val="none"/>
          <w:lang w:val="en-US" w:eastAsia="zh-CN"/>
        </w:rPr>
      </w:pPr>
      <w:r>
        <w:rPr>
          <w:rFonts w:hint="eastAsia"/>
          <w:color w:val="auto"/>
          <w:highlight w:val="none"/>
          <w:lang w:val="en-US" w:eastAsia="zh-CN"/>
        </w:rPr>
        <w:t>c-对于永久占用的基本农田，</w:t>
      </w:r>
      <w:r>
        <w:rPr>
          <w:color w:val="auto"/>
          <w:szCs w:val="26"/>
          <w:highlight w:val="none"/>
        </w:rPr>
        <w:t>占用单位应当按照占多少、垦多少的原则，负责开垦与所占基本农田的数量与质量相当的耕地；没有条件开垦或者开垦的耕地不符合要求的，应当按照规定缴纳耕地开垦费，专款用于开垦新的耕地</w:t>
      </w:r>
      <w:r>
        <w:rPr>
          <w:rFonts w:hint="eastAsia"/>
          <w:color w:val="auto"/>
          <w:highlight w:val="none"/>
          <w:lang w:val="en-US" w:eastAsia="zh-CN"/>
        </w:rPr>
        <w:t>。对于临时占用的基本农田，优化场地布置方案，尽量减少耕地占用面积。优化临时占地方案，尽量减少占用时间。应严格控制施工作业面，避免超越线位作业破坏其他耕地。施工时将临时占用农田的表层土约15cm～20cm 剥离、堆放，并进行临时防护，用于后期土地复垦。临时占地工程结束后，应尽早进行耕地的复垦工作。</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4 \* GB3 \* MERGEFORMAT </w:instrText>
      </w:r>
      <w:r>
        <w:rPr>
          <w:rFonts w:hint="eastAsia"/>
          <w:color w:val="auto"/>
          <w:highlight w:val="none"/>
          <w:lang w:eastAsia="zh-CN"/>
        </w:rPr>
        <w:fldChar w:fldCharType="separate"/>
      </w:r>
      <w:r>
        <w:rPr>
          <w:color w:val="auto"/>
          <w:highlight w:val="none"/>
        </w:rPr>
        <w:t>④</w:t>
      </w:r>
      <w:r>
        <w:rPr>
          <w:rFonts w:hint="eastAsia"/>
          <w:color w:val="auto"/>
          <w:highlight w:val="none"/>
          <w:lang w:eastAsia="zh-CN"/>
        </w:rPr>
        <w:fldChar w:fldCharType="end"/>
      </w:r>
      <w:r>
        <w:rPr>
          <w:rFonts w:hint="eastAsia"/>
          <w:color w:val="auto"/>
          <w:highlight w:val="none"/>
          <w:lang w:eastAsia="zh-CN"/>
        </w:rPr>
        <w:t>管理措施</w:t>
      </w:r>
    </w:p>
    <w:p>
      <w:pPr>
        <w:bidi w:val="0"/>
        <w:rPr>
          <w:rFonts w:hint="eastAsia"/>
          <w:color w:val="auto"/>
          <w:highlight w:val="none"/>
          <w:lang w:eastAsia="zh-CN"/>
        </w:rPr>
      </w:pPr>
      <w:r>
        <w:rPr>
          <w:rFonts w:hint="eastAsia"/>
          <w:color w:val="auto"/>
          <w:highlight w:val="none"/>
          <w:lang w:val="en-US" w:eastAsia="zh-CN"/>
        </w:rPr>
        <w:t>A</w:t>
      </w:r>
      <w:r>
        <w:rPr>
          <w:rFonts w:hint="eastAsia"/>
          <w:color w:val="auto"/>
          <w:highlight w:val="none"/>
          <w:shd w:val="clear" w:fill="FFFFFF"/>
          <w:lang w:val="en-US" w:eastAsia="zh-CN"/>
        </w:rPr>
        <w:t>、</w:t>
      </w:r>
      <w:r>
        <w:rPr>
          <w:rFonts w:hint="eastAsia"/>
          <w:color w:val="auto"/>
          <w:highlight w:val="none"/>
          <w:lang w:eastAsia="zh-CN"/>
        </w:rPr>
        <w:t>加强宣传教育活动。施工前印发环境保护手册，对施工人员进行环保宣传教育，提高施工人员及附近居民对环境的保护意识。坚决制止评价区植被的</w:t>
      </w:r>
      <w:r>
        <w:rPr>
          <w:rFonts w:hint="eastAsia"/>
          <w:color w:val="auto"/>
          <w:highlight w:val="none"/>
          <w:shd w:val="clear" w:fill="FFFFFF"/>
          <w:lang w:eastAsia="zh-CN"/>
        </w:rPr>
        <w:t>滥砍乱伐</w:t>
      </w:r>
      <w:r>
        <w:rPr>
          <w:rFonts w:hint="eastAsia"/>
          <w:color w:val="auto"/>
          <w:highlight w:val="none"/>
          <w:lang w:eastAsia="zh-CN"/>
        </w:rPr>
        <w:t>、过量采伐、毁林开荒等不良现象发生，保护和培育现有森林资源。</w:t>
      </w:r>
    </w:p>
    <w:p>
      <w:pPr>
        <w:bidi w:val="0"/>
        <w:rPr>
          <w:rFonts w:hint="eastAsia"/>
          <w:color w:val="auto"/>
          <w:highlight w:val="none"/>
          <w:lang w:eastAsia="zh-CN"/>
        </w:rPr>
      </w:pPr>
      <w:r>
        <w:rPr>
          <w:rFonts w:hint="eastAsia"/>
          <w:color w:val="auto"/>
          <w:highlight w:val="none"/>
          <w:lang w:val="en-US" w:eastAsia="zh-CN"/>
        </w:rPr>
        <w:t>B</w:t>
      </w:r>
      <w:r>
        <w:rPr>
          <w:rFonts w:hint="eastAsia"/>
          <w:color w:val="auto"/>
          <w:highlight w:val="none"/>
          <w:shd w:val="clear" w:fill="FFFFFF"/>
          <w:lang w:val="en-US" w:eastAsia="zh-CN"/>
        </w:rPr>
        <w:t>、</w:t>
      </w:r>
      <w:r>
        <w:rPr>
          <w:rFonts w:hint="eastAsia"/>
          <w:color w:val="auto"/>
          <w:highlight w:val="none"/>
          <w:lang w:eastAsia="zh-CN"/>
        </w:rPr>
        <w:t>加强施工监理工作，强化对现有植被的管理。施工前划定施工活动范围，确保施工人员在征地范围内活动；施工过程中，加强对施工人员的管理，严格限制施工人员的活动范围，严禁越界施工破坏区域植被及生态环境。</w:t>
      </w:r>
    </w:p>
    <w:p>
      <w:pPr>
        <w:bidi w:val="0"/>
        <w:rPr>
          <w:rFonts w:hint="eastAsia"/>
          <w:color w:val="auto"/>
          <w:highlight w:val="none"/>
          <w:lang w:eastAsia="zh-CN"/>
        </w:rPr>
      </w:pPr>
      <w:r>
        <w:rPr>
          <w:rFonts w:hint="eastAsia"/>
          <w:color w:val="auto"/>
          <w:highlight w:val="none"/>
          <w:lang w:val="en-US" w:eastAsia="zh-CN"/>
        </w:rPr>
        <w:t>C</w:t>
      </w:r>
      <w:r>
        <w:rPr>
          <w:rFonts w:hint="eastAsia"/>
          <w:color w:val="auto"/>
          <w:highlight w:val="none"/>
          <w:shd w:val="clear" w:fill="FFFFFF"/>
          <w:lang w:val="en-US" w:eastAsia="zh-CN"/>
        </w:rPr>
        <w:t>、</w:t>
      </w:r>
      <w:r>
        <w:rPr>
          <w:rFonts w:hint="eastAsia"/>
          <w:color w:val="auto"/>
          <w:highlight w:val="none"/>
          <w:lang w:eastAsia="zh-CN"/>
        </w:rPr>
        <w:t>工程施工期、运营期都应对植物的影响进行调查。在施工期，要加强对重点保护植物的调查，施工过程中若发现，及时上报主管部门，并根据其所处位置及受影响程度，采取迁地移栽或就地保护等措施。运营期主要监测生境的变化，植被的变化以及生态系统整体性变化。通过监测，加强对生态的管理，在工程管理机构，应设置生态环境管理人员，建立各种管理及报告制度，开展对工程影响区的环境教育，提高施工人员和管理人员环境意识。通过动态监测和完善管理，使生态向良性或有利方向发展。</w:t>
      </w:r>
    </w:p>
    <w:p>
      <w:pPr>
        <w:bidi w:val="0"/>
        <w:rPr>
          <w:rFonts w:hint="eastAsia"/>
          <w:color w:val="auto"/>
          <w:highlight w:val="none"/>
          <w:lang w:eastAsia="zh-CN"/>
        </w:rPr>
      </w:pPr>
      <w:r>
        <w:rPr>
          <w:rFonts w:hint="eastAsia"/>
          <w:color w:val="auto"/>
          <w:highlight w:val="none"/>
          <w:lang w:val="en-US" w:eastAsia="zh-CN"/>
        </w:rPr>
        <w:t>D</w:t>
      </w:r>
      <w:r>
        <w:rPr>
          <w:rFonts w:hint="eastAsia"/>
          <w:color w:val="auto"/>
          <w:highlight w:val="none"/>
          <w:shd w:val="clear" w:fill="FFFFFF"/>
          <w:lang w:val="en-US" w:eastAsia="zh-CN"/>
        </w:rPr>
        <w:t>、</w:t>
      </w:r>
      <w:r>
        <w:rPr>
          <w:rFonts w:hint="eastAsia"/>
          <w:color w:val="auto"/>
          <w:highlight w:val="none"/>
          <w:lang w:eastAsia="zh-CN"/>
        </w:rPr>
        <w:t>控制外来入侵种的扩散。目前防止外来物种入侵的方法主要有植物检疫、人工方法防治、化学方法防治、生物防治等。结合工程特点，建议加大宣传力度，对外来物种的危害以及传播途径向施工人员进行宣传；</w:t>
      </w:r>
      <w:r>
        <w:rPr>
          <w:rFonts w:hint="eastAsia"/>
          <w:color w:val="auto"/>
          <w:highlight w:val="none"/>
          <w:shd w:val="clear" w:fill="FFFFFF"/>
          <w:lang w:eastAsia="zh-CN"/>
        </w:rPr>
        <w:t>对于</w:t>
      </w:r>
      <w:r>
        <w:rPr>
          <w:rFonts w:hint="eastAsia"/>
          <w:color w:val="auto"/>
          <w:highlight w:val="none"/>
          <w:lang w:eastAsia="zh-CN"/>
        </w:rPr>
        <w:t>境外带入的水果、种子、花卉进行经过严格检测，确认是否带有一些检疫性的病虫草害，方能进入工程区；对现有的外来种，利用工程施工的机会，对有果实的植物要现场烧掉，以防种子扩散；在森林砍伐迹地，外来种最容易入侵，在临时占地的地方要及时绿化等。</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）陆生动物保护措施</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1 \* GB3 \* MERGEFORMAT </w:instrText>
      </w:r>
      <w:r>
        <w:rPr>
          <w:rFonts w:hint="eastAsia"/>
          <w:color w:val="auto"/>
          <w:highlight w:val="none"/>
          <w:lang w:eastAsia="zh-CN"/>
        </w:rPr>
        <w:fldChar w:fldCharType="separate"/>
      </w:r>
      <w:r>
        <w:rPr>
          <w:color w:val="auto"/>
          <w:highlight w:val="none"/>
        </w:rPr>
        <w:t>①</w:t>
      </w:r>
      <w:r>
        <w:rPr>
          <w:rFonts w:hint="eastAsia"/>
          <w:color w:val="auto"/>
          <w:highlight w:val="none"/>
          <w:lang w:eastAsia="zh-CN"/>
        </w:rPr>
        <w:fldChar w:fldCharType="end"/>
      </w:r>
      <w:r>
        <w:rPr>
          <w:rFonts w:hint="eastAsia"/>
          <w:color w:val="auto"/>
          <w:highlight w:val="none"/>
          <w:lang w:eastAsia="zh-CN"/>
        </w:rPr>
        <w:t>避让措施</w:t>
      </w:r>
    </w:p>
    <w:p>
      <w:pPr>
        <w:bidi w:val="0"/>
        <w:rPr>
          <w:rFonts w:hint="eastAsia"/>
          <w:color w:val="auto"/>
          <w:highlight w:val="none"/>
          <w:lang w:eastAsia="zh-CN"/>
        </w:rPr>
      </w:pPr>
      <w:r>
        <w:rPr>
          <w:rFonts w:hint="eastAsia"/>
          <w:color w:val="auto"/>
          <w:highlight w:val="none"/>
          <w:lang w:val="en-US" w:eastAsia="zh-CN"/>
        </w:rPr>
        <w:t>A</w:t>
      </w:r>
      <w:r>
        <w:rPr>
          <w:rFonts w:hint="eastAsia"/>
          <w:color w:val="auto"/>
          <w:highlight w:val="none"/>
          <w:shd w:val="clear" w:fill="FFFFFF"/>
          <w:lang w:val="en-US" w:eastAsia="zh-CN"/>
        </w:rPr>
        <w:t>、</w:t>
      </w:r>
      <w:r>
        <w:rPr>
          <w:rFonts w:hint="eastAsia"/>
          <w:color w:val="auto"/>
          <w:highlight w:val="none"/>
          <w:lang w:eastAsia="zh-CN"/>
        </w:rPr>
        <w:t>弃渣场、临时便道等临时占地，优先避开评价范围内植被较好的区域，严禁越界施工，尽量减少对动物生境的破坏。且弃渣场、临时便道周边要修筑排水沟，尽量减少水土流失对周边动物的影响。</w:t>
      </w:r>
    </w:p>
    <w:p>
      <w:pPr>
        <w:bidi w:val="0"/>
        <w:rPr>
          <w:rFonts w:hint="eastAsia"/>
          <w:color w:val="auto"/>
          <w:highlight w:val="none"/>
          <w:lang w:eastAsia="zh-CN"/>
        </w:rPr>
      </w:pPr>
      <w:r>
        <w:rPr>
          <w:rFonts w:hint="eastAsia"/>
          <w:color w:val="auto"/>
          <w:highlight w:val="none"/>
          <w:lang w:val="en-US" w:eastAsia="zh-CN"/>
        </w:rPr>
        <w:t>B</w:t>
      </w:r>
      <w:r>
        <w:rPr>
          <w:rFonts w:hint="eastAsia"/>
          <w:color w:val="auto"/>
          <w:highlight w:val="none"/>
          <w:shd w:val="clear" w:fill="FFFFFF"/>
          <w:lang w:val="en-US" w:eastAsia="zh-CN"/>
        </w:rPr>
        <w:t>、</w:t>
      </w:r>
      <w:r>
        <w:rPr>
          <w:rFonts w:hint="eastAsia"/>
          <w:color w:val="auto"/>
          <w:highlight w:val="none"/>
          <w:lang w:eastAsia="zh-CN"/>
        </w:rPr>
        <w:t>严禁施工时废水不经处理直接排放，建筑材料堆放区域，应采取临时防风、防雨设施，防止建筑材料随雨水流入河流。对施工运输车辆进行定期检查和维护，防止大量漏油事故的发生。</w:t>
      </w:r>
    </w:p>
    <w:p>
      <w:pPr>
        <w:bidi w:val="0"/>
        <w:rPr>
          <w:rFonts w:hint="eastAsia"/>
          <w:color w:val="auto"/>
          <w:highlight w:val="none"/>
          <w:lang w:eastAsia="zh-CN"/>
        </w:rPr>
      </w:pPr>
      <w:r>
        <w:rPr>
          <w:rFonts w:hint="eastAsia"/>
          <w:color w:val="auto"/>
          <w:highlight w:val="none"/>
          <w:lang w:val="en-US" w:eastAsia="zh-CN"/>
        </w:rPr>
        <w:t>C</w:t>
      </w:r>
      <w:r>
        <w:rPr>
          <w:rFonts w:hint="eastAsia"/>
          <w:color w:val="auto"/>
          <w:highlight w:val="none"/>
          <w:shd w:val="clear" w:fill="FFFFFF"/>
          <w:lang w:val="en-US" w:eastAsia="zh-CN"/>
        </w:rPr>
        <w:t>、</w:t>
      </w:r>
      <w:r>
        <w:rPr>
          <w:rFonts w:hint="eastAsia"/>
          <w:color w:val="auto"/>
          <w:highlight w:val="none"/>
          <w:lang w:eastAsia="zh-CN"/>
        </w:rPr>
        <w:t>鸟类和兽类大多是清晨或夜间觅食。鸟类和兽类对噪声敏感，为了减少工程施工爆破噪声对鸟类和兽类的惊扰，应做好施工时间的计划，并力求避免在清晨和夜间进行高</w:t>
      </w:r>
      <w:r>
        <w:rPr>
          <w:rFonts w:hint="eastAsia"/>
          <w:color w:val="auto"/>
          <w:highlight w:val="none"/>
          <w:shd w:val="clear" w:fill="FFFFFF"/>
          <w:lang w:eastAsia="zh-CN"/>
        </w:rPr>
        <w:t>噪音</w:t>
      </w:r>
      <w:r>
        <w:rPr>
          <w:rFonts w:hint="eastAsia"/>
          <w:color w:val="auto"/>
          <w:highlight w:val="none"/>
          <w:lang w:eastAsia="zh-CN"/>
        </w:rPr>
        <w:t>作业。</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2 \* GB3 \* MERGEFORMAT </w:instrText>
      </w:r>
      <w:r>
        <w:rPr>
          <w:rFonts w:hint="eastAsia"/>
          <w:color w:val="auto"/>
          <w:highlight w:val="none"/>
          <w:lang w:eastAsia="zh-CN"/>
        </w:rPr>
        <w:fldChar w:fldCharType="separate"/>
      </w:r>
      <w:r>
        <w:rPr>
          <w:color w:val="auto"/>
          <w:highlight w:val="none"/>
        </w:rPr>
        <w:t>②</w:t>
      </w:r>
      <w:r>
        <w:rPr>
          <w:rFonts w:hint="eastAsia"/>
          <w:color w:val="auto"/>
          <w:highlight w:val="none"/>
          <w:lang w:eastAsia="zh-CN"/>
        </w:rPr>
        <w:fldChar w:fldCharType="end"/>
      </w:r>
      <w:r>
        <w:rPr>
          <w:rFonts w:hint="eastAsia"/>
          <w:color w:val="auto"/>
          <w:highlight w:val="none"/>
          <w:lang w:eastAsia="zh-CN"/>
        </w:rPr>
        <w:t>减缓措施</w:t>
      </w:r>
    </w:p>
    <w:p>
      <w:pPr>
        <w:bidi w:val="0"/>
        <w:rPr>
          <w:rFonts w:hint="eastAsia"/>
          <w:color w:val="auto"/>
          <w:highlight w:val="none"/>
          <w:lang w:eastAsia="zh-CN"/>
        </w:rPr>
      </w:pPr>
      <w:r>
        <w:rPr>
          <w:rFonts w:hint="eastAsia"/>
          <w:color w:val="auto"/>
          <w:highlight w:val="none"/>
          <w:lang w:val="en-US" w:eastAsia="zh-CN"/>
        </w:rPr>
        <w:t>A</w:t>
      </w:r>
      <w:r>
        <w:rPr>
          <w:rFonts w:hint="eastAsia"/>
          <w:color w:val="auto"/>
          <w:highlight w:val="none"/>
          <w:shd w:val="clear" w:fill="FFFFFF"/>
          <w:lang w:val="en-US" w:eastAsia="zh-CN"/>
        </w:rPr>
        <w:t>、</w:t>
      </w:r>
      <w:r>
        <w:rPr>
          <w:rFonts w:hint="eastAsia"/>
          <w:color w:val="auto"/>
          <w:highlight w:val="none"/>
          <w:lang w:eastAsia="zh-CN"/>
        </w:rPr>
        <w:t>施工前对工程区范围内的动物进行驱赶和搜救，从而削减施工对区域内动物的影响。</w:t>
      </w:r>
    </w:p>
    <w:p>
      <w:pPr>
        <w:bidi w:val="0"/>
        <w:rPr>
          <w:rFonts w:hint="default"/>
          <w:color w:val="auto"/>
          <w:highlight w:val="none"/>
          <w:lang w:val="en-US" w:eastAsia="zh-CN"/>
        </w:rPr>
      </w:pPr>
      <w:r>
        <w:rPr>
          <w:rFonts w:hint="eastAsia"/>
          <w:color w:val="auto"/>
          <w:highlight w:val="none"/>
          <w:lang w:val="en-US" w:eastAsia="zh-CN"/>
        </w:rPr>
        <w:t>B</w:t>
      </w:r>
      <w:r>
        <w:rPr>
          <w:rFonts w:hint="eastAsia"/>
          <w:color w:val="auto"/>
          <w:highlight w:val="none"/>
          <w:shd w:val="clear" w:fill="FFFFFF"/>
          <w:lang w:val="en-US" w:eastAsia="zh-CN"/>
        </w:rPr>
        <w:t>、</w:t>
      </w:r>
      <w:r>
        <w:rPr>
          <w:rFonts w:hint="eastAsia"/>
          <w:color w:val="auto"/>
          <w:highlight w:val="none"/>
          <w:lang w:eastAsia="zh-CN"/>
        </w:rPr>
        <w:t>选用先进的施工工艺和设备，禁止使用超过国家标准的机械，机械施工时要采取加防震垫，隔音罩等措施，严格控制施工噪声</w:t>
      </w:r>
      <w:r>
        <w:rPr>
          <w:rFonts w:hint="eastAsia"/>
          <w:color w:val="auto"/>
          <w:highlight w:val="none"/>
          <w:lang w:val="en-US" w:eastAsia="zh-CN"/>
        </w:rPr>
        <w:t>，</w:t>
      </w:r>
      <w:r>
        <w:rPr>
          <w:rFonts w:hint="eastAsia"/>
          <w:color w:val="auto"/>
          <w:highlight w:val="none"/>
          <w:lang w:eastAsia="zh-CN"/>
        </w:rPr>
        <w:t>减少灯光、施工</w:t>
      </w:r>
      <w:r>
        <w:rPr>
          <w:rFonts w:hint="eastAsia"/>
          <w:color w:val="auto"/>
          <w:highlight w:val="none"/>
          <w:shd w:val="clear" w:fill="FFFFFF"/>
          <w:lang w:eastAsia="zh-CN"/>
        </w:rPr>
        <w:t>噪音</w:t>
      </w:r>
      <w:r>
        <w:rPr>
          <w:rFonts w:hint="eastAsia"/>
          <w:color w:val="auto"/>
          <w:highlight w:val="none"/>
          <w:lang w:eastAsia="zh-CN"/>
        </w:rPr>
        <w:t>和</w:t>
      </w:r>
      <w:r>
        <w:rPr>
          <w:rFonts w:hint="eastAsia"/>
          <w:color w:val="auto"/>
          <w:highlight w:val="none"/>
          <w:shd w:val="clear" w:fill="FFFFFF"/>
          <w:lang w:eastAsia="zh-CN"/>
        </w:rPr>
        <w:t>震动</w:t>
      </w:r>
      <w:r>
        <w:rPr>
          <w:rFonts w:hint="eastAsia"/>
          <w:color w:val="auto"/>
          <w:highlight w:val="none"/>
          <w:lang w:eastAsia="zh-CN"/>
        </w:rPr>
        <w:t>对区域内动物的影响。</w:t>
      </w:r>
    </w:p>
    <w:p>
      <w:pPr>
        <w:bidi w:val="0"/>
        <w:rPr>
          <w:rFonts w:hint="eastAsia"/>
          <w:color w:val="auto"/>
          <w:highlight w:val="none"/>
          <w:lang w:eastAsia="zh-CN"/>
        </w:rPr>
      </w:pPr>
      <w:r>
        <w:rPr>
          <w:rFonts w:hint="eastAsia"/>
          <w:color w:val="auto"/>
          <w:highlight w:val="none"/>
          <w:lang w:val="en-US" w:eastAsia="zh-CN"/>
        </w:rPr>
        <w:t>C</w:t>
      </w:r>
      <w:r>
        <w:rPr>
          <w:rFonts w:hint="eastAsia"/>
          <w:color w:val="auto"/>
          <w:highlight w:val="none"/>
          <w:shd w:val="clear" w:fill="FFFFFF"/>
          <w:lang w:val="en-US" w:eastAsia="zh-CN"/>
        </w:rPr>
        <w:t>、</w:t>
      </w:r>
      <w:r>
        <w:rPr>
          <w:rFonts w:hint="eastAsia"/>
          <w:color w:val="auto"/>
          <w:highlight w:val="none"/>
          <w:lang w:eastAsia="zh-CN"/>
        </w:rPr>
        <w:t>施工期间加强施工人员的各类卫生管理，避免生活污水的直接排放和生活垃圾的随意丢弃，减少水体污染，保护动物的生境。</w:t>
      </w:r>
    </w:p>
    <w:p>
      <w:pPr>
        <w:bidi w:val="0"/>
        <w:rPr>
          <w:rFonts w:hint="eastAsia"/>
          <w:color w:val="auto"/>
          <w:highlight w:val="none"/>
          <w:lang w:eastAsia="zh-CN"/>
        </w:rPr>
      </w:pPr>
      <w:r>
        <w:rPr>
          <w:rFonts w:hint="eastAsia"/>
          <w:color w:val="auto"/>
          <w:highlight w:val="none"/>
          <w:lang w:val="en-US" w:eastAsia="zh-CN"/>
        </w:rPr>
        <w:t>D</w:t>
      </w:r>
      <w:r>
        <w:rPr>
          <w:rFonts w:hint="eastAsia"/>
          <w:color w:val="auto"/>
          <w:highlight w:val="none"/>
          <w:shd w:val="clear" w:fill="FFFFFF"/>
          <w:lang w:val="en-US" w:eastAsia="zh-CN"/>
        </w:rPr>
        <w:t>、</w:t>
      </w:r>
      <w:r>
        <w:rPr>
          <w:rFonts w:hint="eastAsia"/>
          <w:color w:val="auto"/>
          <w:highlight w:val="none"/>
          <w:lang w:eastAsia="zh-CN"/>
        </w:rPr>
        <w:t>施工期间，在施工作业区设置生态保护警示牌。警示牌上标明工程施工区范围，禁止越界施工占地或砍伐林木、禁止在鸟类繁殖期间毁坏林地、禁止捕猎动物，尽量减少占地造成的植被损失和对动物的伤害。</w:t>
      </w:r>
    </w:p>
    <w:p>
      <w:pPr>
        <w:bidi w:val="0"/>
        <w:rPr>
          <w:rFonts w:hint="eastAsia"/>
          <w:color w:val="auto"/>
          <w:highlight w:val="none"/>
          <w:lang w:eastAsia="zh-CN"/>
        </w:rPr>
      </w:pPr>
      <w:r>
        <w:rPr>
          <w:rFonts w:hint="eastAsia"/>
          <w:color w:val="auto"/>
          <w:highlight w:val="none"/>
          <w:lang w:val="en-US" w:eastAsia="zh-CN"/>
        </w:rPr>
        <w:t>E</w:t>
      </w:r>
      <w:r>
        <w:rPr>
          <w:rFonts w:hint="eastAsia"/>
          <w:color w:val="auto"/>
          <w:highlight w:val="none"/>
          <w:shd w:val="clear" w:fill="FFFFFF"/>
          <w:lang w:val="en-US" w:eastAsia="zh-CN"/>
        </w:rPr>
        <w:t>、</w:t>
      </w:r>
      <w:r>
        <w:rPr>
          <w:rFonts w:hint="eastAsia"/>
          <w:color w:val="auto"/>
          <w:highlight w:val="none"/>
          <w:lang w:eastAsia="zh-CN"/>
        </w:rPr>
        <w:t>在进场道路、施工道路设置车速限速警示牌，避免对两栖爬行类及小型哺乳类造成碾压，在道路遇到野生动物，应予以避让或引导其远离施工区。</w:t>
      </w:r>
    </w:p>
    <w:p>
      <w:pPr>
        <w:bidi w:val="0"/>
        <w:rPr>
          <w:rFonts w:hint="eastAsia"/>
          <w:color w:val="auto"/>
          <w:highlight w:val="none"/>
          <w:lang w:eastAsia="zh-CN"/>
        </w:rPr>
      </w:pPr>
      <w:r>
        <w:rPr>
          <w:rFonts w:hint="eastAsia"/>
          <w:color w:val="auto"/>
          <w:highlight w:val="none"/>
          <w:lang w:val="en-US" w:eastAsia="zh-CN"/>
        </w:rPr>
        <w:t>F</w:t>
      </w:r>
      <w:r>
        <w:rPr>
          <w:rFonts w:hint="eastAsia"/>
          <w:color w:val="auto"/>
          <w:highlight w:val="none"/>
          <w:shd w:val="clear" w:fill="FFFFFF"/>
          <w:lang w:val="en-US" w:eastAsia="zh-CN"/>
        </w:rPr>
        <w:t>、</w:t>
      </w:r>
      <w:r>
        <w:rPr>
          <w:rFonts w:hint="eastAsia"/>
          <w:color w:val="auto"/>
          <w:highlight w:val="none"/>
          <w:lang w:eastAsia="zh-CN"/>
        </w:rPr>
        <w:t>施工期间加强施工人员管理，严禁使用烟火，防止发生火灾。</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3 \* GB3 \* MERGEFORMAT </w:instrText>
      </w:r>
      <w:r>
        <w:rPr>
          <w:rFonts w:hint="eastAsia"/>
          <w:color w:val="auto"/>
          <w:highlight w:val="none"/>
          <w:lang w:eastAsia="zh-CN"/>
        </w:rPr>
        <w:fldChar w:fldCharType="separate"/>
      </w:r>
      <w:r>
        <w:rPr>
          <w:color w:val="auto"/>
          <w:highlight w:val="none"/>
        </w:rPr>
        <w:t>③</w:t>
      </w:r>
      <w:r>
        <w:rPr>
          <w:rFonts w:hint="eastAsia"/>
          <w:color w:val="auto"/>
          <w:highlight w:val="none"/>
          <w:lang w:eastAsia="zh-CN"/>
        </w:rPr>
        <w:fldChar w:fldCharType="end"/>
      </w:r>
      <w:r>
        <w:rPr>
          <w:rFonts w:hint="eastAsia"/>
          <w:color w:val="auto"/>
          <w:highlight w:val="none"/>
          <w:lang w:eastAsia="zh-CN"/>
        </w:rPr>
        <w:t>恢复和补偿措施</w:t>
      </w:r>
    </w:p>
    <w:p>
      <w:pPr>
        <w:bidi w:val="0"/>
        <w:rPr>
          <w:rFonts w:hint="eastAsia"/>
          <w:color w:val="auto"/>
          <w:highlight w:val="none"/>
          <w:lang w:eastAsia="zh-CN"/>
        </w:rPr>
      </w:pPr>
      <w:r>
        <w:rPr>
          <w:rFonts w:hint="eastAsia"/>
          <w:color w:val="auto"/>
          <w:highlight w:val="none"/>
          <w:lang w:val="en-US" w:eastAsia="zh-CN"/>
        </w:rPr>
        <w:t>A</w:t>
      </w:r>
      <w:r>
        <w:rPr>
          <w:rFonts w:hint="eastAsia"/>
          <w:color w:val="auto"/>
          <w:highlight w:val="none"/>
          <w:shd w:val="clear" w:fill="FFFFFF"/>
          <w:lang w:val="en-US" w:eastAsia="zh-CN"/>
        </w:rPr>
        <w:t>、</w:t>
      </w:r>
      <w:r>
        <w:rPr>
          <w:rFonts w:hint="eastAsia"/>
          <w:color w:val="auto"/>
          <w:highlight w:val="none"/>
          <w:lang w:eastAsia="zh-CN"/>
        </w:rPr>
        <w:t>工程修建占用了动物的生境，工程完工后对临时占地区如弃渣场、临时道路、施工人员生活区等使用本土植被进行复绿，尽量减少生境破坏对动物的不利影响。</w:t>
      </w:r>
    </w:p>
    <w:p>
      <w:pPr>
        <w:bidi w:val="0"/>
        <w:rPr>
          <w:rFonts w:hint="eastAsia"/>
          <w:color w:val="auto"/>
          <w:highlight w:val="none"/>
          <w:lang w:eastAsia="zh-CN"/>
        </w:rPr>
      </w:pPr>
      <w:r>
        <w:rPr>
          <w:rFonts w:hint="eastAsia"/>
          <w:color w:val="auto"/>
          <w:highlight w:val="none"/>
          <w:lang w:val="en-US" w:eastAsia="zh-CN"/>
        </w:rPr>
        <w:t>B</w:t>
      </w:r>
      <w:r>
        <w:rPr>
          <w:rFonts w:hint="eastAsia"/>
          <w:color w:val="auto"/>
          <w:highlight w:val="none"/>
          <w:shd w:val="clear" w:fill="FFFFFF"/>
          <w:lang w:val="en-US" w:eastAsia="zh-CN"/>
        </w:rPr>
        <w:t>、</w:t>
      </w:r>
      <w:r>
        <w:rPr>
          <w:rFonts w:hint="eastAsia"/>
          <w:color w:val="auto"/>
          <w:highlight w:val="none"/>
          <w:lang w:eastAsia="zh-CN"/>
        </w:rPr>
        <w:t>设立动物救护点，一般设置在业主营地，救护点需要</w:t>
      </w:r>
      <w:r>
        <w:rPr>
          <w:rFonts w:hint="eastAsia"/>
          <w:color w:val="auto"/>
          <w:highlight w:val="none"/>
          <w:shd w:val="clear" w:fill="FFFFFF"/>
          <w:lang w:eastAsia="zh-CN"/>
        </w:rPr>
        <w:t>常备</w:t>
      </w:r>
      <w:r>
        <w:rPr>
          <w:rFonts w:hint="eastAsia"/>
          <w:color w:val="auto"/>
          <w:highlight w:val="none"/>
          <w:lang w:eastAsia="zh-CN"/>
        </w:rPr>
        <w:t>常规的动物救治药品。对施工人员讲解野生动物临时救治的方法，在工程实施期间，对施工区域内的受伤的野生动物尤其是重点保护野生动物进行救治。</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4 \* GB3 \* MERGEFORMAT </w:instrText>
      </w:r>
      <w:r>
        <w:rPr>
          <w:rFonts w:hint="eastAsia"/>
          <w:color w:val="auto"/>
          <w:highlight w:val="none"/>
          <w:lang w:eastAsia="zh-CN"/>
        </w:rPr>
        <w:fldChar w:fldCharType="separate"/>
      </w:r>
      <w:r>
        <w:rPr>
          <w:color w:val="auto"/>
          <w:highlight w:val="none"/>
        </w:rPr>
        <w:t>④</w:t>
      </w:r>
      <w:r>
        <w:rPr>
          <w:rFonts w:hint="eastAsia"/>
          <w:color w:val="auto"/>
          <w:highlight w:val="none"/>
          <w:lang w:eastAsia="zh-CN"/>
        </w:rPr>
        <w:fldChar w:fldCharType="end"/>
      </w:r>
      <w:r>
        <w:rPr>
          <w:rFonts w:hint="eastAsia"/>
          <w:color w:val="auto"/>
          <w:highlight w:val="none"/>
          <w:lang w:eastAsia="zh-CN"/>
        </w:rPr>
        <w:t>管理措施</w:t>
      </w:r>
    </w:p>
    <w:p>
      <w:pPr>
        <w:bidi w:val="0"/>
        <w:rPr>
          <w:rFonts w:hint="eastAsia"/>
          <w:color w:val="auto"/>
          <w:highlight w:val="none"/>
          <w:lang w:eastAsia="zh-CN"/>
        </w:rPr>
      </w:pPr>
      <w:r>
        <w:rPr>
          <w:rFonts w:hint="eastAsia"/>
          <w:color w:val="auto"/>
          <w:highlight w:val="none"/>
          <w:lang w:val="en-US" w:eastAsia="zh-CN"/>
        </w:rPr>
        <w:t>A</w:t>
      </w:r>
      <w:r>
        <w:rPr>
          <w:rFonts w:hint="eastAsia"/>
          <w:color w:val="auto"/>
          <w:highlight w:val="none"/>
          <w:shd w:val="clear" w:fill="FFFFFF"/>
          <w:lang w:val="en-US" w:eastAsia="zh-CN"/>
        </w:rPr>
        <w:t>、</w:t>
      </w:r>
      <w:r>
        <w:rPr>
          <w:rFonts w:hint="eastAsia"/>
          <w:color w:val="auto"/>
          <w:highlight w:val="none"/>
          <w:lang w:eastAsia="zh-CN"/>
        </w:rPr>
        <w:t>加强对工程施工人员的生态教育和野生动物保护教育，加强宣传力度。采用在工程施工</w:t>
      </w:r>
      <w:r>
        <w:rPr>
          <w:rFonts w:hint="eastAsia"/>
          <w:color w:val="auto"/>
          <w:highlight w:val="none"/>
          <w:shd w:val="clear" w:fill="FFFFFF"/>
          <w:lang w:eastAsia="zh-CN"/>
        </w:rPr>
        <w:t>营</w:t>
      </w:r>
      <w:r>
        <w:rPr>
          <w:rFonts w:hint="eastAsia"/>
          <w:color w:val="auto"/>
          <w:highlight w:val="none"/>
          <w:lang w:eastAsia="zh-CN"/>
        </w:rPr>
        <w:t>地分发宣传资料和制作重点保护野生动物板报、日常工作会议中重点告示的方式宣传《中华人民共和国野生动物保护法》《中华人民共和国陆生野生动物保护实施条例》等相关法律法规及条例，提高施工和管理人员的保护意识，严禁捕猎野生动物的行为。</w:t>
      </w:r>
    </w:p>
    <w:p>
      <w:pPr>
        <w:bidi w:val="0"/>
        <w:rPr>
          <w:rFonts w:hint="eastAsia"/>
          <w:color w:val="auto"/>
          <w:highlight w:val="none"/>
          <w:lang w:eastAsia="zh-CN"/>
        </w:rPr>
      </w:pPr>
      <w:r>
        <w:rPr>
          <w:rFonts w:hint="eastAsia"/>
          <w:color w:val="auto"/>
          <w:highlight w:val="none"/>
          <w:lang w:val="en-US" w:eastAsia="zh-CN"/>
        </w:rPr>
        <w:t>B</w:t>
      </w:r>
      <w:r>
        <w:rPr>
          <w:rFonts w:hint="eastAsia"/>
          <w:color w:val="auto"/>
          <w:highlight w:val="none"/>
          <w:shd w:val="clear" w:fill="FFFFFF"/>
          <w:lang w:val="en-US" w:eastAsia="zh-CN"/>
        </w:rPr>
        <w:t>、</w:t>
      </w:r>
      <w:r>
        <w:rPr>
          <w:rFonts w:hint="eastAsia"/>
          <w:color w:val="auto"/>
          <w:highlight w:val="none"/>
          <w:lang w:eastAsia="zh-CN"/>
        </w:rPr>
        <w:t>严格控制工程施工范围，</w:t>
      </w:r>
      <w:r>
        <w:rPr>
          <w:color w:val="auto"/>
          <w:szCs w:val="26"/>
          <w:highlight w:val="none"/>
          <w:lang w:bidi="ar"/>
        </w:rPr>
        <w:t>禁止施工人员破坏作业区外林、灌、草</w:t>
      </w:r>
      <w:r>
        <w:rPr>
          <w:rFonts w:hint="eastAsia"/>
          <w:color w:val="auto"/>
          <w:szCs w:val="26"/>
          <w:highlight w:val="none"/>
          <w:lang w:eastAsia="zh-CN" w:bidi="ar"/>
        </w:rPr>
        <w:t>等植被</w:t>
      </w:r>
      <w:r>
        <w:rPr>
          <w:color w:val="auto"/>
          <w:szCs w:val="26"/>
          <w:highlight w:val="none"/>
          <w:lang w:bidi="ar"/>
        </w:rPr>
        <w:t>，禁止追逐、惊吓、捕杀、掏窝、拔巢等干扰野生动物及其生境的行为。</w:t>
      </w:r>
    </w:p>
    <w:p>
      <w:pPr>
        <w:bidi w:val="0"/>
        <w:rPr>
          <w:rFonts w:hint="eastAsia"/>
          <w:color w:val="auto"/>
          <w:highlight w:val="none"/>
          <w:lang w:eastAsia="zh-CN"/>
        </w:rPr>
      </w:pPr>
      <w:r>
        <w:rPr>
          <w:rFonts w:hint="eastAsia"/>
          <w:color w:val="auto"/>
          <w:highlight w:val="none"/>
          <w:lang w:val="en-US" w:eastAsia="zh-CN"/>
        </w:rPr>
        <w:t>C</w:t>
      </w:r>
      <w:r>
        <w:rPr>
          <w:rFonts w:hint="eastAsia"/>
          <w:color w:val="auto"/>
          <w:highlight w:val="none"/>
          <w:shd w:val="clear" w:fill="FFFFFF"/>
          <w:lang w:val="en-US" w:eastAsia="zh-CN"/>
        </w:rPr>
        <w:t>、</w:t>
      </w:r>
      <w:r>
        <w:rPr>
          <w:rFonts w:hint="eastAsia"/>
          <w:color w:val="auto"/>
          <w:highlight w:val="none"/>
          <w:lang w:eastAsia="zh-CN"/>
        </w:rPr>
        <w:t>加强施工监控和管理。配备包括保护野生动物和生态环境在内的巡护人员，加强生态环境的监控和管理，防止建设</w:t>
      </w:r>
      <w:r>
        <w:rPr>
          <w:rFonts w:hint="eastAsia"/>
          <w:color w:val="auto"/>
          <w:highlight w:val="none"/>
          <w:shd w:val="clear" w:fill="FFFFFF"/>
          <w:lang w:eastAsia="zh-CN"/>
        </w:rPr>
        <w:t>活动</w:t>
      </w:r>
      <w:r>
        <w:rPr>
          <w:rFonts w:hint="eastAsia"/>
          <w:color w:val="auto"/>
          <w:highlight w:val="none"/>
          <w:lang w:eastAsia="zh-CN"/>
        </w:rPr>
        <w:t>加剧造成的诸如动植物资源的破坏、水环境污染和森林火灾等对当地生物多样性的破坏。</w:t>
      </w:r>
    </w:p>
    <w:p>
      <w:pPr>
        <w:bidi w:val="0"/>
        <w:rPr>
          <w:color w:val="auto"/>
          <w:highlight w:val="none"/>
        </w:rPr>
      </w:pPr>
      <w:r>
        <w:rPr>
          <w:color w:val="auto"/>
          <w:highlight w:val="none"/>
        </w:rPr>
        <w:t>（</w:t>
      </w:r>
      <w:r>
        <w:rPr>
          <w:rFonts w:hint="eastAsia"/>
          <w:color w:val="auto"/>
          <w:highlight w:val="none"/>
          <w:lang w:val="en-US" w:eastAsia="zh-CN"/>
        </w:rPr>
        <w:t>3</w:t>
      </w:r>
      <w:r>
        <w:rPr>
          <w:color w:val="auto"/>
          <w:highlight w:val="none"/>
        </w:rPr>
        <w:t>）水土流失防治措施</w:t>
      </w:r>
    </w:p>
    <w:p>
      <w:pPr>
        <w:bidi w:val="0"/>
        <w:rPr>
          <w:color w:val="auto"/>
          <w:highlight w:val="none"/>
        </w:rPr>
      </w:pPr>
      <w:r>
        <w:rPr>
          <w:rFonts w:hint="eastAsia"/>
          <w:color w:val="auto"/>
          <w:highlight w:val="none"/>
          <w:lang w:eastAsia="zh-CN"/>
        </w:rPr>
        <w:t>项目施工范围较大，且</w:t>
      </w:r>
      <w:r>
        <w:rPr>
          <w:rFonts w:hint="eastAsia"/>
          <w:color w:val="auto"/>
          <w:highlight w:val="none"/>
          <w:shd w:val="clear" w:fill="FFFFFF"/>
          <w:lang w:eastAsia="zh-CN"/>
        </w:rPr>
        <w:t>涉及到</w:t>
      </w:r>
      <w:r>
        <w:rPr>
          <w:rFonts w:hint="eastAsia"/>
          <w:color w:val="auto"/>
          <w:highlight w:val="none"/>
          <w:lang w:eastAsia="zh-CN"/>
        </w:rPr>
        <w:t>大规模土石方开挖工作，项目应严格按照批复后的水土保持方案</w:t>
      </w:r>
      <w:r>
        <w:rPr>
          <w:rFonts w:hint="eastAsia"/>
          <w:color w:val="auto"/>
          <w:highlight w:val="none"/>
          <w:shd w:val="clear" w:fill="FFFFFF"/>
          <w:lang w:eastAsia="zh-CN"/>
        </w:rPr>
        <w:t>落实</w:t>
      </w:r>
      <w:r>
        <w:rPr>
          <w:rFonts w:hint="eastAsia"/>
          <w:color w:val="auto"/>
          <w:highlight w:val="none"/>
        </w:rPr>
        <w:t>水土流失防治措施。</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1 \* GB3 \* MERGEFORMAT </w:instrText>
      </w:r>
      <w:r>
        <w:rPr>
          <w:rFonts w:hint="eastAsia"/>
          <w:color w:val="auto"/>
          <w:highlight w:val="none"/>
          <w:lang w:eastAsia="zh-CN"/>
        </w:rPr>
        <w:fldChar w:fldCharType="separate"/>
      </w:r>
      <w:r>
        <w:rPr>
          <w:color w:val="auto"/>
          <w:highlight w:val="none"/>
        </w:rPr>
        <w:t>①</w:t>
      </w:r>
      <w:r>
        <w:rPr>
          <w:rFonts w:hint="eastAsia"/>
          <w:color w:val="auto"/>
          <w:highlight w:val="none"/>
          <w:lang w:eastAsia="zh-CN"/>
        </w:rPr>
        <w:fldChar w:fldCharType="end"/>
      </w:r>
      <w:r>
        <w:rPr>
          <w:rFonts w:hint="eastAsia"/>
          <w:color w:val="auto"/>
          <w:highlight w:val="none"/>
          <w:lang w:eastAsia="zh-CN"/>
        </w:rPr>
        <w:t>船闸工程区</w:t>
      </w:r>
    </w:p>
    <w:p>
      <w:pPr>
        <w:bidi w:val="0"/>
        <w:rPr>
          <w:rFonts w:hint="eastAsia"/>
          <w:color w:val="auto"/>
          <w:highlight w:val="none"/>
          <w:lang w:eastAsia="zh-CN"/>
        </w:rPr>
      </w:pPr>
      <w:r>
        <w:rPr>
          <w:rFonts w:hint="eastAsia"/>
          <w:color w:val="auto"/>
          <w:highlight w:val="none"/>
          <w:lang w:eastAsia="zh-CN"/>
        </w:rPr>
        <w:t>施工前剥离表土，集中堆放并进行拦挡；在临河侧开挖区设土袋挡墙、设排水沟，临时堆土周围采用编织袋装土挡护并用彩条布遮盖，对基础处理钻孔灌浆等施工过程中产生的泥浆采用沉淀池及泥浆池收集处理；施工后期对场区开挖回填边坡进行防护、利用原表土对施工迹地及可绿化区域覆土整治，并栽植乔灌草绿化美化。</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2 \* GB3 \* MERGEFORMAT </w:instrText>
      </w:r>
      <w:r>
        <w:rPr>
          <w:rFonts w:hint="eastAsia"/>
          <w:color w:val="auto"/>
          <w:highlight w:val="none"/>
          <w:lang w:eastAsia="zh-CN"/>
        </w:rPr>
        <w:fldChar w:fldCharType="separate"/>
      </w:r>
      <w:r>
        <w:rPr>
          <w:color w:val="auto"/>
          <w:highlight w:val="none"/>
        </w:rPr>
        <w:t>②</w:t>
      </w:r>
      <w:r>
        <w:rPr>
          <w:rFonts w:hint="eastAsia"/>
          <w:color w:val="auto"/>
          <w:highlight w:val="none"/>
          <w:lang w:eastAsia="zh-CN"/>
        </w:rPr>
        <w:fldChar w:fldCharType="end"/>
      </w:r>
      <w:r>
        <w:rPr>
          <w:rFonts w:hint="eastAsia"/>
          <w:color w:val="auto"/>
          <w:highlight w:val="none"/>
          <w:lang w:eastAsia="zh-CN"/>
        </w:rPr>
        <w:t>管理区</w:t>
      </w:r>
    </w:p>
    <w:p>
      <w:pPr>
        <w:bidi w:val="0"/>
        <w:rPr>
          <w:rFonts w:hint="eastAsia"/>
          <w:color w:val="auto"/>
          <w:highlight w:val="none"/>
          <w:lang w:eastAsia="zh-CN"/>
        </w:rPr>
      </w:pPr>
      <w:r>
        <w:rPr>
          <w:rFonts w:hint="eastAsia"/>
          <w:color w:val="auto"/>
          <w:highlight w:val="none"/>
          <w:lang w:eastAsia="zh-CN"/>
        </w:rPr>
        <w:t>施工前剥离表土，集中堆放进行拦挡并用彩条布遮盖；施工期间结合永久排水沟位置设置临时排水沟，防止周边汇水对场地冲蚀；施工后期对场区利用原表土对施工迹地及可绿化区域覆土整治，并栽植乔灌草绿化美化。</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3 \* GB3 \* MERGEFORMAT </w:instrText>
      </w:r>
      <w:r>
        <w:rPr>
          <w:rFonts w:hint="eastAsia"/>
          <w:color w:val="auto"/>
          <w:highlight w:val="none"/>
          <w:lang w:eastAsia="zh-CN"/>
        </w:rPr>
        <w:fldChar w:fldCharType="separate"/>
      </w:r>
      <w:r>
        <w:rPr>
          <w:color w:val="auto"/>
          <w:highlight w:val="none"/>
        </w:rPr>
        <w:t>③</w:t>
      </w:r>
      <w:r>
        <w:rPr>
          <w:rFonts w:hint="eastAsia"/>
          <w:color w:val="auto"/>
          <w:highlight w:val="none"/>
          <w:lang w:eastAsia="zh-CN"/>
        </w:rPr>
        <w:fldChar w:fldCharType="end"/>
      </w:r>
      <w:r>
        <w:rPr>
          <w:rFonts w:hint="eastAsia"/>
          <w:color w:val="auto"/>
          <w:highlight w:val="none"/>
          <w:lang w:eastAsia="zh-CN"/>
        </w:rPr>
        <w:t>弃渣场</w:t>
      </w:r>
    </w:p>
    <w:p>
      <w:pPr>
        <w:bidi w:val="0"/>
        <w:rPr>
          <w:rFonts w:hint="eastAsia"/>
          <w:color w:val="auto"/>
          <w:highlight w:val="none"/>
          <w:lang w:eastAsia="zh-CN"/>
        </w:rPr>
      </w:pPr>
      <w:r>
        <w:rPr>
          <w:rFonts w:hint="eastAsia"/>
          <w:color w:val="auto"/>
          <w:highlight w:val="none"/>
          <w:lang w:eastAsia="zh-CN"/>
        </w:rPr>
        <w:t>施工前剥离表土集中堆放，堆放场所避开洪水冲刷，用编织袋土拦挡并用彩条布遮盖，在渣体下游侧设置浆砌石挡墙护脚，上游设置浆砌石截水沟导流坡面汇水，陡坡设急流槽及消力池，接入下游自然沟道，坡脚设排水沟，排水沟末端设</w:t>
      </w:r>
      <w:r>
        <w:rPr>
          <w:rFonts w:hint="eastAsia"/>
          <w:color w:val="auto"/>
          <w:highlight w:val="none"/>
          <w:shd w:val="clear" w:fill="FFFFFF"/>
          <w:lang w:eastAsia="zh-CN"/>
        </w:rPr>
        <w:t>沉砂池</w:t>
      </w:r>
      <w:r>
        <w:rPr>
          <w:rFonts w:hint="eastAsia"/>
          <w:color w:val="auto"/>
          <w:highlight w:val="none"/>
          <w:lang w:eastAsia="zh-CN"/>
        </w:rPr>
        <w:t>；施工过程中渣体分级堆放并碾压，分级处设 3m 宽分级平台；施工结束后对渣面进行平整，复垦或恢复植被。</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4 \* GB3 \* MERGEFORMAT </w:instrText>
      </w:r>
      <w:r>
        <w:rPr>
          <w:rFonts w:hint="eastAsia"/>
          <w:color w:val="auto"/>
          <w:highlight w:val="none"/>
          <w:lang w:eastAsia="zh-CN"/>
        </w:rPr>
        <w:fldChar w:fldCharType="separate"/>
      </w:r>
      <w:r>
        <w:rPr>
          <w:color w:val="auto"/>
          <w:highlight w:val="none"/>
        </w:rPr>
        <w:t>④</w:t>
      </w:r>
      <w:r>
        <w:rPr>
          <w:rFonts w:hint="eastAsia"/>
          <w:color w:val="auto"/>
          <w:highlight w:val="none"/>
          <w:lang w:eastAsia="zh-CN"/>
        </w:rPr>
        <w:fldChar w:fldCharType="end"/>
      </w:r>
      <w:r>
        <w:rPr>
          <w:rFonts w:hint="eastAsia"/>
          <w:color w:val="auto"/>
          <w:highlight w:val="none"/>
          <w:lang w:eastAsia="zh-CN"/>
        </w:rPr>
        <w:t>施工生产生活区</w:t>
      </w:r>
    </w:p>
    <w:p>
      <w:pPr>
        <w:bidi w:val="0"/>
        <w:rPr>
          <w:rFonts w:hint="eastAsia"/>
          <w:color w:val="auto"/>
          <w:highlight w:val="none"/>
          <w:lang w:eastAsia="zh-CN"/>
        </w:rPr>
      </w:pPr>
      <w:r>
        <w:rPr>
          <w:rFonts w:hint="eastAsia"/>
          <w:color w:val="auto"/>
          <w:highlight w:val="none"/>
          <w:lang w:eastAsia="zh-CN"/>
        </w:rPr>
        <w:t>施工前剥离表土，集中堆放，采用编织袋装土挡护并用彩条布遮盖；施工期间临时堆土撒播草籽临时绿化，施工</w:t>
      </w:r>
      <w:r>
        <w:rPr>
          <w:rFonts w:hint="eastAsia"/>
          <w:color w:val="auto"/>
          <w:highlight w:val="none"/>
          <w:shd w:val="clear" w:fill="FFFFFF"/>
          <w:lang w:eastAsia="zh-CN"/>
        </w:rPr>
        <w:t>场地</w:t>
      </w:r>
      <w:r>
        <w:rPr>
          <w:rFonts w:hint="eastAsia"/>
          <w:color w:val="auto"/>
          <w:highlight w:val="none"/>
          <w:lang w:eastAsia="zh-CN"/>
        </w:rPr>
        <w:t>周边布置排水沟，对填方边坡采取植草护坡；施工后期，场地进行覆土、绿化和复耕。</w:t>
      </w:r>
    </w:p>
    <w:p>
      <w:pPr>
        <w:bidi w:val="0"/>
        <w:rPr>
          <w:rFonts w:hint="eastAsia"/>
          <w:color w:val="auto"/>
          <w:highlight w:val="none"/>
          <w:lang w:eastAsia="zh-CN"/>
        </w:rPr>
      </w:pPr>
      <w:r>
        <w:rPr>
          <w:rFonts w:hint="eastAsia"/>
          <w:color w:val="auto"/>
          <w:highlight w:val="none"/>
          <w:lang w:eastAsia="zh-CN"/>
        </w:rPr>
        <w:fldChar w:fldCharType="begin"/>
      </w:r>
      <w:r>
        <w:rPr>
          <w:rFonts w:hint="eastAsia"/>
          <w:color w:val="auto"/>
          <w:highlight w:val="none"/>
          <w:lang w:eastAsia="zh-CN"/>
        </w:rPr>
        <w:instrText xml:space="preserve"> = 5 \* GB3 \* MERGEFORMAT </w:instrText>
      </w:r>
      <w:r>
        <w:rPr>
          <w:rFonts w:hint="eastAsia"/>
          <w:color w:val="auto"/>
          <w:highlight w:val="none"/>
          <w:lang w:eastAsia="zh-CN"/>
        </w:rPr>
        <w:fldChar w:fldCharType="separate"/>
      </w:r>
      <w:r>
        <w:rPr>
          <w:color w:val="auto"/>
          <w:highlight w:val="none"/>
        </w:rPr>
        <w:t>⑤</w:t>
      </w:r>
      <w:r>
        <w:rPr>
          <w:rFonts w:hint="eastAsia"/>
          <w:color w:val="auto"/>
          <w:highlight w:val="none"/>
          <w:lang w:eastAsia="zh-CN"/>
        </w:rPr>
        <w:fldChar w:fldCharType="end"/>
      </w:r>
      <w:r>
        <w:rPr>
          <w:rFonts w:hint="eastAsia"/>
          <w:color w:val="auto"/>
          <w:highlight w:val="none"/>
          <w:lang w:eastAsia="zh-CN"/>
        </w:rPr>
        <w:t>道路工程区</w:t>
      </w:r>
    </w:p>
    <w:p>
      <w:pPr>
        <w:bidi w:val="0"/>
        <w:rPr>
          <w:rFonts w:hint="eastAsia"/>
          <w:color w:val="auto"/>
          <w:highlight w:val="none"/>
          <w:lang w:eastAsia="zh-CN"/>
        </w:rPr>
      </w:pPr>
      <w:r>
        <w:rPr>
          <w:rFonts w:hint="eastAsia"/>
          <w:color w:val="auto"/>
          <w:highlight w:val="none"/>
          <w:lang w:eastAsia="zh-CN"/>
        </w:rPr>
        <w:t>施工前剥离表土，采用编织袋装表土用于填方侧临时拦挡；施工期间施工道路汇水一侧修建简易排水沟；施工后期，永久道路修建截排水沟，坡面采取植草护坡，道路两侧种植行道树，施工临时道路后期进行覆表土，采用乔灌草绿化或复耕。</w:t>
      </w:r>
    </w:p>
    <w:p>
      <w:pPr>
        <w:pStyle w:val="5"/>
        <w:bidi w:val="0"/>
        <w:rPr>
          <w:color w:val="auto"/>
          <w:highlight w:val="none"/>
        </w:rPr>
      </w:pPr>
      <w:r>
        <w:rPr>
          <w:rFonts w:hint="eastAsia"/>
          <w:color w:val="auto"/>
          <w:highlight w:val="none"/>
          <w:lang w:eastAsia="zh-CN"/>
        </w:rPr>
        <w:t>水生生态保护措施</w:t>
      </w:r>
    </w:p>
    <w:p>
      <w:pPr>
        <w:keepNext w:val="0"/>
        <w:keepLines w:val="0"/>
        <w:pageBreakBefore w:val="0"/>
        <w:widowControl w:val="0"/>
        <w:numPr>
          <w:ilvl w:val="0"/>
          <w:numId w:val="33"/>
        </w:numPr>
        <w:kinsoku/>
        <w:wordWrap/>
        <w:overflowPunct/>
        <w:topLinePunct w:val="0"/>
        <w:autoSpaceDE/>
        <w:autoSpaceDN/>
        <w:bidi w:val="0"/>
        <w:adjustRightInd/>
        <w:snapToGrid/>
        <w:textAlignment w:val="auto"/>
        <w:outlineLvl w:val="3"/>
        <w:rPr>
          <w:color w:val="auto"/>
          <w:highlight w:val="none"/>
        </w:rPr>
      </w:pPr>
      <w:r>
        <w:rPr>
          <w:rFonts w:hint="eastAsia"/>
          <w:color w:val="auto"/>
          <w:highlight w:val="none"/>
        </w:rPr>
        <w:t>工程管理措施</w:t>
      </w:r>
    </w:p>
    <w:p>
      <w:pPr>
        <w:spacing w:line="480" w:lineRule="exact"/>
        <w:ind w:firstLine="520"/>
        <w:rPr>
          <w:color w:val="auto"/>
          <w:highlight w:val="none"/>
        </w:rPr>
      </w:pPr>
      <w:r>
        <w:rPr>
          <w:rFonts w:hint="default"/>
          <w:color w:val="auto"/>
          <w:highlight w:val="none"/>
        </w:rPr>
        <w:t>①根据《农业农村部关于长江流域重点水域禁捕范围和时间的通告》（农业农村部通告〔</w:t>
      </w:r>
      <w:r>
        <w:rPr>
          <w:color w:val="auto"/>
          <w:highlight w:val="none"/>
        </w:rPr>
        <w:t>2019</w:t>
      </w:r>
      <w:r>
        <w:rPr>
          <w:rFonts w:hint="default"/>
          <w:color w:val="auto"/>
          <w:highlight w:val="none"/>
        </w:rPr>
        <w:t>〕</w:t>
      </w:r>
      <w:r>
        <w:rPr>
          <w:color w:val="auto"/>
          <w:highlight w:val="none"/>
        </w:rPr>
        <w:t xml:space="preserve">4 </w:t>
      </w:r>
      <w:r>
        <w:rPr>
          <w:rFonts w:hint="default"/>
          <w:color w:val="auto"/>
          <w:highlight w:val="none"/>
        </w:rPr>
        <w:t>号），涪江实施为期</w:t>
      </w:r>
      <w:r>
        <w:rPr>
          <w:color w:val="auto"/>
          <w:highlight w:val="none"/>
        </w:rPr>
        <w:t>10</w:t>
      </w:r>
      <w:r>
        <w:rPr>
          <w:rFonts w:hint="default"/>
          <w:color w:val="auto"/>
          <w:highlight w:val="none"/>
        </w:rPr>
        <w:t>年的常年禁捕，</w:t>
      </w:r>
      <w:r>
        <w:rPr>
          <w:rFonts w:hint="default"/>
          <w:color w:val="auto"/>
          <w:highlight w:val="none"/>
          <w:shd w:val="clear" w:fill="FFFFFF"/>
        </w:rPr>
        <w:t>期间</w:t>
      </w:r>
      <w:r>
        <w:rPr>
          <w:rFonts w:hint="default"/>
          <w:color w:val="auto"/>
          <w:highlight w:val="none"/>
        </w:rPr>
        <w:t>禁止天然渔业资源的生产性捕捞。</w:t>
      </w:r>
    </w:p>
    <w:p>
      <w:pPr>
        <w:spacing w:line="480" w:lineRule="exact"/>
        <w:ind w:firstLine="520"/>
        <w:rPr>
          <w:rFonts w:hint="default"/>
          <w:bCs/>
          <w:color w:val="auto"/>
          <w:szCs w:val="26"/>
          <w:highlight w:val="none"/>
          <w:lang w:val="en-US" w:eastAsia="zh-CN"/>
        </w:rPr>
      </w:pPr>
      <w:r>
        <w:rPr>
          <w:rFonts w:hint="default"/>
          <w:color w:val="auto"/>
          <w:highlight w:val="none"/>
        </w:rPr>
        <w:t>②</w:t>
      </w:r>
      <w:r>
        <w:rPr>
          <w:rFonts w:hint="default"/>
          <w:bCs/>
          <w:color w:val="auto"/>
          <w:szCs w:val="26"/>
          <w:highlight w:val="none"/>
          <w:lang w:val="en-US" w:eastAsia="zh-CN"/>
        </w:rPr>
        <w:t>优化施工时序，爆破工程须避免在春季鱼类集中繁殖期（3-6月）和鱼类越冬季节（11月~次年2月）内实施；其他涉水工程尽</w:t>
      </w:r>
      <w:r>
        <w:rPr>
          <w:rFonts w:hint="eastAsia"/>
          <w:bCs/>
          <w:color w:val="auto"/>
          <w:szCs w:val="26"/>
          <w:highlight w:val="none"/>
          <w:shd w:val="clear" w:fill="FFFFFF"/>
          <w:lang w:val="en-US" w:eastAsia="zh-CN"/>
        </w:rPr>
        <w:t>量在</w:t>
      </w:r>
      <w:r>
        <w:rPr>
          <w:rFonts w:hint="default"/>
          <w:bCs/>
          <w:color w:val="auto"/>
          <w:szCs w:val="26"/>
          <w:highlight w:val="none"/>
          <w:lang w:val="en-US" w:eastAsia="zh-CN"/>
        </w:rPr>
        <w:t>枯水期（11月~次年2月）施工，须避让每年3-6月鱼类集中繁殖期，不影响鱼类繁殖活动。</w:t>
      </w:r>
    </w:p>
    <w:p>
      <w:pPr>
        <w:spacing w:line="480" w:lineRule="exact"/>
        <w:ind w:firstLine="520"/>
        <w:rPr>
          <w:rFonts w:hint="default"/>
          <w:color w:val="auto"/>
          <w:highlight w:val="none"/>
        </w:rPr>
      </w:pPr>
      <w:r>
        <w:rPr>
          <w:rFonts w:hint="default"/>
          <w:color w:val="auto"/>
          <w:highlight w:val="none"/>
        </w:rPr>
        <w:t>③</w:t>
      </w:r>
      <w:r>
        <w:rPr>
          <w:rFonts w:hint="default"/>
          <w:color w:val="auto"/>
          <w:highlight w:val="none"/>
          <w:lang w:val="en-US" w:eastAsia="zh-CN"/>
        </w:rPr>
        <w:t>配备专业人员负责环境保护工作，加强</w:t>
      </w:r>
      <w:r>
        <w:rPr>
          <w:rFonts w:hint="default"/>
          <w:color w:val="auto"/>
          <w:highlight w:val="none"/>
        </w:rPr>
        <w:t>对施工及相关人员进行生态环境保护重要性的宣传教育，增进施工及相关人员对生态环境的保护意识，严禁打捞鱼类。</w:t>
      </w:r>
    </w:p>
    <w:p>
      <w:pPr>
        <w:spacing w:line="480" w:lineRule="exact"/>
        <w:ind w:firstLine="520"/>
        <w:rPr>
          <w:rFonts w:hint="default"/>
          <w:color w:val="auto"/>
          <w:highlight w:val="none"/>
        </w:rPr>
      </w:pPr>
      <w:r>
        <w:rPr>
          <w:rFonts w:hint="default"/>
          <w:color w:val="auto"/>
          <w:highlight w:val="none"/>
          <w:lang w:val="en-US" w:eastAsia="zh-CN"/>
        </w:rPr>
        <w:t>④</w:t>
      </w:r>
      <w:r>
        <w:rPr>
          <w:rFonts w:hint="default"/>
          <w:color w:val="auto"/>
          <w:highlight w:val="none"/>
        </w:rPr>
        <w:t>配备水陆</w:t>
      </w:r>
      <w:r>
        <w:rPr>
          <w:rFonts w:hint="eastAsia"/>
          <w:color w:val="auto"/>
          <w:highlight w:val="none"/>
          <w:shd w:val="clear" w:fill="FFFFFF"/>
          <w:lang w:eastAsia="zh-CN"/>
        </w:rPr>
        <w:t>交通和通信</w:t>
      </w:r>
      <w:r>
        <w:rPr>
          <w:rFonts w:hint="default"/>
          <w:color w:val="auto"/>
          <w:highlight w:val="none"/>
        </w:rPr>
        <w:t>联络工具，以便及时发现和处理危害珍稀动物事件和抢救误捕误伤及冲滩搁浅的珍稀保护鱼类。</w:t>
      </w:r>
    </w:p>
    <w:p>
      <w:pPr>
        <w:spacing w:line="480" w:lineRule="exact"/>
        <w:ind w:firstLine="520"/>
        <w:rPr>
          <w:rFonts w:hint="default"/>
          <w:color w:val="auto"/>
          <w:highlight w:val="none"/>
        </w:rPr>
      </w:pPr>
      <w:r>
        <w:rPr>
          <w:rFonts w:hint="default"/>
          <w:color w:val="auto"/>
          <w:highlight w:val="none"/>
          <w:lang w:val="en-US" w:eastAsia="zh-CN"/>
        </w:rPr>
        <w:t>⑤</w:t>
      </w:r>
      <w:r>
        <w:rPr>
          <w:rFonts w:hint="default"/>
          <w:color w:val="auto"/>
          <w:highlight w:val="none"/>
        </w:rPr>
        <w:t>在施工过程中施工船如遇到国家级和重庆市重点保护动物时，应避让并停止施工作业，并立即向管理部门报告，实施有效保护。</w:t>
      </w:r>
    </w:p>
    <w:p>
      <w:pPr>
        <w:spacing w:line="480" w:lineRule="exact"/>
        <w:ind w:firstLine="520"/>
        <w:rPr>
          <w:rFonts w:hint="default"/>
          <w:color w:val="auto"/>
          <w:highlight w:val="none"/>
        </w:rPr>
      </w:pPr>
      <w:r>
        <w:rPr>
          <w:rFonts w:hint="default"/>
          <w:color w:val="auto"/>
          <w:highlight w:val="none"/>
          <w:lang w:val="en-US" w:eastAsia="zh-CN"/>
        </w:rPr>
        <w:t xml:space="preserve">⑥ </w:t>
      </w:r>
      <w:r>
        <w:rPr>
          <w:rFonts w:hint="default"/>
          <w:color w:val="auto"/>
          <w:highlight w:val="none"/>
        </w:rPr>
        <w:t>施工</w:t>
      </w:r>
      <w:r>
        <w:rPr>
          <w:rFonts w:hint="default"/>
          <w:color w:val="auto"/>
          <w:highlight w:val="none"/>
          <w:shd w:val="clear" w:fill="FFFFFF"/>
        </w:rPr>
        <w:t>期</w:t>
      </w:r>
      <w:r>
        <w:rPr>
          <w:rFonts w:hint="default"/>
          <w:color w:val="auto"/>
          <w:highlight w:val="none"/>
        </w:rPr>
        <w:t>实施渔政监管措施。</w:t>
      </w:r>
    </w:p>
    <w:p>
      <w:pPr>
        <w:keepNext w:val="0"/>
        <w:keepLines w:val="0"/>
        <w:pageBreakBefore w:val="0"/>
        <w:widowControl w:val="0"/>
        <w:numPr>
          <w:ilvl w:val="0"/>
          <w:numId w:val="33"/>
        </w:numPr>
        <w:kinsoku/>
        <w:wordWrap/>
        <w:overflowPunct/>
        <w:topLinePunct w:val="0"/>
        <w:autoSpaceDE/>
        <w:autoSpaceDN/>
        <w:bidi w:val="0"/>
        <w:adjustRightInd/>
        <w:snapToGrid/>
        <w:textAlignment w:val="auto"/>
        <w:outlineLvl w:val="3"/>
        <w:rPr>
          <w:rFonts w:hint="default"/>
          <w:color w:val="auto"/>
          <w:highlight w:val="none"/>
        </w:rPr>
      </w:pPr>
      <w:r>
        <w:rPr>
          <w:rFonts w:hint="default"/>
          <w:color w:val="auto"/>
          <w:highlight w:val="none"/>
        </w:rPr>
        <w:t>悬浮物防治措施</w:t>
      </w:r>
    </w:p>
    <w:p>
      <w:pPr>
        <w:spacing w:line="480" w:lineRule="exact"/>
        <w:ind w:firstLine="52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严格划定作业范围，严禁跨范围施工，增大悬浮物扩散范围。根据水文和天气等，合理调整施工时间，控制水流和风速等因素增大悬浮物扩散范围。合理安排施工挖泥进度，选择悬浮物发生量少的清渣抓斗式挖泥船，最大限度地控制水下施工作业对底泥的搅动范围和强度，减少悬浮</w:t>
      </w:r>
      <w:r>
        <w:rPr>
          <w:rFonts w:hint="eastAsia" w:cs="Times New Roman"/>
          <w:bCs/>
          <w:color w:val="auto"/>
          <w:highlight w:val="none"/>
          <w:shd w:val="clear" w:fill="FFFFFF"/>
          <w:lang w:eastAsia="zh-CN"/>
        </w:rPr>
        <w:t>泥沙</w:t>
      </w:r>
      <w:r>
        <w:rPr>
          <w:rFonts w:hint="default" w:ascii="Times New Roman" w:hAnsi="Times New Roman" w:cs="Times New Roman"/>
          <w:bCs/>
          <w:color w:val="auto"/>
          <w:highlight w:val="none"/>
        </w:rPr>
        <w:t>的发生量，将施工对水体悬浮物的影响局限在尽可能小的范围内。</w:t>
      </w:r>
    </w:p>
    <w:p>
      <w:pPr>
        <w:keepNext w:val="0"/>
        <w:keepLines w:val="0"/>
        <w:pageBreakBefore w:val="0"/>
        <w:widowControl w:val="0"/>
        <w:numPr>
          <w:ilvl w:val="0"/>
          <w:numId w:val="33"/>
        </w:numPr>
        <w:kinsoku/>
        <w:wordWrap/>
        <w:overflowPunct/>
        <w:topLinePunct w:val="0"/>
        <w:autoSpaceDE/>
        <w:autoSpaceDN/>
        <w:bidi w:val="0"/>
        <w:adjustRightInd/>
        <w:snapToGrid/>
        <w:textAlignment w:val="auto"/>
        <w:outlineLvl w:val="3"/>
        <w:rPr>
          <w:rFonts w:hint="default"/>
          <w:color w:val="auto"/>
          <w:highlight w:val="none"/>
        </w:rPr>
      </w:pPr>
      <w:r>
        <w:rPr>
          <w:rFonts w:hint="eastAsia"/>
          <w:color w:val="auto"/>
          <w:highlight w:val="none"/>
          <w:lang w:val="en-US" w:eastAsia="zh-CN"/>
        </w:rPr>
        <w:t>爆破前</w:t>
      </w:r>
      <w:r>
        <w:rPr>
          <w:rFonts w:hint="default"/>
          <w:color w:val="auto"/>
          <w:highlight w:val="none"/>
        </w:rPr>
        <w:t>驱鱼措施</w:t>
      </w:r>
    </w:p>
    <w:p>
      <w:pPr>
        <w:pStyle w:val="214"/>
        <w:spacing w:beforeLines="0" w:afterLines="0"/>
        <w:ind w:firstLine="520"/>
        <w:rPr>
          <w:rFonts w:hint="default"/>
          <w:color w:val="auto"/>
          <w:sz w:val="26"/>
          <w:szCs w:val="26"/>
          <w:highlight w:val="none"/>
        </w:rPr>
      </w:pPr>
      <w:r>
        <w:rPr>
          <w:rFonts w:hint="eastAsia" w:cs="Times New Roman"/>
          <w:color w:val="auto"/>
          <w:highlight w:val="none"/>
          <w:lang w:val="en-US" w:eastAsia="zh-CN"/>
        </w:rPr>
        <w:t>爆破施工</w:t>
      </w:r>
      <w:r>
        <w:rPr>
          <w:rFonts w:hint="default" w:ascii="Times New Roman" w:hAnsi="Times New Roman" w:cs="Times New Roman"/>
          <w:color w:val="auto"/>
          <w:highlight w:val="none"/>
        </w:rPr>
        <w:t>前采用专用鱼探仪在作业区一定范围内进行扫描探测确定该区域内大型鱼类分布，并在施工前采取无损伤干扰措施对鱼类进行驱赶，以保证施工不会对该区域珍稀保护水生生物造成伤害，减轻施工对周边水生生态环境的影响。</w:t>
      </w:r>
    </w:p>
    <w:p>
      <w:pPr>
        <w:spacing w:line="480" w:lineRule="exact"/>
        <w:ind w:firstLine="520"/>
        <w:rPr>
          <w:rFonts w:hint="eastAsia"/>
          <w:color w:val="auto"/>
          <w:sz w:val="26"/>
          <w:szCs w:val="26"/>
          <w:highlight w:val="none"/>
        </w:rPr>
      </w:pPr>
      <w:r>
        <w:rPr>
          <w:rFonts w:hint="eastAsia"/>
          <w:color w:val="auto"/>
          <w:sz w:val="26"/>
          <w:szCs w:val="26"/>
          <w:highlight w:val="none"/>
        </w:rPr>
        <w:t>驱赶鱼群采用小炮驱鱼+拦鱼栅网措施，拦鱼栅网驱鱼是一种传统的驱鱼方法，栅条和网格的材料、形状及布置间距等可根据目标鱼的种类进行调整。</w:t>
      </w:r>
    </w:p>
    <w:p>
      <w:pPr>
        <w:adjustRightInd w:val="0"/>
        <w:snapToGrid w:val="0"/>
        <w:spacing w:beforeLines="0" w:afterLines="0"/>
        <w:ind w:firstLine="520"/>
        <w:rPr>
          <w:rFonts w:hint="default"/>
          <w:color w:val="auto"/>
          <w:sz w:val="26"/>
          <w:szCs w:val="28"/>
          <w:highlight w:val="none"/>
        </w:rPr>
      </w:pPr>
      <w:r>
        <w:rPr>
          <w:rFonts w:hint="eastAsia"/>
          <w:color w:val="auto"/>
          <w:sz w:val="26"/>
          <w:szCs w:val="28"/>
          <w:highlight w:val="none"/>
        </w:rPr>
        <w:t>具体方法如下：</w:t>
      </w:r>
    </w:p>
    <w:p>
      <w:pPr>
        <w:pStyle w:val="214"/>
        <w:spacing w:beforeLines="0" w:afterLines="0"/>
        <w:ind w:firstLine="520"/>
        <w:rPr>
          <w:rFonts w:hint="default"/>
          <w:color w:val="auto"/>
          <w:sz w:val="26"/>
          <w:szCs w:val="26"/>
          <w:highlight w:val="none"/>
        </w:rPr>
      </w:pPr>
      <w:r>
        <w:rPr>
          <w:rFonts w:hint="eastAsia"/>
          <w:color w:val="auto"/>
          <w:sz w:val="26"/>
          <w:szCs w:val="26"/>
          <w:highlight w:val="none"/>
        </w:rPr>
        <w:t>第一步，钻孔作业时，钻机钻孔产生的噪声以及用于排渣的压缩空气产生的大面积气泡有驱赶鱼群远离施工区的效果，所以尽量在钻孔作业结束后，立即进行爆破。若无法立即爆破，应在爆破前继续用高压空气通过钻具在河底产生大量气泡驱赶鱼群。</w:t>
      </w:r>
    </w:p>
    <w:p>
      <w:pPr>
        <w:pStyle w:val="214"/>
        <w:spacing w:beforeLines="0" w:afterLines="0"/>
        <w:ind w:firstLine="520"/>
        <w:rPr>
          <w:rFonts w:hint="default"/>
          <w:color w:val="auto"/>
          <w:sz w:val="26"/>
          <w:szCs w:val="26"/>
          <w:highlight w:val="none"/>
        </w:rPr>
      </w:pPr>
      <w:r>
        <w:rPr>
          <w:rFonts w:hint="eastAsia"/>
          <w:color w:val="auto"/>
          <w:sz w:val="26"/>
          <w:szCs w:val="26"/>
          <w:highlight w:val="none"/>
        </w:rPr>
        <w:t>第二步，在爆破区沿同心圆状布设驱鱼点，以小炮驱鱼，小炮仅采用</w:t>
      </w:r>
      <w:r>
        <w:rPr>
          <w:rFonts w:hint="default"/>
          <w:color w:val="auto"/>
          <w:sz w:val="26"/>
          <w:szCs w:val="26"/>
          <w:highlight w:val="none"/>
        </w:rPr>
        <w:t>1</w:t>
      </w:r>
      <w:r>
        <w:rPr>
          <w:rFonts w:hint="eastAsia"/>
          <w:color w:val="auto"/>
          <w:sz w:val="26"/>
          <w:szCs w:val="26"/>
          <w:highlight w:val="none"/>
        </w:rPr>
        <w:t>发雷管，在水中产生较小的声响，对鱼群没有危害，但能达到驱赶鱼群的作用。</w:t>
      </w:r>
    </w:p>
    <w:p>
      <w:pPr>
        <w:pStyle w:val="214"/>
        <w:spacing w:beforeLines="0" w:afterLines="0"/>
        <w:ind w:firstLine="520"/>
        <w:rPr>
          <w:rFonts w:hint="default"/>
          <w:color w:val="auto"/>
          <w:sz w:val="26"/>
          <w:szCs w:val="26"/>
          <w:highlight w:val="none"/>
        </w:rPr>
      </w:pPr>
      <w:r>
        <w:rPr>
          <w:rFonts w:hint="eastAsia"/>
          <w:color w:val="auto"/>
          <w:sz w:val="26"/>
          <w:szCs w:val="26"/>
          <w:highlight w:val="none"/>
        </w:rPr>
        <w:t>第三步，赶至一段距离后，用拦网拦住继续驱赶，直至清礁区或</w:t>
      </w:r>
      <w:r>
        <w:rPr>
          <w:rFonts w:hint="eastAsia"/>
          <w:color w:val="auto"/>
          <w:sz w:val="26"/>
          <w:szCs w:val="26"/>
          <w:highlight w:val="none"/>
          <w:shd w:val="clear" w:fill="FFFFFF"/>
          <w:lang w:eastAsia="zh-CN"/>
        </w:rPr>
        <w:t>抛</w:t>
      </w:r>
      <w:r>
        <w:rPr>
          <w:rFonts w:hint="eastAsia"/>
          <w:color w:val="auto"/>
          <w:sz w:val="26"/>
          <w:szCs w:val="26"/>
          <w:highlight w:val="none"/>
        </w:rPr>
        <w:t>填区用拦网围住，使鱼在施工作业时不再返回施工区域。</w:t>
      </w:r>
    </w:p>
    <w:p>
      <w:pPr>
        <w:spacing w:beforeLines="0" w:afterLines="0" w:line="480" w:lineRule="exact"/>
        <w:ind w:firstLine="520"/>
        <w:rPr>
          <w:rFonts w:hint="default"/>
          <w:color w:val="auto"/>
          <w:sz w:val="26"/>
          <w:szCs w:val="26"/>
          <w:highlight w:val="none"/>
        </w:rPr>
      </w:pPr>
      <w:r>
        <w:rPr>
          <w:rFonts w:hint="eastAsia"/>
          <w:color w:val="auto"/>
          <w:sz w:val="26"/>
          <w:szCs w:val="26"/>
          <w:highlight w:val="none"/>
        </w:rPr>
        <w:t>鱼群驱赶出施工区后，应在</w:t>
      </w:r>
      <w:r>
        <w:rPr>
          <w:rFonts w:hint="default"/>
          <w:color w:val="auto"/>
          <w:sz w:val="26"/>
          <w:szCs w:val="26"/>
          <w:highlight w:val="none"/>
        </w:rPr>
        <w:t>10</w:t>
      </w:r>
      <w:r>
        <w:rPr>
          <w:rFonts w:hint="eastAsia"/>
          <w:color w:val="auto"/>
          <w:sz w:val="26"/>
          <w:szCs w:val="26"/>
          <w:highlight w:val="none"/>
        </w:rPr>
        <w:t>分钟之内起爆，避免鱼类回游。驱鱼小炮布点及小炮驱鱼活动可结合爆破区域外围各警戒点或警戒船一并进行。</w:t>
      </w:r>
    </w:p>
    <w:p>
      <w:pPr>
        <w:keepNext w:val="0"/>
        <w:keepLines w:val="0"/>
        <w:pageBreakBefore w:val="0"/>
        <w:widowControl w:val="0"/>
        <w:numPr>
          <w:ilvl w:val="0"/>
          <w:numId w:val="33"/>
        </w:numPr>
        <w:kinsoku/>
        <w:wordWrap/>
        <w:overflowPunct/>
        <w:topLinePunct w:val="0"/>
        <w:autoSpaceDE/>
        <w:autoSpaceDN/>
        <w:bidi w:val="0"/>
        <w:adjustRightInd/>
        <w:snapToGrid/>
        <w:textAlignment w:val="auto"/>
        <w:outlineLvl w:val="3"/>
        <w:rPr>
          <w:rFonts w:hint="default"/>
          <w:color w:val="auto"/>
          <w:highlight w:val="none"/>
        </w:rPr>
      </w:pPr>
      <w:r>
        <w:rPr>
          <w:rFonts w:hint="eastAsia"/>
          <w:color w:val="auto"/>
          <w:highlight w:val="none"/>
        </w:rPr>
        <w:t>优化</w:t>
      </w:r>
      <w:r>
        <w:rPr>
          <w:rFonts w:hint="eastAsia"/>
          <w:color w:val="auto"/>
          <w:highlight w:val="none"/>
          <w:lang w:val="en-US" w:eastAsia="zh-CN"/>
        </w:rPr>
        <w:t>爆破</w:t>
      </w:r>
      <w:r>
        <w:rPr>
          <w:rFonts w:hint="eastAsia"/>
          <w:color w:val="auto"/>
          <w:highlight w:val="none"/>
        </w:rPr>
        <w:t>工艺</w:t>
      </w:r>
    </w:p>
    <w:p>
      <w:pPr>
        <w:spacing w:beforeLines="0" w:afterLines="0" w:line="480" w:lineRule="exact"/>
        <w:ind w:firstLine="520"/>
        <w:rPr>
          <w:rFonts w:hint="default"/>
          <w:color w:val="auto"/>
          <w:sz w:val="26"/>
          <w:szCs w:val="26"/>
          <w:highlight w:val="none"/>
        </w:rPr>
      </w:pPr>
      <w:r>
        <w:rPr>
          <w:rFonts w:hint="eastAsia"/>
          <w:color w:val="auto"/>
          <w:sz w:val="26"/>
          <w:szCs w:val="26"/>
          <w:highlight w:val="none"/>
        </w:rPr>
        <w:t>在水下爆破施工中，能够保证鱼类与爆炸点有足够的安全距离是减轻爆破不利影响的最好办法之一。但是，并不是所有的爆破施工都能够做到这一点。因此，在这种情况下，采取其他措施以减小施工对周围鱼类产生的影响很有必要。研究表明，通过采取适当措施，精心设计爆破方案，优化爆破工艺，减少爆炸产生的压强、冲量向水域中的传播，减小对鱼类的影响。</w:t>
      </w:r>
    </w:p>
    <w:p>
      <w:pPr>
        <w:spacing w:beforeLines="0" w:afterLines="0" w:line="480" w:lineRule="exact"/>
        <w:ind w:firstLine="520"/>
        <w:rPr>
          <w:rFonts w:hint="default"/>
          <w:color w:val="auto"/>
          <w:sz w:val="26"/>
          <w:szCs w:val="26"/>
          <w:highlight w:val="none"/>
        </w:rPr>
      </w:pPr>
      <w:r>
        <w:rPr>
          <w:rFonts w:hint="eastAsia"/>
          <w:color w:val="auto"/>
          <w:sz w:val="26"/>
          <w:szCs w:val="26"/>
          <w:highlight w:val="none"/>
        </w:rPr>
        <w:t>采用先进的施工技术，采用深孔松动爆破、微差爆破技术工艺，控制炸药用量，选用低威力、低爆速的炸药—乳化炸药。合理安排施工挖泥进度，最大限度地控制水下施工作业对底泥的搅动范围和强度，减少悬浮</w:t>
      </w:r>
      <w:r>
        <w:rPr>
          <w:rFonts w:hint="eastAsia"/>
          <w:color w:val="auto"/>
          <w:sz w:val="26"/>
          <w:szCs w:val="26"/>
          <w:highlight w:val="none"/>
          <w:shd w:val="clear" w:fill="FFFFFF"/>
          <w:lang w:eastAsia="zh-CN"/>
        </w:rPr>
        <w:t>泥沙</w:t>
      </w:r>
      <w:r>
        <w:rPr>
          <w:rFonts w:hint="eastAsia"/>
          <w:color w:val="auto"/>
          <w:sz w:val="26"/>
          <w:szCs w:val="26"/>
          <w:highlight w:val="none"/>
        </w:rPr>
        <w:t>的发生量。</w:t>
      </w:r>
    </w:p>
    <w:p>
      <w:pPr>
        <w:spacing w:beforeLines="0" w:afterLines="0" w:line="480" w:lineRule="exact"/>
        <w:ind w:firstLine="520"/>
        <w:rPr>
          <w:rFonts w:hint="default"/>
          <w:color w:val="auto"/>
          <w:sz w:val="26"/>
          <w:szCs w:val="26"/>
          <w:highlight w:val="none"/>
        </w:rPr>
      </w:pPr>
      <w:r>
        <w:rPr>
          <w:rFonts w:hint="eastAsia"/>
          <w:color w:val="auto"/>
          <w:sz w:val="26"/>
          <w:szCs w:val="26"/>
          <w:highlight w:val="none"/>
        </w:rPr>
        <w:t>①深孔松动控制爆破</w:t>
      </w:r>
    </w:p>
    <w:p>
      <w:pPr>
        <w:spacing w:beforeLines="0" w:afterLines="0" w:line="480" w:lineRule="exact"/>
        <w:ind w:firstLine="520"/>
        <w:rPr>
          <w:rFonts w:hint="default"/>
          <w:color w:val="auto"/>
          <w:sz w:val="26"/>
          <w:szCs w:val="26"/>
          <w:highlight w:val="none"/>
        </w:rPr>
      </w:pPr>
      <w:r>
        <w:rPr>
          <w:rFonts w:hint="eastAsia"/>
          <w:color w:val="auto"/>
          <w:sz w:val="26"/>
          <w:szCs w:val="26"/>
          <w:highlight w:val="none"/>
        </w:rPr>
        <w:t>深孔松动控制爆破，只允许爆破的岩石松动破碎，而不出现</w:t>
      </w:r>
      <w:r>
        <w:rPr>
          <w:rFonts w:hint="eastAsia"/>
          <w:color w:val="auto"/>
          <w:sz w:val="26"/>
          <w:szCs w:val="26"/>
          <w:highlight w:val="none"/>
          <w:shd w:val="clear" w:fill="FFFFFF"/>
          <w:lang w:eastAsia="zh-CN"/>
        </w:rPr>
        <w:t>抛撒</w:t>
      </w:r>
      <w:r>
        <w:rPr>
          <w:rFonts w:hint="eastAsia"/>
          <w:color w:val="auto"/>
          <w:sz w:val="26"/>
          <w:szCs w:val="26"/>
          <w:highlight w:val="none"/>
        </w:rPr>
        <w:t>现象和爆破飞石。深孔松动控制爆破即使在复杂的环境条件下实施也相对安全，这是常规深孔爆破无法比拟的。</w:t>
      </w:r>
    </w:p>
    <w:p>
      <w:pPr>
        <w:spacing w:beforeLines="0" w:afterLines="0" w:line="480" w:lineRule="exact"/>
        <w:ind w:firstLine="520"/>
        <w:rPr>
          <w:rFonts w:hint="default"/>
          <w:color w:val="auto"/>
          <w:sz w:val="26"/>
          <w:szCs w:val="26"/>
          <w:highlight w:val="none"/>
        </w:rPr>
      </w:pPr>
      <w:r>
        <w:rPr>
          <w:rFonts w:hint="eastAsia"/>
          <w:color w:val="auto"/>
          <w:sz w:val="26"/>
          <w:szCs w:val="26"/>
          <w:highlight w:val="none"/>
        </w:rPr>
        <w:t>②微差爆破</w:t>
      </w:r>
    </w:p>
    <w:p>
      <w:pPr>
        <w:spacing w:beforeLines="0" w:afterLines="0" w:line="480" w:lineRule="exact"/>
        <w:ind w:firstLine="520"/>
        <w:rPr>
          <w:rFonts w:hint="default"/>
          <w:color w:val="auto"/>
          <w:sz w:val="26"/>
          <w:szCs w:val="26"/>
          <w:highlight w:val="none"/>
        </w:rPr>
      </w:pPr>
      <w:r>
        <w:rPr>
          <w:rFonts w:hint="eastAsia"/>
          <w:color w:val="auto"/>
          <w:sz w:val="26"/>
          <w:szCs w:val="26"/>
          <w:highlight w:val="none"/>
        </w:rPr>
        <w:t>微差爆破的优点是改善爆破效果和破碎质量，降低炸药单耗，降低爆破地震波，减少后冲，且爆堆集中适于快速</w:t>
      </w:r>
      <w:r>
        <w:rPr>
          <w:rFonts w:hint="eastAsia"/>
          <w:color w:val="auto"/>
          <w:sz w:val="26"/>
          <w:szCs w:val="26"/>
          <w:highlight w:val="none"/>
          <w:shd w:val="clear" w:fill="FFFFFF"/>
        </w:rPr>
        <w:t>挖装</w:t>
      </w:r>
      <w:r>
        <w:rPr>
          <w:rFonts w:hint="eastAsia"/>
          <w:color w:val="auto"/>
          <w:sz w:val="26"/>
          <w:szCs w:val="26"/>
          <w:highlight w:val="none"/>
        </w:rPr>
        <w:t>等。为了将施工期对鱼类的不利影响降至最低限度，根据目前国内外先进的航道施工和炸礁技术，可采用水下钻孔多段延时爆破即微差爆破。</w:t>
      </w:r>
    </w:p>
    <w:p>
      <w:pPr>
        <w:spacing w:beforeLines="0" w:afterLines="0" w:line="480" w:lineRule="exact"/>
        <w:ind w:firstLine="520"/>
        <w:rPr>
          <w:rFonts w:hint="default"/>
          <w:color w:val="auto"/>
          <w:sz w:val="26"/>
          <w:szCs w:val="26"/>
          <w:highlight w:val="none"/>
        </w:rPr>
      </w:pPr>
      <w:r>
        <w:rPr>
          <w:rFonts w:hint="eastAsia"/>
          <w:color w:val="auto"/>
          <w:sz w:val="26"/>
          <w:szCs w:val="26"/>
          <w:highlight w:val="none"/>
        </w:rPr>
        <w:t>③限制一次爆破最大用药量</w:t>
      </w:r>
    </w:p>
    <w:p>
      <w:pPr>
        <w:spacing w:beforeLines="0" w:afterLines="0" w:line="480" w:lineRule="exact"/>
        <w:ind w:firstLine="520"/>
        <w:rPr>
          <w:rFonts w:hint="default"/>
          <w:color w:val="auto"/>
          <w:sz w:val="26"/>
          <w:szCs w:val="26"/>
          <w:highlight w:val="none"/>
        </w:rPr>
      </w:pPr>
      <w:r>
        <w:rPr>
          <w:rFonts w:hint="eastAsia"/>
          <w:color w:val="auto"/>
          <w:sz w:val="26"/>
          <w:szCs w:val="26"/>
          <w:highlight w:val="none"/>
        </w:rPr>
        <w:t>严格控制炸药使用量，减少</w:t>
      </w:r>
      <w:r>
        <w:rPr>
          <w:rFonts w:hint="eastAsia"/>
          <w:color w:val="auto"/>
          <w:sz w:val="26"/>
          <w:szCs w:val="26"/>
          <w:highlight w:val="none"/>
          <w:lang w:val="en-US" w:eastAsia="zh-CN"/>
        </w:rPr>
        <w:t>爆破</w:t>
      </w:r>
      <w:r>
        <w:rPr>
          <w:rFonts w:hint="eastAsia"/>
          <w:color w:val="auto"/>
          <w:sz w:val="26"/>
          <w:szCs w:val="26"/>
          <w:highlight w:val="none"/>
        </w:rPr>
        <w:t>作业产生的冲击波对鱼类的影响。通过优化起爆网络、控制一次性起爆药量的办法来减震。单孔装药量小于2.5kg，一次爆破最大用药量控制在100kg以内。</w:t>
      </w:r>
    </w:p>
    <w:p>
      <w:pPr>
        <w:keepNext w:val="0"/>
        <w:keepLines w:val="0"/>
        <w:pageBreakBefore w:val="0"/>
        <w:widowControl w:val="0"/>
        <w:numPr>
          <w:ilvl w:val="0"/>
          <w:numId w:val="33"/>
        </w:numPr>
        <w:kinsoku/>
        <w:wordWrap/>
        <w:overflowPunct/>
        <w:topLinePunct w:val="0"/>
        <w:autoSpaceDE/>
        <w:autoSpaceDN/>
        <w:bidi w:val="0"/>
        <w:adjustRightInd/>
        <w:snapToGrid/>
        <w:textAlignment w:val="auto"/>
        <w:outlineLvl w:val="3"/>
        <w:rPr>
          <w:rFonts w:hint="default"/>
          <w:color w:val="auto"/>
          <w:highlight w:val="none"/>
        </w:rPr>
      </w:pPr>
      <w:r>
        <w:rPr>
          <w:rFonts w:hint="eastAsia"/>
          <w:color w:val="auto"/>
          <w:highlight w:val="none"/>
        </w:rPr>
        <w:t>气泡帷幕防护设施</w:t>
      </w:r>
    </w:p>
    <w:p>
      <w:pPr>
        <w:pStyle w:val="214"/>
        <w:spacing w:beforeLines="0" w:afterLines="0"/>
        <w:ind w:firstLine="520"/>
        <w:rPr>
          <w:rFonts w:hint="default"/>
          <w:color w:val="auto"/>
          <w:sz w:val="26"/>
          <w:szCs w:val="26"/>
          <w:highlight w:val="none"/>
        </w:rPr>
      </w:pPr>
      <w:r>
        <w:rPr>
          <w:rFonts w:hint="eastAsia"/>
          <w:color w:val="auto"/>
          <w:sz w:val="26"/>
          <w:szCs w:val="26"/>
          <w:highlight w:val="none"/>
        </w:rPr>
        <w:t>现代水下爆破工程中多使用加装气泡帷幕的方式对冲击波的传递途径加以阻隔以削减冲击波对鱼类等水生生物的危害。</w:t>
      </w:r>
    </w:p>
    <w:p>
      <w:pPr>
        <w:pStyle w:val="214"/>
        <w:spacing w:beforeLines="0" w:afterLines="0"/>
        <w:ind w:firstLine="520"/>
        <w:rPr>
          <w:rFonts w:hint="default"/>
          <w:color w:val="auto"/>
          <w:sz w:val="26"/>
          <w:szCs w:val="26"/>
          <w:highlight w:val="none"/>
        </w:rPr>
      </w:pPr>
      <w:r>
        <w:rPr>
          <w:rFonts w:hint="eastAsia"/>
          <w:color w:val="auto"/>
          <w:sz w:val="26"/>
          <w:szCs w:val="26"/>
          <w:highlight w:val="none"/>
        </w:rPr>
        <w:t>气泡帷幕技术是一种通过阻隔传播路径从而减小水下爆破冲击波危害的方法</w:t>
      </w:r>
      <w:r>
        <w:rPr>
          <w:rFonts w:hint="eastAsia"/>
          <w:color w:val="auto"/>
          <w:sz w:val="26"/>
          <w:szCs w:val="26"/>
          <w:highlight w:val="none"/>
          <w:lang w:eastAsia="zh-CN"/>
        </w:rPr>
        <w:t>，</w:t>
      </w:r>
      <w:r>
        <w:rPr>
          <w:rFonts w:hint="eastAsia"/>
          <w:color w:val="auto"/>
          <w:sz w:val="26"/>
          <w:szCs w:val="26"/>
          <w:highlight w:val="none"/>
        </w:rPr>
        <w:t>是指在爆破点与被防护对象之间合适位置架设一定数量的无缝钢管，管体上钻有数排空气发射孔。将钢管通过软管与空压机相连，爆破时打开空压机，大量气体则从发射孔涌出而由水底向水面运动形成气泡帷幕。气泡幕的阻尼效应可以通过气泡绝热压缩导致温度上升、气泡振荡以及气泡与水之间</w:t>
      </w:r>
      <w:r>
        <w:rPr>
          <w:rFonts w:hint="eastAsia"/>
          <w:color w:val="auto"/>
          <w:sz w:val="26"/>
          <w:szCs w:val="26"/>
          <w:highlight w:val="none"/>
          <w:shd w:val="clear" w:fill="FFFFFF"/>
        </w:rPr>
        <w:t>的粘性</w:t>
      </w:r>
      <w:r>
        <w:rPr>
          <w:rFonts w:hint="eastAsia"/>
          <w:color w:val="auto"/>
          <w:sz w:val="26"/>
          <w:szCs w:val="26"/>
          <w:highlight w:val="none"/>
        </w:rPr>
        <w:t>和热传递导致的能量损失、每个气泡发射稀薄波以及压缩性导致的冲击速度降低来解释。当冲击波到达帷幕时一部分能量被气泡吸收从而达到削减冲击波危害的目的。气泡幕的效率取决于其宽度和形状、空气体积和气泡大小。</w:t>
      </w:r>
    </w:p>
    <w:p>
      <w:pPr>
        <w:pStyle w:val="214"/>
        <w:spacing w:beforeLines="0" w:afterLines="0"/>
        <w:ind w:firstLine="520"/>
        <w:rPr>
          <w:rFonts w:hint="default"/>
          <w:color w:val="auto"/>
          <w:sz w:val="26"/>
          <w:szCs w:val="26"/>
          <w:highlight w:val="none"/>
        </w:rPr>
      </w:pPr>
      <w:r>
        <w:rPr>
          <w:rFonts w:hint="eastAsia"/>
          <w:color w:val="auto"/>
          <w:sz w:val="26"/>
          <w:szCs w:val="26"/>
          <w:highlight w:val="none"/>
        </w:rPr>
        <w:t>气泡帷幕对爆破冲击波的衰减效果可达到85%以上，可以有效减少冲击波对周边鱼类及生态环境的有害影响。</w:t>
      </w:r>
      <w:r>
        <w:rPr>
          <w:rFonts w:hint="eastAsia"/>
          <w:color w:val="auto"/>
          <w:sz w:val="26"/>
          <w:szCs w:val="28"/>
          <w:highlight w:val="none"/>
        </w:rPr>
        <w:t>对长江三峡水利枢纽工程下游泄水箱涵出口的水下爆破开挖工程中的气泡帷幕使用效果</w:t>
      </w:r>
      <w:r>
        <w:rPr>
          <w:rFonts w:hint="eastAsia"/>
          <w:color w:val="auto"/>
          <w:sz w:val="26"/>
          <w:szCs w:val="28"/>
          <w:highlight w:val="none"/>
          <w:shd w:val="clear" w:fill="FFFFFF"/>
          <w:lang w:eastAsia="zh-CN"/>
        </w:rPr>
        <w:t>进行</w:t>
      </w:r>
      <w:r>
        <w:rPr>
          <w:rFonts w:hint="eastAsia"/>
          <w:color w:val="auto"/>
          <w:sz w:val="26"/>
          <w:szCs w:val="28"/>
          <w:highlight w:val="none"/>
        </w:rPr>
        <w:t>研究发现，冲击波压力在经过气泡帷幕时被削减了85%~95%；</w:t>
      </w:r>
      <w:r>
        <w:rPr>
          <w:rFonts w:hint="eastAsia"/>
          <w:color w:val="auto"/>
          <w:sz w:val="26"/>
          <w:szCs w:val="26"/>
          <w:highlight w:val="none"/>
        </w:rPr>
        <w:t>根据重庆交通大学2019年在长江上游九龙坡至朝天门河段航道建设工程现场的监测数据，气泡帷幕后的冲击波峰值压力远远小于气泡帷幕前的冲击波峰值压力。在玄坛庙炸礁区进行的钻孔爆破监测实验中，气泡帷幕对冲击波峰值压力的衰减效果基本在85%以上；在玄坛庙炸礁区进行的水下裸爆监测实验中，气泡帷幕后的冲击波压力都未达到传感器的触发标准，即冲击波被衰减了99%以上，仅个别衰减效果不足50%。这充分表明冲击波在通过气泡帷幕时，被其进行了有效的衰减。因此，气泡帷幕可以用来保护爆破工程周边的鱼类以及其生境的安全，同时可以保证正常高效</w:t>
      </w:r>
      <w:r>
        <w:rPr>
          <w:rFonts w:hint="eastAsia"/>
          <w:color w:val="auto"/>
          <w:sz w:val="26"/>
          <w:szCs w:val="26"/>
          <w:highlight w:val="none"/>
          <w:shd w:val="clear" w:fill="FFFFFF"/>
          <w:lang w:eastAsia="zh-CN"/>
        </w:rPr>
        <w:t>地</w:t>
      </w:r>
      <w:r>
        <w:rPr>
          <w:rFonts w:hint="eastAsia"/>
          <w:color w:val="auto"/>
          <w:sz w:val="26"/>
          <w:szCs w:val="26"/>
          <w:highlight w:val="none"/>
        </w:rPr>
        <w:t>施工。</w:t>
      </w:r>
    </w:p>
    <w:p>
      <w:pPr>
        <w:pStyle w:val="214"/>
        <w:spacing w:beforeLines="0" w:afterLines="0"/>
        <w:ind w:firstLine="520"/>
        <w:rPr>
          <w:rFonts w:hint="default"/>
          <w:color w:val="auto"/>
          <w:sz w:val="26"/>
          <w:szCs w:val="26"/>
          <w:highlight w:val="none"/>
        </w:rPr>
      </w:pPr>
      <w:r>
        <w:rPr>
          <w:rFonts w:hint="eastAsia"/>
          <w:color w:val="auto"/>
          <w:sz w:val="26"/>
          <w:szCs w:val="26"/>
          <w:highlight w:val="none"/>
        </w:rPr>
        <w:t>因此，在本工程实施爆破作业时，施工单位应采用气泡帷幕作为有效防护手段，进一步减轻爆破作业对鱼类的损伤。</w:t>
      </w:r>
    </w:p>
    <w:p>
      <w:pPr>
        <w:pStyle w:val="214"/>
        <w:spacing w:beforeLines="0" w:afterLines="0" w:line="240" w:lineRule="auto"/>
        <w:ind w:firstLine="520"/>
        <w:jc w:val="center"/>
        <w:rPr>
          <w:rFonts w:hint="default"/>
          <w:color w:val="auto"/>
          <w:sz w:val="26"/>
          <w:szCs w:val="26"/>
          <w:highlight w:val="none"/>
        </w:rPr>
      </w:pPr>
    </w:p>
    <w:p>
      <w:pPr>
        <w:pStyle w:val="214"/>
        <w:spacing w:beforeLines="0" w:afterLines="0" w:line="240" w:lineRule="auto"/>
        <w:ind w:firstLine="0" w:firstLineChars="0"/>
        <w:jc w:val="both"/>
        <w:rPr>
          <w:rFonts w:hint="default"/>
          <w:color w:val="auto"/>
          <w:sz w:val="26"/>
          <w:szCs w:val="26"/>
          <w:highlight w:val="none"/>
        </w:rPr>
      </w:pPr>
      <w:r>
        <w:rPr>
          <w:rFonts w:hint="default"/>
          <w:color w:val="auto"/>
          <w:sz w:val="26"/>
          <w:szCs w:val="26"/>
          <w:highlight w:val="none"/>
        </w:rPr>
        <w:drawing>
          <wp:inline distT="0" distB="0" distL="114300" distR="114300">
            <wp:extent cx="5462905" cy="1903730"/>
            <wp:effectExtent l="0" t="0" r="4445" b="1270"/>
            <wp:docPr id="5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9"/>
                    <pic:cNvPicPr>
                      <a:picLocks noChangeAspect="1"/>
                    </pic:cNvPicPr>
                  </pic:nvPicPr>
                  <pic:blipFill>
                    <a:blip r:embed="rId93"/>
                    <a:stretch>
                      <a:fillRect/>
                    </a:stretch>
                  </pic:blipFill>
                  <pic:spPr>
                    <a:xfrm>
                      <a:off x="0" y="0"/>
                      <a:ext cx="5462905" cy="1903730"/>
                    </a:xfrm>
                    <a:prstGeom prst="rect">
                      <a:avLst/>
                    </a:prstGeom>
                    <a:noFill/>
                    <a:ln>
                      <a:noFill/>
                    </a:ln>
                  </pic:spPr>
                </pic:pic>
              </a:graphicData>
            </a:graphic>
          </wp:inline>
        </w:drawing>
      </w:r>
    </w:p>
    <w:p>
      <w:pPr>
        <w:pStyle w:val="214"/>
        <w:spacing w:beforeLines="0" w:afterLines="0" w:line="240" w:lineRule="auto"/>
        <w:ind w:firstLine="520"/>
        <w:jc w:val="center"/>
        <w:rPr>
          <w:rFonts w:hint="default"/>
          <w:color w:val="auto"/>
          <w:sz w:val="26"/>
          <w:szCs w:val="26"/>
          <w:highlight w:val="none"/>
        </w:rPr>
      </w:pPr>
      <w:r>
        <w:rPr>
          <w:rFonts w:hint="eastAsia"/>
          <w:color w:val="auto"/>
          <w:sz w:val="26"/>
          <w:szCs w:val="26"/>
          <w:highlight w:val="none"/>
        </w:rPr>
        <w:t xml:space="preserve"> </w:t>
      </w:r>
      <w:r>
        <w:rPr>
          <w:rFonts w:hint="eastAsia"/>
          <w:color w:val="auto"/>
          <w:sz w:val="26"/>
          <w:szCs w:val="26"/>
          <w:highlight w:val="none"/>
          <w:lang w:eastAsia="zh-CN"/>
        </w:rPr>
        <w:t>图</w:t>
      </w:r>
      <w:r>
        <w:rPr>
          <w:rFonts w:hint="eastAsia"/>
          <w:color w:val="auto"/>
          <w:sz w:val="26"/>
          <w:szCs w:val="26"/>
          <w:highlight w:val="none"/>
          <w:lang w:val="en-US" w:eastAsia="zh-CN"/>
        </w:rPr>
        <w:t xml:space="preserve">5.3.2-1  </w:t>
      </w:r>
      <w:r>
        <w:rPr>
          <w:rFonts w:hint="eastAsia"/>
          <w:color w:val="auto"/>
          <w:sz w:val="26"/>
          <w:szCs w:val="26"/>
          <w:highlight w:val="none"/>
        </w:rPr>
        <w:t>气泡帷幕技术示意图</w:t>
      </w:r>
    </w:p>
    <w:p>
      <w:pPr>
        <w:pStyle w:val="214"/>
        <w:spacing w:beforeLines="0" w:afterLines="0" w:line="240" w:lineRule="auto"/>
        <w:ind w:firstLine="0" w:firstLineChars="0"/>
        <w:jc w:val="center"/>
        <w:rPr>
          <w:rFonts w:hint="default"/>
          <w:color w:val="auto"/>
          <w:sz w:val="26"/>
          <w:szCs w:val="26"/>
          <w:highlight w:val="none"/>
        </w:rPr>
      </w:pPr>
      <w:r>
        <w:rPr>
          <w:rFonts w:hint="default"/>
          <w:color w:val="auto"/>
          <w:sz w:val="26"/>
          <w:szCs w:val="26"/>
          <w:highlight w:val="none"/>
        </w:rPr>
        <w:drawing>
          <wp:inline distT="0" distB="0" distL="114300" distR="114300">
            <wp:extent cx="5392420" cy="1729740"/>
            <wp:effectExtent l="9525" t="9525" r="27305" b="13335"/>
            <wp:docPr id="61" name="图片 2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8675"/>
                    <pic:cNvPicPr>
                      <a:picLocks noChangeAspect="1"/>
                    </pic:cNvPicPr>
                  </pic:nvPicPr>
                  <pic:blipFill>
                    <a:blip r:embed="rId94"/>
                    <a:srcRect t="7869" b="8557"/>
                    <a:stretch>
                      <a:fillRect/>
                    </a:stretch>
                  </pic:blipFill>
                  <pic:spPr>
                    <a:xfrm>
                      <a:off x="0" y="0"/>
                      <a:ext cx="5392420" cy="1729740"/>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214"/>
        <w:spacing w:beforeLines="0" w:afterLines="0" w:line="240" w:lineRule="auto"/>
        <w:ind w:firstLine="520"/>
        <w:jc w:val="center"/>
        <w:rPr>
          <w:rFonts w:hint="default"/>
          <w:color w:val="auto"/>
          <w:sz w:val="26"/>
          <w:szCs w:val="26"/>
          <w:highlight w:val="none"/>
        </w:rPr>
      </w:pPr>
      <w:r>
        <w:rPr>
          <w:rFonts w:hint="eastAsia"/>
          <w:color w:val="auto"/>
          <w:sz w:val="26"/>
          <w:szCs w:val="26"/>
          <w:highlight w:val="none"/>
        </w:rPr>
        <w:t xml:space="preserve"> </w:t>
      </w:r>
      <w:r>
        <w:rPr>
          <w:rFonts w:hint="eastAsia"/>
          <w:color w:val="auto"/>
          <w:sz w:val="26"/>
          <w:szCs w:val="26"/>
          <w:highlight w:val="none"/>
          <w:lang w:eastAsia="zh-CN"/>
        </w:rPr>
        <w:t>图</w:t>
      </w:r>
      <w:r>
        <w:rPr>
          <w:rFonts w:hint="eastAsia"/>
          <w:color w:val="auto"/>
          <w:sz w:val="26"/>
          <w:szCs w:val="26"/>
          <w:highlight w:val="none"/>
          <w:lang w:val="en-US" w:eastAsia="zh-CN"/>
        </w:rPr>
        <w:t xml:space="preserve">5.3.2-2  </w:t>
      </w:r>
      <w:r>
        <w:rPr>
          <w:rFonts w:hint="eastAsia"/>
          <w:color w:val="auto"/>
          <w:sz w:val="26"/>
          <w:szCs w:val="26"/>
          <w:highlight w:val="none"/>
        </w:rPr>
        <w:t>气泡帷幕装置示意图</w:t>
      </w:r>
    </w:p>
    <w:p>
      <w:pPr>
        <w:pStyle w:val="214"/>
        <w:spacing w:beforeLines="0" w:afterLines="0" w:line="240" w:lineRule="auto"/>
        <w:ind w:firstLine="520"/>
        <w:jc w:val="center"/>
        <w:rPr>
          <w:rFonts w:hint="default"/>
          <w:color w:val="auto"/>
          <w:sz w:val="26"/>
          <w:szCs w:val="26"/>
          <w:highlight w:val="none"/>
        </w:rPr>
      </w:pPr>
    </w:p>
    <w:p>
      <w:pPr>
        <w:keepNext w:val="0"/>
        <w:keepLines w:val="0"/>
        <w:pageBreakBefore w:val="0"/>
        <w:widowControl w:val="0"/>
        <w:numPr>
          <w:ilvl w:val="0"/>
          <w:numId w:val="33"/>
        </w:numPr>
        <w:kinsoku/>
        <w:wordWrap/>
        <w:overflowPunct/>
        <w:topLinePunct w:val="0"/>
        <w:autoSpaceDE/>
        <w:autoSpaceDN/>
        <w:bidi w:val="0"/>
        <w:adjustRightInd/>
        <w:snapToGrid/>
        <w:textAlignment w:val="auto"/>
        <w:outlineLvl w:val="3"/>
        <w:rPr>
          <w:rFonts w:hint="default"/>
          <w:color w:val="auto"/>
          <w:highlight w:val="none"/>
        </w:rPr>
      </w:pPr>
      <w:r>
        <w:rPr>
          <w:rFonts w:hint="eastAsia"/>
          <w:color w:val="auto"/>
          <w:highlight w:val="none"/>
        </w:rPr>
        <w:t>渔政监管措施</w:t>
      </w:r>
    </w:p>
    <w:p>
      <w:pPr>
        <w:pStyle w:val="197"/>
        <w:numPr>
          <w:ilvl w:val="0"/>
          <w:numId w:val="0"/>
        </w:numPr>
        <w:tabs>
          <w:tab w:val="left" w:pos="1240"/>
        </w:tabs>
        <w:spacing w:beforeLines="0" w:afterLines="0"/>
        <w:ind w:firstLine="520"/>
        <w:jc w:val="both"/>
        <w:rPr>
          <w:rFonts w:hint="eastAsia"/>
          <w:color w:val="auto"/>
          <w:sz w:val="26"/>
          <w:szCs w:val="26"/>
          <w:highlight w:val="none"/>
        </w:rPr>
      </w:pPr>
      <w:r>
        <w:rPr>
          <w:rFonts w:hint="eastAsia"/>
          <w:color w:val="auto"/>
          <w:sz w:val="26"/>
          <w:szCs w:val="26"/>
          <w:highlight w:val="none"/>
        </w:rPr>
        <w:t>施工期需实施渔政监管措施，具体内容包括：爆破实施前，应通知渔业行政主管部门派专业人员现场监督指导。爆破时，先用小药量进行爆破，爆破完要仔细观察爆破周围是否造成鱼类死亡，如果没有，可以逐渐加大药量，减少爆破对鱼类的伤害。爆破实施后，应派专人立即对爆破点上下游1km的江段进行巡查，适时掌握和反馈爆破对鱼类的损伤情况。若发现有保护鱼类死亡或一定数量的其他非保护鱼类受伤或死亡的情况，应立即停止爆破并重新调整爆破方案。同时，如发现有受伤的保护鱼类，应立即进行救护。</w:t>
      </w:r>
    </w:p>
    <w:p>
      <w:pPr>
        <w:keepNext w:val="0"/>
        <w:keepLines w:val="0"/>
        <w:pageBreakBefore w:val="0"/>
        <w:widowControl w:val="0"/>
        <w:numPr>
          <w:ilvl w:val="0"/>
          <w:numId w:val="33"/>
        </w:numPr>
        <w:kinsoku/>
        <w:wordWrap/>
        <w:overflowPunct/>
        <w:topLinePunct w:val="0"/>
        <w:autoSpaceDE/>
        <w:autoSpaceDN/>
        <w:bidi w:val="0"/>
        <w:adjustRightInd/>
        <w:snapToGrid/>
        <w:textAlignment w:val="auto"/>
        <w:outlineLvl w:val="3"/>
        <w:rPr>
          <w:rFonts w:hint="default"/>
          <w:color w:val="auto"/>
          <w:highlight w:val="none"/>
        </w:rPr>
      </w:pPr>
      <w:r>
        <w:rPr>
          <w:rFonts w:hint="default"/>
          <w:color w:val="auto"/>
          <w:highlight w:val="none"/>
        </w:rPr>
        <w:t>鱼类救护措施</w:t>
      </w:r>
    </w:p>
    <w:p>
      <w:pPr>
        <w:pStyle w:val="197"/>
        <w:numPr>
          <w:ilvl w:val="255"/>
          <w:numId w:val="0"/>
        </w:numPr>
        <w:tabs>
          <w:tab w:val="left" w:pos="1240"/>
        </w:tabs>
        <w:ind w:firstLine="520" w:firstLineChars="200"/>
        <w:jc w:val="both"/>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施工期间如发生与本工程有关的水生态环境和珍稀保护动物受损，应及时启动相应级别的应急预案。为此，工程建设方应会同管理机构编制环境风险应急规划和重点保护鱼类意外伤害紧急救护预案，指定相关人员和船舶作为紧急救护运输船；应与区渔业行政管理部门建立紧急救护协调机制，一旦发生风险事故或珍稀鱼类意外伤害事故，应立即报告区渔业行政管理部门，启动紧急救护机制，利用渔政船舶和已建成的保护站进行救护，将环境风险降到最低。</w:t>
      </w:r>
    </w:p>
    <w:p>
      <w:pPr>
        <w:numPr>
          <w:ilvl w:val="0"/>
          <w:numId w:val="33"/>
        </w:numPr>
        <w:spacing w:beforeLines="0" w:afterLines="0"/>
        <w:ind w:firstLine="200"/>
        <w:outlineLvl w:val="3"/>
        <w:rPr>
          <w:rFonts w:hint="eastAsia"/>
          <w:color w:val="auto"/>
          <w:sz w:val="26"/>
          <w:szCs w:val="24"/>
          <w:highlight w:val="none"/>
        </w:rPr>
      </w:pPr>
      <w:r>
        <w:rPr>
          <w:rFonts w:hint="eastAsia"/>
          <w:color w:val="auto"/>
          <w:sz w:val="26"/>
          <w:szCs w:val="24"/>
          <w:highlight w:val="none"/>
          <w:lang w:val="en-US" w:eastAsia="zh-CN"/>
        </w:rPr>
        <w:t>鱼类增殖放流</w:t>
      </w:r>
    </w:p>
    <w:p>
      <w:pPr>
        <w:pStyle w:val="197"/>
        <w:numPr>
          <w:ilvl w:val="255"/>
          <w:numId w:val="0"/>
        </w:numPr>
        <w:tabs>
          <w:tab w:val="left" w:pos="1240"/>
        </w:tabs>
        <w:ind w:firstLine="520" w:firstLineChars="200"/>
        <w:jc w:val="both"/>
        <w:rPr>
          <w:rFonts w:hint="default" w:ascii="Times New Roman" w:hAnsi="Times New Roman" w:cs="Times New Roman"/>
          <w:bCs/>
          <w:color w:val="auto"/>
          <w:highlight w:val="none"/>
        </w:rPr>
      </w:pPr>
      <w:r>
        <w:rPr>
          <w:rFonts w:hint="eastAsia" w:ascii="Times New Roman" w:hAnsi="Times New Roman" w:cs="Times New Roman"/>
          <w:bCs/>
          <w:color w:val="auto"/>
          <w:highlight w:val="none"/>
        </w:rPr>
        <w:t>工程的建设和运营对流域内鱼类资源会造成一定损失，实施鱼类增殖放流可以在一定程度上弥补该损失。</w:t>
      </w:r>
    </w:p>
    <w:p>
      <w:pPr>
        <w:pStyle w:val="197"/>
        <w:numPr>
          <w:ilvl w:val="255"/>
          <w:numId w:val="0"/>
        </w:numPr>
        <w:tabs>
          <w:tab w:val="left" w:pos="1240"/>
        </w:tabs>
        <w:ind w:firstLine="520" w:firstLineChars="200"/>
        <w:jc w:val="both"/>
        <w:rPr>
          <w:rFonts w:hint="default" w:ascii="Times New Roman" w:hAnsi="Times New Roman" w:cs="Times New Roman"/>
          <w:bCs/>
          <w:color w:val="auto"/>
          <w:highlight w:val="none"/>
        </w:rPr>
      </w:pPr>
      <w:r>
        <w:rPr>
          <w:rFonts w:hint="eastAsia" w:ascii="Times New Roman" w:hAnsi="Times New Roman" w:cs="Times New Roman"/>
          <w:bCs/>
          <w:color w:val="auto"/>
          <w:highlight w:val="none"/>
        </w:rPr>
        <w:t>放流种类的选择原则是：资源量少，濒危物种，繁殖条件特殊、人工繁殖已获得成功</w:t>
      </w:r>
      <w:r>
        <w:rPr>
          <w:rFonts w:hint="eastAsia" w:cs="Times New Roman"/>
          <w:bCs/>
          <w:color w:val="auto"/>
          <w:highlight w:val="none"/>
          <w:shd w:val="clear" w:fill="FFFFFF"/>
          <w:lang w:eastAsia="zh-CN"/>
        </w:rPr>
        <w:t>，具</w:t>
      </w:r>
      <w:r>
        <w:rPr>
          <w:rFonts w:hint="eastAsia" w:ascii="Times New Roman" w:hAnsi="Times New Roman" w:cs="Times New Roman"/>
          <w:bCs/>
          <w:color w:val="auto"/>
          <w:highlight w:val="none"/>
        </w:rPr>
        <w:t>有稳定的苗种来源、对渔业资源有补充作用。对比鱼类历史资料分析，涪江段梯级开发后，岩原鲤和胭脂鱼的资源量明显减少。此外，部分长江上游特有鱼类以及重要经济鱼类的资源量也明显减少。结合鱼类特性及涪江生境现状，本研究建议选定岩原鲤和厚颌鲂为放流种类。</w:t>
      </w:r>
    </w:p>
    <w:p>
      <w:pPr>
        <w:pStyle w:val="197"/>
        <w:numPr>
          <w:ilvl w:val="255"/>
          <w:numId w:val="0"/>
        </w:numPr>
        <w:tabs>
          <w:tab w:val="left" w:pos="1240"/>
        </w:tabs>
        <w:ind w:firstLine="520" w:firstLineChars="200"/>
        <w:jc w:val="both"/>
        <w:rPr>
          <w:rFonts w:hint="eastAsia" w:ascii="Times New Roman" w:hAnsi="Times New Roman" w:cs="Times New Roman"/>
          <w:bCs/>
          <w:color w:val="auto"/>
          <w:highlight w:val="none"/>
        </w:rPr>
      </w:pPr>
      <w:r>
        <w:rPr>
          <w:rFonts w:hint="eastAsia" w:ascii="Times New Roman" w:hAnsi="Times New Roman" w:cs="Times New Roman"/>
          <w:bCs/>
          <w:color w:val="auto"/>
          <w:highlight w:val="none"/>
        </w:rPr>
        <w:t>为了保证放流鱼种的成活率，放流规格应为体长10cm以上的大规格鱼种。拟增殖放流苗种总数为6万尾，放流计划见下表。</w:t>
      </w:r>
    </w:p>
    <w:p>
      <w:pPr>
        <w:pStyle w:val="197"/>
        <w:numPr>
          <w:ilvl w:val="255"/>
          <w:numId w:val="0"/>
        </w:numPr>
        <w:tabs>
          <w:tab w:val="left" w:pos="1240"/>
        </w:tabs>
        <w:spacing w:line="240" w:lineRule="auto"/>
        <w:ind w:firstLine="520" w:firstLineChars="200"/>
        <w:jc w:val="both"/>
        <w:rPr>
          <w:rFonts w:hint="eastAsia" w:ascii="Times New Roman" w:hAnsi="Times New Roman" w:cs="Times New Roman"/>
          <w:bCs/>
          <w:color w:val="auto"/>
          <w:highlight w:val="none"/>
        </w:rPr>
      </w:pPr>
    </w:p>
    <w:p>
      <w:pPr>
        <w:tabs>
          <w:tab w:val="left" w:pos="2549"/>
        </w:tabs>
        <w:spacing w:beforeLines="0" w:afterLines="0" w:line="240" w:lineRule="auto"/>
        <w:ind w:right="102"/>
        <w:jc w:val="center"/>
        <w:rPr>
          <w:rFonts w:hint="default" w:ascii="Times New Roman" w:hAnsi="Times New Roman"/>
          <w:b/>
          <w:color w:val="auto"/>
          <w:sz w:val="26"/>
          <w:szCs w:val="26"/>
          <w:highlight w:val="none"/>
        </w:rPr>
      </w:pPr>
      <w:r>
        <w:rPr>
          <w:rFonts w:hint="eastAsia" w:ascii="Times New Roman" w:hAnsi="Times New Roman"/>
          <w:b/>
          <w:color w:val="auto"/>
          <w:sz w:val="26"/>
          <w:szCs w:val="26"/>
          <w:highlight w:val="none"/>
        </w:rPr>
        <w:t>表</w:t>
      </w:r>
      <w:r>
        <w:rPr>
          <w:rFonts w:hint="eastAsia" w:ascii="Times New Roman" w:hAnsi="Times New Roman"/>
          <w:b/>
          <w:color w:val="auto"/>
          <w:sz w:val="26"/>
          <w:szCs w:val="26"/>
          <w:highlight w:val="none"/>
          <w:lang w:eastAsia="zh-CN"/>
        </w:rPr>
        <w:t>5</w:t>
      </w:r>
      <w:r>
        <w:rPr>
          <w:rFonts w:hint="eastAsia" w:ascii="Times New Roman" w:hAnsi="Times New Roman"/>
          <w:b/>
          <w:color w:val="auto"/>
          <w:sz w:val="26"/>
          <w:szCs w:val="26"/>
          <w:highlight w:val="none"/>
          <w:lang w:val="en-US" w:eastAsia="zh-CN"/>
        </w:rPr>
        <w:t>.3.2-1</w:t>
      </w:r>
      <w:r>
        <w:rPr>
          <w:rFonts w:hint="eastAsia" w:ascii="Times New Roman" w:hAnsi="Times New Roman"/>
          <w:b/>
          <w:color w:val="auto"/>
          <w:sz w:val="26"/>
          <w:szCs w:val="26"/>
          <w:highlight w:val="none"/>
        </w:rPr>
        <w:t xml:space="preserve">  工程鱼类增殖放流计划</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9"/>
        <w:gridCol w:w="1956"/>
        <w:gridCol w:w="1166"/>
        <w:gridCol w:w="1441"/>
        <w:gridCol w:w="1375"/>
        <w:gridCol w:w="1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7"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b/>
                <w:color w:val="auto"/>
                <w:sz w:val="22"/>
                <w:szCs w:val="22"/>
                <w:highlight w:val="none"/>
              </w:rPr>
            </w:pPr>
            <w:r>
              <w:rPr>
                <w:rFonts w:hint="eastAsia" w:ascii="Times New Roman" w:hAnsi="Times New Roman"/>
                <w:b/>
                <w:color w:val="auto"/>
                <w:sz w:val="22"/>
                <w:szCs w:val="22"/>
                <w:highlight w:val="none"/>
              </w:rPr>
              <w:t>序号</w:t>
            </w:r>
          </w:p>
        </w:tc>
        <w:tc>
          <w:tcPr>
            <w:tcW w:w="1127"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b/>
                <w:color w:val="auto"/>
                <w:sz w:val="22"/>
                <w:szCs w:val="22"/>
                <w:highlight w:val="none"/>
              </w:rPr>
            </w:pPr>
            <w:r>
              <w:rPr>
                <w:rFonts w:hint="eastAsia" w:ascii="Times New Roman" w:hAnsi="Times New Roman"/>
                <w:b/>
                <w:color w:val="auto"/>
                <w:sz w:val="22"/>
                <w:szCs w:val="22"/>
                <w:highlight w:val="none"/>
              </w:rPr>
              <w:t>放流种类</w:t>
            </w:r>
          </w:p>
        </w:tc>
        <w:tc>
          <w:tcPr>
            <w:tcW w:w="672"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b/>
                <w:color w:val="auto"/>
                <w:sz w:val="22"/>
                <w:szCs w:val="22"/>
                <w:highlight w:val="none"/>
              </w:rPr>
            </w:pPr>
            <w:r>
              <w:rPr>
                <w:rFonts w:hint="eastAsia" w:ascii="Times New Roman" w:hAnsi="Times New Roman"/>
                <w:b/>
                <w:color w:val="auto"/>
                <w:sz w:val="22"/>
                <w:szCs w:val="22"/>
                <w:highlight w:val="none"/>
              </w:rPr>
              <w:t>放流年限</w:t>
            </w:r>
          </w:p>
        </w:tc>
        <w:tc>
          <w:tcPr>
            <w:tcW w:w="830"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b/>
                <w:color w:val="auto"/>
                <w:sz w:val="22"/>
                <w:szCs w:val="22"/>
                <w:highlight w:val="none"/>
              </w:rPr>
            </w:pPr>
            <w:r>
              <w:rPr>
                <w:rFonts w:hint="eastAsia" w:ascii="Times New Roman" w:hAnsi="Times New Roman"/>
                <w:b/>
                <w:color w:val="auto"/>
                <w:sz w:val="22"/>
                <w:szCs w:val="22"/>
                <w:highlight w:val="none"/>
              </w:rPr>
              <w:t>放流数量</w:t>
            </w:r>
          </w:p>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b/>
                <w:color w:val="auto"/>
                <w:sz w:val="22"/>
                <w:szCs w:val="22"/>
                <w:highlight w:val="none"/>
              </w:rPr>
            </w:pPr>
            <w:r>
              <w:rPr>
                <w:rFonts w:hint="eastAsia" w:ascii="Times New Roman" w:hAnsi="Times New Roman"/>
                <w:b/>
                <w:color w:val="auto"/>
                <w:sz w:val="22"/>
                <w:szCs w:val="22"/>
                <w:highlight w:val="none"/>
              </w:rPr>
              <w:t>（万尾/年）</w:t>
            </w:r>
          </w:p>
        </w:tc>
        <w:tc>
          <w:tcPr>
            <w:tcW w:w="792"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b/>
                <w:color w:val="auto"/>
                <w:sz w:val="22"/>
                <w:szCs w:val="22"/>
                <w:highlight w:val="none"/>
              </w:rPr>
            </w:pPr>
            <w:r>
              <w:rPr>
                <w:rFonts w:hint="eastAsia" w:ascii="Times New Roman" w:hAnsi="Times New Roman"/>
                <w:b/>
                <w:color w:val="auto"/>
                <w:sz w:val="22"/>
                <w:szCs w:val="22"/>
                <w:highlight w:val="none"/>
              </w:rPr>
              <w:t>规格</w:t>
            </w:r>
          </w:p>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b/>
                <w:color w:val="auto"/>
                <w:sz w:val="22"/>
                <w:szCs w:val="22"/>
                <w:highlight w:val="none"/>
              </w:rPr>
            </w:pPr>
            <w:r>
              <w:rPr>
                <w:rFonts w:hint="eastAsia" w:ascii="Times New Roman" w:hAnsi="Times New Roman"/>
                <w:b/>
                <w:color w:val="auto"/>
                <w:sz w:val="22"/>
                <w:szCs w:val="22"/>
                <w:highlight w:val="none"/>
              </w:rPr>
              <w:t>（cm）</w:t>
            </w:r>
          </w:p>
        </w:tc>
        <w:tc>
          <w:tcPr>
            <w:tcW w:w="992"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b/>
                <w:color w:val="auto"/>
                <w:sz w:val="22"/>
                <w:szCs w:val="22"/>
                <w:highlight w:val="none"/>
              </w:rPr>
            </w:pPr>
            <w:r>
              <w:rPr>
                <w:rFonts w:hint="eastAsia" w:ascii="Times New Roman" w:hAnsi="Times New Roman"/>
                <w:b/>
                <w:color w:val="auto"/>
                <w:sz w:val="22"/>
                <w:szCs w:val="22"/>
                <w:highlight w:val="none"/>
              </w:rPr>
              <w:t>苗种来源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7"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r>
              <w:rPr>
                <w:rFonts w:hint="default" w:ascii="Times New Roman" w:hAnsi="Times New Roman"/>
                <w:color w:val="auto"/>
                <w:sz w:val="22"/>
                <w:szCs w:val="22"/>
                <w:highlight w:val="none"/>
              </w:rPr>
              <w:t>1</w:t>
            </w:r>
          </w:p>
        </w:tc>
        <w:tc>
          <w:tcPr>
            <w:tcW w:w="1127"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r>
              <w:rPr>
                <w:rFonts w:hint="eastAsia" w:ascii="Times New Roman" w:hAnsi="Times New Roman"/>
                <w:color w:val="auto"/>
                <w:sz w:val="22"/>
                <w:szCs w:val="22"/>
                <w:highlight w:val="none"/>
              </w:rPr>
              <w:t>岩原鲤</w:t>
            </w:r>
          </w:p>
        </w:tc>
        <w:tc>
          <w:tcPr>
            <w:tcW w:w="672"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r>
              <w:rPr>
                <w:rFonts w:hint="default" w:ascii="Times New Roman" w:hAnsi="Times New Roman"/>
                <w:color w:val="auto"/>
                <w:sz w:val="22"/>
                <w:szCs w:val="22"/>
                <w:highlight w:val="none"/>
              </w:rPr>
              <w:t>2</w:t>
            </w:r>
          </w:p>
        </w:tc>
        <w:tc>
          <w:tcPr>
            <w:tcW w:w="830"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r>
              <w:rPr>
                <w:rFonts w:hint="default" w:ascii="Times New Roman" w:hAnsi="Times New Roman"/>
                <w:color w:val="auto"/>
                <w:sz w:val="22"/>
                <w:szCs w:val="22"/>
                <w:highlight w:val="none"/>
              </w:rPr>
              <w:t>1</w:t>
            </w:r>
          </w:p>
        </w:tc>
        <w:tc>
          <w:tcPr>
            <w:tcW w:w="792"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r>
              <w:rPr>
                <w:rFonts w:hint="eastAsia" w:ascii="Times New Roman" w:hAnsi="Times New Roman"/>
                <w:color w:val="auto"/>
                <w:sz w:val="22"/>
                <w:szCs w:val="22"/>
                <w:highlight w:val="none"/>
              </w:rPr>
              <w:t>﹥10</w:t>
            </w:r>
          </w:p>
        </w:tc>
        <w:tc>
          <w:tcPr>
            <w:tcW w:w="992"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r>
              <w:rPr>
                <w:rFonts w:hint="eastAsia" w:ascii="Times New Roman" w:hAnsi="Times New Roman"/>
                <w:color w:val="auto"/>
                <w:sz w:val="22"/>
                <w:szCs w:val="22"/>
                <w:highlight w:val="none"/>
              </w:rPr>
              <w:t>招投标</w:t>
            </w:r>
          </w:p>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7"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r>
              <w:rPr>
                <w:rFonts w:hint="default" w:ascii="Times New Roman" w:hAnsi="Times New Roman"/>
                <w:color w:val="auto"/>
                <w:sz w:val="22"/>
                <w:szCs w:val="22"/>
                <w:highlight w:val="none"/>
              </w:rPr>
              <w:t>2</w:t>
            </w:r>
          </w:p>
        </w:tc>
        <w:tc>
          <w:tcPr>
            <w:tcW w:w="1127"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r>
              <w:rPr>
                <w:rFonts w:hint="eastAsia" w:ascii="Times New Roman" w:hAnsi="Times New Roman"/>
                <w:color w:val="auto"/>
                <w:sz w:val="22"/>
                <w:szCs w:val="22"/>
                <w:highlight w:val="none"/>
              </w:rPr>
              <w:t>厚颌鲂</w:t>
            </w:r>
          </w:p>
        </w:tc>
        <w:tc>
          <w:tcPr>
            <w:tcW w:w="672"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p>
        </w:tc>
        <w:tc>
          <w:tcPr>
            <w:tcW w:w="830"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r>
              <w:rPr>
                <w:rFonts w:hint="default" w:ascii="Times New Roman" w:hAnsi="Times New Roman"/>
                <w:color w:val="auto"/>
                <w:sz w:val="22"/>
                <w:szCs w:val="22"/>
                <w:highlight w:val="none"/>
              </w:rPr>
              <w:t>2</w:t>
            </w:r>
          </w:p>
        </w:tc>
        <w:tc>
          <w:tcPr>
            <w:tcW w:w="792"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p>
        </w:tc>
        <w:tc>
          <w:tcPr>
            <w:tcW w:w="992"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86" w:type="pct"/>
            <w:gridSpan w:val="3"/>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r>
              <w:rPr>
                <w:rFonts w:hint="eastAsia" w:ascii="Times New Roman" w:hAnsi="Times New Roman"/>
                <w:color w:val="auto"/>
                <w:sz w:val="22"/>
                <w:szCs w:val="22"/>
                <w:highlight w:val="none"/>
              </w:rPr>
              <w:t>合计</w:t>
            </w:r>
          </w:p>
        </w:tc>
        <w:tc>
          <w:tcPr>
            <w:tcW w:w="830"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r>
              <w:rPr>
                <w:rFonts w:hint="default" w:ascii="Times New Roman" w:hAnsi="Times New Roman"/>
                <w:color w:val="auto"/>
                <w:sz w:val="22"/>
                <w:szCs w:val="22"/>
                <w:highlight w:val="none"/>
              </w:rPr>
              <w:t>6</w:t>
            </w:r>
          </w:p>
        </w:tc>
        <w:tc>
          <w:tcPr>
            <w:tcW w:w="792"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p>
        </w:tc>
        <w:tc>
          <w:tcPr>
            <w:tcW w:w="992"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olor w:val="auto"/>
                <w:sz w:val="22"/>
                <w:szCs w:val="22"/>
                <w:highlight w:val="none"/>
              </w:rPr>
            </w:pPr>
          </w:p>
        </w:tc>
      </w:tr>
    </w:tbl>
    <w:p>
      <w:pPr>
        <w:pStyle w:val="197"/>
        <w:numPr>
          <w:ilvl w:val="255"/>
          <w:numId w:val="0"/>
        </w:numPr>
        <w:tabs>
          <w:tab w:val="left" w:pos="1240"/>
        </w:tabs>
        <w:spacing w:line="240" w:lineRule="auto"/>
        <w:ind w:firstLine="520" w:firstLineChars="200"/>
        <w:jc w:val="both"/>
        <w:rPr>
          <w:rFonts w:hint="eastAsia" w:ascii="Times New Roman" w:hAnsi="Times New Roman" w:cs="Times New Roman"/>
          <w:bCs/>
          <w:color w:val="auto"/>
          <w:highlight w:val="none"/>
        </w:rPr>
      </w:pPr>
    </w:p>
    <w:p>
      <w:pPr>
        <w:pStyle w:val="197"/>
        <w:numPr>
          <w:ilvl w:val="255"/>
          <w:numId w:val="0"/>
        </w:numPr>
        <w:tabs>
          <w:tab w:val="left" w:pos="1240"/>
        </w:tabs>
        <w:ind w:firstLine="520" w:firstLineChars="200"/>
        <w:jc w:val="both"/>
        <w:rPr>
          <w:rFonts w:hint="default" w:ascii="Times New Roman" w:hAnsi="Times New Roman" w:cs="Times New Roman"/>
          <w:bCs/>
          <w:color w:val="auto"/>
          <w:highlight w:val="none"/>
        </w:rPr>
      </w:pPr>
      <w:r>
        <w:rPr>
          <w:rFonts w:hint="eastAsia" w:ascii="Times New Roman" w:hAnsi="Times New Roman" w:cs="Times New Roman"/>
          <w:bCs/>
          <w:color w:val="auto"/>
          <w:highlight w:val="none"/>
        </w:rPr>
        <w:t>鱼类增殖放流由业主单位负责实施，业主单位须制定详细放流计划，报区农业农村委员会备案。放流活动应在各区农业农村委员会的指导下进行，并邀请相关领导及技术人员进行现场指导和监督。增殖放流严格按《</w:t>
      </w:r>
      <w:r>
        <w:rPr>
          <w:rFonts w:hint="eastAsia" w:ascii="Times New Roman" w:hAnsi="Times New Roman" w:cs="Times New Roman"/>
          <w:bCs/>
          <w:color w:val="auto"/>
          <w:highlight w:val="none"/>
          <w:shd w:val="clear" w:fill="FFFFFF"/>
        </w:rPr>
        <w:t>农业部</w:t>
      </w:r>
      <w:r>
        <w:rPr>
          <w:rFonts w:hint="eastAsia" w:ascii="Times New Roman" w:hAnsi="Times New Roman" w:cs="Times New Roman"/>
          <w:bCs/>
          <w:color w:val="auto"/>
          <w:highlight w:val="none"/>
        </w:rPr>
        <w:t>办公厅关于进一步规范水生生物增殖放流工作的通知》（农办渔〔2017〕49号）</w:t>
      </w:r>
      <w:r>
        <w:rPr>
          <w:rFonts w:hint="eastAsia" w:ascii="Times New Roman" w:hAnsi="Times New Roman" w:cs="Times New Roman"/>
          <w:bCs/>
          <w:color w:val="auto"/>
          <w:highlight w:val="none"/>
          <w:lang w:eastAsia="zh-CN"/>
        </w:rPr>
        <w:t>、《农业农村部办公厅关于进一步做好水生生物增殖放流工作的通知》（农办渔〔2024〕5号）</w:t>
      </w:r>
      <w:r>
        <w:rPr>
          <w:rFonts w:hint="eastAsia" w:ascii="Times New Roman" w:hAnsi="Times New Roman" w:cs="Times New Roman"/>
          <w:bCs/>
          <w:color w:val="auto"/>
          <w:highlight w:val="none"/>
        </w:rPr>
        <w:t>的</w:t>
      </w:r>
      <w:r>
        <w:rPr>
          <w:rFonts w:hint="eastAsia" w:ascii="Times New Roman" w:hAnsi="Times New Roman" w:cs="Times New Roman"/>
          <w:bCs/>
          <w:color w:val="auto"/>
          <w:highlight w:val="none"/>
          <w:lang w:eastAsia="zh-CN"/>
        </w:rPr>
        <w:t>有关</w:t>
      </w:r>
      <w:r>
        <w:rPr>
          <w:rFonts w:hint="eastAsia" w:ascii="Times New Roman" w:hAnsi="Times New Roman" w:cs="Times New Roman"/>
          <w:bCs/>
          <w:color w:val="auto"/>
          <w:highlight w:val="none"/>
        </w:rPr>
        <w:t>要求执行。</w:t>
      </w:r>
    </w:p>
    <w:p>
      <w:pPr>
        <w:keepNext w:val="0"/>
        <w:keepLines w:val="0"/>
        <w:pageBreakBefore w:val="0"/>
        <w:widowControl w:val="0"/>
        <w:numPr>
          <w:ilvl w:val="0"/>
          <w:numId w:val="33"/>
        </w:numPr>
        <w:kinsoku/>
        <w:wordWrap/>
        <w:overflowPunct/>
        <w:topLinePunct w:val="0"/>
        <w:autoSpaceDE/>
        <w:autoSpaceDN/>
        <w:bidi w:val="0"/>
        <w:adjustRightInd/>
        <w:snapToGrid/>
        <w:textAlignment w:val="auto"/>
        <w:outlineLvl w:val="3"/>
        <w:rPr>
          <w:rFonts w:hint="default"/>
          <w:color w:val="auto"/>
          <w:highlight w:val="none"/>
        </w:rPr>
      </w:pPr>
      <w:r>
        <w:rPr>
          <w:rFonts w:hint="default"/>
          <w:color w:val="auto"/>
          <w:highlight w:val="none"/>
        </w:rPr>
        <w:t>跟踪监测措施</w:t>
      </w:r>
    </w:p>
    <w:p>
      <w:pPr>
        <w:autoSpaceDE w:val="0"/>
        <w:autoSpaceDN w:val="0"/>
        <w:adjustRightInd w:val="0"/>
        <w:snapToGrid w:val="0"/>
        <w:spacing w:line="480" w:lineRule="exact"/>
        <w:ind w:firstLine="520"/>
        <w:textAlignment w:val="baseline"/>
        <w:rPr>
          <w:rFonts w:hint="default" w:ascii="Times New Roman" w:hAnsi="Times New Roman" w:cs="Times New Roman"/>
          <w:color w:val="auto"/>
          <w:highlight w:val="none"/>
        </w:rPr>
      </w:pPr>
      <w:r>
        <w:rPr>
          <w:rFonts w:hint="default" w:ascii="Times New Roman" w:hAnsi="Times New Roman" w:cs="Times New Roman"/>
          <w:bCs/>
          <w:color w:val="auto"/>
          <w:szCs w:val="30"/>
          <w:highlight w:val="none"/>
        </w:rPr>
        <w:t>工程的建设和运营可能对工程区域水生态环境产生一定影响，为了进一步了解其影响的程度和机理，预测水生态环境可能出现的不良演替趋势并制定针对性的防治对策，有必要在工程建设期及建成后一段时期内开展一定范围内的水生生物资源和水环境监测。监测的内容包括水质和水生生物、鱼类资源变化和产卵场鱼类产卵情况</w:t>
      </w:r>
      <w:r>
        <w:rPr>
          <w:rFonts w:hint="eastAsia" w:cs="Times New Roman"/>
          <w:bCs/>
          <w:color w:val="auto"/>
          <w:szCs w:val="30"/>
          <w:highlight w:val="none"/>
          <w:lang w:eastAsia="zh-CN"/>
        </w:rPr>
        <w:t>（</w:t>
      </w:r>
      <w:r>
        <w:rPr>
          <w:rFonts w:hint="eastAsia" w:cs="Times New Roman"/>
          <w:bCs/>
          <w:color w:val="auto"/>
          <w:szCs w:val="30"/>
          <w:highlight w:val="none"/>
          <w:lang w:val="en-US" w:eastAsia="zh-CN"/>
        </w:rPr>
        <w:t>具体见7.2环境监测章节</w:t>
      </w:r>
      <w:r>
        <w:rPr>
          <w:rFonts w:hint="eastAsia" w:cs="Times New Roman"/>
          <w:bCs/>
          <w:color w:val="auto"/>
          <w:szCs w:val="30"/>
          <w:highlight w:val="none"/>
          <w:lang w:eastAsia="zh-CN"/>
        </w:rPr>
        <w:t>）</w:t>
      </w:r>
      <w:r>
        <w:rPr>
          <w:rFonts w:hint="default" w:ascii="Times New Roman" w:hAnsi="Times New Roman" w:cs="Times New Roman"/>
          <w:color w:val="auto"/>
          <w:highlight w:val="none"/>
        </w:rPr>
        <w:t>。</w:t>
      </w:r>
    </w:p>
    <w:p>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生态敏感区保护措施</w:t>
      </w:r>
    </w:p>
    <w:p>
      <w:pPr>
        <w:pStyle w:val="165"/>
        <w:numPr>
          <w:ilvl w:val="0"/>
          <w:numId w:val="0"/>
        </w:numPr>
        <w:autoSpaceDE w:val="0"/>
        <w:autoSpaceDN w:val="0"/>
        <w:adjustRightInd w:val="0"/>
        <w:snapToGrid w:val="0"/>
        <w:spacing w:line="480" w:lineRule="exact"/>
        <w:ind w:firstLine="520" w:firstLineChars="200"/>
        <w:textAlignment w:val="baseline"/>
        <w:rPr>
          <w:rFonts w:hint="eastAsia" w:ascii="Times New Roman" w:hAnsi="Times New Roman" w:eastAsia="宋体" w:cs="Times New Roman"/>
          <w:color w:val="auto"/>
          <w:sz w:val="26"/>
          <w:highlight w:val="none"/>
          <w:lang w:eastAsia="zh-CN"/>
        </w:rPr>
      </w:pPr>
      <w:r>
        <w:rPr>
          <w:rFonts w:hint="eastAsia" w:cs="Times New Roman"/>
          <w:color w:val="auto"/>
          <w:sz w:val="26"/>
          <w:highlight w:val="none"/>
          <w:lang w:eastAsia="zh-CN"/>
        </w:rPr>
        <w:t>项目涉及生态敏感区主要为生态保护红线和</w:t>
      </w:r>
      <w:r>
        <w:rPr>
          <w:rFonts w:hint="eastAsia" w:ascii="Times New Roman" w:hAnsi="Times New Roman" w:cs="Times New Roman"/>
          <w:color w:val="auto"/>
          <w:sz w:val="26"/>
          <w:highlight w:val="none"/>
          <w:lang w:eastAsia="zh-CN"/>
        </w:rPr>
        <w:t>重庆合川三江</w:t>
      </w:r>
      <w:r>
        <w:rPr>
          <w:rFonts w:hint="eastAsia" w:ascii="Times New Roman" w:hAnsi="Times New Roman" w:cs="Times New Roman"/>
          <w:color w:val="auto"/>
          <w:sz w:val="26"/>
          <w:highlight w:val="none"/>
          <w:shd w:val="clear" w:fill="FFFFFF"/>
          <w:lang w:eastAsia="zh-CN"/>
        </w:rPr>
        <w:t>国家</w:t>
      </w:r>
      <w:r>
        <w:rPr>
          <w:rFonts w:hint="eastAsia" w:ascii="Times New Roman" w:hAnsi="Times New Roman" w:cs="Times New Roman"/>
          <w:color w:val="auto"/>
          <w:sz w:val="26"/>
          <w:highlight w:val="none"/>
          <w:lang w:eastAsia="zh-CN"/>
        </w:rPr>
        <w:t>湿地公园</w:t>
      </w:r>
      <w:r>
        <w:rPr>
          <w:rFonts w:hint="eastAsia" w:cs="Times New Roman"/>
          <w:color w:val="auto"/>
          <w:sz w:val="26"/>
          <w:highlight w:val="none"/>
          <w:lang w:eastAsia="zh-CN"/>
        </w:rPr>
        <w:t>，上述敏感区大部分区域重叠，项目对其</w:t>
      </w:r>
      <w:r>
        <w:rPr>
          <w:rFonts w:hint="eastAsia" w:ascii="Times New Roman" w:hAnsi="Times New Roman" w:cs="Times New Roman"/>
          <w:color w:val="auto"/>
          <w:sz w:val="26"/>
          <w:highlight w:val="none"/>
          <w:lang w:eastAsia="zh-CN"/>
        </w:rPr>
        <w:t>影响主要体现在施工期，故应重点做好施工期的保护措施，具体如下：</w:t>
      </w:r>
    </w:p>
    <w:p>
      <w:pPr>
        <w:pStyle w:val="165"/>
        <w:numPr>
          <w:ilvl w:val="0"/>
          <w:numId w:val="0"/>
        </w:numPr>
        <w:autoSpaceDE w:val="0"/>
        <w:autoSpaceDN w:val="0"/>
        <w:adjustRightInd w:val="0"/>
        <w:snapToGrid w:val="0"/>
        <w:spacing w:line="480" w:lineRule="exact"/>
        <w:ind w:firstLine="520" w:firstLineChars="200"/>
        <w:textAlignment w:val="baseline"/>
        <w:rPr>
          <w:rFonts w:hint="eastAsia" w:cs="Times New Roman"/>
          <w:color w:val="auto"/>
          <w:sz w:val="26"/>
          <w:highlight w:val="none"/>
          <w:lang w:eastAsia="zh-CN"/>
        </w:rPr>
      </w:pPr>
      <w:r>
        <w:rPr>
          <w:rFonts w:hint="eastAsia" w:cs="Times New Roman"/>
          <w:color w:val="auto"/>
          <w:sz w:val="26"/>
          <w:highlight w:val="none"/>
          <w:lang w:eastAsia="zh-CN"/>
        </w:rPr>
        <w:t>（</w:t>
      </w:r>
      <w:r>
        <w:rPr>
          <w:rFonts w:hint="eastAsia" w:cs="Times New Roman"/>
          <w:color w:val="auto"/>
          <w:sz w:val="26"/>
          <w:highlight w:val="none"/>
          <w:lang w:val="en-US" w:eastAsia="zh-CN"/>
        </w:rPr>
        <w:t>1</w:t>
      </w:r>
      <w:r>
        <w:rPr>
          <w:rFonts w:hint="eastAsia" w:cs="Times New Roman"/>
          <w:color w:val="auto"/>
          <w:sz w:val="26"/>
          <w:highlight w:val="none"/>
          <w:lang w:eastAsia="zh-CN"/>
        </w:rPr>
        <w:t>）为防止项目区周边涪江沿线生态保护红线功能下降，需加强生态保护红线区域内的管理，严格控制施工占用生态保护红线范围，尽量避免或减小对生态保护红线的破坏。具体措施包括：加强机构、队伍建设，不断提高管理人员的专业技能和素养，加强区内资源保护管理，认真落实相关规定。</w:t>
      </w:r>
    </w:p>
    <w:p>
      <w:pPr>
        <w:pStyle w:val="165"/>
        <w:numPr>
          <w:ilvl w:val="0"/>
          <w:numId w:val="0"/>
        </w:numPr>
        <w:autoSpaceDE w:val="0"/>
        <w:autoSpaceDN w:val="0"/>
        <w:adjustRightInd w:val="0"/>
        <w:snapToGrid w:val="0"/>
        <w:spacing w:line="480" w:lineRule="exact"/>
        <w:ind w:firstLine="520" w:firstLineChars="200"/>
        <w:textAlignment w:val="baseline"/>
        <w:rPr>
          <w:rFonts w:hint="default" w:ascii="Times New Roman" w:hAnsi="Times New Roman" w:cs="Times New Roman"/>
          <w:color w:val="auto"/>
          <w:sz w:val="26"/>
          <w:szCs w:val="26"/>
          <w:highlight w:val="none"/>
        </w:rPr>
      </w:pPr>
      <w:r>
        <w:rPr>
          <w:rFonts w:hint="eastAsia" w:cs="Times New Roman"/>
          <w:color w:val="auto"/>
          <w:sz w:val="26"/>
          <w:highlight w:val="none"/>
          <w:lang w:eastAsia="zh-CN"/>
        </w:rPr>
        <w:t>（</w:t>
      </w:r>
      <w:r>
        <w:rPr>
          <w:rFonts w:hint="eastAsia" w:cs="Times New Roman"/>
          <w:color w:val="auto"/>
          <w:sz w:val="26"/>
          <w:highlight w:val="none"/>
          <w:lang w:val="en-US" w:eastAsia="zh-CN"/>
        </w:rPr>
        <w:t>2</w:t>
      </w:r>
      <w:r>
        <w:rPr>
          <w:rFonts w:hint="eastAsia" w:cs="Times New Roman"/>
          <w:color w:val="auto"/>
          <w:sz w:val="26"/>
          <w:highlight w:val="none"/>
          <w:lang w:eastAsia="zh-CN"/>
        </w:rPr>
        <w:t>）</w:t>
      </w:r>
      <w:r>
        <w:rPr>
          <w:rFonts w:hint="default" w:ascii="Times New Roman" w:hAnsi="Times New Roman" w:cs="Times New Roman"/>
          <w:color w:val="auto"/>
          <w:sz w:val="26"/>
          <w:highlight w:val="none"/>
        </w:rPr>
        <w:t>建设单位应设专人负责监督在各</w:t>
      </w:r>
      <w:r>
        <w:rPr>
          <w:rFonts w:hint="default" w:ascii="Times New Roman" w:hAnsi="Times New Roman" w:cs="Times New Roman"/>
          <w:color w:val="auto"/>
          <w:sz w:val="26"/>
          <w:highlight w:val="none"/>
          <w:lang w:val="en-US" w:eastAsia="zh-CN"/>
        </w:rPr>
        <w:t>施工</w:t>
      </w:r>
      <w:r>
        <w:rPr>
          <w:rFonts w:hint="default" w:ascii="Times New Roman" w:hAnsi="Times New Roman" w:cs="Times New Roman"/>
          <w:color w:val="auto"/>
          <w:sz w:val="26"/>
          <w:highlight w:val="none"/>
        </w:rPr>
        <w:t>阶段过程中的环境保护工作，同时监督施工单位落实环境保护措施。在施工承包合同中，应该包括有关环境保护条款，如生态保护措施，水土保持措施，施工设备排放的废气、噪声控制措施和环境保护目标，环境监控措施，环保专项资金的落实等。施工单位承诺加强对施工人员的管理，承</w:t>
      </w:r>
      <w:r>
        <w:rPr>
          <w:rFonts w:hint="eastAsia" w:cs="Times New Roman"/>
          <w:color w:val="auto"/>
          <w:sz w:val="26"/>
          <w:highlight w:val="none"/>
          <w:shd w:val="clear" w:fill="FFFFFF"/>
          <w:lang w:eastAsia="zh-CN"/>
        </w:rPr>
        <w:t>诺在</w:t>
      </w:r>
      <w:r>
        <w:rPr>
          <w:rFonts w:hint="default" w:ascii="Times New Roman" w:hAnsi="Times New Roman" w:cs="Times New Roman"/>
          <w:color w:val="auto"/>
          <w:sz w:val="26"/>
          <w:highlight w:val="none"/>
        </w:rPr>
        <w:t>施工过程中落实各项保护措施，极力减轻项目建设对生态敏感区及项目沿线景观、动植物资源的不利影响。</w:t>
      </w:r>
    </w:p>
    <w:p>
      <w:pPr>
        <w:pStyle w:val="165"/>
        <w:numPr>
          <w:ilvl w:val="0"/>
          <w:numId w:val="0"/>
        </w:numPr>
        <w:autoSpaceDE w:val="0"/>
        <w:autoSpaceDN w:val="0"/>
        <w:adjustRightInd w:val="0"/>
        <w:snapToGrid w:val="0"/>
        <w:spacing w:line="480" w:lineRule="exact"/>
        <w:ind w:firstLine="520" w:firstLineChars="200"/>
        <w:textAlignment w:val="baseline"/>
        <w:rPr>
          <w:rFonts w:hint="default" w:ascii="Times New Roman" w:hAnsi="Times New Roman" w:cs="Times New Roman"/>
          <w:color w:val="auto"/>
          <w:sz w:val="26"/>
          <w:szCs w:val="26"/>
          <w:highlight w:val="none"/>
        </w:rPr>
      </w:pPr>
      <w:r>
        <w:rPr>
          <w:rFonts w:hint="eastAsia" w:cs="Times New Roman"/>
          <w:color w:val="auto"/>
          <w:sz w:val="26"/>
          <w:highlight w:val="none"/>
          <w:lang w:eastAsia="zh-CN"/>
        </w:rPr>
        <w:t>（</w:t>
      </w:r>
      <w:r>
        <w:rPr>
          <w:rFonts w:hint="eastAsia" w:cs="Times New Roman"/>
          <w:color w:val="auto"/>
          <w:sz w:val="26"/>
          <w:highlight w:val="none"/>
          <w:lang w:val="en-US" w:eastAsia="zh-CN"/>
        </w:rPr>
        <w:t>3</w:t>
      </w:r>
      <w:r>
        <w:rPr>
          <w:rFonts w:hint="eastAsia" w:cs="Times New Roman"/>
          <w:color w:val="auto"/>
          <w:sz w:val="26"/>
          <w:highlight w:val="none"/>
          <w:lang w:eastAsia="zh-CN"/>
        </w:rPr>
        <w:t>）</w:t>
      </w:r>
      <w:r>
        <w:rPr>
          <w:rFonts w:hint="default" w:ascii="Times New Roman" w:hAnsi="Times New Roman" w:cs="Times New Roman"/>
          <w:color w:val="auto"/>
          <w:sz w:val="26"/>
          <w:highlight w:val="none"/>
        </w:rPr>
        <w:t>在施工开始前，邀请生态敏感区相关管理人员或相关专家先行梳理项目方案，熟悉项目实施的各个细节，对施工人员进行有关</w:t>
      </w:r>
      <w:r>
        <w:rPr>
          <w:rFonts w:hint="default" w:ascii="Times New Roman" w:hAnsi="Times New Roman" w:cs="Times New Roman"/>
          <w:color w:val="auto"/>
          <w:sz w:val="26"/>
          <w:highlight w:val="none"/>
          <w:shd w:val="clear" w:fill="FFFFFF"/>
        </w:rPr>
        <w:t>法律、法规</w:t>
      </w:r>
      <w:r>
        <w:rPr>
          <w:rFonts w:hint="default" w:ascii="Times New Roman" w:hAnsi="Times New Roman" w:cs="Times New Roman"/>
          <w:color w:val="auto"/>
          <w:sz w:val="26"/>
          <w:highlight w:val="none"/>
        </w:rPr>
        <w:t>、景观</w:t>
      </w:r>
      <w:r>
        <w:rPr>
          <w:rFonts w:hint="default" w:ascii="Times New Roman" w:hAnsi="Times New Roman" w:cs="Times New Roman"/>
          <w:bCs/>
          <w:color w:val="auto"/>
          <w:sz w:val="26"/>
          <w:highlight w:val="none"/>
        </w:rPr>
        <w:t>及生物多样性</w:t>
      </w:r>
      <w:r>
        <w:rPr>
          <w:rFonts w:hint="default" w:ascii="Times New Roman" w:hAnsi="Times New Roman" w:cs="Times New Roman"/>
          <w:color w:val="auto"/>
          <w:sz w:val="26"/>
          <w:highlight w:val="none"/>
        </w:rPr>
        <w:t>保护知识等方面的培训，</w:t>
      </w:r>
      <w:r>
        <w:rPr>
          <w:rFonts w:hint="default" w:ascii="Times New Roman" w:hAnsi="Times New Roman" w:cs="Times New Roman"/>
          <w:bCs/>
          <w:color w:val="auto"/>
          <w:sz w:val="26"/>
          <w:highlight w:val="none"/>
        </w:rPr>
        <w:t>增强施工人员的野生动植物保护意识</w:t>
      </w:r>
      <w:r>
        <w:rPr>
          <w:rFonts w:hint="default" w:ascii="Times New Roman" w:hAnsi="Times New Roman" w:cs="Times New Roman"/>
          <w:color w:val="auto"/>
          <w:sz w:val="26"/>
          <w:highlight w:val="none"/>
        </w:rPr>
        <w:t>。</w:t>
      </w:r>
    </w:p>
    <w:p>
      <w:pPr>
        <w:pStyle w:val="165"/>
        <w:numPr>
          <w:ilvl w:val="0"/>
          <w:numId w:val="0"/>
        </w:numPr>
        <w:autoSpaceDE w:val="0"/>
        <w:autoSpaceDN w:val="0"/>
        <w:adjustRightInd w:val="0"/>
        <w:snapToGrid w:val="0"/>
        <w:spacing w:line="480" w:lineRule="exact"/>
        <w:ind w:firstLine="520" w:firstLineChars="200"/>
        <w:textAlignment w:val="baseline"/>
        <w:rPr>
          <w:rFonts w:hint="default" w:ascii="Times New Roman" w:hAnsi="Times New Roman" w:cs="Times New Roman"/>
          <w:color w:val="auto"/>
          <w:sz w:val="26"/>
          <w:highlight w:val="none"/>
        </w:rPr>
      </w:pPr>
      <w:r>
        <w:rPr>
          <w:rFonts w:hint="eastAsia" w:cs="Times New Roman"/>
          <w:color w:val="auto"/>
          <w:sz w:val="26"/>
          <w:highlight w:val="none"/>
          <w:lang w:eastAsia="zh-CN"/>
        </w:rPr>
        <w:t>（</w:t>
      </w:r>
      <w:r>
        <w:rPr>
          <w:rFonts w:hint="eastAsia" w:cs="Times New Roman"/>
          <w:color w:val="auto"/>
          <w:sz w:val="26"/>
          <w:highlight w:val="none"/>
          <w:lang w:val="en-US" w:eastAsia="zh-CN"/>
        </w:rPr>
        <w:t>4</w:t>
      </w:r>
      <w:r>
        <w:rPr>
          <w:rFonts w:hint="eastAsia" w:cs="Times New Roman"/>
          <w:color w:val="auto"/>
          <w:sz w:val="26"/>
          <w:highlight w:val="none"/>
          <w:lang w:eastAsia="zh-CN"/>
        </w:rPr>
        <w:t>）</w:t>
      </w:r>
      <w:r>
        <w:rPr>
          <w:rFonts w:hint="default" w:ascii="Times New Roman" w:hAnsi="Times New Roman" w:cs="Times New Roman"/>
          <w:color w:val="auto"/>
          <w:sz w:val="26"/>
          <w:highlight w:val="none"/>
        </w:rPr>
        <w:t>在项目建设区设置施工警示牌，发放宣传小册子等，内容以保护生态敏感区及项目沿线景观、生态环境、动植物资源为主，提醒施工人员落实保护措施，在施工过程中控</w:t>
      </w:r>
      <w:r>
        <w:rPr>
          <w:rFonts w:hint="eastAsia" w:cs="Times New Roman"/>
          <w:color w:val="auto"/>
          <w:sz w:val="26"/>
          <w:highlight w:val="none"/>
          <w:shd w:val="clear" w:fill="FFFFFF"/>
          <w:lang w:eastAsia="zh-CN"/>
        </w:rPr>
        <w:t>制和</w:t>
      </w:r>
      <w:r>
        <w:rPr>
          <w:rFonts w:hint="default" w:ascii="Times New Roman" w:hAnsi="Times New Roman" w:cs="Times New Roman"/>
          <w:color w:val="auto"/>
          <w:sz w:val="26"/>
          <w:highlight w:val="none"/>
        </w:rPr>
        <w:t>减少对环境的影响。</w:t>
      </w:r>
    </w:p>
    <w:p>
      <w:pPr>
        <w:pStyle w:val="165"/>
        <w:numPr>
          <w:ilvl w:val="0"/>
          <w:numId w:val="0"/>
        </w:numPr>
        <w:autoSpaceDE w:val="0"/>
        <w:autoSpaceDN w:val="0"/>
        <w:adjustRightInd w:val="0"/>
        <w:snapToGrid w:val="0"/>
        <w:spacing w:line="480" w:lineRule="exact"/>
        <w:ind w:firstLine="520" w:firstLineChars="200"/>
        <w:textAlignment w:val="baseline"/>
        <w:rPr>
          <w:rFonts w:hint="default" w:ascii="Times New Roman" w:hAnsi="Times New Roman" w:cs="Times New Roman"/>
          <w:color w:val="auto"/>
          <w:sz w:val="26"/>
          <w:highlight w:val="none"/>
        </w:rPr>
      </w:pPr>
      <w:r>
        <w:rPr>
          <w:rFonts w:hint="eastAsia" w:cs="Times New Roman"/>
          <w:bCs/>
          <w:color w:val="auto"/>
          <w:sz w:val="26"/>
          <w:highlight w:val="none"/>
          <w:lang w:eastAsia="zh-CN"/>
        </w:rPr>
        <w:t>（</w:t>
      </w:r>
      <w:r>
        <w:rPr>
          <w:rFonts w:hint="eastAsia" w:cs="Times New Roman"/>
          <w:bCs/>
          <w:color w:val="auto"/>
          <w:sz w:val="26"/>
          <w:highlight w:val="none"/>
          <w:lang w:val="en-US" w:eastAsia="zh-CN"/>
        </w:rPr>
        <w:t>5</w:t>
      </w:r>
      <w:r>
        <w:rPr>
          <w:rFonts w:hint="eastAsia" w:cs="Times New Roman"/>
          <w:bCs/>
          <w:color w:val="auto"/>
          <w:sz w:val="26"/>
          <w:highlight w:val="none"/>
          <w:lang w:eastAsia="zh-CN"/>
        </w:rPr>
        <w:t>）</w:t>
      </w:r>
      <w:r>
        <w:rPr>
          <w:rFonts w:hint="default" w:ascii="Times New Roman" w:hAnsi="Times New Roman" w:cs="Times New Roman"/>
          <w:bCs/>
          <w:color w:val="auto"/>
          <w:sz w:val="26"/>
          <w:highlight w:val="none"/>
        </w:rPr>
        <w:t>控制施工活动范围，严格禁止擅自进入生态敏感区</w:t>
      </w:r>
      <w:r>
        <w:rPr>
          <w:rFonts w:hint="default" w:ascii="Times New Roman" w:hAnsi="Times New Roman" w:cs="Times New Roman"/>
          <w:bCs/>
          <w:color w:val="auto"/>
          <w:sz w:val="26"/>
          <w:highlight w:val="none"/>
          <w:lang w:val="en-US" w:eastAsia="zh-CN"/>
        </w:rPr>
        <w:t>非施工区域</w:t>
      </w:r>
      <w:r>
        <w:rPr>
          <w:rFonts w:hint="default" w:ascii="Times New Roman" w:hAnsi="Times New Roman" w:cs="Times New Roman"/>
          <w:bCs/>
          <w:color w:val="auto"/>
          <w:sz w:val="26"/>
          <w:highlight w:val="none"/>
        </w:rPr>
        <w:t>，避免破坏涪江及生态敏感区两岸生物多样性和景观。</w:t>
      </w:r>
    </w:p>
    <w:p>
      <w:pPr>
        <w:pStyle w:val="214"/>
        <w:numPr>
          <w:ilvl w:val="0"/>
          <w:numId w:val="0"/>
        </w:numPr>
        <w:autoSpaceDE w:val="0"/>
        <w:autoSpaceDN w:val="0"/>
        <w:adjustRightInd w:val="0"/>
        <w:snapToGrid w:val="0"/>
        <w:ind w:firstLine="520" w:firstLineChars="200"/>
        <w:textAlignment w:val="baseline"/>
        <w:rPr>
          <w:rFonts w:hint="default" w:ascii="Times New Roman" w:hAnsi="Times New Roman" w:cs="Times New Roman"/>
          <w:bCs/>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6</w:t>
      </w:r>
      <w:r>
        <w:rPr>
          <w:rFonts w:hint="eastAsia" w:cs="Times New Roman"/>
          <w:color w:val="auto"/>
          <w:highlight w:val="none"/>
          <w:lang w:eastAsia="zh-CN"/>
        </w:rPr>
        <w:t>）</w:t>
      </w:r>
      <w:r>
        <w:rPr>
          <w:rFonts w:hint="default" w:ascii="Times New Roman" w:hAnsi="Times New Roman" w:cs="Times New Roman"/>
          <w:color w:val="auto"/>
          <w:highlight w:val="none"/>
        </w:rPr>
        <w:t>施工前须做好施工方式和时间的计划，以减少工程施工噪声对野生动物的惊扰；</w:t>
      </w:r>
      <w:r>
        <w:rPr>
          <w:rFonts w:hint="default" w:ascii="Times New Roman" w:hAnsi="Times New Roman" w:cs="Times New Roman"/>
          <w:bCs/>
          <w:color w:val="auto"/>
          <w:highlight w:val="none"/>
        </w:rPr>
        <w:t>合理安排施工作业时间，把排放噪声强度大的施工应尽量安排在上午8:00~12:00和</w:t>
      </w:r>
      <w:r>
        <w:rPr>
          <w:rFonts w:hint="default" w:ascii="Times New Roman" w:hAnsi="Times New Roman" w:cs="Times New Roman"/>
          <w:bCs/>
          <w:color w:val="auto"/>
          <w:highlight w:val="none"/>
          <w:shd w:val="clear" w:fill="FFFFFF"/>
        </w:rPr>
        <w:t>下午14:00</w:t>
      </w:r>
      <w:r>
        <w:rPr>
          <w:rFonts w:hint="default" w:ascii="Times New Roman" w:hAnsi="Times New Roman" w:cs="Times New Roman"/>
          <w:bCs/>
          <w:color w:val="auto"/>
          <w:highlight w:val="none"/>
        </w:rPr>
        <w:t>~18:00，控制夜间作业时间，减少夜间灯光对整治点附近动物的干扰。</w:t>
      </w:r>
    </w:p>
    <w:p>
      <w:pPr>
        <w:pStyle w:val="165"/>
        <w:numPr>
          <w:ilvl w:val="0"/>
          <w:numId w:val="0"/>
        </w:numPr>
        <w:autoSpaceDE w:val="0"/>
        <w:autoSpaceDN w:val="0"/>
        <w:adjustRightInd w:val="0"/>
        <w:snapToGrid w:val="0"/>
        <w:spacing w:line="480" w:lineRule="exact"/>
        <w:ind w:firstLine="520" w:firstLineChars="200"/>
        <w:textAlignment w:val="baseline"/>
        <w:rPr>
          <w:rFonts w:hint="default" w:ascii="Times New Roman" w:hAnsi="Times New Roman" w:cs="Times New Roman"/>
          <w:bCs/>
          <w:color w:val="auto"/>
          <w:sz w:val="26"/>
          <w:highlight w:val="none"/>
        </w:rPr>
      </w:pPr>
      <w:r>
        <w:rPr>
          <w:rFonts w:hint="eastAsia" w:cs="Times New Roman"/>
          <w:bCs/>
          <w:color w:val="auto"/>
          <w:sz w:val="26"/>
          <w:highlight w:val="none"/>
          <w:lang w:eastAsia="zh-CN"/>
        </w:rPr>
        <w:t>（</w:t>
      </w:r>
      <w:r>
        <w:rPr>
          <w:rFonts w:hint="eastAsia" w:cs="Times New Roman"/>
          <w:bCs/>
          <w:color w:val="auto"/>
          <w:sz w:val="26"/>
          <w:highlight w:val="none"/>
          <w:lang w:val="en-US" w:eastAsia="zh-CN"/>
        </w:rPr>
        <w:t>7</w:t>
      </w:r>
      <w:r>
        <w:rPr>
          <w:rFonts w:hint="eastAsia" w:cs="Times New Roman"/>
          <w:bCs/>
          <w:color w:val="auto"/>
          <w:sz w:val="26"/>
          <w:highlight w:val="none"/>
          <w:lang w:eastAsia="zh-CN"/>
        </w:rPr>
        <w:t>）</w:t>
      </w:r>
      <w:r>
        <w:rPr>
          <w:rFonts w:hint="default" w:ascii="Times New Roman" w:hAnsi="Times New Roman" w:cs="Times New Roman"/>
          <w:bCs/>
          <w:color w:val="auto"/>
          <w:sz w:val="26"/>
          <w:highlight w:val="none"/>
        </w:rPr>
        <w:t>合理选择施工机械设备，施工单位应选用符合国家标准的施工机械和运输船舶；高噪声机械配置</w:t>
      </w:r>
      <w:r>
        <w:rPr>
          <w:rFonts w:hint="eastAsia" w:cs="Times New Roman"/>
          <w:bCs/>
          <w:color w:val="auto"/>
          <w:sz w:val="26"/>
          <w:highlight w:val="none"/>
          <w:shd w:val="clear" w:fill="FFFFFF"/>
          <w:lang w:eastAsia="zh-CN"/>
        </w:rPr>
        <w:t>减振</w:t>
      </w:r>
      <w:r>
        <w:rPr>
          <w:rFonts w:hint="default" w:ascii="Times New Roman" w:hAnsi="Times New Roman" w:cs="Times New Roman"/>
          <w:bCs/>
          <w:color w:val="auto"/>
          <w:sz w:val="26"/>
          <w:highlight w:val="none"/>
        </w:rPr>
        <w:t>机座等临时降噪设备；避免多台高噪声的机械设备在同一工场和同一时间使用。</w:t>
      </w:r>
    </w:p>
    <w:p>
      <w:pPr>
        <w:pStyle w:val="165"/>
        <w:numPr>
          <w:ilvl w:val="0"/>
          <w:numId w:val="0"/>
        </w:numPr>
        <w:autoSpaceDE w:val="0"/>
        <w:autoSpaceDN w:val="0"/>
        <w:adjustRightInd w:val="0"/>
        <w:snapToGrid w:val="0"/>
        <w:spacing w:line="480" w:lineRule="exact"/>
        <w:ind w:firstLine="520" w:firstLineChars="200"/>
        <w:textAlignment w:val="baseline"/>
        <w:rPr>
          <w:rFonts w:hint="default" w:ascii="Times New Roman" w:hAnsi="Times New Roman" w:cs="Times New Roman"/>
          <w:color w:val="auto"/>
          <w:sz w:val="26"/>
          <w:szCs w:val="26"/>
          <w:highlight w:val="none"/>
        </w:rPr>
      </w:pPr>
      <w:r>
        <w:rPr>
          <w:rFonts w:hint="eastAsia" w:cs="Times New Roman"/>
          <w:color w:val="auto"/>
          <w:sz w:val="26"/>
          <w:highlight w:val="none"/>
          <w:lang w:eastAsia="zh-CN"/>
        </w:rPr>
        <w:t>（</w:t>
      </w:r>
      <w:r>
        <w:rPr>
          <w:rFonts w:hint="eastAsia" w:cs="Times New Roman"/>
          <w:color w:val="auto"/>
          <w:sz w:val="26"/>
          <w:highlight w:val="none"/>
          <w:lang w:val="en-US" w:eastAsia="zh-CN"/>
        </w:rPr>
        <w:t>8</w:t>
      </w:r>
      <w:r>
        <w:rPr>
          <w:rFonts w:hint="eastAsia" w:cs="Times New Roman"/>
          <w:color w:val="auto"/>
          <w:sz w:val="26"/>
          <w:highlight w:val="none"/>
          <w:lang w:eastAsia="zh-CN"/>
        </w:rPr>
        <w:t>）</w:t>
      </w:r>
      <w:r>
        <w:rPr>
          <w:rFonts w:hint="default" w:ascii="Times New Roman" w:hAnsi="Times New Roman" w:cs="Times New Roman"/>
          <w:color w:val="auto"/>
          <w:sz w:val="26"/>
          <w:highlight w:val="none"/>
        </w:rPr>
        <w:t>根据区内有害生物的种类和发生、传播规律及危害程度，在施工期，加强项目区林业有害生物的预防和控制，加强对建筑包装材料的检疫工作，特别加强对逸生能力很强的栽培引种物种的监控，强化林草资源保护，确保生态和国土资源安全。</w:t>
      </w:r>
    </w:p>
    <w:p>
      <w:pPr>
        <w:numPr>
          <w:ilvl w:val="0"/>
          <w:numId w:val="0"/>
        </w:numPr>
        <w:autoSpaceDE w:val="0"/>
        <w:autoSpaceDN w:val="0"/>
        <w:adjustRightInd w:val="0"/>
        <w:snapToGrid w:val="0"/>
        <w:spacing w:line="480" w:lineRule="exact"/>
        <w:ind w:firstLine="520" w:firstLineChars="200"/>
        <w:contextualSpacing/>
        <w:textAlignment w:val="baseline"/>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w:t>
      </w:r>
      <w:r>
        <w:rPr>
          <w:rFonts w:hint="eastAsia" w:cs="Times New Roman"/>
          <w:color w:val="auto"/>
          <w:highlight w:val="none"/>
          <w:lang w:val="en-US" w:eastAsia="zh-CN"/>
        </w:rPr>
        <w:t>9</w:t>
      </w:r>
      <w:r>
        <w:rPr>
          <w:rFonts w:hint="eastAsia" w:cs="Times New Roman"/>
          <w:color w:val="auto"/>
          <w:highlight w:val="none"/>
          <w:lang w:eastAsia="zh-CN"/>
        </w:rPr>
        <w:t>）</w:t>
      </w:r>
      <w:r>
        <w:rPr>
          <w:rFonts w:hint="default" w:ascii="Times New Roman" w:hAnsi="Times New Roman" w:cs="Times New Roman"/>
          <w:color w:val="auto"/>
          <w:highlight w:val="none"/>
        </w:rPr>
        <w:t>通过培训和施工期的监管，杜绝施工期人为捕猎事件发生，降低施工活动对生态敏感区及项目</w:t>
      </w:r>
      <w:r>
        <w:rPr>
          <w:rFonts w:hint="default" w:ascii="Times New Roman" w:hAnsi="Times New Roman" w:cs="Times New Roman"/>
          <w:color w:val="auto"/>
          <w:highlight w:val="none"/>
          <w:lang w:val="en-US" w:eastAsia="zh-CN"/>
        </w:rPr>
        <w:t>周边</w:t>
      </w:r>
      <w:r>
        <w:rPr>
          <w:rFonts w:hint="default" w:ascii="Times New Roman" w:hAnsi="Times New Roman" w:cs="Times New Roman"/>
          <w:color w:val="auto"/>
          <w:highlight w:val="none"/>
        </w:rPr>
        <w:t>景观和其他野生动植物资源的影响。</w:t>
      </w:r>
    </w:p>
    <w:p>
      <w:pPr>
        <w:pStyle w:val="4"/>
        <w:rPr>
          <w:color w:val="auto"/>
          <w:highlight w:val="none"/>
        </w:rPr>
      </w:pPr>
      <w:bookmarkStart w:id="132" w:name="_Toc31315"/>
      <w:r>
        <w:rPr>
          <w:rFonts w:hint="eastAsia"/>
          <w:color w:val="auto"/>
          <w:highlight w:val="none"/>
        </w:rPr>
        <w:t>环保</w:t>
      </w:r>
      <w:r>
        <w:rPr>
          <w:color w:val="auto"/>
          <w:highlight w:val="none"/>
        </w:rPr>
        <w:t>设施及投资估算</w:t>
      </w:r>
      <w:bookmarkEnd w:id="132"/>
    </w:p>
    <w:p>
      <w:pPr>
        <w:spacing w:line="460" w:lineRule="exact"/>
        <w:ind w:firstLine="520"/>
        <w:rPr>
          <w:color w:val="auto"/>
          <w:szCs w:val="26"/>
          <w:highlight w:val="none"/>
        </w:rPr>
      </w:pPr>
      <w:r>
        <w:rPr>
          <w:rFonts w:hint="eastAsia"/>
          <w:color w:val="auto"/>
          <w:szCs w:val="26"/>
          <w:highlight w:val="none"/>
        </w:rPr>
        <w:t>本工程总投资约86943.66万</w:t>
      </w:r>
      <w:r>
        <w:rPr>
          <w:color w:val="auto"/>
          <w:szCs w:val="26"/>
          <w:highlight w:val="none"/>
        </w:rPr>
        <w:t>元</w:t>
      </w:r>
      <w:r>
        <w:rPr>
          <w:rFonts w:hint="eastAsia"/>
          <w:color w:val="auto"/>
          <w:szCs w:val="26"/>
          <w:highlight w:val="none"/>
        </w:rPr>
        <w:t>，环保投资约</w:t>
      </w:r>
      <w:r>
        <w:rPr>
          <w:rFonts w:hint="eastAsia"/>
          <w:color w:val="auto"/>
          <w:szCs w:val="26"/>
          <w:highlight w:val="none"/>
          <w:lang w:val="en-US" w:eastAsia="zh-CN"/>
        </w:rPr>
        <w:t>514</w:t>
      </w:r>
      <w:r>
        <w:rPr>
          <w:rFonts w:hint="eastAsia"/>
          <w:color w:val="auto"/>
          <w:szCs w:val="26"/>
          <w:highlight w:val="none"/>
        </w:rPr>
        <w:t>万元，约占总投资的</w:t>
      </w:r>
      <w:r>
        <w:rPr>
          <w:rFonts w:hint="eastAsia"/>
          <w:color w:val="auto"/>
          <w:szCs w:val="26"/>
          <w:highlight w:val="none"/>
          <w:lang w:val="en-US" w:eastAsia="zh-CN"/>
        </w:rPr>
        <w:t>0.59</w:t>
      </w:r>
      <w:r>
        <w:rPr>
          <w:rFonts w:hint="eastAsia"/>
          <w:color w:val="auto"/>
          <w:szCs w:val="26"/>
          <w:highlight w:val="none"/>
        </w:rPr>
        <w:t>%。环保投资估算情况见下表：</w:t>
      </w:r>
    </w:p>
    <w:p>
      <w:pPr>
        <w:spacing w:line="240" w:lineRule="auto"/>
        <w:ind w:firstLine="0" w:firstLineChars="0"/>
        <w:jc w:val="center"/>
        <w:rPr>
          <w:color w:val="auto"/>
          <w:szCs w:val="26"/>
          <w:highlight w:val="none"/>
        </w:rPr>
      </w:pPr>
    </w:p>
    <w:p>
      <w:pPr>
        <w:spacing w:line="240" w:lineRule="auto"/>
        <w:ind w:firstLine="0" w:firstLineChars="0"/>
        <w:jc w:val="center"/>
        <w:rPr>
          <w:color w:val="auto"/>
          <w:szCs w:val="26"/>
          <w:highlight w:val="none"/>
        </w:rPr>
      </w:pPr>
      <w:r>
        <w:rPr>
          <w:color w:val="auto"/>
          <w:szCs w:val="26"/>
          <w:highlight w:val="none"/>
        </w:rPr>
        <w:t>表</w:t>
      </w:r>
      <w:r>
        <w:rPr>
          <w:rFonts w:hint="eastAsia"/>
          <w:color w:val="auto"/>
          <w:szCs w:val="26"/>
          <w:highlight w:val="none"/>
          <w:lang w:val="en-US" w:eastAsia="zh-CN"/>
        </w:rPr>
        <w:t>5</w:t>
      </w:r>
      <w:r>
        <w:rPr>
          <w:color w:val="auto"/>
          <w:szCs w:val="26"/>
          <w:highlight w:val="none"/>
        </w:rPr>
        <w:t>.</w:t>
      </w:r>
      <w:r>
        <w:rPr>
          <w:rFonts w:hint="eastAsia"/>
          <w:color w:val="auto"/>
          <w:szCs w:val="26"/>
          <w:highlight w:val="none"/>
        </w:rPr>
        <w:t>4</w:t>
      </w:r>
      <w:r>
        <w:rPr>
          <w:color w:val="auto"/>
          <w:szCs w:val="26"/>
          <w:highlight w:val="none"/>
        </w:rPr>
        <w:t>-1</w:t>
      </w:r>
      <w:r>
        <w:rPr>
          <w:rFonts w:hint="eastAsia"/>
          <w:color w:val="auto"/>
          <w:szCs w:val="26"/>
          <w:highlight w:val="none"/>
        </w:rPr>
        <w:t xml:space="preserve">  本项目环保</w:t>
      </w:r>
      <w:r>
        <w:rPr>
          <w:color w:val="auto"/>
          <w:szCs w:val="26"/>
          <w:highlight w:val="none"/>
        </w:rPr>
        <w:t>投资估算一览表</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5"/>
        <w:gridCol w:w="900"/>
        <w:gridCol w:w="1555"/>
        <w:gridCol w:w="4728"/>
        <w:gridCol w:w="1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0" w:type="dxa"/>
            <w:gridSpan w:val="3"/>
            <w:vAlign w:val="center"/>
          </w:tcPr>
          <w:p>
            <w:pPr>
              <w:snapToGrid w:val="0"/>
              <w:spacing w:line="240" w:lineRule="auto"/>
              <w:ind w:firstLine="0" w:firstLineChars="0"/>
              <w:jc w:val="center"/>
              <w:rPr>
                <w:color w:val="auto"/>
                <w:sz w:val="22"/>
                <w:szCs w:val="22"/>
                <w:highlight w:val="none"/>
              </w:rPr>
            </w:pPr>
            <w:bookmarkStart w:id="133" w:name="_Hlk45618140"/>
            <w:r>
              <w:rPr>
                <w:rFonts w:hint="eastAsia"/>
                <w:color w:val="auto"/>
                <w:sz w:val="22"/>
                <w:szCs w:val="22"/>
                <w:highlight w:val="none"/>
              </w:rPr>
              <w:t>项目</w:t>
            </w:r>
          </w:p>
        </w:tc>
        <w:tc>
          <w:tcPr>
            <w:tcW w:w="4728" w:type="dxa"/>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设备或措施</w:t>
            </w:r>
          </w:p>
        </w:tc>
        <w:tc>
          <w:tcPr>
            <w:tcW w:w="1021" w:type="dxa"/>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投资</w:t>
            </w:r>
          </w:p>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restart"/>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生态</w:t>
            </w:r>
          </w:p>
        </w:tc>
        <w:tc>
          <w:tcPr>
            <w:tcW w:w="900" w:type="dxa"/>
            <w:vMerge w:val="restart"/>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施工期</w:t>
            </w:r>
          </w:p>
        </w:tc>
        <w:tc>
          <w:tcPr>
            <w:tcW w:w="1555" w:type="dxa"/>
            <w:vAlign w:val="center"/>
          </w:tcPr>
          <w:p>
            <w:pPr>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施工管理</w:t>
            </w:r>
          </w:p>
        </w:tc>
        <w:tc>
          <w:tcPr>
            <w:tcW w:w="4728" w:type="dxa"/>
            <w:vAlign w:val="center"/>
          </w:tcPr>
          <w:p>
            <w:pPr>
              <w:snapToGrid w:val="0"/>
              <w:spacing w:line="240" w:lineRule="auto"/>
              <w:ind w:firstLine="0" w:firstLineChars="0"/>
              <w:jc w:val="both"/>
              <w:rPr>
                <w:color w:val="auto"/>
                <w:sz w:val="22"/>
                <w:szCs w:val="22"/>
                <w:highlight w:val="none"/>
              </w:rPr>
            </w:pPr>
            <w:r>
              <w:rPr>
                <w:rFonts w:hint="eastAsia"/>
                <w:color w:val="auto"/>
                <w:sz w:val="22"/>
                <w:szCs w:val="22"/>
                <w:highlight w:val="none"/>
                <w:lang w:eastAsia="zh-CN"/>
              </w:rPr>
              <w:t>合理进行施工布置，</w:t>
            </w:r>
            <w:r>
              <w:rPr>
                <w:rFonts w:hint="eastAsia"/>
                <w:color w:val="auto"/>
                <w:sz w:val="22"/>
                <w:szCs w:val="22"/>
                <w:highlight w:val="none"/>
              </w:rPr>
              <w:t>严格按照施工用地范围施工，不得损毁施工区外的植被；加强对施工人员的宣传教育，禁止捕猎野生动物。</w:t>
            </w:r>
          </w:p>
        </w:tc>
        <w:tc>
          <w:tcPr>
            <w:tcW w:w="1021" w:type="dxa"/>
            <w:vMerge w:val="restart"/>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纳入</w:t>
            </w:r>
            <w:r>
              <w:rPr>
                <w:color w:val="auto"/>
                <w:sz w:val="22"/>
                <w:szCs w:val="22"/>
                <w:highlight w:val="none"/>
              </w:rPr>
              <w:t>主体</w:t>
            </w:r>
            <w:r>
              <w:rPr>
                <w:rFonts w:hint="eastAsia"/>
                <w:color w:val="auto"/>
                <w:sz w:val="22"/>
                <w:szCs w:val="22"/>
                <w:highlight w:val="none"/>
              </w:rPr>
              <w:t>投资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rFonts w:hint="eastAsia"/>
                <w:color w:val="auto"/>
                <w:sz w:val="22"/>
                <w:szCs w:val="22"/>
                <w:highlight w:val="none"/>
              </w:rPr>
            </w:pPr>
          </w:p>
        </w:tc>
        <w:tc>
          <w:tcPr>
            <w:tcW w:w="900" w:type="dxa"/>
            <w:vMerge w:val="continue"/>
            <w:vAlign w:val="center"/>
          </w:tcPr>
          <w:p>
            <w:pPr>
              <w:snapToGrid w:val="0"/>
              <w:spacing w:line="240" w:lineRule="auto"/>
              <w:ind w:firstLine="0" w:firstLineChars="0"/>
              <w:jc w:val="center"/>
              <w:rPr>
                <w:rFonts w:hint="eastAsia"/>
                <w:color w:val="auto"/>
                <w:sz w:val="22"/>
                <w:szCs w:val="22"/>
                <w:highlight w:val="none"/>
              </w:rPr>
            </w:pPr>
          </w:p>
        </w:tc>
        <w:tc>
          <w:tcPr>
            <w:tcW w:w="1555" w:type="dxa"/>
            <w:vAlign w:val="center"/>
          </w:tcPr>
          <w:p>
            <w:pPr>
              <w:snapToGrid w:val="0"/>
              <w:spacing w:line="240" w:lineRule="auto"/>
              <w:ind w:firstLine="0" w:firstLineChars="0"/>
              <w:jc w:val="center"/>
              <w:rPr>
                <w:rFonts w:hint="eastAsia"/>
                <w:color w:val="auto"/>
                <w:sz w:val="22"/>
                <w:szCs w:val="22"/>
                <w:highlight w:val="none"/>
                <w:lang w:eastAsia="zh-CN"/>
              </w:rPr>
            </w:pPr>
            <w:r>
              <w:rPr>
                <w:rFonts w:hint="eastAsia"/>
                <w:color w:val="auto"/>
                <w:sz w:val="22"/>
                <w:szCs w:val="22"/>
                <w:highlight w:val="none"/>
                <w:lang w:eastAsia="zh-CN"/>
              </w:rPr>
              <w:t>水土流失防治</w:t>
            </w:r>
          </w:p>
        </w:tc>
        <w:tc>
          <w:tcPr>
            <w:tcW w:w="4728" w:type="dxa"/>
            <w:vAlign w:val="center"/>
          </w:tcPr>
          <w:p>
            <w:pPr>
              <w:snapToGrid w:val="0"/>
              <w:spacing w:line="240" w:lineRule="auto"/>
              <w:ind w:firstLine="0" w:firstLineChars="0"/>
              <w:jc w:val="both"/>
              <w:rPr>
                <w:rFonts w:hint="eastAsia"/>
                <w:color w:val="auto"/>
                <w:sz w:val="22"/>
                <w:szCs w:val="22"/>
                <w:highlight w:val="none"/>
                <w:lang w:eastAsia="zh-CN"/>
              </w:rPr>
            </w:pPr>
            <w:r>
              <w:rPr>
                <w:rFonts w:hint="eastAsia"/>
                <w:color w:val="auto"/>
                <w:sz w:val="22"/>
                <w:szCs w:val="22"/>
                <w:highlight w:val="none"/>
                <w:lang w:eastAsia="zh-CN"/>
              </w:rPr>
              <w:t>按水土保持方案做好水土流失防治工作。</w:t>
            </w:r>
          </w:p>
        </w:tc>
        <w:tc>
          <w:tcPr>
            <w:tcW w:w="1021" w:type="dxa"/>
            <w:vMerge w:val="continue"/>
            <w:vAlign w:val="center"/>
          </w:tcPr>
          <w:p>
            <w:pPr>
              <w:snapToGrid w:val="0"/>
              <w:spacing w:line="240" w:lineRule="auto"/>
              <w:ind w:firstLine="0" w:firstLineChars="0"/>
              <w:jc w:val="center"/>
              <w:rPr>
                <w:rFonts w:hint="eastAsia"/>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continue"/>
            <w:vAlign w:val="center"/>
          </w:tcPr>
          <w:p>
            <w:pPr>
              <w:snapToGrid w:val="0"/>
              <w:spacing w:line="240" w:lineRule="auto"/>
              <w:ind w:firstLine="0" w:firstLineChars="0"/>
              <w:jc w:val="center"/>
              <w:rPr>
                <w:color w:val="auto"/>
                <w:sz w:val="22"/>
                <w:szCs w:val="22"/>
                <w:highlight w:val="none"/>
              </w:rPr>
            </w:pPr>
          </w:p>
        </w:tc>
        <w:tc>
          <w:tcPr>
            <w:tcW w:w="1555" w:type="dxa"/>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恢复</w:t>
            </w:r>
            <w:r>
              <w:rPr>
                <w:color w:val="auto"/>
                <w:sz w:val="22"/>
                <w:szCs w:val="22"/>
                <w:highlight w:val="none"/>
              </w:rPr>
              <w:t>植被</w:t>
            </w:r>
          </w:p>
        </w:tc>
        <w:tc>
          <w:tcPr>
            <w:tcW w:w="4728" w:type="dxa"/>
            <w:vAlign w:val="center"/>
          </w:tcPr>
          <w:p>
            <w:pPr>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rPr>
              <w:t>施工结束后</w:t>
            </w:r>
            <w:r>
              <w:rPr>
                <w:rFonts w:hint="eastAsia"/>
                <w:color w:val="auto"/>
                <w:sz w:val="22"/>
                <w:szCs w:val="22"/>
                <w:highlight w:val="none"/>
                <w:lang w:eastAsia="zh-CN"/>
              </w:rPr>
              <w:t>，及时</w:t>
            </w:r>
            <w:r>
              <w:rPr>
                <w:rFonts w:hint="eastAsia"/>
                <w:color w:val="auto"/>
                <w:sz w:val="22"/>
                <w:szCs w:val="22"/>
                <w:highlight w:val="none"/>
              </w:rPr>
              <w:t>对临时占地进行生态恢复</w:t>
            </w:r>
            <w:r>
              <w:rPr>
                <w:rFonts w:hint="eastAsia"/>
                <w:color w:val="auto"/>
                <w:sz w:val="22"/>
                <w:szCs w:val="22"/>
                <w:highlight w:val="none"/>
                <w:lang w:eastAsia="zh-CN"/>
              </w:rPr>
              <w:t>。</w:t>
            </w:r>
          </w:p>
        </w:tc>
        <w:tc>
          <w:tcPr>
            <w:tcW w:w="1021" w:type="dxa"/>
            <w:vMerge w:val="continue"/>
            <w:vAlign w:val="center"/>
          </w:tcPr>
          <w:p>
            <w:pPr>
              <w:snapToGrid w:val="0"/>
              <w:spacing w:line="240" w:lineRule="auto"/>
              <w:ind w:firstLine="0" w:firstLineChars="0"/>
              <w:jc w:val="center"/>
              <w:rPr>
                <w:color w:val="auto"/>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restart"/>
            <w:vAlign w:val="center"/>
          </w:tcPr>
          <w:p>
            <w:pPr>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运营期</w:t>
            </w:r>
          </w:p>
        </w:tc>
        <w:tc>
          <w:tcPr>
            <w:tcW w:w="1555" w:type="dxa"/>
            <w:vMerge w:val="restart"/>
            <w:vAlign w:val="center"/>
          </w:tcPr>
          <w:p>
            <w:pPr>
              <w:snapToGrid w:val="0"/>
              <w:spacing w:line="240" w:lineRule="auto"/>
              <w:ind w:firstLine="0" w:firstLineChars="0"/>
              <w:jc w:val="center"/>
              <w:rPr>
                <w:rFonts w:hint="eastAsia"/>
                <w:color w:val="auto"/>
                <w:sz w:val="22"/>
                <w:szCs w:val="22"/>
                <w:highlight w:val="none"/>
                <w:lang w:eastAsia="zh-CN"/>
              </w:rPr>
            </w:pPr>
            <w:r>
              <w:rPr>
                <w:rFonts w:hint="eastAsia"/>
                <w:color w:val="auto"/>
                <w:sz w:val="22"/>
                <w:szCs w:val="22"/>
                <w:highlight w:val="none"/>
                <w:lang w:eastAsia="zh-CN"/>
              </w:rPr>
              <w:t>鱼类保护</w:t>
            </w:r>
          </w:p>
        </w:tc>
        <w:tc>
          <w:tcPr>
            <w:tcW w:w="4728" w:type="dxa"/>
            <w:vAlign w:val="center"/>
          </w:tcPr>
          <w:p>
            <w:pPr>
              <w:snapToGrid w:val="0"/>
              <w:spacing w:line="240" w:lineRule="auto"/>
              <w:ind w:firstLine="0" w:firstLineChars="0"/>
              <w:jc w:val="both"/>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eastAsia="zh-CN"/>
              </w:rPr>
              <w:t>优化爆破工艺、爆破前驱鱼、气泡帷幕防护</w:t>
            </w:r>
          </w:p>
        </w:tc>
        <w:tc>
          <w:tcPr>
            <w:tcW w:w="1021" w:type="dxa"/>
            <w:vMerge w:val="restart"/>
            <w:vAlign w:val="center"/>
          </w:tcPr>
          <w:p>
            <w:pPr>
              <w:snapToGrid w:val="0"/>
              <w:spacing w:line="240" w:lineRule="auto"/>
              <w:ind w:firstLine="0" w:firstLineChars="0"/>
              <w:jc w:val="center"/>
              <w:rPr>
                <w:rFonts w:hint="default"/>
                <w:color w:val="auto"/>
                <w:sz w:val="22"/>
                <w:szCs w:val="22"/>
                <w:highlight w:val="none"/>
                <w:lang w:val="en-US" w:eastAsia="zh-CN"/>
              </w:rPr>
            </w:pPr>
            <w:r>
              <w:rPr>
                <w:rFonts w:hint="eastAsia"/>
                <w:color w:val="auto"/>
                <w:sz w:val="22"/>
                <w:szCs w:val="22"/>
                <w:highlight w:val="none"/>
                <w:lang w:val="en-US" w:eastAsia="zh-CN"/>
              </w:rPr>
              <w:t>250（具体金额以水生生态专题为准）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continue"/>
            <w:vAlign w:val="center"/>
          </w:tcPr>
          <w:p>
            <w:pPr>
              <w:snapToGrid w:val="0"/>
              <w:spacing w:line="240" w:lineRule="auto"/>
              <w:ind w:firstLine="0" w:firstLineChars="0"/>
              <w:jc w:val="center"/>
              <w:rPr>
                <w:rFonts w:hint="eastAsia"/>
                <w:color w:val="auto"/>
                <w:sz w:val="22"/>
                <w:szCs w:val="22"/>
                <w:highlight w:val="none"/>
                <w:lang w:eastAsia="zh-CN"/>
              </w:rPr>
            </w:pPr>
          </w:p>
        </w:tc>
        <w:tc>
          <w:tcPr>
            <w:tcW w:w="1555" w:type="dxa"/>
            <w:vMerge w:val="continue"/>
            <w:vAlign w:val="center"/>
          </w:tcPr>
          <w:p>
            <w:pPr>
              <w:snapToGrid w:val="0"/>
              <w:spacing w:line="240" w:lineRule="auto"/>
              <w:ind w:firstLine="0" w:firstLineChars="0"/>
              <w:jc w:val="center"/>
              <w:rPr>
                <w:rFonts w:hint="eastAsia"/>
                <w:color w:val="auto"/>
                <w:sz w:val="22"/>
                <w:szCs w:val="22"/>
                <w:highlight w:val="none"/>
                <w:lang w:eastAsia="zh-CN"/>
              </w:rPr>
            </w:pPr>
          </w:p>
        </w:tc>
        <w:tc>
          <w:tcPr>
            <w:tcW w:w="4728" w:type="dxa"/>
            <w:vAlign w:val="center"/>
          </w:tcPr>
          <w:p>
            <w:pPr>
              <w:snapToGrid w:val="0"/>
              <w:spacing w:line="240" w:lineRule="auto"/>
              <w:ind w:firstLine="0" w:firstLineChars="0"/>
              <w:jc w:val="both"/>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eastAsia="zh-CN"/>
              </w:rPr>
              <w:t>跟踪监测：水生生物监测、鱼类资源监测</w:t>
            </w:r>
          </w:p>
        </w:tc>
        <w:tc>
          <w:tcPr>
            <w:tcW w:w="1021" w:type="dxa"/>
            <w:vMerge w:val="continue"/>
            <w:vAlign w:val="center"/>
          </w:tcPr>
          <w:p>
            <w:pPr>
              <w:snapToGrid w:val="0"/>
              <w:spacing w:line="240" w:lineRule="auto"/>
              <w:ind w:firstLine="0" w:firstLineChars="0"/>
              <w:jc w:val="center"/>
              <w:rPr>
                <w:rFonts w:hint="eastAsia"/>
                <w:color w:val="auto"/>
                <w:sz w:val="22"/>
                <w:szCs w:val="22"/>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continue"/>
            <w:vAlign w:val="center"/>
          </w:tcPr>
          <w:p>
            <w:pPr>
              <w:snapToGrid w:val="0"/>
              <w:spacing w:line="240" w:lineRule="auto"/>
              <w:ind w:firstLine="0" w:firstLineChars="0"/>
              <w:jc w:val="center"/>
              <w:rPr>
                <w:rFonts w:hint="eastAsia"/>
                <w:color w:val="auto"/>
                <w:sz w:val="22"/>
                <w:szCs w:val="22"/>
                <w:highlight w:val="none"/>
                <w:lang w:eastAsia="zh-CN"/>
              </w:rPr>
            </w:pPr>
          </w:p>
        </w:tc>
        <w:tc>
          <w:tcPr>
            <w:tcW w:w="1555" w:type="dxa"/>
            <w:vMerge w:val="continue"/>
            <w:vAlign w:val="center"/>
          </w:tcPr>
          <w:p>
            <w:pPr>
              <w:snapToGrid w:val="0"/>
              <w:spacing w:line="240" w:lineRule="auto"/>
              <w:ind w:firstLine="0" w:firstLineChars="0"/>
              <w:jc w:val="center"/>
              <w:rPr>
                <w:rFonts w:hint="eastAsia"/>
                <w:color w:val="auto"/>
                <w:sz w:val="22"/>
                <w:szCs w:val="22"/>
                <w:highlight w:val="none"/>
                <w:lang w:eastAsia="zh-CN"/>
              </w:rPr>
            </w:pPr>
          </w:p>
        </w:tc>
        <w:tc>
          <w:tcPr>
            <w:tcW w:w="4728" w:type="dxa"/>
            <w:vAlign w:val="center"/>
          </w:tcPr>
          <w:p>
            <w:pPr>
              <w:snapToGrid w:val="0"/>
              <w:spacing w:line="240" w:lineRule="auto"/>
              <w:ind w:firstLine="0" w:firstLineChars="0"/>
              <w:jc w:val="both"/>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eastAsia="zh-CN"/>
              </w:rPr>
              <w:t>修复效果跟踪评价：</w:t>
            </w:r>
            <w:r>
              <w:rPr>
                <w:rFonts w:hint="eastAsia" w:cs="Times New Roman"/>
                <w:color w:val="auto"/>
                <w:sz w:val="22"/>
                <w:szCs w:val="22"/>
                <w:highlight w:val="none"/>
                <w:lang w:eastAsia="zh-CN"/>
              </w:rPr>
              <w:t>过鱼效果评估</w:t>
            </w:r>
          </w:p>
        </w:tc>
        <w:tc>
          <w:tcPr>
            <w:tcW w:w="1021" w:type="dxa"/>
            <w:vMerge w:val="continue"/>
            <w:vAlign w:val="center"/>
          </w:tcPr>
          <w:p>
            <w:pPr>
              <w:snapToGrid w:val="0"/>
              <w:spacing w:line="240" w:lineRule="auto"/>
              <w:ind w:firstLine="0" w:firstLineChars="0"/>
              <w:jc w:val="center"/>
              <w:rPr>
                <w:rFonts w:hint="eastAsia"/>
                <w:color w:val="auto"/>
                <w:sz w:val="22"/>
                <w:szCs w:val="22"/>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continue"/>
            <w:vAlign w:val="center"/>
          </w:tcPr>
          <w:p>
            <w:pPr>
              <w:snapToGrid w:val="0"/>
              <w:spacing w:line="240" w:lineRule="auto"/>
              <w:ind w:firstLine="0" w:firstLineChars="0"/>
              <w:jc w:val="center"/>
              <w:rPr>
                <w:rFonts w:hint="eastAsia"/>
                <w:color w:val="auto"/>
                <w:sz w:val="22"/>
                <w:szCs w:val="22"/>
                <w:highlight w:val="none"/>
                <w:lang w:eastAsia="zh-CN"/>
              </w:rPr>
            </w:pPr>
          </w:p>
        </w:tc>
        <w:tc>
          <w:tcPr>
            <w:tcW w:w="1555" w:type="dxa"/>
            <w:vMerge w:val="continue"/>
            <w:vAlign w:val="center"/>
          </w:tcPr>
          <w:p>
            <w:pPr>
              <w:snapToGrid w:val="0"/>
              <w:spacing w:line="240" w:lineRule="auto"/>
              <w:ind w:firstLine="0" w:firstLineChars="0"/>
              <w:jc w:val="center"/>
              <w:rPr>
                <w:rFonts w:hint="eastAsia"/>
                <w:color w:val="auto"/>
                <w:sz w:val="22"/>
                <w:szCs w:val="22"/>
                <w:highlight w:val="none"/>
                <w:lang w:eastAsia="zh-CN"/>
              </w:rPr>
            </w:pPr>
          </w:p>
        </w:tc>
        <w:tc>
          <w:tcPr>
            <w:tcW w:w="4728" w:type="dxa"/>
            <w:vAlign w:val="center"/>
          </w:tcPr>
          <w:p>
            <w:pPr>
              <w:snapToGrid w:val="0"/>
              <w:spacing w:line="240" w:lineRule="auto"/>
              <w:ind w:firstLine="0" w:firstLineChars="0"/>
              <w:jc w:val="both"/>
              <w:rPr>
                <w:rFonts w:hint="eastAsia"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eastAsia="zh-CN"/>
              </w:rPr>
              <w:t>鱼类救护经费：（施工期）珍稀鱼类意外</w:t>
            </w:r>
            <w:r>
              <w:rPr>
                <w:rFonts w:hint="eastAsia" w:ascii="Times New Roman" w:hAnsi="Times New Roman" w:eastAsia="宋体" w:cs="Times New Roman"/>
                <w:color w:val="auto"/>
                <w:sz w:val="22"/>
                <w:szCs w:val="22"/>
                <w:highlight w:val="none"/>
                <w:shd w:val="clear" w:fill="FFFFFF"/>
                <w:lang w:eastAsia="zh-CN"/>
              </w:rPr>
              <w:t>受伤害</w:t>
            </w:r>
            <w:r>
              <w:rPr>
                <w:rFonts w:hint="eastAsia" w:ascii="Times New Roman" w:hAnsi="Times New Roman" w:eastAsia="宋体" w:cs="Times New Roman"/>
                <w:color w:val="auto"/>
                <w:sz w:val="22"/>
                <w:szCs w:val="22"/>
                <w:highlight w:val="none"/>
                <w:lang w:eastAsia="zh-CN"/>
              </w:rPr>
              <w:t>救护</w:t>
            </w:r>
          </w:p>
        </w:tc>
        <w:tc>
          <w:tcPr>
            <w:tcW w:w="1021" w:type="dxa"/>
            <w:vMerge w:val="continue"/>
            <w:vAlign w:val="center"/>
          </w:tcPr>
          <w:p>
            <w:pPr>
              <w:snapToGrid w:val="0"/>
              <w:spacing w:line="240" w:lineRule="auto"/>
              <w:ind w:firstLine="0" w:firstLineChars="0"/>
              <w:jc w:val="center"/>
              <w:rPr>
                <w:rFonts w:hint="eastAsia"/>
                <w:color w:val="auto"/>
                <w:sz w:val="22"/>
                <w:szCs w:val="22"/>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continue"/>
            <w:vAlign w:val="center"/>
          </w:tcPr>
          <w:p>
            <w:pPr>
              <w:snapToGrid w:val="0"/>
              <w:spacing w:line="240" w:lineRule="auto"/>
              <w:ind w:firstLine="0" w:firstLineChars="0"/>
              <w:jc w:val="center"/>
              <w:rPr>
                <w:rFonts w:hint="eastAsia"/>
                <w:color w:val="auto"/>
                <w:sz w:val="22"/>
                <w:szCs w:val="22"/>
                <w:highlight w:val="none"/>
                <w:lang w:eastAsia="zh-CN"/>
              </w:rPr>
            </w:pPr>
          </w:p>
        </w:tc>
        <w:tc>
          <w:tcPr>
            <w:tcW w:w="1555" w:type="dxa"/>
            <w:vMerge w:val="continue"/>
            <w:vAlign w:val="center"/>
          </w:tcPr>
          <w:p>
            <w:pPr>
              <w:snapToGrid w:val="0"/>
              <w:spacing w:line="240" w:lineRule="auto"/>
              <w:ind w:firstLine="0" w:firstLineChars="0"/>
              <w:jc w:val="center"/>
              <w:rPr>
                <w:rFonts w:hint="eastAsia"/>
                <w:color w:val="auto"/>
                <w:sz w:val="22"/>
                <w:szCs w:val="22"/>
                <w:highlight w:val="none"/>
                <w:lang w:eastAsia="zh-CN"/>
              </w:rPr>
            </w:pPr>
          </w:p>
        </w:tc>
        <w:tc>
          <w:tcPr>
            <w:tcW w:w="4728" w:type="dxa"/>
            <w:vAlign w:val="center"/>
          </w:tcPr>
          <w:p>
            <w:pPr>
              <w:snapToGrid w:val="0"/>
              <w:spacing w:line="240" w:lineRule="auto"/>
              <w:ind w:firstLine="0" w:firstLineChars="0"/>
              <w:jc w:val="both"/>
              <w:rPr>
                <w:rFonts w:hint="eastAsia" w:ascii="Times New Roman" w:hAnsi="Times New Roman" w:eastAsia="宋体" w:cs="Times New Roman"/>
                <w:color w:val="auto"/>
                <w:sz w:val="22"/>
                <w:szCs w:val="22"/>
                <w:highlight w:val="none"/>
                <w:lang w:eastAsia="zh-CN"/>
              </w:rPr>
            </w:pPr>
            <w:r>
              <w:rPr>
                <w:rFonts w:hint="eastAsia" w:cs="Times New Roman"/>
                <w:color w:val="auto"/>
                <w:sz w:val="22"/>
                <w:szCs w:val="22"/>
                <w:highlight w:val="none"/>
                <w:lang w:eastAsia="zh-CN"/>
              </w:rPr>
              <w:t>开展鱼类增殖放流。</w:t>
            </w:r>
          </w:p>
        </w:tc>
        <w:tc>
          <w:tcPr>
            <w:tcW w:w="1021" w:type="dxa"/>
            <w:vMerge w:val="continue"/>
            <w:vAlign w:val="center"/>
          </w:tcPr>
          <w:p>
            <w:pPr>
              <w:snapToGrid w:val="0"/>
              <w:spacing w:line="240" w:lineRule="auto"/>
              <w:ind w:firstLine="0" w:firstLineChars="0"/>
              <w:jc w:val="center"/>
              <w:rPr>
                <w:rFonts w:hint="eastAsia"/>
                <w:color w:val="auto"/>
                <w:sz w:val="22"/>
                <w:szCs w:val="22"/>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continue"/>
            <w:vAlign w:val="center"/>
          </w:tcPr>
          <w:p>
            <w:pPr>
              <w:snapToGrid w:val="0"/>
              <w:spacing w:line="240" w:lineRule="auto"/>
              <w:ind w:firstLine="0" w:firstLineChars="0"/>
              <w:jc w:val="center"/>
              <w:rPr>
                <w:rFonts w:hint="eastAsia" w:eastAsia="宋体"/>
                <w:color w:val="auto"/>
                <w:sz w:val="22"/>
                <w:szCs w:val="22"/>
                <w:highlight w:val="none"/>
                <w:lang w:eastAsia="zh-CN"/>
              </w:rPr>
            </w:pPr>
          </w:p>
        </w:tc>
        <w:tc>
          <w:tcPr>
            <w:tcW w:w="1555" w:type="dxa"/>
            <w:vAlign w:val="center"/>
          </w:tcPr>
          <w:p>
            <w:pPr>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管理区绿化</w:t>
            </w:r>
          </w:p>
        </w:tc>
        <w:tc>
          <w:tcPr>
            <w:tcW w:w="4728" w:type="dxa"/>
            <w:vAlign w:val="center"/>
          </w:tcPr>
          <w:p>
            <w:pPr>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对船闸管理区进行绿化</w:t>
            </w:r>
          </w:p>
        </w:tc>
        <w:tc>
          <w:tcPr>
            <w:tcW w:w="1021" w:type="dxa"/>
            <w:vAlign w:val="center"/>
          </w:tcPr>
          <w:p>
            <w:pPr>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rPr>
              <w:t>纳入</w:t>
            </w:r>
            <w:r>
              <w:rPr>
                <w:color w:val="auto"/>
                <w:sz w:val="22"/>
                <w:szCs w:val="22"/>
                <w:highlight w:val="none"/>
              </w:rPr>
              <w:t>主体</w:t>
            </w:r>
            <w:r>
              <w:rPr>
                <w:rFonts w:hint="eastAsia"/>
                <w:color w:val="auto"/>
                <w:sz w:val="22"/>
                <w:szCs w:val="22"/>
                <w:highlight w:val="none"/>
              </w:rPr>
              <w:t>投资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restart"/>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废水</w:t>
            </w:r>
          </w:p>
        </w:tc>
        <w:tc>
          <w:tcPr>
            <w:tcW w:w="900" w:type="dxa"/>
            <w:vMerge w:val="restart"/>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施工期</w:t>
            </w:r>
          </w:p>
        </w:tc>
        <w:tc>
          <w:tcPr>
            <w:tcW w:w="1555" w:type="dxa"/>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混凝土</w:t>
            </w:r>
            <w:r>
              <w:rPr>
                <w:rFonts w:hint="eastAsia"/>
                <w:color w:val="auto"/>
                <w:sz w:val="22"/>
                <w:szCs w:val="22"/>
                <w:highlight w:val="none"/>
                <w:shd w:val="clear" w:fill="FFFFFF"/>
              </w:rPr>
              <w:t>拌合系统</w:t>
            </w:r>
            <w:r>
              <w:rPr>
                <w:rFonts w:hint="eastAsia"/>
                <w:color w:val="auto"/>
                <w:sz w:val="22"/>
                <w:szCs w:val="22"/>
                <w:highlight w:val="none"/>
              </w:rPr>
              <w:t>废水</w:t>
            </w:r>
          </w:p>
        </w:tc>
        <w:tc>
          <w:tcPr>
            <w:tcW w:w="4728" w:type="dxa"/>
            <w:vAlign w:val="center"/>
          </w:tcPr>
          <w:p>
            <w:pPr>
              <w:snapToGrid w:val="0"/>
              <w:spacing w:line="240" w:lineRule="auto"/>
              <w:ind w:firstLine="0" w:firstLineChars="0"/>
              <w:jc w:val="both"/>
              <w:rPr>
                <w:color w:val="auto"/>
                <w:sz w:val="22"/>
                <w:szCs w:val="22"/>
                <w:highlight w:val="none"/>
              </w:rPr>
            </w:pPr>
            <w:r>
              <w:rPr>
                <w:rFonts w:hint="eastAsia"/>
                <w:color w:val="auto"/>
                <w:sz w:val="22"/>
                <w:szCs w:val="22"/>
                <w:highlight w:val="none"/>
                <w:lang w:eastAsia="zh-CN"/>
              </w:rPr>
              <w:t>设置清水池、沉淀池，</w:t>
            </w:r>
            <w:r>
              <w:rPr>
                <w:rFonts w:hint="eastAsia"/>
                <w:color w:val="auto"/>
                <w:sz w:val="22"/>
                <w:szCs w:val="22"/>
                <w:highlight w:val="none"/>
              </w:rPr>
              <w:t>采用沉淀法中和处理，经处理后全部回用于生产。</w:t>
            </w:r>
          </w:p>
        </w:tc>
        <w:tc>
          <w:tcPr>
            <w:tcW w:w="1021" w:type="dxa"/>
            <w:vAlign w:val="center"/>
          </w:tcPr>
          <w:p>
            <w:pPr>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rPr>
              <w:t>纳入</w:t>
            </w:r>
            <w:r>
              <w:rPr>
                <w:color w:val="auto"/>
                <w:sz w:val="22"/>
                <w:szCs w:val="22"/>
                <w:highlight w:val="none"/>
              </w:rPr>
              <w:t>主体</w:t>
            </w:r>
            <w:r>
              <w:rPr>
                <w:rFonts w:hint="eastAsia"/>
                <w:color w:val="auto"/>
                <w:sz w:val="22"/>
                <w:szCs w:val="22"/>
                <w:highlight w:val="none"/>
              </w:rPr>
              <w:t>投资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continue"/>
            <w:vAlign w:val="center"/>
          </w:tcPr>
          <w:p>
            <w:pPr>
              <w:snapToGrid w:val="0"/>
              <w:spacing w:line="240" w:lineRule="auto"/>
              <w:ind w:firstLine="0" w:firstLineChars="0"/>
              <w:jc w:val="center"/>
              <w:rPr>
                <w:color w:val="auto"/>
                <w:sz w:val="22"/>
                <w:szCs w:val="22"/>
                <w:highlight w:val="none"/>
              </w:rPr>
            </w:pPr>
          </w:p>
        </w:tc>
        <w:tc>
          <w:tcPr>
            <w:tcW w:w="1555" w:type="dxa"/>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基坑排水</w:t>
            </w:r>
          </w:p>
        </w:tc>
        <w:tc>
          <w:tcPr>
            <w:tcW w:w="4728" w:type="dxa"/>
            <w:vAlign w:val="center"/>
          </w:tcPr>
          <w:p>
            <w:pPr>
              <w:snapToGrid w:val="0"/>
              <w:spacing w:line="240" w:lineRule="auto"/>
              <w:ind w:firstLine="0" w:firstLineChars="0"/>
              <w:jc w:val="both"/>
              <w:rPr>
                <w:rFonts w:hint="eastAsia" w:eastAsia="宋体"/>
                <w:color w:val="auto"/>
                <w:sz w:val="22"/>
                <w:szCs w:val="22"/>
                <w:highlight w:val="none"/>
                <w:lang w:eastAsia="zh-CN"/>
              </w:rPr>
            </w:pPr>
            <w:r>
              <w:rPr>
                <w:rFonts w:hint="eastAsia"/>
                <w:color w:val="auto"/>
                <w:sz w:val="22"/>
                <w:szCs w:val="22"/>
                <w:highlight w:val="none"/>
              </w:rPr>
              <w:t>在基坑沉淀池加中和絮凝剂沉淀处理</w:t>
            </w:r>
            <w:r>
              <w:rPr>
                <w:rFonts w:hint="eastAsia"/>
                <w:color w:val="auto"/>
                <w:sz w:val="22"/>
                <w:szCs w:val="22"/>
                <w:highlight w:val="none"/>
                <w:lang w:eastAsia="zh-CN"/>
              </w:rPr>
              <w:t>后上清液优先回用，不能回用的排放。</w:t>
            </w:r>
          </w:p>
        </w:tc>
        <w:tc>
          <w:tcPr>
            <w:tcW w:w="1021" w:type="dxa"/>
            <w:vAlign w:val="center"/>
          </w:tcPr>
          <w:p>
            <w:pPr>
              <w:snapToGrid w:val="0"/>
              <w:spacing w:line="240" w:lineRule="auto"/>
              <w:ind w:firstLine="0" w:firstLineChars="0"/>
              <w:jc w:val="center"/>
              <w:rPr>
                <w:rFonts w:hint="default"/>
                <w:color w:val="auto"/>
                <w:sz w:val="22"/>
                <w:szCs w:val="22"/>
                <w:highlight w:val="none"/>
                <w:lang w:val="en-US"/>
              </w:rPr>
            </w:pPr>
            <w:r>
              <w:rPr>
                <w:rFonts w:hint="eastAsia"/>
                <w:color w:val="auto"/>
                <w:sz w:val="22"/>
                <w:szCs w:val="22"/>
                <w:highlight w:val="none"/>
              </w:rPr>
              <w:t>纳入</w:t>
            </w:r>
            <w:r>
              <w:rPr>
                <w:color w:val="auto"/>
                <w:sz w:val="22"/>
                <w:szCs w:val="22"/>
                <w:highlight w:val="none"/>
              </w:rPr>
              <w:t>主体</w:t>
            </w:r>
            <w:r>
              <w:rPr>
                <w:rFonts w:hint="eastAsia"/>
                <w:color w:val="auto"/>
                <w:sz w:val="22"/>
                <w:szCs w:val="22"/>
                <w:highlight w:val="none"/>
              </w:rPr>
              <w:t>投资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continue"/>
            <w:vAlign w:val="center"/>
          </w:tcPr>
          <w:p>
            <w:pPr>
              <w:snapToGrid w:val="0"/>
              <w:spacing w:line="240" w:lineRule="auto"/>
              <w:ind w:firstLine="0" w:firstLineChars="0"/>
              <w:jc w:val="center"/>
              <w:rPr>
                <w:color w:val="auto"/>
                <w:sz w:val="22"/>
                <w:szCs w:val="22"/>
                <w:highlight w:val="none"/>
              </w:rPr>
            </w:pPr>
          </w:p>
        </w:tc>
        <w:tc>
          <w:tcPr>
            <w:tcW w:w="1555" w:type="dxa"/>
            <w:vAlign w:val="center"/>
          </w:tcPr>
          <w:p>
            <w:pPr>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施工船舶废水</w:t>
            </w:r>
          </w:p>
        </w:tc>
        <w:tc>
          <w:tcPr>
            <w:tcW w:w="4728" w:type="dxa"/>
            <w:vAlign w:val="center"/>
          </w:tcPr>
          <w:p>
            <w:pPr>
              <w:snapToGrid w:val="0"/>
              <w:spacing w:line="240" w:lineRule="auto"/>
              <w:ind w:firstLine="0" w:firstLineChars="0"/>
              <w:jc w:val="both"/>
              <w:rPr>
                <w:rFonts w:hint="eastAsia" w:eastAsia="宋体"/>
                <w:color w:val="auto"/>
                <w:sz w:val="22"/>
                <w:szCs w:val="22"/>
                <w:highlight w:val="none"/>
                <w:lang w:eastAsia="zh-CN"/>
              </w:rPr>
            </w:pPr>
            <w:r>
              <w:rPr>
                <w:rFonts w:hint="eastAsia"/>
                <w:color w:val="auto"/>
                <w:sz w:val="22"/>
                <w:szCs w:val="22"/>
                <w:highlight w:val="none"/>
              </w:rPr>
              <w:t>由船舶自带的油水分离器处理后，交由港口、码头、装卸站、水上服务区或者其他水污染物接收单位依法处理，禁止向水体排放</w:t>
            </w:r>
            <w:r>
              <w:rPr>
                <w:rFonts w:hint="eastAsia"/>
                <w:color w:val="auto"/>
                <w:sz w:val="22"/>
                <w:szCs w:val="22"/>
                <w:highlight w:val="none"/>
                <w:lang w:eastAsia="zh-CN"/>
              </w:rPr>
              <w:t>。</w:t>
            </w:r>
          </w:p>
        </w:tc>
        <w:tc>
          <w:tcPr>
            <w:tcW w:w="1021" w:type="dxa"/>
            <w:vAlign w:val="center"/>
          </w:tcPr>
          <w:p>
            <w:pPr>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continue"/>
            <w:vAlign w:val="center"/>
          </w:tcPr>
          <w:p>
            <w:pPr>
              <w:snapToGrid w:val="0"/>
              <w:spacing w:line="240" w:lineRule="auto"/>
              <w:ind w:firstLine="0" w:firstLineChars="0"/>
              <w:jc w:val="center"/>
              <w:rPr>
                <w:color w:val="auto"/>
                <w:sz w:val="22"/>
                <w:szCs w:val="22"/>
                <w:highlight w:val="none"/>
              </w:rPr>
            </w:pPr>
          </w:p>
        </w:tc>
        <w:tc>
          <w:tcPr>
            <w:tcW w:w="1555" w:type="dxa"/>
            <w:vAlign w:val="center"/>
          </w:tcPr>
          <w:p>
            <w:pPr>
              <w:snapToGrid w:val="0"/>
              <w:spacing w:line="240" w:lineRule="auto"/>
              <w:ind w:firstLine="0" w:firstLineChars="0"/>
              <w:jc w:val="center"/>
              <w:rPr>
                <w:rFonts w:hint="eastAsia"/>
                <w:color w:val="auto"/>
                <w:sz w:val="22"/>
                <w:szCs w:val="22"/>
                <w:highlight w:val="none"/>
                <w:lang w:eastAsia="zh-CN"/>
              </w:rPr>
            </w:pPr>
            <w:r>
              <w:rPr>
                <w:rFonts w:hint="eastAsia"/>
                <w:color w:val="auto"/>
                <w:sz w:val="22"/>
                <w:szCs w:val="22"/>
                <w:highlight w:val="none"/>
                <w:lang w:eastAsia="zh-CN"/>
              </w:rPr>
              <w:t>车辆冲洗废水</w:t>
            </w:r>
          </w:p>
        </w:tc>
        <w:tc>
          <w:tcPr>
            <w:tcW w:w="4728" w:type="dxa"/>
            <w:vAlign w:val="center"/>
          </w:tcPr>
          <w:p>
            <w:pPr>
              <w:snapToGrid w:val="0"/>
              <w:spacing w:line="240" w:lineRule="auto"/>
              <w:ind w:firstLine="0" w:firstLineChars="0"/>
              <w:jc w:val="both"/>
              <w:rPr>
                <w:rFonts w:hint="eastAsia" w:eastAsia="宋体"/>
                <w:color w:val="auto"/>
                <w:sz w:val="22"/>
                <w:szCs w:val="22"/>
                <w:highlight w:val="none"/>
                <w:lang w:eastAsia="zh-CN"/>
              </w:rPr>
            </w:pPr>
            <w:r>
              <w:rPr>
                <w:rFonts w:hint="eastAsia"/>
                <w:color w:val="auto"/>
                <w:sz w:val="22"/>
                <w:szCs w:val="22"/>
                <w:highlight w:val="none"/>
              </w:rPr>
              <w:t>配套建设沉淀池，沉淀处理后回用于车辆冲洗</w:t>
            </w:r>
            <w:r>
              <w:rPr>
                <w:rFonts w:hint="eastAsia"/>
                <w:color w:val="auto"/>
                <w:sz w:val="22"/>
                <w:szCs w:val="22"/>
                <w:highlight w:val="none"/>
                <w:lang w:eastAsia="zh-CN"/>
              </w:rPr>
              <w:t>。</w:t>
            </w:r>
          </w:p>
        </w:tc>
        <w:tc>
          <w:tcPr>
            <w:tcW w:w="1021" w:type="dxa"/>
            <w:vAlign w:val="center"/>
          </w:tcPr>
          <w:p>
            <w:pPr>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continue"/>
            <w:vAlign w:val="center"/>
          </w:tcPr>
          <w:p>
            <w:pPr>
              <w:snapToGrid w:val="0"/>
              <w:spacing w:line="240" w:lineRule="auto"/>
              <w:ind w:firstLine="0" w:firstLineChars="0"/>
              <w:jc w:val="center"/>
              <w:rPr>
                <w:color w:val="auto"/>
                <w:sz w:val="22"/>
                <w:szCs w:val="22"/>
                <w:highlight w:val="none"/>
              </w:rPr>
            </w:pPr>
          </w:p>
        </w:tc>
        <w:tc>
          <w:tcPr>
            <w:tcW w:w="1555" w:type="dxa"/>
            <w:vAlign w:val="center"/>
          </w:tcPr>
          <w:p>
            <w:pPr>
              <w:snapToGrid w:val="0"/>
              <w:spacing w:line="240" w:lineRule="auto"/>
              <w:ind w:firstLine="0" w:firstLineChars="0"/>
              <w:jc w:val="center"/>
              <w:rPr>
                <w:rFonts w:hint="eastAsia"/>
                <w:color w:val="auto"/>
                <w:sz w:val="22"/>
                <w:szCs w:val="22"/>
                <w:highlight w:val="none"/>
                <w:lang w:eastAsia="zh-CN"/>
              </w:rPr>
            </w:pPr>
            <w:r>
              <w:rPr>
                <w:rFonts w:hint="eastAsia"/>
                <w:color w:val="auto"/>
                <w:sz w:val="22"/>
                <w:szCs w:val="22"/>
                <w:highlight w:val="none"/>
                <w:lang w:eastAsia="zh-CN"/>
              </w:rPr>
              <w:t>临时堆场余水</w:t>
            </w:r>
          </w:p>
        </w:tc>
        <w:tc>
          <w:tcPr>
            <w:tcW w:w="4728" w:type="dxa"/>
            <w:vAlign w:val="center"/>
          </w:tcPr>
          <w:p>
            <w:pPr>
              <w:snapToGrid w:val="0"/>
              <w:spacing w:line="240" w:lineRule="auto"/>
              <w:ind w:firstLine="0" w:firstLineChars="0"/>
              <w:jc w:val="both"/>
              <w:rPr>
                <w:rFonts w:hint="eastAsia"/>
                <w:color w:val="auto"/>
                <w:sz w:val="22"/>
                <w:szCs w:val="22"/>
                <w:highlight w:val="none"/>
              </w:rPr>
            </w:pPr>
            <w:r>
              <w:rPr>
                <w:rFonts w:hint="eastAsia"/>
                <w:color w:val="auto"/>
                <w:sz w:val="22"/>
                <w:szCs w:val="22"/>
                <w:highlight w:val="none"/>
              </w:rPr>
              <w:t>在临时堆料场四周设置截水沟及配套沉淀池，经沉淀处理后，回用施工场地洒水降尘、绿化</w:t>
            </w:r>
          </w:p>
        </w:tc>
        <w:tc>
          <w:tcPr>
            <w:tcW w:w="1021" w:type="dxa"/>
            <w:vAlign w:val="center"/>
          </w:tcPr>
          <w:p>
            <w:pPr>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continue"/>
            <w:vAlign w:val="center"/>
          </w:tcPr>
          <w:p>
            <w:pPr>
              <w:snapToGrid w:val="0"/>
              <w:spacing w:line="240" w:lineRule="auto"/>
              <w:ind w:firstLine="0" w:firstLineChars="0"/>
              <w:jc w:val="center"/>
              <w:rPr>
                <w:color w:val="auto"/>
                <w:sz w:val="22"/>
                <w:szCs w:val="22"/>
                <w:highlight w:val="none"/>
              </w:rPr>
            </w:pPr>
          </w:p>
        </w:tc>
        <w:tc>
          <w:tcPr>
            <w:tcW w:w="1555" w:type="dxa"/>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生活</w:t>
            </w:r>
            <w:r>
              <w:rPr>
                <w:rFonts w:hint="eastAsia"/>
                <w:color w:val="auto"/>
                <w:sz w:val="22"/>
                <w:szCs w:val="22"/>
                <w:highlight w:val="none"/>
                <w:lang w:eastAsia="zh-CN"/>
              </w:rPr>
              <w:t>污</w:t>
            </w:r>
            <w:r>
              <w:rPr>
                <w:rFonts w:hint="eastAsia"/>
                <w:color w:val="auto"/>
                <w:sz w:val="22"/>
                <w:szCs w:val="22"/>
                <w:highlight w:val="none"/>
              </w:rPr>
              <w:t>水</w:t>
            </w:r>
          </w:p>
        </w:tc>
        <w:tc>
          <w:tcPr>
            <w:tcW w:w="4728" w:type="dxa"/>
            <w:vAlign w:val="center"/>
          </w:tcPr>
          <w:p>
            <w:pPr>
              <w:snapToGrid w:val="0"/>
              <w:spacing w:line="240" w:lineRule="auto"/>
              <w:ind w:firstLine="0" w:firstLineChars="0"/>
              <w:jc w:val="both"/>
              <w:rPr>
                <w:rFonts w:hint="eastAsia" w:eastAsia="宋体"/>
                <w:color w:val="auto"/>
                <w:sz w:val="22"/>
                <w:szCs w:val="22"/>
                <w:highlight w:val="none"/>
                <w:lang w:eastAsia="zh-CN"/>
              </w:rPr>
            </w:pPr>
            <w:r>
              <w:rPr>
                <w:rFonts w:hint="eastAsia"/>
                <w:color w:val="auto"/>
                <w:sz w:val="22"/>
                <w:szCs w:val="22"/>
                <w:highlight w:val="none"/>
                <w:lang w:eastAsia="zh-CN"/>
              </w:rPr>
              <w:t>设置一体化污水处理设备，</w:t>
            </w:r>
            <w:r>
              <w:rPr>
                <w:rFonts w:hint="eastAsia"/>
                <w:color w:val="auto"/>
                <w:sz w:val="22"/>
                <w:szCs w:val="22"/>
                <w:highlight w:val="none"/>
              </w:rPr>
              <w:t>经处理</w:t>
            </w:r>
            <w:r>
              <w:rPr>
                <w:rFonts w:hint="eastAsia"/>
                <w:color w:val="auto"/>
                <w:sz w:val="22"/>
                <w:szCs w:val="22"/>
                <w:highlight w:val="none"/>
                <w:lang w:eastAsia="zh-CN"/>
              </w:rPr>
              <w:t>后回</w:t>
            </w:r>
            <w:r>
              <w:rPr>
                <w:rFonts w:hint="eastAsia"/>
                <w:color w:val="auto"/>
                <w:sz w:val="22"/>
                <w:szCs w:val="22"/>
                <w:highlight w:val="none"/>
              </w:rPr>
              <w:t>用于车辆冲洗、洒水抑尘或周边绿化，不外排</w:t>
            </w:r>
            <w:r>
              <w:rPr>
                <w:rFonts w:hint="eastAsia"/>
                <w:color w:val="auto"/>
                <w:sz w:val="22"/>
                <w:szCs w:val="22"/>
                <w:highlight w:val="none"/>
                <w:lang w:eastAsia="zh-CN"/>
              </w:rPr>
              <w:t>。</w:t>
            </w:r>
          </w:p>
        </w:tc>
        <w:tc>
          <w:tcPr>
            <w:tcW w:w="1021" w:type="dxa"/>
            <w:vAlign w:val="center"/>
          </w:tcPr>
          <w:p>
            <w:pPr>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运营期</w:t>
            </w:r>
          </w:p>
        </w:tc>
        <w:tc>
          <w:tcPr>
            <w:tcW w:w="1555" w:type="dxa"/>
            <w:vAlign w:val="center"/>
          </w:tcPr>
          <w:p>
            <w:pPr>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生活污水</w:t>
            </w:r>
          </w:p>
        </w:tc>
        <w:tc>
          <w:tcPr>
            <w:tcW w:w="4728" w:type="dxa"/>
            <w:vAlign w:val="center"/>
          </w:tcPr>
          <w:p>
            <w:pPr>
              <w:snapToGrid w:val="0"/>
              <w:spacing w:line="240" w:lineRule="auto"/>
              <w:ind w:firstLine="0" w:firstLineChars="0"/>
              <w:jc w:val="both"/>
              <w:rPr>
                <w:rFonts w:hint="default" w:eastAsia="宋体"/>
                <w:color w:val="auto"/>
                <w:sz w:val="22"/>
                <w:szCs w:val="22"/>
                <w:highlight w:val="none"/>
                <w:lang w:val="en-US" w:eastAsia="zh-CN"/>
              </w:rPr>
            </w:pPr>
            <w:r>
              <w:rPr>
                <w:rFonts w:hint="eastAsia"/>
                <w:color w:val="auto"/>
                <w:sz w:val="22"/>
                <w:szCs w:val="22"/>
                <w:highlight w:val="none"/>
                <w:lang w:eastAsia="zh-CN"/>
              </w:rPr>
              <w:t>在管理区建设</w:t>
            </w:r>
            <w:r>
              <w:rPr>
                <w:rFonts w:hint="eastAsia" w:cs="宋体"/>
                <w:color w:val="auto"/>
                <w:kern w:val="0"/>
                <w:sz w:val="22"/>
                <w:szCs w:val="22"/>
                <w:highlight w:val="none"/>
                <w:lang w:eastAsia="zh-CN"/>
              </w:rPr>
              <w:t>一体化污水处理设备，设计规模</w:t>
            </w:r>
            <w:r>
              <w:rPr>
                <w:rFonts w:hint="eastAsia" w:cs="宋体"/>
                <w:color w:val="auto"/>
                <w:kern w:val="0"/>
                <w:sz w:val="22"/>
                <w:szCs w:val="22"/>
                <w:highlight w:val="none"/>
                <w:lang w:val="en-US" w:eastAsia="zh-CN"/>
              </w:rPr>
              <w:t>3m³/h，</w:t>
            </w:r>
            <w:r>
              <w:rPr>
                <w:rFonts w:hint="eastAsia" w:cs="宋体"/>
                <w:color w:val="auto"/>
                <w:kern w:val="0"/>
                <w:sz w:val="22"/>
                <w:szCs w:val="22"/>
                <w:highlight w:val="none"/>
                <w:lang w:eastAsia="zh-CN"/>
              </w:rPr>
              <w:t>生活污水经一体化污水处理设备</w:t>
            </w:r>
            <w:r>
              <w:rPr>
                <w:rFonts w:hint="eastAsia" w:cs="宋体"/>
                <w:color w:val="auto"/>
                <w:kern w:val="0"/>
                <w:sz w:val="22"/>
                <w:szCs w:val="22"/>
                <w:highlight w:val="none"/>
                <w:shd w:val="clear" w:fill="FFFFFF"/>
                <w:lang w:eastAsia="zh-CN"/>
              </w:rPr>
              <w:t>处理达</w:t>
            </w:r>
            <w:r>
              <w:rPr>
                <w:rFonts w:hint="eastAsia" w:cs="宋体"/>
                <w:color w:val="auto"/>
                <w:kern w:val="0"/>
                <w:sz w:val="22"/>
                <w:szCs w:val="22"/>
                <w:highlight w:val="none"/>
                <w:lang w:eastAsia="zh-CN"/>
              </w:rPr>
              <w:t>后回用于绿化，不外排。</w:t>
            </w:r>
          </w:p>
        </w:tc>
        <w:tc>
          <w:tcPr>
            <w:tcW w:w="1021" w:type="dxa"/>
            <w:vAlign w:val="center"/>
          </w:tcPr>
          <w:p>
            <w:pPr>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restart"/>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废气</w:t>
            </w:r>
          </w:p>
        </w:tc>
        <w:tc>
          <w:tcPr>
            <w:tcW w:w="900" w:type="dxa"/>
            <w:vMerge w:val="restart"/>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施工期</w:t>
            </w:r>
          </w:p>
        </w:tc>
        <w:tc>
          <w:tcPr>
            <w:tcW w:w="1555" w:type="dxa"/>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施工扬尘</w:t>
            </w:r>
          </w:p>
        </w:tc>
        <w:tc>
          <w:tcPr>
            <w:tcW w:w="4728" w:type="dxa"/>
            <w:vAlign w:val="center"/>
          </w:tcPr>
          <w:p>
            <w:pPr>
              <w:snapToGrid w:val="0"/>
              <w:spacing w:line="240" w:lineRule="auto"/>
              <w:ind w:firstLine="0" w:firstLineChars="0"/>
              <w:jc w:val="both"/>
              <w:rPr>
                <w:rFonts w:hint="eastAsia" w:eastAsia="宋体"/>
                <w:color w:val="auto"/>
                <w:sz w:val="22"/>
                <w:szCs w:val="22"/>
                <w:highlight w:val="none"/>
                <w:lang w:eastAsia="zh-CN"/>
              </w:rPr>
            </w:pPr>
            <w:r>
              <w:rPr>
                <w:rFonts w:hint="eastAsia"/>
                <w:color w:val="auto"/>
                <w:sz w:val="22"/>
                <w:szCs w:val="22"/>
                <w:highlight w:val="none"/>
              </w:rPr>
              <w:t>配备洒水车进行洒水抑尘、建立施工围挡、堆场加盖篷布，进出车辆冲洗</w:t>
            </w:r>
            <w:r>
              <w:rPr>
                <w:rFonts w:hint="eastAsia"/>
                <w:color w:val="auto"/>
                <w:sz w:val="22"/>
                <w:szCs w:val="22"/>
                <w:highlight w:val="none"/>
                <w:lang w:eastAsia="zh-CN"/>
              </w:rPr>
              <w:t>。</w:t>
            </w:r>
          </w:p>
        </w:tc>
        <w:tc>
          <w:tcPr>
            <w:tcW w:w="1021" w:type="dxa"/>
            <w:vAlign w:val="center"/>
          </w:tcPr>
          <w:p>
            <w:pPr>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475" w:type="dxa"/>
            <w:vMerge w:val="continue"/>
            <w:vAlign w:val="center"/>
          </w:tcPr>
          <w:p>
            <w:pPr>
              <w:snapToGrid w:val="0"/>
              <w:spacing w:line="240" w:lineRule="auto"/>
              <w:ind w:firstLine="0" w:firstLineChars="0"/>
              <w:jc w:val="center"/>
              <w:rPr>
                <w:rFonts w:hint="eastAsia"/>
                <w:color w:val="auto"/>
                <w:sz w:val="22"/>
                <w:szCs w:val="22"/>
                <w:highlight w:val="none"/>
              </w:rPr>
            </w:pPr>
          </w:p>
        </w:tc>
        <w:tc>
          <w:tcPr>
            <w:tcW w:w="900" w:type="dxa"/>
            <w:vMerge w:val="continue"/>
            <w:vAlign w:val="center"/>
          </w:tcPr>
          <w:p>
            <w:pPr>
              <w:snapToGrid w:val="0"/>
              <w:spacing w:line="240" w:lineRule="auto"/>
              <w:ind w:firstLine="0" w:firstLineChars="0"/>
              <w:jc w:val="center"/>
              <w:rPr>
                <w:rFonts w:hint="eastAsia"/>
                <w:color w:val="auto"/>
                <w:sz w:val="22"/>
                <w:szCs w:val="22"/>
                <w:highlight w:val="none"/>
              </w:rPr>
            </w:pPr>
          </w:p>
        </w:tc>
        <w:tc>
          <w:tcPr>
            <w:tcW w:w="1555" w:type="dxa"/>
            <w:vAlign w:val="center"/>
          </w:tcPr>
          <w:p>
            <w:pPr>
              <w:snapToGrid w:val="0"/>
              <w:spacing w:line="240" w:lineRule="auto"/>
              <w:ind w:firstLine="0" w:firstLineChars="0"/>
              <w:jc w:val="center"/>
              <w:rPr>
                <w:rFonts w:hint="eastAsia"/>
                <w:color w:val="auto"/>
                <w:sz w:val="22"/>
                <w:szCs w:val="22"/>
                <w:highlight w:val="none"/>
              </w:rPr>
            </w:pPr>
            <w:r>
              <w:rPr>
                <w:rFonts w:hint="eastAsia"/>
                <w:color w:val="auto"/>
                <w:sz w:val="22"/>
                <w:szCs w:val="22"/>
                <w:highlight w:val="none"/>
              </w:rPr>
              <w:t>混凝土</w:t>
            </w:r>
            <w:r>
              <w:rPr>
                <w:rFonts w:hint="eastAsia"/>
                <w:color w:val="auto"/>
                <w:sz w:val="22"/>
                <w:szCs w:val="22"/>
                <w:highlight w:val="none"/>
                <w:shd w:val="clear" w:fill="FFFFFF"/>
              </w:rPr>
              <w:t>拌</w:t>
            </w:r>
            <w:r>
              <w:rPr>
                <w:rFonts w:hint="eastAsia"/>
                <w:color w:val="auto"/>
                <w:sz w:val="22"/>
                <w:szCs w:val="22"/>
                <w:highlight w:val="none"/>
                <w:shd w:val="clear" w:fill="FFFFFF"/>
                <w:lang w:eastAsia="zh-CN"/>
              </w:rPr>
              <w:t>合</w:t>
            </w:r>
            <w:r>
              <w:rPr>
                <w:rFonts w:hint="eastAsia"/>
                <w:color w:val="auto"/>
                <w:sz w:val="22"/>
                <w:szCs w:val="22"/>
                <w:highlight w:val="none"/>
                <w:shd w:val="clear" w:fill="FFFFFF"/>
              </w:rPr>
              <w:t>系统</w:t>
            </w:r>
            <w:r>
              <w:rPr>
                <w:rFonts w:hint="eastAsia"/>
                <w:color w:val="auto"/>
                <w:sz w:val="22"/>
                <w:szCs w:val="22"/>
                <w:highlight w:val="none"/>
              </w:rPr>
              <w:t>扬尘</w:t>
            </w:r>
          </w:p>
        </w:tc>
        <w:tc>
          <w:tcPr>
            <w:tcW w:w="4728" w:type="dxa"/>
            <w:vAlign w:val="center"/>
          </w:tcPr>
          <w:p>
            <w:pPr>
              <w:snapToGrid w:val="0"/>
              <w:spacing w:line="240" w:lineRule="auto"/>
              <w:ind w:firstLine="0" w:firstLineChars="0"/>
              <w:jc w:val="both"/>
              <w:rPr>
                <w:rFonts w:hint="eastAsia"/>
                <w:color w:val="auto"/>
                <w:sz w:val="22"/>
                <w:szCs w:val="22"/>
                <w:highlight w:val="none"/>
              </w:rPr>
            </w:pPr>
            <w:r>
              <w:rPr>
                <w:rFonts w:hint="eastAsia"/>
                <w:color w:val="auto"/>
                <w:sz w:val="22"/>
                <w:szCs w:val="22"/>
                <w:highlight w:val="none"/>
              </w:rPr>
              <w:t>混凝土</w:t>
            </w:r>
            <w:r>
              <w:rPr>
                <w:rFonts w:hint="eastAsia"/>
                <w:color w:val="auto"/>
                <w:sz w:val="22"/>
                <w:szCs w:val="22"/>
                <w:highlight w:val="none"/>
                <w:shd w:val="clear" w:fill="FFFFFF"/>
              </w:rPr>
              <w:t>拌和</w:t>
            </w:r>
            <w:r>
              <w:rPr>
                <w:rFonts w:hint="eastAsia"/>
                <w:color w:val="auto"/>
                <w:sz w:val="22"/>
                <w:szCs w:val="22"/>
                <w:highlight w:val="none"/>
              </w:rPr>
              <w:t>系统采用全封闭</w:t>
            </w:r>
            <w:r>
              <w:rPr>
                <w:rFonts w:hint="eastAsia"/>
                <w:color w:val="auto"/>
                <w:sz w:val="22"/>
                <w:szCs w:val="22"/>
                <w:highlight w:val="none"/>
                <w:shd w:val="clear" w:fill="FFFFFF"/>
              </w:rPr>
              <w:t>拌和</w:t>
            </w:r>
            <w:r>
              <w:rPr>
                <w:rFonts w:hint="eastAsia"/>
                <w:color w:val="auto"/>
                <w:sz w:val="22"/>
                <w:szCs w:val="22"/>
                <w:highlight w:val="none"/>
              </w:rPr>
              <w:t>楼，</w:t>
            </w:r>
            <w:r>
              <w:rPr>
                <w:rFonts w:hint="eastAsia"/>
                <w:color w:val="auto"/>
                <w:sz w:val="22"/>
                <w:szCs w:val="22"/>
                <w:highlight w:val="none"/>
                <w:lang w:eastAsia="zh-CN"/>
              </w:rPr>
              <w:t>配备</w:t>
            </w:r>
            <w:r>
              <w:rPr>
                <w:rFonts w:hint="eastAsia"/>
                <w:color w:val="auto"/>
                <w:sz w:val="22"/>
                <w:szCs w:val="22"/>
                <w:highlight w:val="none"/>
              </w:rPr>
              <w:t>除尘设备</w:t>
            </w:r>
            <w:r>
              <w:rPr>
                <w:rFonts w:hint="eastAsia"/>
                <w:color w:val="auto"/>
                <w:sz w:val="22"/>
                <w:szCs w:val="22"/>
                <w:highlight w:val="none"/>
                <w:lang w:eastAsia="zh-CN"/>
              </w:rPr>
              <w:t>，</w:t>
            </w:r>
            <w:r>
              <w:rPr>
                <w:rFonts w:hint="eastAsia"/>
                <w:color w:val="auto"/>
                <w:sz w:val="22"/>
                <w:szCs w:val="22"/>
                <w:highlight w:val="none"/>
              </w:rPr>
              <w:t>水泥和粉煤灰输送采用封闭设备</w:t>
            </w:r>
          </w:p>
        </w:tc>
        <w:tc>
          <w:tcPr>
            <w:tcW w:w="1021" w:type="dxa"/>
            <w:vAlign w:val="center"/>
          </w:tcPr>
          <w:p>
            <w:pPr>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纳入主体工程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continue"/>
            <w:vAlign w:val="center"/>
          </w:tcPr>
          <w:p>
            <w:pPr>
              <w:snapToGrid w:val="0"/>
              <w:spacing w:line="240" w:lineRule="auto"/>
              <w:ind w:firstLine="0" w:firstLineChars="0"/>
              <w:jc w:val="center"/>
              <w:rPr>
                <w:color w:val="auto"/>
                <w:sz w:val="22"/>
                <w:szCs w:val="22"/>
                <w:highlight w:val="none"/>
              </w:rPr>
            </w:pPr>
          </w:p>
        </w:tc>
        <w:tc>
          <w:tcPr>
            <w:tcW w:w="1555" w:type="dxa"/>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燃油废气</w:t>
            </w:r>
          </w:p>
        </w:tc>
        <w:tc>
          <w:tcPr>
            <w:tcW w:w="4728" w:type="dxa"/>
            <w:vAlign w:val="center"/>
          </w:tcPr>
          <w:p>
            <w:pPr>
              <w:snapToGrid w:val="0"/>
              <w:spacing w:line="240" w:lineRule="auto"/>
              <w:ind w:firstLine="0" w:firstLineChars="0"/>
              <w:jc w:val="both"/>
              <w:rPr>
                <w:color w:val="auto"/>
                <w:sz w:val="22"/>
                <w:szCs w:val="22"/>
                <w:highlight w:val="none"/>
              </w:rPr>
            </w:pPr>
            <w:r>
              <w:rPr>
                <w:rFonts w:hint="eastAsia"/>
                <w:color w:val="auto"/>
                <w:sz w:val="22"/>
                <w:szCs w:val="22"/>
                <w:highlight w:val="none"/>
              </w:rPr>
              <w:t>采用满足环保要求的设备，加强对施工机械、车辆的维修保养；</w:t>
            </w:r>
          </w:p>
        </w:tc>
        <w:tc>
          <w:tcPr>
            <w:tcW w:w="1021" w:type="dxa"/>
            <w:vAlign w:val="center"/>
          </w:tcPr>
          <w:p>
            <w:pPr>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运营期</w:t>
            </w:r>
          </w:p>
        </w:tc>
        <w:tc>
          <w:tcPr>
            <w:tcW w:w="1555" w:type="dxa"/>
            <w:vAlign w:val="center"/>
          </w:tcPr>
          <w:p>
            <w:pPr>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食堂油烟</w:t>
            </w:r>
          </w:p>
        </w:tc>
        <w:tc>
          <w:tcPr>
            <w:tcW w:w="4728" w:type="dxa"/>
            <w:vAlign w:val="center"/>
          </w:tcPr>
          <w:p>
            <w:pPr>
              <w:snapToGrid w:val="0"/>
              <w:spacing w:line="240" w:lineRule="auto"/>
              <w:ind w:firstLine="0" w:firstLineChars="0"/>
              <w:jc w:val="both"/>
              <w:rPr>
                <w:color w:val="auto"/>
                <w:sz w:val="22"/>
                <w:szCs w:val="22"/>
                <w:highlight w:val="none"/>
              </w:rPr>
            </w:pPr>
            <w:r>
              <w:rPr>
                <w:rFonts w:hint="eastAsia"/>
                <w:color w:val="auto"/>
                <w:sz w:val="22"/>
                <w:szCs w:val="22"/>
                <w:highlight w:val="none"/>
              </w:rPr>
              <w:t>油烟经集气罩收集后，通过油烟净化器进行净化后高空排放</w:t>
            </w:r>
          </w:p>
        </w:tc>
        <w:tc>
          <w:tcPr>
            <w:tcW w:w="1021" w:type="dxa"/>
            <w:vAlign w:val="center"/>
          </w:tcPr>
          <w:p>
            <w:pPr>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restart"/>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固体废物</w:t>
            </w:r>
          </w:p>
        </w:tc>
        <w:tc>
          <w:tcPr>
            <w:tcW w:w="900" w:type="dxa"/>
            <w:vMerge w:val="restart"/>
            <w:vAlign w:val="center"/>
          </w:tcPr>
          <w:p>
            <w:pPr>
              <w:snapToGrid w:val="0"/>
              <w:spacing w:line="240" w:lineRule="auto"/>
              <w:ind w:firstLine="0" w:firstLineChars="0"/>
              <w:jc w:val="center"/>
              <w:rPr>
                <w:snapToGrid w:val="0"/>
                <w:color w:val="auto"/>
                <w:sz w:val="22"/>
                <w:szCs w:val="22"/>
                <w:highlight w:val="none"/>
              </w:rPr>
            </w:pPr>
            <w:r>
              <w:rPr>
                <w:rFonts w:hint="eastAsia"/>
                <w:snapToGrid w:val="0"/>
                <w:color w:val="auto"/>
                <w:sz w:val="22"/>
                <w:szCs w:val="22"/>
                <w:highlight w:val="none"/>
              </w:rPr>
              <w:t>施工期</w:t>
            </w:r>
          </w:p>
        </w:tc>
        <w:tc>
          <w:tcPr>
            <w:tcW w:w="1555" w:type="dxa"/>
            <w:vAlign w:val="center"/>
          </w:tcPr>
          <w:p>
            <w:pPr>
              <w:snapToGrid w:val="0"/>
              <w:spacing w:line="240" w:lineRule="auto"/>
              <w:ind w:firstLine="0" w:firstLineChars="0"/>
              <w:jc w:val="center"/>
              <w:rPr>
                <w:rFonts w:hint="eastAsia" w:ascii="Times New Roman" w:hAnsi="Times New Roman" w:eastAsia="宋体" w:cs="Times New Roman"/>
                <w:color w:val="auto"/>
                <w:sz w:val="22"/>
                <w:szCs w:val="22"/>
                <w:highlight w:val="none"/>
                <w:lang w:eastAsia="zh-CN"/>
              </w:rPr>
            </w:pPr>
            <w:r>
              <w:rPr>
                <w:rFonts w:hint="eastAsia" w:ascii="Times New Roman" w:hAnsi="Times New Roman" w:eastAsia="宋体" w:cs="Times New Roman"/>
                <w:color w:val="auto"/>
                <w:sz w:val="22"/>
                <w:szCs w:val="22"/>
                <w:highlight w:val="none"/>
                <w:lang w:eastAsia="zh-CN"/>
              </w:rPr>
              <w:t>弃渣</w:t>
            </w:r>
          </w:p>
        </w:tc>
        <w:tc>
          <w:tcPr>
            <w:tcW w:w="4728" w:type="dxa"/>
            <w:vAlign w:val="center"/>
          </w:tcPr>
          <w:p>
            <w:pPr>
              <w:snapToGrid w:val="0"/>
              <w:spacing w:line="240" w:lineRule="auto"/>
              <w:ind w:firstLine="0" w:firstLineChars="0"/>
              <w:jc w:val="both"/>
              <w:rPr>
                <w:rFonts w:hint="eastAsia"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lang w:eastAsia="zh-CN"/>
              </w:rPr>
              <w:t>对开挖土石方尽量进行合理利用，难以利用的</w:t>
            </w:r>
            <w:r>
              <w:rPr>
                <w:rFonts w:hint="default" w:ascii="Times New Roman" w:hAnsi="Times New Roman" w:eastAsia="宋体" w:cs="Times New Roman"/>
                <w:color w:val="auto"/>
                <w:sz w:val="22"/>
                <w:szCs w:val="22"/>
                <w:highlight w:val="none"/>
              </w:rPr>
              <w:t>弃渣运至</w:t>
            </w:r>
            <w:r>
              <w:rPr>
                <w:rFonts w:hint="eastAsia" w:ascii="Times New Roman" w:hAnsi="Times New Roman" w:eastAsia="宋体" w:cs="Times New Roman"/>
                <w:color w:val="auto"/>
                <w:sz w:val="22"/>
                <w:szCs w:val="22"/>
                <w:highlight w:val="none"/>
                <w:lang w:eastAsia="zh-CN"/>
              </w:rPr>
              <w:t>临时弃渣场。</w:t>
            </w:r>
          </w:p>
        </w:tc>
        <w:tc>
          <w:tcPr>
            <w:tcW w:w="1021" w:type="dxa"/>
            <w:vAlign w:val="center"/>
          </w:tcPr>
          <w:p>
            <w:pPr>
              <w:snapToGrid w:val="0"/>
              <w:spacing w:line="240" w:lineRule="auto"/>
              <w:ind w:firstLine="0" w:firstLineChars="0"/>
              <w:jc w:val="center"/>
              <w:rPr>
                <w:rFonts w:hint="eastAsia" w:ascii="Times New Roman" w:hAnsi="Times New Roman" w:eastAsia="宋体" w:cs="Times New Roman"/>
                <w:color w:val="auto"/>
                <w:sz w:val="22"/>
                <w:szCs w:val="22"/>
                <w:highlight w:val="none"/>
                <w:lang w:eastAsia="zh-CN"/>
              </w:rPr>
            </w:pPr>
            <w:bookmarkStart w:id="134" w:name="_Toc21611"/>
            <w:bookmarkStart w:id="135" w:name="_Toc152159475"/>
            <w:bookmarkStart w:id="136" w:name="_Toc475716493"/>
            <w:bookmarkStart w:id="137" w:name="_Toc480814160"/>
            <w:bookmarkStart w:id="138" w:name="_Toc32568"/>
            <w:bookmarkStart w:id="139" w:name="_Toc23221"/>
            <w:bookmarkStart w:id="140" w:name="_Toc477275924"/>
            <w:bookmarkStart w:id="141" w:name="_Toc414906608"/>
            <w:bookmarkStart w:id="142" w:name="_Toc477273978"/>
            <w:bookmarkStart w:id="143" w:name="_Toc117695995"/>
            <w:bookmarkStart w:id="144" w:name="_Toc414908475"/>
            <w:bookmarkStart w:id="145" w:name="_Toc30765"/>
            <w:bookmarkStart w:id="146" w:name="_Toc479607682"/>
            <w:bookmarkStart w:id="147" w:name="_Toc476821466"/>
            <w:bookmarkStart w:id="148" w:name="_Toc474421302"/>
            <w:bookmarkStart w:id="149" w:name="_Toc16058"/>
            <w:bookmarkStart w:id="150" w:name="_Toc117094821"/>
            <w:bookmarkStart w:id="151" w:name="_Toc420396129"/>
            <w:r>
              <w:rPr>
                <w:rFonts w:hint="eastAsia" w:ascii="Times New Roman" w:hAnsi="Times New Roman" w:eastAsia="宋体" w:cs="Times New Roman"/>
                <w:color w:val="auto"/>
                <w:sz w:val="22"/>
                <w:szCs w:val="22"/>
                <w:highlight w:val="none"/>
                <w:lang w:eastAsia="zh-CN"/>
              </w:rPr>
              <w:t>纳入主体工程</w:t>
            </w:r>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continue"/>
            <w:vAlign w:val="center"/>
          </w:tcPr>
          <w:p>
            <w:pPr>
              <w:snapToGrid w:val="0"/>
              <w:spacing w:line="240" w:lineRule="auto"/>
              <w:ind w:firstLine="0" w:firstLineChars="0"/>
              <w:jc w:val="center"/>
              <w:rPr>
                <w:snapToGrid w:val="0"/>
                <w:color w:val="auto"/>
                <w:sz w:val="22"/>
                <w:szCs w:val="22"/>
                <w:highlight w:val="none"/>
              </w:rPr>
            </w:pPr>
          </w:p>
        </w:tc>
        <w:tc>
          <w:tcPr>
            <w:tcW w:w="1555" w:type="dxa"/>
            <w:vAlign w:val="center"/>
          </w:tcPr>
          <w:p>
            <w:pPr>
              <w:snapToGrid w:val="0"/>
              <w:spacing w:line="240" w:lineRule="auto"/>
              <w:ind w:firstLine="0" w:firstLineChars="0"/>
              <w:jc w:val="center"/>
              <w:rPr>
                <w:rFonts w:hint="eastAsia" w:eastAsia="宋体"/>
                <w:snapToGrid w:val="0"/>
                <w:color w:val="auto"/>
                <w:sz w:val="22"/>
                <w:szCs w:val="22"/>
                <w:highlight w:val="none"/>
                <w:lang w:eastAsia="zh-CN"/>
              </w:rPr>
            </w:pPr>
            <w:r>
              <w:rPr>
                <w:rFonts w:hint="eastAsia"/>
                <w:snapToGrid w:val="0"/>
                <w:color w:val="auto"/>
                <w:sz w:val="22"/>
                <w:szCs w:val="22"/>
                <w:highlight w:val="none"/>
                <w:lang w:eastAsia="zh-CN"/>
              </w:rPr>
              <w:t>建筑垃圾</w:t>
            </w:r>
          </w:p>
        </w:tc>
        <w:tc>
          <w:tcPr>
            <w:tcW w:w="4728" w:type="dxa"/>
            <w:vAlign w:val="center"/>
          </w:tcPr>
          <w:p>
            <w:pPr>
              <w:snapToGrid w:val="0"/>
              <w:spacing w:line="240" w:lineRule="auto"/>
              <w:ind w:firstLine="0" w:firstLineChars="0"/>
              <w:jc w:val="both"/>
              <w:rPr>
                <w:color w:val="auto"/>
                <w:sz w:val="22"/>
                <w:szCs w:val="22"/>
                <w:highlight w:val="none"/>
              </w:rPr>
            </w:pPr>
            <w:r>
              <w:rPr>
                <w:rFonts w:hint="eastAsia"/>
                <w:color w:val="auto"/>
                <w:sz w:val="22"/>
                <w:szCs w:val="22"/>
                <w:highlight w:val="none"/>
              </w:rPr>
              <w:t>对于施工及拆除过程中产生的建筑垃圾，优先进行回收利用，不能回收利用的运送至合法的建筑垃圾消纳场进行处置。</w:t>
            </w:r>
          </w:p>
        </w:tc>
        <w:tc>
          <w:tcPr>
            <w:tcW w:w="1021" w:type="dxa"/>
            <w:vAlign w:val="center"/>
          </w:tcPr>
          <w:p>
            <w:pPr>
              <w:snapToGrid w:val="0"/>
              <w:spacing w:line="240" w:lineRule="auto"/>
              <w:ind w:firstLine="0" w:firstLineChars="0"/>
              <w:jc w:val="center"/>
              <w:rPr>
                <w:rFonts w:hint="eastAsia" w:ascii="Times New Roman" w:hAnsi="Times New Roman" w:eastAsia="宋体" w:cs="Times New Roman"/>
                <w:color w:val="auto"/>
                <w:sz w:val="22"/>
                <w:szCs w:val="22"/>
                <w:highlight w:val="none"/>
                <w:lang w:eastAsia="zh-CN"/>
              </w:rPr>
            </w:pPr>
            <w:r>
              <w:rPr>
                <w:rFonts w:hint="eastAsia" w:ascii="Times New Roman" w:hAnsi="Times New Roman" w:eastAsia="宋体" w:cs="Times New Roman"/>
                <w:color w:val="auto"/>
                <w:sz w:val="22"/>
                <w:szCs w:val="22"/>
                <w:highlight w:val="none"/>
                <w:lang w:eastAsia="zh-CN"/>
              </w:rPr>
              <w:t>纳入主体工程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continue"/>
            <w:vAlign w:val="center"/>
          </w:tcPr>
          <w:p>
            <w:pPr>
              <w:snapToGrid w:val="0"/>
              <w:spacing w:line="240" w:lineRule="auto"/>
              <w:ind w:firstLine="0" w:firstLineChars="0"/>
              <w:jc w:val="center"/>
              <w:rPr>
                <w:snapToGrid w:val="0"/>
                <w:color w:val="auto"/>
                <w:sz w:val="22"/>
                <w:szCs w:val="22"/>
                <w:highlight w:val="none"/>
              </w:rPr>
            </w:pPr>
          </w:p>
        </w:tc>
        <w:tc>
          <w:tcPr>
            <w:tcW w:w="1555" w:type="dxa"/>
            <w:vAlign w:val="center"/>
          </w:tcPr>
          <w:p>
            <w:pPr>
              <w:snapToGrid w:val="0"/>
              <w:spacing w:line="240" w:lineRule="auto"/>
              <w:ind w:firstLine="0" w:firstLineChars="0"/>
              <w:jc w:val="center"/>
              <w:rPr>
                <w:snapToGrid w:val="0"/>
                <w:color w:val="auto"/>
                <w:sz w:val="22"/>
                <w:szCs w:val="22"/>
                <w:highlight w:val="none"/>
              </w:rPr>
            </w:pPr>
            <w:r>
              <w:rPr>
                <w:rFonts w:hint="eastAsia"/>
                <w:snapToGrid w:val="0"/>
                <w:color w:val="auto"/>
                <w:sz w:val="22"/>
                <w:szCs w:val="22"/>
                <w:highlight w:val="none"/>
              </w:rPr>
              <w:t>生活垃圾</w:t>
            </w:r>
          </w:p>
        </w:tc>
        <w:tc>
          <w:tcPr>
            <w:tcW w:w="4728" w:type="dxa"/>
            <w:vAlign w:val="center"/>
          </w:tcPr>
          <w:p>
            <w:pPr>
              <w:snapToGrid w:val="0"/>
              <w:spacing w:line="240" w:lineRule="auto"/>
              <w:ind w:firstLine="0" w:firstLineChars="0"/>
              <w:jc w:val="both"/>
              <w:rPr>
                <w:rFonts w:hint="eastAsia" w:eastAsia="宋体"/>
                <w:color w:val="auto"/>
                <w:sz w:val="22"/>
                <w:szCs w:val="22"/>
                <w:highlight w:val="none"/>
                <w:lang w:eastAsia="zh-CN"/>
              </w:rPr>
            </w:pPr>
            <w:r>
              <w:rPr>
                <w:rFonts w:hint="eastAsia"/>
                <w:snapToGrid w:val="0"/>
                <w:color w:val="auto"/>
                <w:sz w:val="22"/>
                <w:szCs w:val="22"/>
                <w:highlight w:val="none"/>
              </w:rPr>
              <w:t>垃圾桶收集后，交</w:t>
            </w:r>
            <w:r>
              <w:rPr>
                <w:color w:val="auto"/>
                <w:sz w:val="22"/>
                <w:szCs w:val="22"/>
                <w:highlight w:val="none"/>
              </w:rPr>
              <w:t>环卫部门处理</w:t>
            </w:r>
            <w:r>
              <w:rPr>
                <w:rFonts w:hint="eastAsia"/>
                <w:color w:val="auto"/>
                <w:sz w:val="22"/>
                <w:szCs w:val="22"/>
                <w:highlight w:val="none"/>
                <w:lang w:eastAsia="zh-CN"/>
              </w:rPr>
              <w:t>。</w:t>
            </w:r>
          </w:p>
        </w:tc>
        <w:tc>
          <w:tcPr>
            <w:tcW w:w="1021" w:type="dxa"/>
            <w:vAlign w:val="center"/>
          </w:tcPr>
          <w:p>
            <w:pPr>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restart"/>
            <w:vAlign w:val="center"/>
          </w:tcPr>
          <w:p>
            <w:pPr>
              <w:snapToGrid w:val="0"/>
              <w:spacing w:line="240" w:lineRule="auto"/>
              <w:ind w:firstLine="0" w:firstLineChars="0"/>
              <w:jc w:val="center"/>
              <w:rPr>
                <w:snapToGrid w:val="0"/>
                <w:color w:val="auto"/>
                <w:sz w:val="22"/>
                <w:szCs w:val="22"/>
                <w:highlight w:val="none"/>
              </w:rPr>
            </w:pPr>
            <w:r>
              <w:rPr>
                <w:rFonts w:hint="eastAsia"/>
                <w:snapToGrid w:val="0"/>
                <w:color w:val="auto"/>
                <w:sz w:val="22"/>
                <w:szCs w:val="22"/>
                <w:highlight w:val="none"/>
              </w:rPr>
              <w:t>运营期</w:t>
            </w:r>
          </w:p>
        </w:tc>
        <w:tc>
          <w:tcPr>
            <w:tcW w:w="1555" w:type="dxa"/>
            <w:vAlign w:val="center"/>
          </w:tcPr>
          <w:p>
            <w:pPr>
              <w:snapToGrid w:val="0"/>
              <w:spacing w:line="240" w:lineRule="auto"/>
              <w:ind w:firstLine="1" w:firstLineChars="0"/>
              <w:jc w:val="center"/>
              <w:rPr>
                <w:rFonts w:hint="eastAsia" w:eastAsia="宋体"/>
                <w:snapToGrid w:val="0"/>
                <w:color w:val="auto"/>
                <w:sz w:val="22"/>
                <w:szCs w:val="22"/>
                <w:highlight w:val="none"/>
                <w:lang w:eastAsia="zh-CN"/>
              </w:rPr>
            </w:pPr>
            <w:r>
              <w:rPr>
                <w:rFonts w:hint="eastAsia"/>
                <w:snapToGrid w:val="0"/>
                <w:color w:val="auto"/>
                <w:sz w:val="22"/>
                <w:szCs w:val="22"/>
                <w:highlight w:val="none"/>
                <w:lang w:eastAsia="zh-CN"/>
              </w:rPr>
              <w:t>生活垃圾</w:t>
            </w:r>
          </w:p>
        </w:tc>
        <w:tc>
          <w:tcPr>
            <w:tcW w:w="4728" w:type="dxa"/>
            <w:vAlign w:val="center"/>
          </w:tcPr>
          <w:p>
            <w:pPr>
              <w:snapToGrid w:val="0"/>
              <w:spacing w:line="240" w:lineRule="auto"/>
              <w:ind w:firstLine="0" w:firstLineChars="0"/>
              <w:jc w:val="both"/>
              <w:rPr>
                <w:color w:val="auto"/>
                <w:sz w:val="22"/>
                <w:szCs w:val="22"/>
                <w:highlight w:val="none"/>
              </w:rPr>
            </w:pPr>
            <w:r>
              <w:rPr>
                <w:rFonts w:hint="eastAsia"/>
                <w:color w:val="auto"/>
                <w:sz w:val="22"/>
                <w:szCs w:val="22"/>
                <w:highlight w:val="none"/>
              </w:rPr>
              <w:t>管理区设置垃圾箱、垃圾桶，生活垃圾经分类集中收集后，由当地环卫部门定期清运处置</w:t>
            </w:r>
          </w:p>
        </w:tc>
        <w:tc>
          <w:tcPr>
            <w:tcW w:w="1021" w:type="dxa"/>
            <w:vAlign w:val="center"/>
          </w:tcPr>
          <w:p>
            <w:pPr>
              <w:snapToGrid w:val="0"/>
              <w:spacing w:line="240" w:lineRule="auto"/>
              <w:ind w:firstLine="0" w:firstLineChars="0"/>
              <w:jc w:val="center"/>
              <w:rPr>
                <w:rFonts w:hint="eastAsia" w:eastAsia="宋体"/>
                <w:color w:val="auto"/>
                <w:sz w:val="22"/>
                <w:szCs w:val="22"/>
                <w:highlight w:val="none"/>
                <w:lang w:val="en-US" w:eastAsia="zh-CN"/>
              </w:rPr>
            </w:pPr>
            <w:r>
              <w:rPr>
                <w:rFonts w:hint="eastAsia"/>
                <w:color w:val="auto"/>
                <w:sz w:val="22"/>
                <w:szCs w:val="22"/>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900" w:type="dxa"/>
            <w:vMerge w:val="continue"/>
            <w:vAlign w:val="center"/>
          </w:tcPr>
          <w:p>
            <w:pPr>
              <w:snapToGrid w:val="0"/>
              <w:spacing w:line="240" w:lineRule="auto"/>
              <w:ind w:firstLine="0" w:firstLineChars="0"/>
              <w:jc w:val="center"/>
              <w:rPr>
                <w:snapToGrid w:val="0"/>
                <w:color w:val="auto"/>
                <w:sz w:val="22"/>
                <w:szCs w:val="22"/>
                <w:highlight w:val="none"/>
              </w:rPr>
            </w:pPr>
          </w:p>
        </w:tc>
        <w:tc>
          <w:tcPr>
            <w:tcW w:w="1555" w:type="dxa"/>
            <w:vAlign w:val="center"/>
          </w:tcPr>
          <w:p>
            <w:pPr>
              <w:snapToGrid w:val="0"/>
              <w:spacing w:line="240" w:lineRule="auto"/>
              <w:ind w:firstLine="1" w:firstLineChars="0"/>
              <w:jc w:val="center"/>
              <w:rPr>
                <w:rFonts w:hint="eastAsia" w:eastAsia="宋体"/>
                <w:snapToGrid w:val="0"/>
                <w:color w:val="auto"/>
                <w:sz w:val="22"/>
                <w:szCs w:val="22"/>
                <w:highlight w:val="none"/>
                <w:lang w:eastAsia="zh-CN"/>
              </w:rPr>
            </w:pPr>
            <w:r>
              <w:rPr>
                <w:rFonts w:hint="eastAsia"/>
                <w:snapToGrid w:val="0"/>
                <w:color w:val="auto"/>
                <w:sz w:val="22"/>
                <w:szCs w:val="22"/>
                <w:highlight w:val="none"/>
                <w:lang w:eastAsia="zh-CN"/>
              </w:rPr>
              <w:t>危险废物</w:t>
            </w:r>
          </w:p>
        </w:tc>
        <w:tc>
          <w:tcPr>
            <w:tcW w:w="4728" w:type="dxa"/>
            <w:vAlign w:val="center"/>
          </w:tcPr>
          <w:p>
            <w:pPr>
              <w:snapToGrid w:val="0"/>
              <w:spacing w:line="240" w:lineRule="auto"/>
              <w:ind w:firstLine="0" w:firstLineChars="0"/>
              <w:jc w:val="both"/>
              <w:rPr>
                <w:rFonts w:hint="eastAsia" w:eastAsia="宋体"/>
                <w:color w:val="auto"/>
                <w:sz w:val="22"/>
                <w:szCs w:val="22"/>
                <w:highlight w:val="none"/>
                <w:lang w:eastAsia="zh-CN"/>
              </w:rPr>
            </w:pPr>
            <w:r>
              <w:rPr>
                <w:rFonts w:hint="eastAsia"/>
                <w:color w:val="auto"/>
                <w:sz w:val="22"/>
                <w:szCs w:val="22"/>
                <w:highlight w:val="none"/>
                <w:lang w:eastAsia="zh-CN"/>
              </w:rPr>
              <w:t>管理区设置危废暂存间，危险废物分类暂存于管理区危废暂存间内，定期交由有危废处理资质的单位一并接收处理并妥善处置。按要求做好防风、防雨、防晒和防止危险废物流失、扬散等措施。</w:t>
            </w:r>
          </w:p>
        </w:tc>
        <w:tc>
          <w:tcPr>
            <w:tcW w:w="1021" w:type="dxa"/>
            <w:vAlign w:val="center"/>
          </w:tcPr>
          <w:p>
            <w:pPr>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restart"/>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噪声</w:t>
            </w:r>
          </w:p>
        </w:tc>
        <w:tc>
          <w:tcPr>
            <w:tcW w:w="2455" w:type="dxa"/>
            <w:gridSpan w:val="2"/>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施工期噪声</w:t>
            </w:r>
          </w:p>
        </w:tc>
        <w:tc>
          <w:tcPr>
            <w:tcW w:w="4728" w:type="dxa"/>
            <w:vAlign w:val="center"/>
          </w:tcPr>
          <w:p>
            <w:pPr>
              <w:snapToGrid w:val="0"/>
              <w:spacing w:line="240" w:lineRule="auto"/>
              <w:ind w:firstLine="0" w:firstLineChars="0"/>
              <w:jc w:val="both"/>
              <w:rPr>
                <w:rFonts w:hint="eastAsia" w:ascii="Times New Roman" w:hAnsi="Times New Roman" w:eastAsia="宋体" w:cs="Times New Roman"/>
                <w:color w:val="auto"/>
                <w:sz w:val="22"/>
                <w:szCs w:val="22"/>
                <w:highlight w:val="none"/>
                <w:lang w:eastAsia="zh-CN"/>
              </w:rPr>
            </w:pPr>
            <w:r>
              <w:rPr>
                <w:rFonts w:hint="eastAsia" w:ascii="Times New Roman" w:hAnsi="Times New Roman" w:eastAsia="宋体" w:cs="Times New Roman"/>
                <w:color w:val="auto"/>
                <w:sz w:val="22"/>
                <w:szCs w:val="22"/>
                <w:highlight w:val="none"/>
              </w:rPr>
              <w:t>选用低噪声设备、机械和施工工艺</w:t>
            </w:r>
            <w:r>
              <w:rPr>
                <w:rFonts w:hint="eastAsia" w:ascii="Times New Roman" w:hAnsi="Times New Roman" w:eastAsia="宋体" w:cs="Times New Roman"/>
                <w:color w:val="auto"/>
                <w:sz w:val="22"/>
                <w:szCs w:val="22"/>
                <w:highlight w:val="none"/>
                <w:lang w:eastAsia="zh-CN"/>
              </w:rPr>
              <w:t>，并</w:t>
            </w:r>
            <w:r>
              <w:rPr>
                <w:rFonts w:hint="eastAsia" w:ascii="Times New Roman" w:hAnsi="Times New Roman" w:eastAsia="宋体" w:cs="Times New Roman"/>
                <w:color w:val="auto"/>
                <w:sz w:val="22"/>
                <w:szCs w:val="22"/>
                <w:highlight w:val="none"/>
              </w:rPr>
              <w:t>加强设备维护和保养</w:t>
            </w:r>
            <w:r>
              <w:rPr>
                <w:rFonts w:hint="eastAsia" w:ascii="Times New Roman" w:hAnsi="Times New Roman" w:eastAsia="宋体" w:cs="Times New Roman"/>
                <w:color w:val="auto"/>
                <w:sz w:val="22"/>
                <w:szCs w:val="22"/>
                <w:highlight w:val="none"/>
                <w:lang w:eastAsia="zh-CN"/>
              </w:rPr>
              <w:t>；合理布局施工机械</w:t>
            </w:r>
            <w:r>
              <w:rPr>
                <w:rFonts w:hint="eastAsia" w:ascii="Times New Roman" w:hAnsi="Times New Roman" w:eastAsia="宋体" w:cs="Times New Roman"/>
                <w:color w:val="auto"/>
                <w:sz w:val="22"/>
                <w:szCs w:val="22"/>
                <w:highlight w:val="none"/>
                <w:shd w:val="clear" w:fill="FFFFFF"/>
                <w:lang w:eastAsia="zh-CN"/>
              </w:rPr>
              <w:t>；</w:t>
            </w:r>
            <w:r>
              <w:rPr>
                <w:rFonts w:hint="eastAsia" w:ascii="Times New Roman" w:hAnsi="Times New Roman" w:eastAsia="宋体" w:cs="Times New Roman"/>
                <w:color w:val="auto"/>
                <w:sz w:val="22"/>
                <w:szCs w:val="22"/>
                <w:highlight w:val="none"/>
                <w:lang w:eastAsia="zh-CN"/>
              </w:rPr>
              <w:t>高噪声固定声源采取隔声、减振措施；尽量控制爆破的单响用量，做好爆破参数的优化和炮孔的堵塞，用草袋覆盖爆破面；合理安排运输路线及物料运输时间，采取限速、禁鸣等控制交通噪声；做好施工组织设计，</w:t>
            </w:r>
            <w:r>
              <w:rPr>
                <w:rFonts w:hint="eastAsia" w:ascii="Times New Roman" w:hAnsi="Times New Roman" w:eastAsia="宋体" w:cs="Times New Roman"/>
                <w:color w:val="auto"/>
                <w:sz w:val="22"/>
                <w:szCs w:val="22"/>
                <w:highlight w:val="none"/>
              </w:rPr>
              <w:t>合理安排施工</w:t>
            </w:r>
            <w:r>
              <w:rPr>
                <w:rFonts w:hint="eastAsia" w:ascii="Times New Roman" w:hAnsi="Times New Roman" w:eastAsia="宋体" w:cs="Times New Roman"/>
                <w:color w:val="auto"/>
                <w:sz w:val="22"/>
                <w:szCs w:val="22"/>
                <w:highlight w:val="none"/>
                <w:lang w:eastAsia="zh-CN"/>
              </w:rPr>
              <w:t>强度及施工</w:t>
            </w:r>
            <w:r>
              <w:rPr>
                <w:rFonts w:hint="eastAsia" w:ascii="Times New Roman" w:hAnsi="Times New Roman" w:eastAsia="宋体" w:cs="Times New Roman"/>
                <w:color w:val="auto"/>
                <w:sz w:val="22"/>
                <w:szCs w:val="22"/>
                <w:highlight w:val="none"/>
              </w:rPr>
              <w:t>时间等</w:t>
            </w:r>
            <w:r>
              <w:rPr>
                <w:rFonts w:hint="eastAsia" w:ascii="Times New Roman" w:hAnsi="Times New Roman" w:eastAsia="宋体" w:cs="Times New Roman"/>
                <w:color w:val="auto"/>
                <w:sz w:val="22"/>
                <w:szCs w:val="22"/>
                <w:highlight w:val="none"/>
                <w:lang w:eastAsia="zh-CN"/>
              </w:rPr>
              <w:t>。</w:t>
            </w:r>
          </w:p>
        </w:tc>
        <w:tc>
          <w:tcPr>
            <w:tcW w:w="1021" w:type="dxa"/>
            <w:vAlign w:val="center"/>
          </w:tcPr>
          <w:p>
            <w:pPr>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5" w:type="dxa"/>
            <w:vMerge w:val="continue"/>
            <w:vAlign w:val="center"/>
          </w:tcPr>
          <w:p>
            <w:pPr>
              <w:snapToGrid w:val="0"/>
              <w:spacing w:line="240" w:lineRule="auto"/>
              <w:ind w:firstLine="0" w:firstLineChars="0"/>
              <w:jc w:val="center"/>
              <w:rPr>
                <w:color w:val="auto"/>
                <w:sz w:val="22"/>
                <w:szCs w:val="22"/>
                <w:highlight w:val="none"/>
              </w:rPr>
            </w:pPr>
          </w:p>
        </w:tc>
        <w:tc>
          <w:tcPr>
            <w:tcW w:w="2455" w:type="dxa"/>
            <w:gridSpan w:val="2"/>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运营期噪声</w:t>
            </w:r>
          </w:p>
        </w:tc>
        <w:tc>
          <w:tcPr>
            <w:tcW w:w="4728" w:type="dxa"/>
            <w:vAlign w:val="center"/>
          </w:tcPr>
          <w:p>
            <w:pPr>
              <w:snapToGrid w:val="0"/>
              <w:spacing w:line="240" w:lineRule="auto"/>
              <w:ind w:firstLine="0" w:firstLineChars="0"/>
              <w:jc w:val="both"/>
              <w:rPr>
                <w:rFonts w:hint="eastAsia" w:ascii="Times New Roman" w:hAnsi="Times New Roman" w:eastAsia="宋体" w:cs="Times New Roman"/>
                <w:color w:val="auto"/>
                <w:sz w:val="22"/>
                <w:szCs w:val="22"/>
                <w:highlight w:val="none"/>
                <w:lang w:eastAsia="zh-CN"/>
              </w:rPr>
            </w:pPr>
            <w:r>
              <w:rPr>
                <w:rFonts w:hint="eastAsia" w:ascii="Times New Roman" w:hAnsi="Times New Roman" w:eastAsia="宋体" w:cs="Times New Roman"/>
                <w:color w:val="auto"/>
                <w:sz w:val="22"/>
                <w:szCs w:val="22"/>
                <w:highlight w:val="none"/>
              </w:rPr>
              <w:t>加强船闸管理，合理安排船舶进出船闸工作，设置禁止鸣笛警示牌</w:t>
            </w:r>
            <w:r>
              <w:rPr>
                <w:rFonts w:hint="eastAsia" w:ascii="Times New Roman" w:hAnsi="Times New Roman" w:eastAsia="宋体" w:cs="Times New Roman"/>
                <w:color w:val="auto"/>
                <w:sz w:val="22"/>
                <w:szCs w:val="22"/>
                <w:highlight w:val="none"/>
                <w:lang w:eastAsia="zh-CN"/>
              </w:rPr>
              <w:t>。</w:t>
            </w:r>
          </w:p>
        </w:tc>
        <w:tc>
          <w:tcPr>
            <w:tcW w:w="1021" w:type="dxa"/>
            <w:vAlign w:val="center"/>
          </w:tcPr>
          <w:p>
            <w:pPr>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纳入主体工程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0" w:type="dxa"/>
            <w:gridSpan w:val="3"/>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环境风险</w:t>
            </w:r>
          </w:p>
        </w:tc>
        <w:tc>
          <w:tcPr>
            <w:tcW w:w="4728" w:type="dxa"/>
            <w:vAlign w:val="center"/>
          </w:tcPr>
          <w:p>
            <w:pPr>
              <w:snapToGrid w:val="0"/>
              <w:spacing w:line="240" w:lineRule="auto"/>
              <w:ind w:firstLine="0" w:firstLineChars="0"/>
              <w:jc w:val="both"/>
              <w:rPr>
                <w:rFonts w:hint="eastAsia" w:eastAsia="宋体"/>
                <w:color w:val="auto"/>
                <w:sz w:val="22"/>
                <w:szCs w:val="22"/>
                <w:highlight w:val="none"/>
                <w:lang w:eastAsia="zh-CN"/>
              </w:rPr>
            </w:pPr>
            <w:r>
              <w:rPr>
                <w:rFonts w:hint="eastAsia"/>
                <w:color w:val="auto"/>
                <w:sz w:val="22"/>
                <w:szCs w:val="22"/>
                <w:highlight w:val="none"/>
              </w:rPr>
              <w:t>定期监督检查航运环保设施运行使用及安全情况</w:t>
            </w:r>
            <w:r>
              <w:rPr>
                <w:rFonts w:hint="eastAsia"/>
                <w:color w:val="auto"/>
                <w:sz w:val="22"/>
                <w:szCs w:val="22"/>
                <w:highlight w:val="none"/>
                <w:lang w:eastAsia="zh-CN"/>
              </w:rPr>
              <w:t>，</w:t>
            </w:r>
            <w:r>
              <w:rPr>
                <w:rFonts w:hint="eastAsia"/>
                <w:color w:val="auto"/>
                <w:sz w:val="22"/>
                <w:szCs w:val="22"/>
                <w:highlight w:val="none"/>
              </w:rPr>
              <w:t>加强维护维修</w:t>
            </w:r>
            <w:r>
              <w:rPr>
                <w:rFonts w:hint="eastAsia"/>
                <w:color w:val="auto"/>
                <w:sz w:val="22"/>
                <w:szCs w:val="22"/>
                <w:highlight w:val="none"/>
                <w:lang w:eastAsia="zh-CN"/>
              </w:rPr>
              <w:t>；加强过闸船舶管理，</w:t>
            </w:r>
            <w:r>
              <w:rPr>
                <w:rFonts w:hint="eastAsia"/>
                <w:color w:val="auto"/>
                <w:sz w:val="22"/>
                <w:szCs w:val="22"/>
                <w:highlight w:val="none"/>
              </w:rPr>
              <w:t>设立导航及有关警示标志</w:t>
            </w:r>
            <w:r>
              <w:rPr>
                <w:rFonts w:hint="eastAsia"/>
                <w:color w:val="auto"/>
                <w:sz w:val="22"/>
                <w:szCs w:val="22"/>
                <w:highlight w:val="none"/>
                <w:lang w:eastAsia="zh-CN"/>
              </w:rPr>
              <w:t>；制定针对运行期突发性水污染事件的应急预案，配备应急物资。</w:t>
            </w:r>
          </w:p>
        </w:tc>
        <w:tc>
          <w:tcPr>
            <w:tcW w:w="1021" w:type="dxa"/>
            <w:vAlign w:val="center"/>
          </w:tcPr>
          <w:p>
            <w:pPr>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0" w:type="dxa"/>
            <w:gridSpan w:val="3"/>
            <w:vAlign w:val="center"/>
          </w:tcPr>
          <w:p>
            <w:pPr>
              <w:snapToGrid w:val="0"/>
              <w:spacing w:line="240" w:lineRule="auto"/>
              <w:ind w:firstLine="0" w:firstLineChars="0"/>
              <w:jc w:val="center"/>
              <w:rPr>
                <w:rFonts w:hint="eastAsia"/>
                <w:color w:val="auto"/>
                <w:sz w:val="22"/>
                <w:szCs w:val="22"/>
                <w:highlight w:val="none"/>
              </w:rPr>
            </w:pPr>
            <w:r>
              <w:rPr>
                <w:rFonts w:hint="eastAsia"/>
                <w:color w:val="auto"/>
                <w:sz w:val="22"/>
                <w:szCs w:val="22"/>
                <w:highlight w:val="none"/>
                <w:lang w:eastAsia="zh-CN"/>
              </w:rPr>
              <w:t>环境管理</w:t>
            </w:r>
          </w:p>
        </w:tc>
        <w:tc>
          <w:tcPr>
            <w:tcW w:w="4728" w:type="dxa"/>
            <w:vAlign w:val="center"/>
          </w:tcPr>
          <w:p>
            <w:pPr>
              <w:snapToGrid w:val="0"/>
              <w:spacing w:line="240" w:lineRule="auto"/>
              <w:ind w:firstLine="0" w:firstLineChars="0"/>
              <w:jc w:val="both"/>
              <w:rPr>
                <w:rFonts w:hint="eastAsia" w:eastAsia="宋体"/>
                <w:color w:val="auto"/>
                <w:sz w:val="22"/>
                <w:szCs w:val="22"/>
                <w:highlight w:val="none"/>
                <w:lang w:eastAsia="zh-CN"/>
              </w:rPr>
            </w:pPr>
            <w:r>
              <w:rPr>
                <w:rFonts w:hint="eastAsia"/>
                <w:color w:val="auto"/>
                <w:sz w:val="22"/>
                <w:szCs w:val="22"/>
                <w:highlight w:val="none"/>
                <w:lang w:eastAsia="zh-CN"/>
              </w:rPr>
              <w:t>建立环境管理制度，做好施工期、运营期环境管理工作，落实施工期、运营期环境监测计划。</w:t>
            </w:r>
          </w:p>
        </w:tc>
        <w:tc>
          <w:tcPr>
            <w:tcW w:w="1021" w:type="dxa"/>
            <w:vAlign w:val="center"/>
          </w:tcPr>
          <w:p>
            <w:pPr>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58" w:type="dxa"/>
            <w:gridSpan w:val="4"/>
            <w:vAlign w:val="center"/>
          </w:tcPr>
          <w:p>
            <w:pPr>
              <w:snapToGrid w:val="0"/>
              <w:spacing w:line="240" w:lineRule="auto"/>
              <w:ind w:firstLine="0" w:firstLineChars="0"/>
              <w:jc w:val="center"/>
              <w:rPr>
                <w:color w:val="auto"/>
                <w:sz w:val="22"/>
                <w:szCs w:val="22"/>
                <w:highlight w:val="none"/>
              </w:rPr>
            </w:pPr>
            <w:r>
              <w:rPr>
                <w:rFonts w:hint="eastAsia"/>
                <w:color w:val="auto"/>
                <w:sz w:val="22"/>
                <w:szCs w:val="22"/>
                <w:highlight w:val="none"/>
              </w:rPr>
              <w:t>合计</w:t>
            </w:r>
          </w:p>
        </w:tc>
        <w:tc>
          <w:tcPr>
            <w:tcW w:w="1021" w:type="dxa"/>
            <w:vAlign w:val="center"/>
          </w:tcPr>
          <w:p>
            <w:pPr>
              <w:snapToGrid w:val="0"/>
              <w:spacing w:line="240" w:lineRule="auto"/>
              <w:ind w:firstLine="0" w:firstLineChars="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514</w:t>
            </w:r>
          </w:p>
        </w:tc>
      </w:tr>
      <w:bookmarkEnd w:id="133"/>
    </w:tbl>
    <w:p>
      <w:pPr>
        <w:ind w:firstLine="520"/>
        <w:rPr>
          <w:color w:val="auto"/>
          <w:highlight w:val="none"/>
        </w:rPr>
        <w:sectPr>
          <w:pgSz w:w="11907" w:h="16840"/>
          <w:pgMar w:top="1701" w:right="1588" w:bottom="1588" w:left="1588" w:header="1304" w:footer="1247" w:gutter="0"/>
          <w:cols w:space="425" w:num="1"/>
          <w:docGrid w:linePitch="354" w:charSpace="0"/>
        </w:sectPr>
      </w:pPr>
    </w:p>
    <w:p>
      <w:pPr>
        <w:spacing w:line="240" w:lineRule="auto"/>
        <w:ind w:firstLine="520"/>
        <w:rPr>
          <w:color w:val="auto"/>
          <w:highlight w:val="none"/>
        </w:rPr>
      </w:pPr>
    </w:p>
    <w:p>
      <w:pPr>
        <w:pStyle w:val="3"/>
        <w:ind w:firstLineChars="0"/>
        <w:rPr>
          <w:color w:val="auto"/>
          <w:highlight w:val="none"/>
        </w:rPr>
      </w:pPr>
      <w:bookmarkStart w:id="152" w:name="_Toc11861"/>
      <w:r>
        <w:rPr>
          <w:rFonts w:hint="eastAsia"/>
          <w:color w:val="auto"/>
          <w:highlight w:val="none"/>
        </w:rPr>
        <w:t>环境经济损益分析</w:t>
      </w:r>
      <w:bookmarkEnd w:id="152"/>
    </w:p>
    <w:p>
      <w:pPr>
        <w:spacing w:line="240" w:lineRule="auto"/>
        <w:ind w:firstLine="520"/>
        <w:rPr>
          <w:color w:val="auto"/>
          <w:highlight w:val="none"/>
        </w:rPr>
      </w:pPr>
    </w:p>
    <w:p>
      <w:pPr>
        <w:ind w:firstLine="520"/>
        <w:rPr>
          <w:rFonts w:hint="eastAsia"/>
          <w:color w:val="auto"/>
          <w:kern w:val="0"/>
          <w:szCs w:val="20"/>
          <w:highlight w:val="none"/>
        </w:rPr>
      </w:pPr>
      <w:r>
        <w:rPr>
          <w:rFonts w:hint="eastAsia"/>
          <w:color w:val="auto"/>
          <w:kern w:val="0"/>
          <w:szCs w:val="20"/>
          <w:highlight w:val="none"/>
        </w:rPr>
        <w:t>根据</w:t>
      </w:r>
      <w:r>
        <w:rPr>
          <w:rFonts w:hint="eastAsia"/>
          <w:color w:val="auto"/>
          <w:kern w:val="0"/>
          <w:szCs w:val="20"/>
          <w:highlight w:val="none"/>
          <w:lang w:eastAsia="zh-CN"/>
        </w:rPr>
        <w:t>渭沱船闸扩能升级改造工程</w:t>
      </w:r>
      <w:r>
        <w:rPr>
          <w:rFonts w:hint="eastAsia"/>
          <w:color w:val="auto"/>
          <w:kern w:val="0"/>
          <w:szCs w:val="20"/>
          <w:highlight w:val="none"/>
        </w:rPr>
        <w:t>环境影响评价和工程环境保护措施经济论证结果，对本工程建设的环境影响进行经济损益分析。分析计算中，考虑了本工程建设与生态效益、社会环境以及区域社会经济的持续、稳定、协调发展的条件，按照等效、替代原则计算环境效益；以减免不利环境影响或达到恢复、补偿效果所需的费用计算环境损失。</w:t>
      </w:r>
    </w:p>
    <w:p>
      <w:pPr>
        <w:ind w:firstLine="520"/>
        <w:rPr>
          <w:color w:val="auto"/>
          <w:kern w:val="0"/>
          <w:szCs w:val="20"/>
          <w:highlight w:val="none"/>
        </w:rPr>
      </w:pPr>
      <w:r>
        <w:rPr>
          <w:rFonts w:hint="eastAsia"/>
          <w:color w:val="auto"/>
          <w:kern w:val="0"/>
          <w:szCs w:val="20"/>
          <w:highlight w:val="none"/>
        </w:rPr>
        <w:t>环境影响经济损益分析包括工程的经济效益、生态效益和社会效益，主要采用费用效益分析法进行分析。环境影响经济损失包括减免不利环境影响的环境保护投资、因工程建设引起环境资源的损失，环境影响经济效益包括工程兴建后改善环境取得的社会经济环境效益、采取环境保护措施后取得的效益。本工程初步确定进行经济损益定量分析的环境影响主要有：减免环境不利影响的措施投资、陆生植物资源损失、工程运行后的经济效益等。</w:t>
      </w:r>
      <w:r>
        <w:rPr>
          <w:rFonts w:hint="eastAsia"/>
          <w:color w:val="auto"/>
          <w:kern w:val="0"/>
          <w:szCs w:val="20"/>
          <w:highlight w:val="none"/>
          <w:shd w:val="clear" w:fill="FFFFFF"/>
          <w:lang w:eastAsia="zh-CN"/>
        </w:rPr>
        <w:t>其他的环境</w:t>
      </w:r>
      <w:r>
        <w:rPr>
          <w:rFonts w:hint="eastAsia"/>
          <w:color w:val="auto"/>
          <w:kern w:val="0"/>
          <w:szCs w:val="20"/>
          <w:highlight w:val="none"/>
        </w:rPr>
        <w:t>影响将只进行经济损益定性分析。</w:t>
      </w:r>
    </w:p>
    <w:p>
      <w:pPr>
        <w:pStyle w:val="4"/>
        <w:rPr>
          <w:color w:val="auto"/>
          <w:highlight w:val="none"/>
        </w:rPr>
      </w:pPr>
      <w:bookmarkStart w:id="153" w:name="_Toc14897"/>
      <w:bookmarkStart w:id="154" w:name="_Toc404792272"/>
      <w:bookmarkStart w:id="155" w:name="_Toc83908385"/>
      <w:bookmarkStart w:id="156" w:name="_Toc492908918"/>
      <w:r>
        <w:rPr>
          <w:rFonts w:hint="eastAsia"/>
          <w:color w:val="auto"/>
          <w:highlight w:val="none"/>
          <w:lang w:eastAsia="zh-CN"/>
        </w:rPr>
        <w:t>环境效益分析</w:t>
      </w:r>
      <w:bookmarkEnd w:id="153"/>
    </w:p>
    <w:p>
      <w:pPr>
        <w:rPr>
          <w:color w:val="auto"/>
          <w:highlight w:val="none"/>
        </w:rPr>
      </w:pPr>
      <w:r>
        <w:rPr>
          <w:rFonts w:hint="eastAsia"/>
          <w:color w:val="auto"/>
          <w:highlight w:val="none"/>
        </w:rPr>
        <w:t>本工程的环境效益主要体现在航运所带来的直接或间接经济效益，以及工程建设对促进当地经济发展所产生的社会效益。</w:t>
      </w:r>
    </w:p>
    <w:p>
      <w:pPr>
        <w:pStyle w:val="5"/>
        <w:bidi w:val="0"/>
        <w:rPr>
          <w:color w:val="auto"/>
          <w:highlight w:val="none"/>
        </w:rPr>
      </w:pPr>
      <w:r>
        <w:rPr>
          <w:rFonts w:hint="eastAsia"/>
          <w:color w:val="auto"/>
          <w:highlight w:val="none"/>
        </w:rPr>
        <w:t>社会</w:t>
      </w:r>
      <w:r>
        <w:rPr>
          <w:color w:val="auto"/>
          <w:highlight w:val="none"/>
        </w:rPr>
        <w:t>效益分析</w:t>
      </w:r>
      <w:bookmarkEnd w:id="154"/>
      <w:bookmarkEnd w:id="155"/>
      <w:bookmarkEnd w:id="156"/>
    </w:p>
    <w:p>
      <w:pPr>
        <w:adjustRightInd w:val="0"/>
        <w:snapToGrid w:val="0"/>
        <w:ind w:firstLine="520"/>
        <w:rPr>
          <w:color w:val="auto"/>
          <w:szCs w:val="26"/>
          <w:highlight w:val="none"/>
        </w:rPr>
      </w:pPr>
      <w:r>
        <w:rPr>
          <w:rFonts w:hint="eastAsia"/>
          <w:color w:val="auto"/>
          <w:kern w:val="0"/>
          <w:szCs w:val="20"/>
          <w:highlight w:val="none"/>
          <w:lang w:eastAsia="zh-CN"/>
        </w:rPr>
        <w:t>渭沱船闸扩能升级改造</w:t>
      </w:r>
      <w:r>
        <w:rPr>
          <w:rFonts w:hint="eastAsia"/>
          <w:color w:val="auto"/>
          <w:szCs w:val="26"/>
          <w:highlight w:val="none"/>
        </w:rPr>
        <w:t>工程</w:t>
      </w:r>
      <w:r>
        <w:rPr>
          <w:rFonts w:hint="eastAsia"/>
          <w:color w:val="auto"/>
          <w:szCs w:val="26"/>
          <w:highlight w:val="none"/>
          <w:lang w:eastAsia="zh-CN"/>
        </w:rPr>
        <w:t>的实施</w:t>
      </w:r>
      <w:r>
        <w:rPr>
          <w:rFonts w:hint="eastAsia"/>
          <w:color w:val="auto"/>
          <w:szCs w:val="26"/>
          <w:highlight w:val="none"/>
        </w:rPr>
        <w:t>，可</w:t>
      </w:r>
      <w:r>
        <w:rPr>
          <w:rFonts w:hint="eastAsia"/>
          <w:color w:val="auto"/>
          <w:szCs w:val="26"/>
          <w:highlight w:val="none"/>
          <w:lang w:eastAsia="zh-CN"/>
        </w:rPr>
        <w:t>有效</w:t>
      </w:r>
      <w:r>
        <w:rPr>
          <w:rFonts w:hint="eastAsia"/>
          <w:color w:val="auto"/>
          <w:szCs w:val="26"/>
          <w:highlight w:val="none"/>
        </w:rPr>
        <w:t>改善涪江干流河段通航条件</w:t>
      </w:r>
      <w:r>
        <w:rPr>
          <w:rFonts w:hint="eastAsia"/>
          <w:color w:val="auto"/>
          <w:szCs w:val="26"/>
          <w:highlight w:val="none"/>
          <w:lang w:eastAsia="zh-CN"/>
        </w:rPr>
        <w:t>，提升涪江水运能力</w:t>
      </w:r>
      <w:r>
        <w:rPr>
          <w:rFonts w:hint="eastAsia"/>
          <w:color w:val="auto"/>
          <w:szCs w:val="26"/>
          <w:highlight w:val="none"/>
        </w:rPr>
        <w:t>等。</w:t>
      </w:r>
      <w:r>
        <w:rPr>
          <w:rFonts w:hint="eastAsia"/>
          <w:color w:val="auto"/>
          <w:szCs w:val="26"/>
          <w:highlight w:val="none"/>
          <w:lang w:eastAsia="zh-CN"/>
        </w:rPr>
        <w:t>同时，</w:t>
      </w:r>
      <w:r>
        <w:rPr>
          <w:rFonts w:hint="eastAsia"/>
          <w:color w:val="auto"/>
          <w:szCs w:val="26"/>
          <w:highlight w:val="none"/>
        </w:rPr>
        <w:t>建设期大量施工人员的生活需求将主要由当地农产品及服务满足</w:t>
      </w:r>
      <w:r>
        <w:rPr>
          <w:rFonts w:hint="eastAsia"/>
          <w:color w:val="auto"/>
          <w:szCs w:val="26"/>
          <w:highlight w:val="none"/>
          <w:lang w:eastAsia="zh-CN"/>
        </w:rPr>
        <w:t>，</w:t>
      </w:r>
      <w:r>
        <w:rPr>
          <w:rFonts w:hint="eastAsia"/>
          <w:color w:val="auto"/>
          <w:szCs w:val="26"/>
          <w:highlight w:val="none"/>
        </w:rPr>
        <w:t>将促进当地农业、餐饮业和其他服务业的发展。</w:t>
      </w:r>
    </w:p>
    <w:p>
      <w:pPr>
        <w:pStyle w:val="5"/>
        <w:bidi w:val="0"/>
        <w:rPr>
          <w:color w:val="auto"/>
          <w:highlight w:val="none"/>
        </w:rPr>
      </w:pPr>
      <w:r>
        <w:rPr>
          <w:rFonts w:hint="eastAsia"/>
          <w:color w:val="auto"/>
          <w:highlight w:val="none"/>
        </w:rPr>
        <w:t>经济</w:t>
      </w:r>
      <w:r>
        <w:rPr>
          <w:color w:val="auto"/>
          <w:highlight w:val="none"/>
        </w:rPr>
        <w:t>效益分析</w:t>
      </w:r>
    </w:p>
    <w:p>
      <w:pPr>
        <w:keepNext w:val="0"/>
        <w:keepLines w:val="0"/>
        <w:pageBreakBefore w:val="0"/>
        <w:widowControl w:val="0"/>
        <w:kinsoku/>
        <w:wordWrap/>
        <w:overflowPunct/>
        <w:topLinePunct w:val="0"/>
        <w:autoSpaceDE/>
        <w:autoSpaceDN/>
        <w:bidi w:val="0"/>
        <w:adjustRightInd/>
        <w:snapToGrid w:val="0"/>
        <w:textAlignment w:val="auto"/>
        <w:rPr>
          <w:rFonts w:hint="eastAsia"/>
          <w:color w:val="auto"/>
          <w:highlight w:val="none"/>
          <w:lang w:eastAsia="zh-CN"/>
        </w:rPr>
      </w:pPr>
      <w:r>
        <w:rPr>
          <w:rFonts w:hint="eastAsia"/>
          <w:color w:val="auto"/>
          <w:highlight w:val="none"/>
          <w:lang w:eastAsia="zh-CN"/>
        </w:rPr>
        <w:t>本项目的经济效益主要体现在以下两方面：一是由于渭沱船闸扩能改造，通过能力提高，部分货物由公路运输转移至水路运输，运输费用节约带来的效益；二是本项目实施后，航道等级达到Ⅲ航道标准，可通航1000吨级船舶，船舶大型化运输成本降低带来的效益等。</w:t>
      </w:r>
    </w:p>
    <w:p>
      <w:pPr>
        <w:keepNext w:val="0"/>
        <w:keepLines w:val="0"/>
        <w:pageBreakBefore w:val="0"/>
        <w:widowControl w:val="0"/>
        <w:kinsoku/>
        <w:wordWrap/>
        <w:overflowPunct/>
        <w:topLinePunct w:val="0"/>
        <w:autoSpaceDE/>
        <w:autoSpaceDN/>
        <w:bidi w:val="0"/>
        <w:adjustRightInd/>
        <w:snapToGrid w:val="0"/>
        <w:textAlignment w:val="auto"/>
        <w:rPr>
          <w:rFonts w:hint="eastAsia"/>
          <w:color w:val="auto"/>
          <w:highlight w:val="none"/>
          <w:lang w:eastAsia="zh-CN"/>
        </w:rPr>
      </w:pPr>
      <w:r>
        <w:rPr>
          <w:rFonts w:hint="eastAsia"/>
          <w:color w:val="auto"/>
          <w:highlight w:val="none"/>
          <w:lang w:eastAsia="zh-CN"/>
        </w:rPr>
        <w:t>（1）运输费用节约带来的效益</w:t>
      </w:r>
    </w:p>
    <w:p>
      <w:pPr>
        <w:keepNext w:val="0"/>
        <w:keepLines w:val="0"/>
        <w:pageBreakBefore w:val="0"/>
        <w:widowControl w:val="0"/>
        <w:kinsoku/>
        <w:wordWrap/>
        <w:overflowPunct/>
        <w:topLinePunct w:val="0"/>
        <w:autoSpaceDE/>
        <w:autoSpaceDN/>
        <w:bidi w:val="0"/>
        <w:adjustRightInd/>
        <w:snapToGrid w:val="0"/>
        <w:ind w:left="0" w:leftChars="0" w:firstLine="520" w:firstLineChars="200"/>
        <w:textAlignment w:val="auto"/>
        <w:rPr>
          <w:rFonts w:hint="eastAsia"/>
          <w:color w:val="auto"/>
          <w:highlight w:val="none"/>
          <w:lang w:eastAsia="zh-CN"/>
        </w:rPr>
      </w:pPr>
      <w:r>
        <w:rPr>
          <w:rFonts w:hint="eastAsia"/>
          <w:color w:val="auto"/>
          <w:highlight w:val="none"/>
          <w:lang w:eastAsia="zh-CN"/>
        </w:rPr>
        <w:t>渭沱船闸改造工程实施前，原船闸通过能力仅为80万t/年，超过原船闸通过能力的货物将通过公路运输；工程实施后，大量货物由公路运输转移到水路运输，水路运输费用比公路运输费用节约的运费为本工程效益之一。公路运输费用按0.5元/t.km，平均运距按35km</w:t>
      </w:r>
      <w:r>
        <w:rPr>
          <w:rFonts w:hint="eastAsia"/>
          <w:color w:val="auto"/>
          <w:highlight w:val="none"/>
          <w:shd w:val="clear" w:fill="FFFFFF"/>
          <w:lang w:eastAsia="zh-CN"/>
        </w:rPr>
        <w:t>计</w:t>
      </w:r>
      <w:r>
        <w:rPr>
          <w:rFonts w:hint="eastAsia"/>
          <w:color w:val="auto"/>
          <w:highlight w:val="none"/>
          <w:lang w:eastAsia="zh-CN"/>
        </w:rPr>
        <w:t>，水路运输费用按0.2元/t.km，平均运距按45km计算。根据货物量预测，渭沱船闸2035年双向过闸货运量为1350万t，2050年过闸运量为2070万t，经计算，2035年可节约运输费用10795 万元，2050 年可节约运输费用16915万元。</w:t>
      </w:r>
    </w:p>
    <w:p>
      <w:pPr>
        <w:bidi w:val="0"/>
        <w:rPr>
          <w:rFonts w:hint="eastAsia"/>
          <w:color w:val="auto"/>
          <w:highlight w:val="none"/>
          <w:lang w:eastAsia="zh-CN"/>
        </w:rPr>
      </w:pPr>
      <w:r>
        <w:rPr>
          <w:rFonts w:hint="eastAsia"/>
          <w:color w:val="auto"/>
          <w:highlight w:val="none"/>
          <w:lang w:eastAsia="zh-CN"/>
        </w:rPr>
        <w:t>（2）船舶大型化运输成本降低带来的效益</w:t>
      </w:r>
    </w:p>
    <w:p>
      <w:pPr>
        <w:bidi w:val="0"/>
        <w:ind w:left="0" w:leftChars="0" w:firstLine="520" w:firstLineChars="200"/>
        <w:rPr>
          <w:rFonts w:hint="eastAsia"/>
          <w:color w:val="auto"/>
          <w:highlight w:val="none"/>
          <w:lang w:eastAsia="zh-CN"/>
        </w:rPr>
      </w:pPr>
      <w:r>
        <w:rPr>
          <w:rFonts w:hint="eastAsia"/>
          <w:color w:val="auto"/>
          <w:highlight w:val="none"/>
          <w:lang w:eastAsia="zh-CN"/>
        </w:rPr>
        <w:t>项目建成后，航道等级达到Ⅲ航道标准，可通航1000吨级船舶，船舶吨级大为提高，使得船舶单位运输成本降低。由此节约的运输费用为本项目的国民经济效益之一。无项目时，渭沱船闸仅能通行80t级船舶，船舶单位运输成本加权平均为0.15元/t.km；有项目时，根据船舶营运组织论证，船舶单位运输成本加权平均为0.10元/t.km。实施项目后，可改善航道24km，经计算，船舶运输成本2035年可节约1620万元，2050年可节约2484万元。</w:t>
      </w:r>
    </w:p>
    <w:p>
      <w:pPr>
        <w:bidi w:val="0"/>
        <w:rPr>
          <w:rFonts w:hint="eastAsia"/>
          <w:color w:val="auto"/>
          <w:szCs w:val="26"/>
          <w:highlight w:val="none"/>
        </w:rPr>
      </w:pPr>
      <w:r>
        <w:rPr>
          <w:rFonts w:hint="eastAsia"/>
          <w:color w:val="auto"/>
          <w:highlight w:val="none"/>
          <w:lang w:eastAsia="zh-CN"/>
        </w:rPr>
        <w:t>综上，本项目运输费用节约带来的效益和船舶大型化运输成本降低带来的效益2035年、2050年分别为12415万元、19399万元</w:t>
      </w:r>
      <w:r>
        <w:rPr>
          <w:rFonts w:hint="eastAsia"/>
          <w:color w:val="auto"/>
          <w:highlight w:val="none"/>
        </w:rPr>
        <w:t>。</w:t>
      </w:r>
    </w:p>
    <w:p>
      <w:pPr>
        <w:pStyle w:val="5"/>
        <w:bidi w:val="0"/>
        <w:rPr>
          <w:color w:val="auto"/>
          <w:highlight w:val="none"/>
        </w:rPr>
      </w:pPr>
      <w:r>
        <w:rPr>
          <w:rFonts w:hint="eastAsia"/>
          <w:color w:val="auto"/>
          <w:highlight w:val="none"/>
          <w:lang w:eastAsia="zh-CN"/>
        </w:rPr>
        <w:t>生态环境效益分析</w:t>
      </w:r>
    </w:p>
    <w:p>
      <w:pPr>
        <w:rPr>
          <w:rFonts w:hint="eastAsia" w:eastAsia="宋体"/>
          <w:color w:val="auto"/>
          <w:highlight w:val="none"/>
          <w:lang w:eastAsia="zh-CN"/>
        </w:rPr>
      </w:pPr>
      <w:r>
        <w:rPr>
          <w:rFonts w:hint="eastAsia"/>
          <w:color w:val="auto"/>
          <w:highlight w:val="none"/>
        </w:rPr>
        <w:t>本工程建成后</w:t>
      </w:r>
      <w:r>
        <w:rPr>
          <w:rFonts w:hint="eastAsia"/>
          <w:color w:val="auto"/>
          <w:highlight w:val="none"/>
          <w:lang w:eastAsia="zh-CN"/>
        </w:rPr>
        <w:t>生态环境效益主要体现在两个方面。一是项目</w:t>
      </w:r>
      <w:r>
        <w:rPr>
          <w:rFonts w:hint="eastAsia"/>
          <w:color w:val="auto"/>
          <w:highlight w:val="none"/>
        </w:rPr>
        <w:t>结合水生生态保护</w:t>
      </w:r>
      <w:r>
        <w:rPr>
          <w:rFonts w:hint="eastAsia"/>
          <w:color w:val="auto"/>
          <w:highlight w:val="none"/>
          <w:lang w:eastAsia="zh-CN"/>
        </w:rPr>
        <w:t>需求，配套建设鱼道工程</w:t>
      </w:r>
      <w:r>
        <w:rPr>
          <w:rFonts w:hint="eastAsia"/>
          <w:color w:val="auto"/>
          <w:highlight w:val="none"/>
        </w:rPr>
        <w:t>，</w:t>
      </w:r>
      <w:r>
        <w:rPr>
          <w:rFonts w:hint="eastAsia"/>
          <w:color w:val="auto"/>
          <w:highlight w:val="none"/>
          <w:lang w:eastAsia="zh-CN"/>
        </w:rPr>
        <w:t>对鱼类生物多样性保</w:t>
      </w:r>
      <w:r>
        <w:rPr>
          <w:rFonts w:hint="eastAsia"/>
          <w:color w:val="auto"/>
          <w:highlight w:val="none"/>
          <w:shd w:val="clear" w:fill="FFFFFF"/>
          <w:lang w:eastAsia="zh-CN"/>
        </w:rPr>
        <w:t>护有</w:t>
      </w:r>
      <w:r>
        <w:rPr>
          <w:rFonts w:hint="eastAsia"/>
          <w:color w:val="auto"/>
          <w:highlight w:val="none"/>
          <w:lang w:eastAsia="zh-CN"/>
        </w:rPr>
        <w:t>重要意义，</w:t>
      </w:r>
      <w:r>
        <w:rPr>
          <w:rFonts w:hint="eastAsia"/>
          <w:color w:val="auto"/>
          <w:highlight w:val="none"/>
        </w:rPr>
        <w:t>有利于修复和保护涪江生态环境，共同筑牢长江上游生态屏障，共建山清水秀美丽之地。</w:t>
      </w:r>
      <w:r>
        <w:rPr>
          <w:rFonts w:hint="eastAsia"/>
          <w:color w:val="auto"/>
          <w:highlight w:val="none"/>
          <w:lang w:eastAsia="zh-CN"/>
        </w:rPr>
        <w:t>二是项目建成后，可有效</w:t>
      </w:r>
      <w:r>
        <w:rPr>
          <w:rFonts w:hint="eastAsia"/>
          <w:color w:val="auto"/>
          <w:szCs w:val="26"/>
          <w:highlight w:val="none"/>
          <w:shd w:val="clear" w:color="auto" w:fill="FFFFFF"/>
        </w:rPr>
        <w:t>解决通航建筑物等级与航道等级不匹配瓶颈</w:t>
      </w:r>
      <w:r>
        <w:rPr>
          <w:rFonts w:hint="eastAsia"/>
          <w:color w:val="auto"/>
          <w:szCs w:val="26"/>
          <w:highlight w:val="none"/>
          <w:shd w:val="clear" w:color="auto" w:fill="FFFFFF"/>
          <w:lang w:eastAsia="zh-CN"/>
        </w:rPr>
        <w:t>，</w:t>
      </w:r>
      <w:r>
        <w:rPr>
          <w:rFonts w:hint="eastAsia"/>
          <w:color w:val="auto"/>
          <w:highlight w:val="none"/>
          <w:lang w:eastAsia="zh-CN"/>
        </w:rPr>
        <w:t>对涪江航运条件起到明显改善作用，有利于成渝地区交通结构的调整，提高大宗货物水运比例，有效减少碳排放，对“碳中和、碳达峰”具有重要意义。项目产生的生态环境效益难以进行量化。</w:t>
      </w:r>
    </w:p>
    <w:p>
      <w:pPr>
        <w:pStyle w:val="4"/>
        <w:keepNext w:val="0"/>
        <w:keepLines w:val="0"/>
        <w:adjustRightInd w:val="0"/>
        <w:snapToGrid w:val="0"/>
        <w:rPr>
          <w:color w:val="auto"/>
          <w:highlight w:val="none"/>
        </w:rPr>
      </w:pPr>
      <w:bookmarkStart w:id="157" w:name="_Toc83908386"/>
      <w:bookmarkStart w:id="158" w:name="_Toc20707"/>
      <w:r>
        <w:rPr>
          <w:rFonts w:hint="eastAsia"/>
          <w:color w:val="auto"/>
          <w:highlight w:val="none"/>
        </w:rPr>
        <w:t>环境</w:t>
      </w:r>
      <w:r>
        <w:rPr>
          <w:rFonts w:hint="eastAsia"/>
          <w:color w:val="auto"/>
          <w:highlight w:val="none"/>
          <w:lang w:eastAsia="zh-CN"/>
        </w:rPr>
        <w:t>损失</w:t>
      </w:r>
      <w:r>
        <w:rPr>
          <w:color w:val="auto"/>
          <w:highlight w:val="none"/>
        </w:rPr>
        <w:t>分析</w:t>
      </w:r>
      <w:bookmarkEnd w:id="157"/>
      <w:bookmarkEnd w:id="158"/>
    </w:p>
    <w:p>
      <w:pPr>
        <w:bidi w:val="0"/>
        <w:rPr>
          <w:rFonts w:hint="eastAsia"/>
          <w:color w:val="auto"/>
          <w:highlight w:val="none"/>
        </w:rPr>
      </w:pPr>
      <w:r>
        <w:rPr>
          <w:rFonts w:hint="eastAsia"/>
          <w:color w:val="auto"/>
          <w:highlight w:val="none"/>
          <w:lang w:eastAsia="zh-CN"/>
        </w:rPr>
        <w:t>工程实施、运行过程中为减少</w:t>
      </w:r>
      <w:r>
        <w:rPr>
          <w:rFonts w:hint="eastAsia"/>
          <w:color w:val="auto"/>
          <w:highlight w:val="none"/>
        </w:rPr>
        <w:t>对环境的不利影响或恢复、补偿环境效益所采取的保护和补偿措施费用作为反映工程环境影响损失大小的尺度，计算其损失值。在</w:t>
      </w:r>
      <w:r>
        <w:rPr>
          <w:rFonts w:hint="eastAsia"/>
          <w:color w:val="auto"/>
          <w:highlight w:val="none"/>
          <w:lang w:eastAsia="zh-CN"/>
        </w:rPr>
        <w:t>工程</w:t>
      </w:r>
      <w:r>
        <w:rPr>
          <w:rFonts w:hint="eastAsia"/>
          <w:color w:val="auto"/>
          <w:highlight w:val="none"/>
        </w:rPr>
        <w:t>建设所带来的各类损失中，可以货币化体现的主要包括工程永久占地投资、环境保护措施及补偿费用。</w:t>
      </w:r>
    </w:p>
    <w:p>
      <w:pPr>
        <w:bidi w:val="0"/>
        <w:rPr>
          <w:rFonts w:hint="eastAsia"/>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rPr>
        <w:t>陆生生态损失</w:t>
      </w:r>
    </w:p>
    <w:p>
      <w:pPr>
        <w:bidi w:val="0"/>
        <w:rPr>
          <w:rFonts w:hint="eastAsia"/>
          <w:color w:val="auto"/>
          <w:highlight w:val="none"/>
        </w:rPr>
      </w:pPr>
      <w:r>
        <w:rPr>
          <w:rFonts w:hint="eastAsia"/>
          <w:color w:val="auto"/>
          <w:highlight w:val="none"/>
        </w:rPr>
        <w:t>陆生生态系统损失包括对森林生态系统、草地生态系统和农田生态系统产生不利影响带来的损失，可采用生态补偿法分析计算对陆生生态系统不利影响的经济价值，包括对陆生生态的耕地、园地、森林、草地生态系统的永久征收和临时征用的补偿费用</w:t>
      </w:r>
      <w:r>
        <w:rPr>
          <w:rFonts w:hint="eastAsia"/>
          <w:color w:val="auto"/>
          <w:highlight w:val="none"/>
          <w:lang w:eastAsia="zh-CN"/>
        </w:rPr>
        <w:t>，永久征地面积</w:t>
      </w:r>
      <w:r>
        <w:rPr>
          <w:rFonts w:hint="eastAsia"/>
          <w:color w:val="auto"/>
          <w:highlight w:val="none"/>
          <w:lang w:val="en-US" w:eastAsia="zh-CN"/>
        </w:rPr>
        <w:t>194.05</w:t>
      </w:r>
      <w:r>
        <w:rPr>
          <w:rFonts w:hint="eastAsia"/>
          <w:color w:val="auto"/>
          <w:highlight w:val="none"/>
          <w:lang w:eastAsia="zh-CN"/>
        </w:rPr>
        <w:t>亩，临时征地面积</w:t>
      </w:r>
      <w:r>
        <w:rPr>
          <w:rFonts w:hint="eastAsia"/>
          <w:color w:val="auto"/>
          <w:highlight w:val="none"/>
          <w:lang w:val="en-US" w:eastAsia="zh-CN"/>
        </w:rPr>
        <w:t>371.37</w:t>
      </w:r>
      <w:r>
        <w:rPr>
          <w:rFonts w:hint="eastAsia"/>
          <w:color w:val="auto"/>
          <w:highlight w:val="none"/>
          <w:lang w:eastAsia="zh-CN"/>
        </w:rPr>
        <w:t>亩</w:t>
      </w:r>
      <w:r>
        <w:rPr>
          <w:rFonts w:hint="eastAsia"/>
          <w:color w:val="auto"/>
          <w:highlight w:val="none"/>
        </w:rPr>
        <w:t>。采用生态补偿法进行计算，永久征地和临时占地补偿费为</w:t>
      </w:r>
      <w:r>
        <w:rPr>
          <w:rFonts w:hint="eastAsia"/>
          <w:color w:val="auto"/>
          <w:highlight w:val="none"/>
          <w:lang w:val="en-US" w:eastAsia="zh-CN"/>
        </w:rPr>
        <w:t>4114.33</w:t>
      </w:r>
      <w:r>
        <w:rPr>
          <w:rFonts w:hint="eastAsia"/>
          <w:color w:val="auto"/>
          <w:highlight w:val="none"/>
        </w:rPr>
        <w:t>万元。</w:t>
      </w:r>
    </w:p>
    <w:p>
      <w:pPr>
        <w:bidi w:val="0"/>
        <w:rPr>
          <w:rFonts w:hint="eastAsia"/>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水生生态损失</w:t>
      </w:r>
    </w:p>
    <w:p>
      <w:pPr>
        <w:bidi w:val="0"/>
        <w:rPr>
          <w:rFonts w:hint="eastAsia"/>
          <w:color w:val="auto"/>
          <w:highlight w:val="none"/>
        </w:rPr>
      </w:pPr>
      <w:r>
        <w:rPr>
          <w:rFonts w:hint="eastAsia"/>
          <w:color w:val="auto"/>
          <w:highlight w:val="none"/>
        </w:rPr>
        <w:t>水生生态的损失包括水生生态系统、珍稀濒危和特有水生野生动植物等方面的损失。工程对水生生态系统的不利影响包括对水生生态系统结构和功能的不利影响，可采取恢复连通性、栖息地保护等措施减缓对水生生态系统的影响，采用恢复费用法评估工程对水生生态系统不利影响的经济价值。工程采取增殖放流等措施恢复种群数量，减缓对珍稀、濒危、特有水生野生动植物的不利影响，采用恢复费用法来计算对珍稀、濒危、特有水生野生动植物不利影响的经济价值。</w:t>
      </w:r>
    </w:p>
    <w:p>
      <w:pPr>
        <w:bidi w:val="0"/>
        <w:rPr>
          <w:rFonts w:hint="eastAsia"/>
          <w:color w:val="auto"/>
          <w:highlight w:val="none"/>
        </w:rPr>
      </w:pPr>
      <w:r>
        <w:rPr>
          <w:rFonts w:hint="eastAsia"/>
          <w:color w:val="auto"/>
          <w:highlight w:val="none"/>
        </w:rPr>
        <w:t>恢复费用法即采用恢复被破坏的环境或重置相似环境的费用来表示该环境损失的价值，具体应采用修复不利影响的工程或措施的费用来计算。对于本工程，采取了鱼类增殖放流、鱼道、栖息地保护等水生生态保护措施，投资共</w:t>
      </w:r>
      <w:r>
        <w:rPr>
          <w:rFonts w:hint="eastAsia"/>
          <w:color w:val="auto"/>
          <w:highlight w:val="none"/>
          <w:lang w:val="en-US" w:eastAsia="zh-CN"/>
        </w:rPr>
        <w:t>250</w:t>
      </w:r>
      <w:r>
        <w:rPr>
          <w:rFonts w:hint="eastAsia"/>
          <w:color w:val="auto"/>
          <w:highlight w:val="none"/>
        </w:rPr>
        <w:t>万元。因此，本工程水生生态损失核算的经济价值为</w:t>
      </w:r>
      <w:r>
        <w:rPr>
          <w:rFonts w:hint="eastAsia"/>
          <w:color w:val="auto"/>
          <w:highlight w:val="none"/>
          <w:lang w:val="en-US" w:eastAsia="zh-CN"/>
        </w:rPr>
        <w:t>250</w:t>
      </w:r>
      <w:r>
        <w:rPr>
          <w:rFonts w:hint="eastAsia"/>
          <w:color w:val="auto"/>
          <w:highlight w:val="none"/>
        </w:rPr>
        <w:t>万元。</w:t>
      </w:r>
    </w:p>
    <w:p>
      <w:pPr>
        <w:bidi w:val="0"/>
        <w:rPr>
          <w:rFonts w:hint="eastAsia"/>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水环境损失</w:t>
      </w:r>
    </w:p>
    <w:p>
      <w:pPr>
        <w:bidi w:val="0"/>
        <w:rPr>
          <w:rFonts w:hint="eastAsia"/>
          <w:color w:val="auto"/>
          <w:highlight w:val="none"/>
        </w:rPr>
      </w:pPr>
      <w:r>
        <w:rPr>
          <w:rFonts w:hint="eastAsia"/>
          <w:color w:val="auto"/>
          <w:highlight w:val="none"/>
        </w:rPr>
        <w:t>水环境损失包括水文情势、水质等方面。</w:t>
      </w:r>
      <w:r>
        <w:rPr>
          <w:rFonts w:hint="eastAsia"/>
          <w:color w:val="auto"/>
          <w:highlight w:val="none"/>
          <w:lang w:eastAsia="zh-CN"/>
        </w:rPr>
        <w:t>项目建设对水文情势影响较小，</w:t>
      </w:r>
      <w:r>
        <w:rPr>
          <w:rFonts w:hint="eastAsia"/>
          <w:color w:val="auto"/>
          <w:highlight w:val="none"/>
        </w:rPr>
        <w:t>工程对水质的不利影响，可通过施工生产废水和生活污水处理</w:t>
      </w:r>
      <w:r>
        <w:rPr>
          <w:rFonts w:hint="eastAsia"/>
          <w:color w:val="auto"/>
          <w:highlight w:val="none"/>
          <w:lang w:eastAsia="zh-CN"/>
        </w:rPr>
        <w:t>等</w:t>
      </w:r>
      <w:r>
        <w:rPr>
          <w:rFonts w:hint="eastAsia"/>
          <w:color w:val="auto"/>
          <w:highlight w:val="none"/>
        </w:rPr>
        <w:t>措施来减缓，采用防护费用法来计算对水质不利影响的经济价值。</w:t>
      </w:r>
    </w:p>
    <w:p>
      <w:pPr>
        <w:bidi w:val="0"/>
        <w:rPr>
          <w:rFonts w:hint="eastAsia"/>
          <w:color w:val="auto"/>
          <w:highlight w:val="none"/>
        </w:rPr>
      </w:pPr>
      <w:r>
        <w:rPr>
          <w:rFonts w:hint="eastAsia"/>
          <w:color w:val="auto"/>
          <w:highlight w:val="none"/>
        </w:rPr>
        <w:t>恢复费用法即采用恢复被破坏的环境或重置相似环境的费用来表示该环境损失的价值，具体应采用修复不利影响的工程或措施的费用来计算。对于本工程，采取了施工废污水处理等水环境保护措施，投资共</w:t>
      </w:r>
      <w:r>
        <w:rPr>
          <w:rFonts w:hint="eastAsia"/>
          <w:color w:val="auto"/>
          <w:highlight w:val="none"/>
          <w:lang w:val="en-US" w:eastAsia="zh-CN"/>
        </w:rPr>
        <w:t>102</w:t>
      </w:r>
      <w:r>
        <w:rPr>
          <w:rFonts w:hint="eastAsia"/>
          <w:color w:val="auto"/>
          <w:highlight w:val="none"/>
        </w:rPr>
        <w:t>万元。因此，本工程水环境损失核算的经济价值为</w:t>
      </w:r>
      <w:r>
        <w:rPr>
          <w:rFonts w:hint="eastAsia"/>
          <w:color w:val="auto"/>
          <w:highlight w:val="none"/>
          <w:lang w:val="en-US" w:eastAsia="zh-CN"/>
        </w:rPr>
        <w:t>102</w:t>
      </w:r>
      <w:r>
        <w:rPr>
          <w:rFonts w:hint="eastAsia"/>
          <w:color w:val="auto"/>
          <w:highlight w:val="none"/>
        </w:rPr>
        <w:t>万元。</w:t>
      </w:r>
    </w:p>
    <w:p>
      <w:pPr>
        <w:bidi w:val="0"/>
        <w:rPr>
          <w:rFonts w:hint="eastAsia"/>
          <w:color w:val="auto"/>
          <w:highlight w:val="none"/>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w:t>
      </w:r>
      <w:r>
        <w:rPr>
          <w:rFonts w:hint="eastAsia"/>
          <w:color w:val="auto"/>
          <w:highlight w:val="none"/>
        </w:rPr>
        <w:t>大气环境和声环境损失</w:t>
      </w:r>
    </w:p>
    <w:p>
      <w:pPr>
        <w:bidi w:val="0"/>
        <w:rPr>
          <w:rFonts w:hint="eastAsia"/>
          <w:color w:val="auto"/>
          <w:highlight w:val="none"/>
        </w:rPr>
      </w:pPr>
      <w:r>
        <w:rPr>
          <w:rFonts w:hint="eastAsia"/>
          <w:color w:val="auto"/>
          <w:highlight w:val="none"/>
        </w:rPr>
        <w:t>工程施工产生的粉尘、扬尘和机械与车辆燃油、生活燃煤产生的污染物对环境空气质量的不利影响，可通过采用低尘施工技术、安装尾气净化和油烟废气处理装置、洒水降尘等措施来减缓，采用防护费用法来计算对大气环境不利影响的经济价值。工程施工机械运行、砂石料加工、爆破、机动车辆等产生的噪声对声环境及其敏感对象的不利影响，通过采用低噪设备和工艺、设置声屏障等隔声降噪设施等措施来减缓，采用防护费用法来计算对声环境及其敏感对象不利影响的经济价值。</w:t>
      </w:r>
    </w:p>
    <w:p>
      <w:pPr>
        <w:bidi w:val="0"/>
        <w:rPr>
          <w:color w:val="auto"/>
          <w:highlight w:val="none"/>
        </w:rPr>
      </w:pPr>
      <w:r>
        <w:rPr>
          <w:rFonts w:hint="eastAsia"/>
          <w:color w:val="auto"/>
          <w:highlight w:val="none"/>
        </w:rPr>
        <w:t>防护费用法即采用避免不利影响发生的费用来表示该环境损失的价值，具体应采用防范环境不利影响的工程或措施费用来计算。对于本工程，采取了洒水降尘、道路清扫、混凝土系统粉尘削减控制、燃油废气控制等大气环境保护措施，采取了混凝土系统噪声控制、施工交通噪声控制等声环境保护措施，投资共</w:t>
      </w:r>
      <w:r>
        <w:rPr>
          <w:rFonts w:hint="eastAsia"/>
          <w:color w:val="auto"/>
          <w:highlight w:val="none"/>
          <w:lang w:val="en-US" w:eastAsia="zh-CN"/>
        </w:rPr>
        <w:t>73</w:t>
      </w:r>
      <w:r>
        <w:rPr>
          <w:rFonts w:hint="eastAsia"/>
          <w:color w:val="auto"/>
          <w:highlight w:val="none"/>
        </w:rPr>
        <w:t>万元。因此，本工程大气环境和声环境损失核算的经济价值为</w:t>
      </w:r>
      <w:r>
        <w:rPr>
          <w:rFonts w:hint="eastAsia"/>
          <w:color w:val="auto"/>
          <w:highlight w:val="none"/>
          <w:lang w:val="en-US" w:eastAsia="zh-CN"/>
        </w:rPr>
        <w:t>73</w:t>
      </w:r>
      <w:r>
        <w:rPr>
          <w:rFonts w:hint="eastAsia"/>
          <w:color w:val="auto"/>
          <w:highlight w:val="none"/>
        </w:rPr>
        <w:t>万元。</w:t>
      </w:r>
    </w:p>
    <w:p>
      <w:pPr>
        <w:pStyle w:val="4"/>
        <w:bidi w:val="0"/>
        <w:rPr>
          <w:color w:val="auto"/>
          <w:highlight w:val="none"/>
        </w:rPr>
      </w:pPr>
      <w:bookmarkStart w:id="159" w:name="_Toc2093"/>
      <w:r>
        <w:rPr>
          <w:rFonts w:hint="eastAsia"/>
          <w:color w:val="auto"/>
          <w:highlight w:val="none"/>
          <w:lang w:eastAsia="zh-CN"/>
        </w:rPr>
        <w:t>环境经济损益分析</w:t>
      </w:r>
      <w:bookmarkEnd w:id="159"/>
    </w:p>
    <w:p>
      <w:pPr>
        <w:ind w:firstLine="520"/>
        <w:rPr>
          <w:color w:val="auto"/>
          <w:highlight w:val="none"/>
        </w:rPr>
      </w:pPr>
      <w:r>
        <w:rPr>
          <w:rFonts w:hint="eastAsia"/>
          <w:color w:val="auto"/>
          <w:szCs w:val="24"/>
          <w:highlight w:val="none"/>
          <w:lang w:eastAsia="zh-CN"/>
        </w:rPr>
        <w:t>项目</w:t>
      </w:r>
      <w:r>
        <w:rPr>
          <w:rFonts w:hint="eastAsia"/>
          <w:color w:val="auto"/>
          <w:szCs w:val="24"/>
          <w:highlight w:val="none"/>
        </w:rPr>
        <w:t>除工程永久征地损失为不可逆环境经济损失</w:t>
      </w:r>
      <w:r>
        <w:rPr>
          <w:rFonts w:hint="eastAsia"/>
          <w:color w:val="auto"/>
          <w:szCs w:val="24"/>
          <w:highlight w:val="none"/>
          <w:lang w:eastAsia="zh-CN"/>
        </w:rPr>
        <w:t>外</w:t>
      </w:r>
      <w:r>
        <w:rPr>
          <w:rFonts w:hint="eastAsia"/>
          <w:color w:val="auto"/>
          <w:szCs w:val="24"/>
          <w:highlight w:val="none"/>
        </w:rPr>
        <w:t>，</w:t>
      </w:r>
      <w:r>
        <w:rPr>
          <w:rFonts w:hint="eastAsia"/>
          <w:color w:val="auto"/>
          <w:szCs w:val="24"/>
          <w:highlight w:val="none"/>
          <w:shd w:val="clear" w:fill="FFFFFF"/>
          <w:lang w:eastAsia="zh-CN"/>
        </w:rPr>
        <w:t>其他环保</w:t>
      </w:r>
      <w:r>
        <w:rPr>
          <w:rFonts w:hint="eastAsia"/>
          <w:color w:val="auto"/>
          <w:szCs w:val="24"/>
          <w:highlight w:val="none"/>
        </w:rPr>
        <w:t>投资均为一次性或短期的环境经济损失，工程经济效益和社会效益明显，</w:t>
      </w:r>
      <w:r>
        <w:rPr>
          <w:rFonts w:hint="eastAsia"/>
          <w:color w:val="auto"/>
          <w:szCs w:val="24"/>
          <w:highlight w:val="none"/>
          <w:lang w:eastAsia="zh-CN"/>
        </w:rPr>
        <w:t>项目建成后航运条件改善对</w:t>
      </w:r>
      <w:r>
        <w:rPr>
          <w:rFonts w:hint="eastAsia"/>
          <w:color w:val="auto"/>
          <w:szCs w:val="24"/>
          <w:highlight w:val="none"/>
        </w:rPr>
        <w:t>经济收益将是长期的，对提高当地人民生活水平、改善生态环境都具有重要意义</w:t>
      </w:r>
      <w:r>
        <w:rPr>
          <w:rFonts w:hint="eastAsia"/>
          <w:color w:val="auto"/>
          <w:szCs w:val="24"/>
          <w:highlight w:val="none"/>
          <w:lang w:eastAsia="zh-CN"/>
        </w:rPr>
        <w:t>，同时鱼道建设对涪江流域水生生态改善具有重要作用</w:t>
      </w:r>
      <w:r>
        <w:rPr>
          <w:rFonts w:hint="eastAsia"/>
          <w:color w:val="auto"/>
          <w:szCs w:val="24"/>
          <w:highlight w:val="none"/>
        </w:rPr>
        <w:t>。</w:t>
      </w:r>
      <w:r>
        <w:rPr>
          <w:color w:val="auto"/>
          <w:szCs w:val="24"/>
          <w:highlight w:val="none"/>
        </w:rPr>
        <w:t>经对工程带来的效益和损失量化计算，2035年，</w:t>
      </w:r>
      <w:r>
        <w:rPr>
          <w:rFonts w:hint="eastAsia"/>
          <w:color w:val="auto"/>
          <w:highlight w:val="none"/>
          <w:lang w:eastAsia="zh-CN"/>
        </w:rPr>
        <w:t>项目运输费用节约带来的效益和船舶大型化运输成本降低带来的效益合计约12415万元</w:t>
      </w:r>
      <w:r>
        <w:rPr>
          <w:color w:val="auto"/>
          <w:szCs w:val="24"/>
          <w:highlight w:val="none"/>
        </w:rPr>
        <w:t>，工程带来的总环境损失</w:t>
      </w:r>
      <w:r>
        <w:rPr>
          <w:rFonts w:hint="eastAsia"/>
          <w:color w:val="auto"/>
          <w:szCs w:val="24"/>
          <w:highlight w:val="none"/>
          <w:lang w:val="en-US" w:eastAsia="zh-CN"/>
        </w:rPr>
        <w:t>4619.33万</w:t>
      </w:r>
      <w:r>
        <w:rPr>
          <w:color w:val="auto"/>
          <w:szCs w:val="24"/>
          <w:highlight w:val="none"/>
        </w:rPr>
        <w:t>元，由于环境损失是一次性损失，而工程效益是持续过程，而且本工程具有公益性特点，其社会效益和生态效益难以量化。</w:t>
      </w:r>
    </w:p>
    <w:p>
      <w:pPr>
        <w:ind w:firstLine="520"/>
        <w:rPr>
          <w:color w:val="auto"/>
          <w:highlight w:val="none"/>
        </w:rPr>
      </w:pPr>
      <w:r>
        <w:rPr>
          <w:color w:val="auto"/>
          <w:highlight w:val="none"/>
        </w:rPr>
        <w:t>由此可见，本工程实施后所带来的经济效益、社会效益和环境效益，比本工程施工中所造成的直接环境、经济损失要大得多。因此，本工程实施后所产生的经济效益、社会效益和环境效益是显著的。</w:t>
      </w:r>
    </w:p>
    <w:p>
      <w:pPr>
        <w:ind w:firstLine="520"/>
        <w:rPr>
          <w:color w:val="auto"/>
          <w:highlight w:val="none"/>
        </w:rPr>
        <w:sectPr>
          <w:footerReference r:id="rId13" w:type="even"/>
          <w:pgSz w:w="11907" w:h="16840"/>
          <w:pgMar w:top="1701" w:right="1588" w:bottom="1588" w:left="1588" w:header="1304" w:footer="1247" w:gutter="0"/>
          <w:cols w:space="425" w:num="1"/>
          <w:docGrid w:linePitch="312" w:charSpace="0"/>
        </w:sectPr>
      </w:pPr>
    </w:p>
    <w:p>
      <w:pPr>
        <w:spacing w:line="240" w:lineRule="auto"/>
        <w:ind w:firstLine="520"/>
        <w:rPr>
          <w:color w:val="auto"/>
          <w:highlight w:val="none"/>
        </w:rPr>
      </w:pPr>
    </w:p>
    <w:bookmarkEnd w:id="112"/>
    <w:p>
      <w:pPr>
        <w:pStyle w:val="3"/>
        <w:ind w:firstLineChars="0"/>
        <w:rPr>
          <w:color w:val="auto"/>
          <w:highlight w:val="none"/>
        </w:rPr>
      </w:pPr>
      <w:bookmarkStart w:id="160" w:name="_Toc12700"/>
      <w:r>
        <w:rPr>
          <w:rFonts w:hint="eastAsia"/>
          <w:color w:val="auto"/>
          <w:highlight w:val="none"/>
        </w:rPr>
        <w:t>环境管理与</w:t>
      </w:r>
      <w:r>
        <w:rPr>
          <w:color w:val="auto"/>
          <w:highlight w:val="none"/>
        </w:rPr>
        <w:t>监测计划</w:t>
      </w:r>
      <w:bookmarkEnd w:id="160"/>
    </w:p>
    <w:p>
      <w:pPr>
        <w:adjustRightInd w:val="0"/>
        <w:snapToGrid w:val="0"/>
        <w:spacing w:line="240" w:lineRule="auto"/>
        <w:ind w:firstLine="520"/>
        <w:jc w:val="center"/>
        <w:rPr>
          <w:snapToGrid w:val="0"/>
          <w:color w:val="auto"/>
          <w:kern w:val="0"/>
          <w:highlight w:val="none"/>
        </w:rPr>
      </w:pPr>
    </w:p>
    <w:p>
      <w:pPr>
        <w:pStyle w:val="4"/>
        <w:rPr>
          <w:rFonts w:ascii="Times New Roman" w:hAnsi="Times New Roman"/>
          <w:color w:val="auto"/>
          <w:highlight w:val="none"/>
        </w:rPr>
      </w:pPr>
      <w:bookmarkStart w:id="161" w:name="_Toc404792266"/>
      <w:bookmarkStart w:id="162" w:name="_Toc389117857"/>
      <w:bookmarkStart w:id="163" w:name="_Toc17180"/>
      <w:bookmarkStart w:id="164" w:name="_Toc267482284"/>
      <w:bookmarkStart w:id="165" w:name="_Toc492908913"/>
      <w:bookmarkStart w:id="166" w:name="_Toc83908388"/>
      <w:r>
        <w:rPr>
          <w:rFonts w:ascii="Times New Roman" w:hAnsi="Times New Roman"/>
          <w:color w:val="auto"/>
          <w:highlight w:val="none"/>
        </w:rPr>
        <w:t>环境管理</w:t>
      </w:r>
      <w:bookmarkEnd w:id="161"/>
      <w:bookmarkEnd w:id="162"/>
      <w:bookmarkEnd w:id="163"/>
      <w:bookmarkEnd w:id="164"/>
      <w:bookmarkEnd w:id="165"/>
      <w:bookmarkEnd w:id="166"/>
    </w:p>
    <w:p>
      <w:pPr>
        <w:pStyle w:val="5"/>
        <w:ind w:firstLine="522"/>
        <w:jc w:val="left"/>
        <w:rPr>
          <w:color w:val="auto"/>
          <w:highlight w:val="none"/>
        </w:rPr>
      </w:pPr>
      <w:r>
        <w:rPr>
          <w:rFonts w:hint="eastAsia"/>
          <w:color w:val="auto"/>
          <w:highlight w:val="none"/>
          <w:lang w:eastAsia="zh-CN"/>
        </w:rPr>
        <w:t>环境管理目的</w:t>
      </w:r>
    </w:p>
    <w:p>
      <w:pPr>
        <w:rPr>
          <w:rFonts w:hint="eastAsia"/>
          <w:color w:val="auto"/>
          <w:highlight w:val="none"/>
        </w:rPr>
      </w:pPr>
      <w:r>
        <w:rPr>
          <w:rFonts w:hint="eastAsia"/>
          <w:color w:val="auto"/>
          <w:highlight w:val="none"/>
        </w:rPr>
        <w:t>环境管理是工程管理的一部分，是建设项目环境保护工作有效实施的重要环节。建设项目环境管理的目的在于保证工程各项环境保护措施的顺利实施，使工程兴建对环境的不利影响得以减免，保证工程区环保工作的顺利进行，维护景观生态稳定性，促进工程地区社会、经济、生态的协调良性发展。</w:t>
      </w:r>
    </w:p>
    <w:p>
      <w:pPr>
        <w:pStyle w:val="5"/>
        <w:bidi w:val="0"/>
        <w:rPr>
          <w:rFonts w:hint="eastAsia"/>
          <w:color w:val="auto"/>
          <w:highlight w:val="none"/>
        </w:rPr>
      </w:pPr>
      <w:r>
        <w:rPr>
          <w:rFonts w:hint="eastAsia"/>
          <w:color w:val="auto"/>
          <w:highlight w:val="none"/>
          <w:lang w:eastAsia="zh-CN"/>
        </w:rPr>
        <w:t>环境管理体系</w:t>
      </w:r>
    </w:p>
    <w:p>
      <w:pPr>
        <w:bidi w:val="0"/>
        <w:rPr>
          <w:rFonts w:hint="eastAsia" w:eastAsia="宋体"/>
          <w:color w:val="auto"/>
          <w:highlight w:val="none"/>
          <w:lang w:eastAsia="zh-CN"/>
        </w:rPr>
      </w:pPr>
      <w:r>
        <w:rPr>
          <w:rFonts w:hint="eastAsia"/>
          <w:color w:val="auto"/>
          <w:highlight w:val="none"/>
        </w:rPr>
        <w:t>涪江干流渭沱电厂船闸扩能升级改造工程环境管理体系由</w:t>
      </w:r>
      <w:r>
        <w:rPr>
          <w:rFonts w:hint="eastAsia"/>
          <w:color w:val="auto"/>
          <w:highlight w:val="none"/>
          <w:lang w:eastAsia="zh-CN"/>
        </w:rPr>
        <w:t>建设单位、施工单位</w:t>
      </w:r>
      <w:r>
        <w:rPr>
          <w:rFonts w:hint="eastAsia"/>
          <w:color w:val="auto"/>
          <w:highlight w:val="none"/>
        </w:rPr>
        <w:t>、</w:t>
      </w:r>
      <w:r>
        <w:rPr>
          <w:rFonts w:hint="eastAsia"/>
          <w:color w:val="auto"/>
          <w:highlight w:val="none"/>
          <w:lang w:eastAsia="zh-CN"/>
        </w:rPr>
        <w:t>监理单位共同</w:t>
      </w:r>
      <w:r>
        <w:rPr>
          <w:rFonts w:hint="eastAsia"/>
          <w:color w:val="auto"/>
          <w:highlight w:val="none"/>
        </w:rPr>
        <w:t>组成，并由政府职能部门参与管理。为了使工程环境保护措施得以切实有效</w:t>
      </w:r>
      <w:r>
        <w:rPr>
          <w:rFonts w:hint="eastAsia"/>
          <w:color w:val="auto"/>
          <w:highlight w:val="none"/>
          <w:shd w:val="clear" w:fill="FFFFFF"/>
          <w:lang w:eastAsia="zh-CN"/>
        </w:rPr>
        <w:t>地</w:t>
      </w:r>
      <w:r>
        <w:rPr>
          <w:rFonts w:hint="eastAsia"/>
          <w:color w:val="auto"/>
          <w:highlight w:val="none"/>
        </w:rPr>
        <w:t>实施，达到工程建设与环境保护协调发展，</w:t>
      </w:r>
      <w:r>
        <w:rPr>
          <w:rFonts w:hint="eastAsia"/>
          <w:color w:val="auto"/>
          <w:highlight w:val="none"/>
          <w:lang w:eastAsia="zh-CN"/>
        </w:rPr>
        <w:t>各单位应</w:t>
      </w:r>
      <w:r>
        <w:rPr>
          <w:rFonts w:hint="eastAsia"/>
          <w:color w:val="auto"/>
          <w:highlight w:val="none"/>
        </w:rPr>
        <w:t>配置环保专职人员1~2人，专门负责本项目的环境保护管理工作，以确保工程建设环境保护规划总体目标的实现。工程建成运行后，运行管理单位应设</w:t>
      </w:r>
      <w:r>
        <w:rPr>
          <w:rFonts w:hint="eastAsia"/>
          <w:color w:val="auto"/>
          <w:highlight w:val="none"/>
          <w:lang w:eastAsia="zh-CN"/>
        </w:rPr>
        <w:t>环境管理</w:t>
      </w:r>
      <w:r>
        <w:rPr>
          <w:rFonts w:hint="eastAsia"/>
          <w:color w:val="auto"/>
          <w:highlight w:val="none"/>
        </w:rPr>
        <w:t>专职人员，具体负责和落实工程建成运行后的环境保护管理工作</w:t>
      </w:r>
      <w:r>
        <w:rPr>
          <w:rFonts w:hint="eastAsia"/>
          <w:color w:val="auto"/>
          <w:highlight w:val="none"/>
          <w:lang w:eastAsia="zh-CN"/>
        </w:rPr>
        <w:t>。</w:t>
      </w:r>
    </w:p>
    <w:p>
      <w:pPr>
        <w:pStyle w:val="5"/>
        <w:ind w:firstLine="522"/>
        <w:jc w:val="left"/>
        <w:rPr>
          <w:color w:val="auto"/>
          <w:highlight w:val="none"/>
        </w:rPr>
      </w:pPr>
      <w:r>
        <w:rPr>
          <w:color w:val="auto"/>
          <w:highlight w:val="none"/>
        </w:rPr>
        <w:t>环境管理</w:t>
      </w:r>
      <w:r>
        <w:rPr>
          <w:rFonts w:hint="eastAsia"/>
          <w:color w:val="auto"/>
          <w:highlight w:val="none"/>
          <w:lang w:eastAsia="zh-CN"/>
        </w:rPr>
        <w:t>目标</w:t>
      </w:r>
    </w:p>
    <w:p>
      <w:pPr>
        <w:snapToGrid w:val="0"/>
        <w:ind w:firstLine="520"/>
        <w:rPr>
          <w:rFonts w:hint="eastAsia"/>
          <w:color w:val="auto"/>
          <w:szCs w:val="26"/>
          <w:highlight w:val="none"/>
        </w:rPr>
      </w:pPr>
      <w:r>
        <w:rPr>
          <w:rFonts w:hint="eastAsia"/>
          <w:color w:val="auto"/>
          <w:szCs w:val="26"/>
          <w:highlight w:val="none"/>
        </w:rPr>
        <w:t>（1）保证各项环境保护措施按照环境影响报告书及其批复、环境保护设计的要求实施，使各项环境保护设施正常、有效运行。</w:t>
      </w:r>
    </w:p>
    <w:p>
      <w:pPr>
        <w:snapToGrid w:val="0"/>
        <w:ind w:firstLine="520"/>
        <w:rPr>
          <w:rFonts w:hint="eastAsia"/>
          <w:color w:val="auto"/>
          <w:szCs w:val="26"/>
          <w:highlight w:val="none"/>
        </w:rPr>
      </w:pPr>
      <w:r>
        <w:rPr>
          <w:rFonts w:hint="eastAsia"/>
          <w:color w:val="auto"/>
          <w:szCs w:val="26"/>
          <w:highlight w:val="none"/>
        </w:rPr>
        <w:t>（2）预防污染事故发生，保证各类污染物合理回用或达标排放，使工程区及其附近的水环境、环境空气和声环境质量达到相应的环境功能要求。</w:t>
      </w:r>
    </w:p>
    <w:p>
      <w:pPr>
        <w:snapToGrid w:val="0"/>
        <w:ind w:firstLine="520"/>
        <w:rPr>
          <w:rFonts w:hint="eastAsia"/>
          <w:color w:val="auto"/>
          <w:szCs w:val="26"/>
          <w:highlight w:val="none"/>
        </w:rPr>
      </w:pPr>
      <w:r>
        <w:rPr>
          <w:rFonts w:hint="eastAsia"/>
          <w:color w:val="auto"/>
          <w:szCs w:val="26"/>
          <w:highlight w:val="none"/>
        </w:rPr>
        <w:t>（3）生态破坏得到有效控制，并采取生态保护措施恢复生态环境质量。同时严格按照主管部门要求，将工程建设对</w:t>
      </w:r>
      <w:r>
        <w:rPr>
          <w:rFonts w:hint="eastAsia"/>
          <w:color w:val="auto"/>
          <w:szCs w:val="26"/>
          <w:highlight w:val="none"/>
          <w:lang w:eastAsia="zh-CN"/>
        </w:rPr>
        <w:t>生态环境</w:t>
      </w:r>
      <w:r>
        <w:rPr>
          <w:rFonts w:hint="eastAsia"/>
          <w:color w:val="auto"/>
          <w:szCs w:val="26"/>
          <w:highlight w:val="none"/>
        </w:rPr>
        <w:t>不利影响降至最低。</w:t>
      </w:r>
    </w:p>
    <w:p>
      <w:pPr>
        <w:snapToGrid w:val="0"/>
        <w:ind w:firstLine="520"/>
        <w:rPr>
          <w:color w:val="auto"/>
          <w:szCs w:val="26"/>
          <w:highlight w:val="none"/>
        </w:rPr>
      </w:pPr>
      <w:r>
        <w:rPr>
          <w:rFonts w:hint="eastAsia"/>
          <w:color w:val="auto"/>
          <w:szCs w:val="26"/>
          <w:highlight w:val="none"/>
        </w:rPr>
        <w:t>（4）明确工程建设与生态环境保护的关系，保障工程建设的顺利进行，促进工程区环境美化。</w:t>
      </w:r>
    </w:p>
    <w:p>
      <w:pPr>
        <w:pStyle w:val="5"/>
        <w:ind w:firstLine="522"/>
        <w:jc w:val="left"/>
        <w:rPr>
          <w:color w:val="auto"/>
          <w:highlight w:val="none"/>
        </w:rPr>
      </w:pPr>
      <w:r>
        <w:rPr>
          <w:rFonts w:hint="eastAsia"/>
          <w:color w:val="auto"/>
          <w:highlight w:val="none"/>
          <w:lang w:eastAsia="zh-CN"/>
        </w:rPr>
        <w:t>环境管理内容</w:t>
      </w:r>
    </w:p>
    <w:p>
      <w:pPr>
        <w:rPr>
          <w:color w:val="auto"/>
          <w:highlight w:val="none"/>
        </w:rPr>
      </w:pPr>
      <w:r>
        <w:rPr>
          <w:rFonts w:hint="eastAsia"/>
          <w:color w:val="auto"/>
          <w:highlight w:val="none"/>
        </w:rPr>
        <w:t>为实现工程经济、社会、生态效益的协调发展，落实各项环保措施，结合工程特点及环境现状，筹建期、施工期和运行期的环境管理主要内容</w:t>
      </w:r>
      <w:r>
        <w:rPr>
          <w:rFonts w:hint="eastAsia"/>
          <w:color w:val="auto"/>
          <w:highlight w:val="none"/>
          <w:lang w:eastAsia="zh-CN"/>
        </w:rPr>
        <w:t>如下</w:t>
      </w:r>
      <w:r>
        <w:rPr>
          <w:rFonts w:hint="eastAsia"/>
          <w:color w:val="auto"/>
          <w:highlight w:val="none"/>
        </w:rPr>
        <w:t>：</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）筹建期环境管理</w:t>
      </w:r>
    </w:p>
    <w:p>
      <w:pPr>
        <w:bidi w:val="0"/>
        <w:rPr>
          <w:rFonts w:hint="eastAsia"/>
          <w:color w:val="auto"/>
          <w:highlight w:val="none"/>
        </w:rPr>
      </w:pPr>
      <w:r>
        <w:rPr>
          <w:rFonts w:hint="eastAsia"/>
          <w:color w:val="auto"/>
          <w:highlight w:val="none"/>
          <w:lang w:eastAsia="zh-CN"/>
        </w:rPr>
        <w:fldChar w:fldCharType="begin"/>
      </w:r>
      <w:r>
        <w:rPr>
          <w:rFonts w:hint="eastAsia"/>
          <w:color w:val="auto"/>
          <w:highlight w:val="none"/>
          <w:lang w:eastAsia="zh-CN"/>
        </w:rPr>
        <w:instrText xml:space="preserve"> = 1 \* GB3 \* MERGEFORMAT </w:instrText>
      </w:r>
      <w:r>
        <w:rPr>
          <w:rFonts w:hint="eastAsia"/>
          <w:color w:val="auto"/>
          <w:highlight w:val="none"/>
          <w:lang w:eastAsia="zh-CN"/>
        </w:rPr>
        <w:fldChar w:fldCharType="separate"/>
      </w:r>
      <w:r>
        <w:rPr>
          <w:color w:val="auto"/>
          <w:highlight w:val="none"/>
        </w:rPr>
        <w:t>①</w:t>
      </w:r>
      <w:r>
        <w:rPr>
          <w:rFonts w:hint="eastAsia"/>
          <w:color w:val="auto"/>
          <w:highlight w:val="none"/>
          <w:lang w:eastAsia="zh-CN"/>
        </w:rPr>
        <w:fldChar w:fldCharType="end"/>
      </w:r>
      <w:r>
        <w:rPr>
          <w:rFonts w:hint="eastAsia"/>
          <w:color w:val="auto"/>
          <w:highlight w:val="none"/>
        </w:rPr>
        <w:t>审核环境影响评价成果，并确保</w:t>
      </w:r>
      <w:r>
        <w:rPr>
          <w:rFonts w:hint="eastAsia"/>
          <w:color w:val="auto"/>
          <w:highlight w:val="none"/>
          <w:lang w:eastAsia="zh-CN"/>
        </w:rPr>
        <w:t>环评报告文件</w:t>
      </w:r>
      <w:r>
        <w:rPr>
          <w:rFonts w:hint="eastAsia"/>
          <w:color w:val="auto"/>
          <w:highlight w:val="none"/>
        </w:rPr>
        <w:t>中有关环保措施纳入工程设计文件。</w:t>
      </w:r>
    </w:p>
    <w:p>
      <w:pPr>
        <w:bidi w:val="0"/>
        <w:rPr>
          <w:rFonts w:hint="eastAsia"/>
          <w:color w:val="auto"/>
          <w:highlight w:val="none"/>
        </w:rPr>
      </w:pPr>
      <w:r>
        <w:rPr>
          <w:rFonts w:hint="eastAsia"/>
          <w:color w:val="auto"/>
          <w:highlight w:val="none"/>
          <w:lang w:eastAsia="zh-CN"/>
        </w:rPr>
        <w:fldChar w:fldCharType="begin"/>
      </w:r>
      <w:r>
        <w:rPr>
          <w:rFonts w:hint="eastAsia"/>
          <w:color w:val="auto"/>
          <w:highlight w:val="none"/>
          <w:lang w:eastAsia="zh-CN"/>
        </w:rPr>
        <w:instrText xml:space="preserve"> = 2 \* GB3 \* MERGEFORMAT </w:instrText>
      </w:r>
      <w:r>
        <w:rPr>
          <w:rFonts w:hint="eastAsia"/>
          <w:color w:val="auto"/>
          <w:highlight w:val="none"/>
          <w:lang w:eastAsia="zh-CN"/>
        </w:rPr>
        <w:fldChar w:fldCharType="separate"/>
      </w:r>
      <w:r>
        <w:rPr>
          <w:color w:val="auto"/>
          <w:highlight w:val="none"/>
        </w:rPr>
        <w:t>②</w:t>
      </w:r>
      <w:r>
        <w:rPr>
          <w:rFonts w:hint="eastAsia"/>
          <w:color w:val="auto"/>
          <w:highlight w:val="none"/>
          <w:lang w:eastAsia="zh-CN"/>
        </w:rPr>
        <w:fldChar w:fldCharType="end"/>
      </w:r>
      <w:r>
        <w:rPr>
          <w:rFonts w:hint="eastAsia"/>
          <w:color w:val="auto"/>
          <w:highlight w:val="none"/>
        </w:rPr>
        <w:t>确保环境保护条款列入招标文件及合同文件。</w:t>
      </w:r>
    </w:p>
    <w:p>
      <w:pPr>
        <w:bidi w:val="0"/>
        <w:rPr>
          <w:rFonts w:hint="eastAsia"/>
          <w:color w:val="auto"/>
          <w:highlight w:val="none"/>
        </w:rPr>
      </w:pPr>
      <w:r>
        <w:rPr>
          <w:rFonts w:hint="eastAsia"/>
          <w:color w:val="auto"/>
          <w:highlight w:val="none"/>
          <w:lang w:eastAsia="zh-CN"/>
        </w:rPr>
        <w:fldChar w:fldCharType="begin"/>
      </w:r>
      <w:r>
        <w:rPr>
          <w:rFonts w:hint="eastAsia"/>
          <w:color w:val="auto"/>
          <w:highlight w:val="none"/>
          <w:lang w:eastAsia="zh-CN"/>
        </w:rPr>
        <w:instrText xml:space="preserve"> = 3 \* GB3 \* MERGEFORMAT </w:instrText>
      </w:r>
      <w:r>
        <w:rPr>
          <w:rFonts w:hint="eastAsia"/>
          <w:color w:val="auto"/>
          <w:highlight w:val="none"/>
          <w:lang w:eastAsia="zh-CN"/>
        </w:rPr>
        <w:fldChar w:fldCharType="separate"/>
      </w:r>
      <w:r>
        <w:rPr>
          <w:color w:val="auto"/>
          <w:highlight w:val="none"/>
        </w:rPr>
        <w:t>③</w:t>
      </w:r>
      <w:r>
        <w:rPr>
          <w:rFonts w:hint="eastAsia"/>
          <w:color w:val="auto"/>
          <w:highlight w:val="none"/>
          <w:lang w:eastAsia="zh-CN"/>
        </w:rPr>
        <w:fldChar w:fldCharType="end"/>
      </w:r>
      <w:r>
        <w:rPr>
          <w:rFonts w:hint="eastAsia"/>
          <w:color w:val="auto"/>
          <w:highlight w:val="none"/>
        </w:rPr>
        <w:t>筹建环境管理机构，并对环境管理人员进行培训。</w:t>
      </w:r>
    </w:p>
    <w:p>
      <w:pPr>
        <w:bidi w:val="0"/>
        <w:rPr>
          <w:color w:val="auto"/>
          <w:highlight w:val="none"/>
        </w:rPr>
      </w:pPr>
      <w:r>
        <w:rPr>
          <w:rFonts w:hint="eastAsia"/>
          <w:color w:val="auto"/>
          <w:highlight w:val="none"/>
          <w:lang w:eastAsia="zh-CN"/>
        </w:rPr>
        <w:fldChar w:fldCharType="begin"/>
      </w:r>
      <w:r>
        <w:rPr>
          <w:rFonts w:hint="eastAsia"/>
          <w:color w:val="auto"/>
          <w:highlight w:val="none"/>
          <w:lang w:eastAsia="zh-CN"/>
        </w:rPr>
        <w:instrText xml:space="preserve"> = 4 \* GB3 \* MERGEFORMAT </w:instrText>
      </w:r>
      <w:r>
        <w:rPr>
          <w:rFonts w:hint="eastAsia"/>
          <w:color w:val="auto"/>
          <w:highlight w:val="none"/>
          <w:lang w:eastAsia="zh-CN"/>
        </w:rPr>
        <w:fldChar w:fldCharType="separate"/>
      </w:r>
      <w:r>
        <w:rPr>
          <w:color w:val="auto"/>
          <w:highlight w:val="none"/>
        </w:rPr>
        <w:t>④</w:t>
      </w:r>
      <w:r>
        <w:rPr>
          <w:rFonts w:hint="eastAsia"/>
          <w:color w:val="auto"/>
          <w:highlight w:val="none"/>
          <w:lang w:eastAsia="zh-CN"/>
        </w:rPr>
        <w:fldChar w:fldCharType="end"/>
      </w:r>
      <w:r>
        <w:rPr>
          <w:rFonts w:hint="eastAsia"/>
          <w:color w:val="auto"/>
          <w:highlight w:val="none"/>
        </w:rPr>
        <w:t>根据工程特点，制定出完善的工程环境保护规章制度与管理方法，编制工程影响区环境保护实施规划。</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施工期</w:t>
      </w:r>
      <w:r>
        <w:rPr>
          <w:color w:val="auto"/>
          <w:highlight w:val="none"/>
        </w:rPr>
        <w:t>环境管理</w:t>
      </w:r>
    </w:p>
    <w:p>
      <w:pPr>
        <w:snapToGrid w:val="0"/>
        <w:ind w:firstLine="520"/>
        <w:rPr>
          <w:color w:val="auto"/>
          <w:szCs w:val="26"/>
          <w:highlight w:val="none"/>
        </w:rPr>
      </w:pPr>
      <w:r>
        <w:rPr>
          <w:rFonts w:hint="eastAsia"/>
          <w:color w:val="auto"/>
          <w:szCs w:val="26"/>
          <w:highlight w:val="none"/>
        </w:rPr>
        <w:t>本项目建设施工期对生态环境的影响较大，</w:t>
      </w:r>
      <w:r>
        <w:rPr>
          <w:rFonts w:hint="eastAsia"/>
          <w:color w:val="auto"/>
          <w:szCs w:val="26"/>
          <w:highlight w:val="none"/>
          <w:shd w:val="clear" w:fill="FFFFFF"/>
          <w:lang w:eastAsia="zh-CN"/>
        </w:rPr>
        <w:t>为最大限度地</w:t>
      </w:r>
      <w:r>
        <w:rPr>
          <w:rFonts w:hint="eastAsia"/>
          <w:color w:val="auto"/>
          <w:szCs w:val="26"/>
          <w:highlight w:val="none"/>
        </w:rPr>
        <w:t>减少施工对自然生态环境的破坏，必须制定严格的管理体制，严格执行各项管理措施，在施工中应在满足施工人员健康、确保施工安全进行的前提下，通过环境管理把施工期对环境的影响降到最低。</w:t>
      </w:r>
      <w:r>
        <w:rPr>
          <w:rFonts w:hint="eastAsia"/>
          <w:color w:val="auto"/>
          <w:szCs w:val="26"/>
          <w:highlight w:val="none"/>
          <w:lang w:eastAsia="zh-CN"/>
        </w:rPr>
        <w:t>施工期环境管理主要内容如下</w:t>
      </w:r>
      <w:r>
        <w:rPr>
          <w:color w:val="auto"/>
          <w:szCs w:val="26"/>
          <w:highlight w:val="none"/>
        </w:rPr>
        <w:t>：</w:t>
      </w:r>
    </w:p>
    <w:p>
      <w:pPr>
        <w:snapToGrid w:val="0"/>
        <w:ind w:firstLine="520"/>
        <w:rPr>
          <w:rFonts w:hint="eastAsia"/>
          <w:bCs/>
          <w:color w:val="auto"/>
          <w:highlight w:val="none"/>
        </w:rPr>
      </w:pPr>
      <w:r>
        <w:rPr>
          <w:rFonts w:hint="eastAsia"/>
          <w:bCs/>
          <w:color w:val="auto"/>
          <w:highlight w:val="none"/>
        </w:rPr>
        <w:t>①贯彻执行国家有关环境保护政策、法规条例及标准，制定明确、可实施的环境方针，包括对污染预防的承诺、对有关环境法律法规等规定的承诺。</w:t>
      </w:r>
    </w:p>
    <w:p>
      <w:pPr>
        <w:snapToGrid w:val="0"/>
        <w:ind w:firstLine="520"/>
        <w:rPr>
          <w:rFonts w:hint="eastAsia"/>
          <w:bCs/>
          <w:color w:val="auto"/>
          <w:highlight w:val="none"/>
        </w:rPr>
      </w:pPr>
      <w:r>
        <w:rPr>
          <w:rFonts w:hint="eastAsia"/>
          <w:bCs/>
          <w:color w:val="auto"/>
          <w:highlight w:val="none"/>
        </w:rPr>
        <w:t>②加强环境监测管理，审定监测计划，委托有相应资质的单位实施监测。</w:t>
      </w:r>
    </w:p>
    <w:p>
      <w:pPr>
        <w:snapToGrid w:val="0"/>
        <w:ind w:firstLine="520"/>
        <w:rPr>
          <w:rFonts w:hint="eastAsia"/>
          <w:bCs/>
          <w:color w:val="auto"/>
          <w:highlight w:val="none"/>
        </w:rPr>
      </w:pPr>
      <w:r>
        <w:rPr>
          <w:rFonts w:hint="eastAsia"/>
          <w:bCs/>
          <w:color w:val="auto"/>
          <w:highlight w:val="none"/>
        </w:rPr>
        <w:t>③加强环境监督管理，对管理体系中的指标和程序进行监控，加强施工场所的现场检查和监督。采取日常检查和重点监督检查相结合。发现问题及时采取措施纠正，同时还应采取预防措施，避免同一问题的再次发生。</w:t>
      </w:r>
    </w:p>
    <w:p>
      <w:pPr>
        <w:snapToGrid w:val="0"/>
        <w:ind w:firstLine="520"/>
        <w:rPr>
          <w:rFonts w:hint="eastAsia"/>
          <w:bCs/>
          <w:color w:val="auto"/>
          <w:highlight w:val="none"/>
        </w:rPr>
      </w:pPr>
      <w:r>
        <w:rPr>
          <w:rFonts w:hint="eastAsia"/>
          <w:bCs/>
          <w:color w:val="auto"/>
          <w:highlight w:val="none"/>
        </w:rPr>
        <w:t>④加强环境管理工作，防止和控制施工活动对环境造成污染和破坏。对险滩整治产生的弃渣提出具体处置意见；合理安排整治作业的时间、选择合适的整治方式等，监督施工单位落实。</w:t>
      </w:r>
    </w:p>
    <w:p>
      <w:pPr>
        <w:snapToGrid w:val="0"/>
        <w:ind w:firstLine="520"/>
        <w:rPr>
          <w:rFonts w:hint="eastAsia"/>
          <w:bCs/>
          <w:color w:val="auto"/>
          <w:highlight w:val="none"/>
        </w:rPr>
      </w:pPr>
      <w:r>
        <w:rPr>
          <w:rFonts w:hint="eastAsia"/>
          <w:bCs/>
          <w:color w:val="auto"/>
          <w:highlight w:val="none"/>
        </w:rPr>
        <w:t>⑤严格执行环保“三同时”，监督、检查环境保护措施的执行情况和环保经费的落实情况。</w:t>
      </w:r>
    </w:p>
    <w:p>
      <w:pPr>
        <w:snapToGrid w:val="0"/>
        <w:ind w:firstLine="520"/>
        <w:rPr>
          <w:rFonts w:hint="eastAsia"/>
          <w:bCs/>
          <w:color w:val="auto"/>
          <w:highlight w:val="none"/>
        </w:rPr>
      </w:pPr>
      <w:r>
        <w:rPr>
          <w:rFonts w:hint="eastAsia"/>
          <w:bCs/>
          <w:color w:val="auto"/>
          <w:highlight w:val="none"/>
        </w:rPr>
        <w:t>⑥协同当地生态环境部门处理好项目建设出现的环境问题，以及公众提出的建议和意见。所有的检查计划、检查情况和处理情况都应当有现场的文字记录，并及时通报各有关部门。记录应定期汇总、归档。</w:t>
      </w:r>
    </w:p>
    <w:p>
      <w:pPr>
        <w:snapToGrid w:val="0"/>
        <w:ind w:firstLine="520"/>
        <w:rPr>
          <w:color w:val="auto"/>
          <w:szCs w:val="26"/>
          <w:highlight w:val="none"/>
        </w:rPr>
      </w:pPr>
      <w:r>
        <w:rPr>
          <w:rFonts w:hint="eastAsia"/>
          <w:bCs/>
          <w:color w:val="auto"/>
          <w:highlight w:val="none"/>
        </w:rPr>
        <w:t>⑦加强环境保护的宣传教育和技术培训，提高施工人员的环境保护意识和参与意识，提高环境管理人员的技术水平</w:t>
      </w:r>
      <w:r>
        <w:rPr>
          <w:rFonts w:hint="eastAsia" w:cs="宋体"/>
          <w:color w:val="auto"/>
          <w:szCs w:val="26"/>
          <w:highlight w:val="none"/>
        </w:rPr>
        <w:t>。</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运营期</w:t>
      </w:r>
      <w:r>
        <w:rPr>
          <w:color w:val="auto"/>
          <w:highlight w:val="none"/>
        </w:rPr>
        <w:t>环境管理</w:t>
      </w:r>
    </w:p>
    <w:p>
      <w:pPr>
        <w:ind w:firstLine="520"/>
        <w:rPr>
          <w:rFonts w:hint="eastAsia"/>
          <w:color w:val="auto"/>
          <w:szCs w:val="26"/>
          <w:highlight w:val="none"/>
        </w:rPr>
      </w:pPr>
      <w:r>
        <w:rPr>
          <w:color w:val="auto"/>
          <w:highlight w:val="none"/>
        </w:rPr>
        <w:t>运营期</w:t>
      </w:r>
      <w:r>
        <w:rPr>
          <w:rFonts w:ascii="宋体" w:hAnsi="宋体" w:cs="宋体"/>
          <w:color w:val="auto"/>
          <w:highlight w:val="none"/>
        </w:rPr>
        <w:t>环境管理任务的重点</w:t>
      </w:r>
      <w:r>
        <w:rPr>
          <w:rFonts w:hint="eastAsia" w:ascii="宋体" w:hAnsi="宋体" w:cs="宋体"/>
          <w:color w:val="auto"/>
          <w:highlight w:val="none"/>
        </w:rPr>
        <w:t>主要在以下几个方面：</w:t>
      </w:r>
    </w:p>
    <w:p>
      <w:pPr>
        <w:ind w:firstLine="520"/>
        <w:rPr>
          <w:rFonts w:hint="eastAsia"/>
          <w:color w:val="auto"/>
          <w:szCs w:val="26"/>
          <w:highlight w:val="none"/>
        </w:rPr>
      </w:pPr>
      <w:r>
        <w:rPr>
          <w:rFonts w:hint="eastAsia"/>
          <w:color w:val="auto"/>
          <w:szCs w:val="26"/>
          <w:highlight w:val="none"/>
        </w:rPr>
        <w:fldChar w:fldCharType="begin"/>
      </w:r>
      <w:r>
        <w:rPr>
          <w:rFonts w:hint="eastAsia"/>
          <w:color w:val="auto"/>
          <w:szCs w:val="26"/>
          <w:highlight w:val="none"/>
        </w:rPr>
        <w:instrText xml:space="preserve"> = 1 \* GB3 \* MERGEFORMAT </w:instrText>
      </w:r>
      <w:r>
        <w:rPr>
          <w:rFonts w:hint="eastAsia"/>
          <w:color w:val="auto"/>
          <w:szCs w:val="26"/>
          <w:highlight w:val="none"/>
        </w:rPr>
        <w:fldChar w:fldCharType="separate"/>
      </w:r>
      <w:r>
        <w:rPr>
          <w:color w:val="auto"/>
          <w:highlight w:val="none"/>
        </w:rPr>
        <w:t>①</w:t>
      </w:r>
      <w:r>
        <w:rPr>
          <w:rFonts w:hint="eastAsia"/>
          <w:color w:val="auto"/>
          <w:szCs w:val="26"/>
          <w:highlight w:val="none"/>
        </w:rPr>
        <w:fldChar w:fldCharType="end"/>
      </w:r>
      <w:r>
        <w:rPr>
          <w:rFonts w:hint="eastAsia"/>
          <w:color w:val="auto"/>
          <w:szCs w:val="26"/>
          <w:highlight w:val="none"/>
        </w:rPr>
        <w:t>根据相关的环境保护</w:t>
      </w:r>
      <w:r>
        <w:rPr>
          <w:rFonts w:hint="eastAsia"/>
          <w:color w:val="auto"/>
          <w:szCs w:val="26"/>
          <w:highlight w:val="none"/>
          <w:shd w:val="clear" w:fill="FFFFFF"/>
        </w:rPr>
        <w:t>法律、法规</w:t>
      </w:r>
      <w:r>
        <w:rPr>
          <w:rFonts w:hint="eastAsia"/>
          <w:color w:val="auto"/>
          <w:szCs w:val="26"/>
          <w:highlight w:val="none"/>
        </w:rPr>
        <w:t>及技术标准，确定工程运行期环境保护方针和环境保护目标，制定运行期环境保护管理办法；</w:t>
      </w:r>
    </w:p>
    <w:p>
      <w:pPr>
        <w:ind w:firstLine="520"/>
        <w:rPr>
          <w:rFonts w:hint="eastAsia"/>
          <w:color w:val="auto"/>
          <w:szCs w:val="26"/>
          <w:highlight w:val="none"/>
        </w:rPr>
      </w:pPr>
      <w:r>
        <w:rPr>
          <w:rFonts w:hint="eastAsia"/>
          <w:color w:val="auto"/>
          <w:szCs w:val="26"/>
          <w:highlight w:val="none"/>
        </w:rPr>
        <w:fldChar w:fldCharType="begin"/>
      </w:r>
      <w:r>
        <w:rPr>
          <w:rFonts w:hint="eastAsia"/>
          <w:color w:val="auto"/>
          <w:szCs w:val="26"/>
          <w:highlight w:val="none"/>
        </w:rPr>
        <w:instrText xml:space="preserve"> = 2 \* GB3 \* MERGEFORMAT </w:instrText>
      </w:r>
      <w:r>
        <w:rPr>
          <w:rFonts w:hint="eastAsia"/>
          <w:color w:val="auto"/>
          <w:szCs w:val="26"/>
          <w:highlight w:val="none"/>
        </w:rPr>
        <w:fldChar w:fldCharType="separate"/>
      </w:r>
      <w:r>
        <w:rPr>
          <w:color w:val="auto"/>
          <w:highlight w:val="none"/>
        </w:rPr>
        <w:t>②</w:t>
      </w:r>
      <w:r>
        <w:rPr>
          <w:rFonts w:hint="eastAsia"/>
          <w:color w:val="auto"/>
          <w:szCs w:val="26"/>
          <w:highlight w:val="none"/>
        </w:rPr>
        <w:fldChar w:fldCharType="end"/>
      </w:r>
      <w:r>
        <w:rPr>
          <w:rFonts w:hint="eastAsia"/>
          <w:color w:val="auto"/>
          <w:szCs w:val="26"/>
          <w:highlight w:val="none"/>
        </w:rPr>
        <w:t>负责落实环保经费及环境监测工作的正常实施，做好环境信息统计和数据管理；</w:t>
      </w:r>
    </w:p>
    <w:p>
      <w:pPr>
        <w:ind w:firstLine="520"/>
        <w:rPr>
          <w:color w:val="auto"/>
          <w:szCs w:val="26"/>
          <w:highlight w:val="none"/>
        </w:rPr>
      </w:pPr>
      <w:r>
        <w:rPr>
          <w:rFonts w:hint="eastAsia"/>
          <w:color w:val="auto"/>
          <w:szCs w:val="26"/>
          <w:highlight w:val="none"/>
        </w:rPr>
        <w:fldChar w:fldCharType="begin"/>
      </w:r>
      <w:r>
        <w:rPr>
          <w:rFonts w:hint="eastAsia"/>
          <w:color w:val="auto"/>
          <w:szCs w:val="26"/>
          <w:highlight w:val="none"/>
        </w:rPr>
        <w:instrText xml:space="preserve"> = 3 \* GB3 \* MERGEFORMAT </w:instrText>
      </w:r>
      <w:r>
        <w:rPr>
          <w:rFonts w:hint="eastAsia"/>
          <w:color w:val="auto"/>
          <w:szCs w:val="26"/>
          <w:highlight w:val="none"/>
        </w:rPr>
        <w:fldChar w:fldCharType="separate"/>
      </w:r>
      <w:r>
        <w:rPr>
          <w:color w:val="auto"/>
          <w:highlight w:val="none"/>
        </w:rPr>
        <w:t>③</w:t>
      </w:r>
      <w:r>
        <w:rPr>
          <w:rFonts w:hint="eastAsia"/>
          <w:color w:val="auto"/>
          <w:szCs w:val="26"/>
          <w:highlight w:val="none"/>
        </w:rPr>
        <w:fldChar w:fldCharType="end"/>
      </w:r>
      <w:r>
        <w:rPr>
          <w:rFonts w:hint="eastAsia"/>
          <w:color w:val="auto"/>
          <w:szCs w:val="26"/>
          <w:highlight w:val="none"/>
        </w:rPr>
        <w:t>监控运行环保措施，及时发现可能与工程运用有关的环境问题，提出防治对策和措施</w:t>
      </w:r>
      <w:r>
        <w:rPr>
          <w:rFonts w:hint="eastAsia"/>
          <w:color w:val="auto"/>
          <w:szCs w:val="26"/>
          <w:highlight w:val="none"/>
          <w:lang w:eastAsia="zh-CN"/>
        </w:rPr>
        <w:t>，</w:t>
      </w:r>
      <w:r>
        <w:rPr>
          <w:rFonts w:hint="eastAsia"/>
          <w:color w:val="auto"/>
          <w:szCs w:val="26"/>
          <w:highlight w:val="none"/>
        </w:rPr>
        <w:t>协调处理运行期工程影响区出现的各项环境问题。</w:t>
      </w:r>
    </w:p>
    <w:p>
      <w:pPr>
        <w:ind w:firstLine="520"/>
        <w:rPr>
          <w:color w:val="auto"/>
          <w:szCs w:val="26"/>
          <w:highlight w:val="none"/>
        </w:rPr>
      </w:pPr>
      <w:r>
        <w:rPr>
          <w:rFonts w:hint="eastAsia"/>
          <w:color w:val="auto"/>
          <w:szCs w:val="26"/>
          <w:highlight w:val="none"/>
        </w:rPr>
        <w:fldChar w:fldCharType="begin"/>
      </w:r>
      <w:r>
        <w:rPr>
          <w:rFonts w:hint="eastAsia"/>
          <w:color w:val="auto"/>
          <w:szCs w:val="26"/>
          <w:highlight w:val="none"/>
        </w:rPr>
        <w:instrText xml:space="preserve"> = 4 \* GB3 \* MERGEFORMAT </w:instrText>
      </w:r>
      <w:r>
        <w:rPr>
          <w:rFonts w:hint="eastAsia"/>
          <w:color w:val="auto"/>
          <w:szCs w:val="26"/>
          <w:highlight w:val="none"/>
        </w:rPr>
        <w:fldChar w:fldCharType="separate"/>
      </w:r>
      <w:r>
        <w:rPr>
          <w:color w:val="auto"/>
          <w:highlight w:val="none"/>
        </w:rPr>
        <w:t>④</w:t>
      </w:r>
      <w:r>
        <w:rPr>
          <w:rFonts w:hint="eastAsia"/>
          <w:color w:val="auto"/>
          <w:szCs w:val="26"/>
          <w:highlight w:val="none"/>
        </w:rPr>
        <w:fldChar w:fldCharType="end"/>
      </w:r>
      <w:r>
        <w:rPr>
          <w:rFonts w:hint="eastAsia"/>
          <w:color w:val="auto"/>
          <w:highlight w:val="none"/>
        </w:rPr>
        <w:t>制订工程区</w:t>
      </w:r>
      <w:r>
        <w:rPr>
          <w:rFonts w:hint="eastAsia"/>
          <w:color w:val="auto"/>
          <w:highlight w:val="none"/>
          <w:shd w:val="clear" w:fill="FFFFFF"/>
          <w:lang w:eastAsia="zh-CN"/>
        </w:rPr>
        <w:t>生态环境保护</w:t>
      </w:r>
      <w:r>
        <w:rPr>
          <w:rFonts w:hint="eastAsia"/>
          <w:color w:val="auto"/>
          <w:highlight w:val="none"/>
        </w:rPr>
        <w:t>和建设规划方案，协同地方环保部门，开展工程区生态恢复和环境保护建设工作</w:t>
      </w:r>
      <w:r>
        <w:rPr>
          <w:rFonts w:hint="eastAsia"/>
          <w:color w:val="auto"/>
          <w:szCs w:val="26"/>
          <w:highlight w:val="none"/>
        </w:rPr>
        <w:t>。</w:t>
      </w:r>
    </w:p>
    <w:p>
      <w:pPr>
        <w:pStyle w:val="4"/>
        <w:rPr>
          <w:rFonts w:ascii="Times New Roman" w:hAnsi="Times New Roman"/>
          <w:color w:val="auto"/>
          <w:highlight w:val="none"/>
        </w:rPr>
      </w:pPr>
      <w:bookmarkStart w:id="167" w:name="_Toc12835"/>
      <w:bookmarkStart w:id="168" w:name="_Toc83908391"/>
      <w:bookmarkStart w:id="169" w:name="_Toc492908914"/>
      <w:bookmarkStart w:id="170" w:name="_Toc404792267"/>
      <w:bookmarkStart w:id="171" w:name="_Toc389117858"/>
      <w:bookmarkStart w:id="172" w:name="_Toc267482285"/>
      <w:r>
        <w:rPr>
          <w:rFonts w:ascii="Times New Roman" w:hAnsi="Times New Roman"/>
          <w:color w:val="auto"/>
          <w:highlight w:val="none"/>
        </w:rPr>
        <w:t>环境监测</w:t>
      </w:r>
      <w:bookmarkEnd w:id="167"/>
      <w:bookmarkEnd w:id="168"/>
      <w:bookmarkEnd w:id="169"/>
      <w:bookmarkEnd w:id="170"/>
      <w:bookmarkEnd w:id="171"/>
      <w:bookmarkEnd w:id="172"/>
    </w:p>
    <w:p>
      <w:pPr>
        <w:pStyle w:val="5"/>
        <w:bidi w:val="0"/>
        <w:rPr>
          <w:rFonts w:hint="eastAsia"/>
          <w:color w:val="auto"/>
          <w:highlight w:val="none"/>
        </w:rPr>
      </w:pPr>
      <w:bookmarkStart w:id="173" w:name="_Toc83908392"/>
      <w:r>
        <w:rPr>
          <w:rFonts w:hint="eastAsia"/>
          <w:color w:val="auto"/>
          <w:highlight w:val="none"/>
          <w:lang w:eastAsia="zh-CN"/>
        </w:rPr>
        <w:t>环境监测目的</w:t>
      </w:r>
    </w:p>
    <w:p>
      <w:pPr>
        <w:pStyle w:val="215"/>
        <w:rPr>
          <w:rFonts w:hint="eastAsia"/>
          <w:bCs/>
          <w:color w:val="auto"/>
          <w:highlight w:val="none"/>
        </w:rPr>
      </w:pPr>
      <w:r>
        <w:rPr>
          <w:rFonts w:hint="eastAsia"/>
          <w:bCs/>
          <w:color w:val="auto"/>
          <w:highlight w:val="none"/>
          <w:lang w:eastAsia="zh-CN"/>
        </w:rPr>
        <w:t>（</w:t>
      </w:r>
      <w:r>
        <w:rPr>
          <w:rFonts w:hint="eastAsia"/>
          <w:bCs/>
          <w:color w:val="auto"/>
          <w:highlight w:val="none"/>
          <w:lang w:val="en-US" w:eastAsia="zh-CN"/>
        </w:rPr>
        <w:t>1</w:t>
      </w:r>
      <w:r>
        <w:rPr>
          <w:rFonts w:hint="eastAsia"/>
          <w:bCs/>
          <w:color w:val="auto"/>
          <w:highlight w:val="none"/>
          <w:lang w:eastAsia="zh-CN"/>
        </w:rPr>
        <w:t>）</w:t>
      </w:r>
      <w:r>
        <w:rPr>
          <w:rFonts w:hint="eastAsia"/>
          <w:bCs/>
          <w:color w:val="auto"/>
          <w:highlight w:val="none"/>
        </w:rPr>
        <w:t>为工程环境保护工作的开展提供基础资料。掌握工程区环境状况的动态变化，为施工及运行期污染控制、环境管理提供科学依据。</w:t>
      </w:r>
    </w:p>
    <w:p>
      <w:pPr>
        <w:pStyle w:val="215"/>
        <w:rPr>
          <w:rFonts w:hint="eastAsia"/>
          <w:bCs/>
          <w:color w:val="auto"/>
          <w:highlight w:val="none"/>
        </w:rPr>
      </w:pPr>
      <w:r>
        <w:rPr>
          <w:rFonts w:hint="eastAsia"/>
          <w:bCs/>
          <w:color w:val="auto"/>
          <w:highlight w:val="none"/>
          <w:lang w:eastAsia="zh-CN"/>
        </w:rPr>
        <w:t>（</w:t>
      </w:r>
      <w:r>
        <w:rPr>
          <w:rFonts w:hint="eastAsia"/>
          <w:bCs/>
          <w:color w:val="auto"/>
          <w:highlight w:val="none"/>
          <w:lang w:val="en-US" w:eastAsia="zh-CN"/>
        </w:rPr>
        <w:t>2</w:t>
      </w:r>
      <w:r>
        <w:rPr>
          <w:rFonts w:hint="eastAsia"/>
          <w:bCs/>
          <w:color w:val="auto"/>
          <w:highlight w:val="none"/>
          <w:lang w:eastAsia="zh-CN"/>
        </w:rPr>
        <w:t>）</w:t>
      </w:r>
      <w:r>
        <w:rPr>
          <w:rFonts w:hint="eastAsia"/>
          <w:bCs/>
          <w:color w:val="auto"/>
          <w:highlight w:val="none"/>
        </w:rPr>
        <w:t>及时掌握环境保护措施的实施效果，根据监测结果调整和完善环境保护和环境影响减缓措施，预防突发性事故对环境的危害。</w:t>
      </w:r>
    </w:p>
    <w:p>
      <w:pPr>
        <w:pStyle w:val="215"/>
        <w:rPr>
          <w:rFonts w:hint="eastAsia"/>
          <w:bCs/>
          <w:color w:val="auto"/>
          <w:highlight w:val="none"/>
        </w:rPr>
      </w:pPr>
      <w:r>
        <w:rPr>
          <w:rFonts w:hint="eastAsia"/>
          <w:bCs/>
          <w:color w:val="auto"/>
          <w:highlight w:val="none"/>
          <w:lang w:eastAsia="zh-CN"/>
        </w:rPr>
        <w:t>（</w:t>
      </w:r>
      <w:r>
        <w:rPr>
          <w:rFonts w:hint="eastAsia"/>
          <w:bCs/>
          <w:color w:val="auto"/>
          <w:highlight w:val="none"/>
          <w:lang w:val="en-US" w:eastAsia="zh-CN"/>
        </w:rPr>
        <w:t>3</w:t>
      </w:r>
      <w:r>
        <w:rPr>
          <w:rFonts w:hint="eastAsia"/>
          <w:bCs/>
          <w:color w:val="auto"/>
          <w:highlight w:val="none"/>
          <w:lang w:eastAsia="zh-CN"/>
        </w:rPr>
        <w:t>）</w:t>
      </w:r>
      <w:r>
        <w:rPr>
          <w:rFonts w:hint="eastAsia"/>
          <w:bCs/>
          <w:color w:val="auto"/>
          <w:highlight w:val="none"/>
        </w:rPr>
        <w:t>验证环境影响预测和评价结果的正确性和可靠性。</w:t>
      </w:r>
    </w:p>
    <w:p>
      <w:pPr>
        <w:pStyle w:val="215"/>
        <w:rPr>
          <w:bCs/>
          <w:color w:val="auto"/>
          <w:highlight w:val="none"/>
        </w:rPr>
      </w:pPr>
      <w:r>
        <w:rPr>
          <w:rFonts w:hint="eastAsia"/>
          <w:bCs/>
          <w:color w:val="auto"/>
          <w:highlight w:val="none"/>
          <w:lang w:eastAsia="zh-CN"/>
        </w:rPr>
        <w:t>（</w:t>
      </w:r>
      <w:r>
        <w:rPr>
          <w:rFonts w:hint="eastAsia"/>
          <w:bCs/>
          <w:color w:val="auto"/>
          <w:highlight w:val="none"/>
          <w:lang w:val="en-US" w:eastAsia="zh-CN"/>
        </w:rPr>
        <w:t>4</w:t>
      </w:r>
      <w:r>
        <w:rPr>
          <w:rFonts w:hint="eastAsia"/>
          <w:bCs/>
          <w:color w:val="auto"/>
          <w:highlight w:val="none"/>
          <w:lang w:eastAsia="zh-CN"/>
        </w:rPr>
        <w:t>）</w:t>
      </w:r>
      <w:r>
        <w:rPr>
          <w:rFonts w:hint="eastAsia"/>
          <w:bCs/>
          <w:color w:val="auto"/>
          <w:highlight w:val="none"/>
        </w:rPr>
        <w:t>为工程影响区域生态环境保护工作提供科学依据。工程环境监测方案的实施，可为涪江流域生态环境的演变规律研究积累经验和基础数据。</w:t>
      </w:r>
    </w:p>
    <w:p>
      <w:pPr>
        <w:pStyle w:val="5"/>
        <w:bidi w:val="0"/>
        <w:rPr>
          <w:rFonts w:hint="eastAsia"/>
          <w:color w:val="auto"/>
          <w:highlight w:val="none"/>
        </w:rPr>
      </w:pPr>
      <w:r>
        <w:rPr>
          <w:rFonts w:hint="eastAsia"/>
          <w:color w:val="auto"/>
          <w:highlight w:val="none"/>
          <w:lang w:eastAsia="zh-CN"/>
        </w:rPr>
        <w:t>环境监测计划</w:t>
      </w:r>
    </w:p>
    <w:p>
      <w:pPr>
        <w:pStyle w:val="215"/>
        <w:rPr>
          <w:rFonts w:hint="eastAsia"/>
          <w:bCs/>
          <w:color w:val="auto"/>
          <w:highlight w:val="none"/>
          <w:lang w:eastAsia="zh-CN"/>
        </w:rPr>
      </w:pPr>
      <w:r>
        <w:rPr>
          <w:rFonts w:hint="eastAsia"/>
          <w:bCs/>
          <w:color w:val="auto"/>
          <w:highlight w:val="none"/>
        </w:rPr>
        <w:t>根据</w:t>
      </w:r>
      <w:r>
        <w:rPr>
          <w:rFonts w:hint="eastAsia"/>
          <w:bCs/>
          <w:color w:val="auto"/>
          <w:highlight w:val="none"/>
          <w:lang w:eastAsia="zh-CN"/>
        </w:rPr>
        <w:t>拟建项目</w:t>
      </w:r>
      <w:r>
        <w:rPr>
          <w:rFonts w:hint="eastAsia"/>
          <w:bCs/>
          <w:color w:val="auto"/>
          <w:highlight w:val="none"/>
        </w:rPr>
        <w:t>工程</w:t>
      </w:r>
      <w:r>
        <w:rPr>
          <w:rFonts w:hint="eastAsia"/>
          <w:bCs/>
          <w:color w:val="auto"/>
          <w:highlight w:val="none"/>
          <w:lang w:eastAsia="zh-CN"/>
        </w:rPr>
        <w:t>环境影响</w:t>
      </w:r>
      <w:r>
        <w:rPr>
          <w:rFonts w:hint="eastAsia"/>
          <w:bCs/>
          <w:color w:val="auto"/>
          <w:highlight w:val="none"/>
        </w:rPr>
        <w:t>特点，结合工程影响区环境现状</w:t>
      </w:r>
      <w:r>
        <w:rPr>
          <w:rFonts w:hint="eastAsia"/>
          <w:bCs/>
          <w:color w:val="auto"/>
          <w:highlight w:val="none"/>
          <w:lang w:eastAsia="zh-CN"/>
        </w:rPr>
        <w:t>及例行监测断面分布情况，本次针对项目施工期、运营期提出监测计划如下：</w:t>
      </w:r>
    </w:p>
    <w:p>
      <w:pPr>
        <w:pStyle w:val="215"/>
        <w:spacing w:line="240" w:lineRule="auto"/>
        <w:rPr>
          <w:rFonts w:hint="eastAsia"/>
          <w:bCs/>
          <w:color w:val="auto"/>
          <w:highlight w:val="none"/>
          <w:lang w:eastAsia="zh-CN"/>
        </w:rPr>
      </w:pPr>
    </w:p>
    <w:p>
      <w:pPr>
        <w:pStyle w:val="215"/>
        <w:spacing w:line="240" w:lineRule="auto"/>
        <w:ind w:left="0" w:leftChars="0" w:firstLine="0" w:firstLineChars="0"/>
        <w:jc w:val="center"/>
        <w:rPr>
          <w:rFonts w:hint="eastAsia" w:eastAsia="宋体"/>
          <w:color w:val="auto"/>
          <w:highlight w:val="none"/>
          <w:lang w:eastAsia="zh-CN"/>
        </w:rPr>
      </w:pPr>
      <w:r>
        <w:rPr>
          <w:rFonts w:hint="eastAsia"/>
          <w:color w:val="auto"/>
          <w:highlight w:val="none"/>
          <w:lang w:eastAsia="zh-CN"/>
        </w:rPr>
        <w:t>表</w:t>
      </w:r>
      <w:r>
        <w:rPr>
          <w:rFonts w:hint="eastAsia"/>
          <w:color w:val="auto"/>
          <w:highlight w:val="none"/>
          <w:lang w:val="en-US" w:eastAsia="zh-CN"/>
        </w:rPr>
        <w:t>7.2.2-1  环境</w:t>
      </w:r>
      <w:r>
        <w:rPr>
          <w:rFonts w:hint="eastAsia"/>
          <w:color w:val="auto"/>
          <w:highlight w:val="none"/>
          <w:lang w:eastAsia="zh-CN"/>
        </w:rPr>
        <w:t>监测计划一览表</w:t>
      </w:r>
    </w:p>
    <w:tbl>
      <w:tblPr>
        <w:tblStyle w:val="2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511"/>
        <w:gridCol w:w="672"/>
        <w:gridCol w:w="1637"/>
        <w:gridCol w:w="1988"/>
        <w:gridCol w:w="1912"/>
        <w:gridCol w:w="11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r>
              <w:rPr>
                <w:rFonts w:hint="eastAsia"/>
                <w:bCs/>
                <w:color w:val="auto"/>
                <w:sz w:val="22"/>
                <w:szCs w:val="22"/>
                <w:highlight w:val="none"/>
                <w:lang w:eastAsia="zh-CN"/>
              </w:rPr>
              <w:t>监测</w:t>
            </w:r>
          </w:p>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eastAsia="宋体"/>
                <w:bCs/>
                <w:color w:val="auto"/>
                <w:sz w:val="22"/>
                <w:szCs w:val="22"/>
                <w:highlight w:val="none"/>
                <w:lang w:eastAsia="zh-CN"/>
              </w:rPr>
            </w:pPr>
            <w:r>
              <w:rPr>
                <w:rFonts w:hint="eastAsia"/>
                <w:bCs/>
                <w:color w:val="auto"/>
                <w:sz w:val="22"/>
                <w:szCs w:val="22"/>
                <w:highlight w:val="none"/>
                <w:lang w:eastAsia="zh-CN"/>
              </w:rPr>
              <w:t>阶段</w:t>
            </w:r>
          </w:p>
        </w:tc>
        <w:tc>
          <w:tcPr>
            <w:tcW w:w="1183" w:type="dxa"/>
            <w:gridSpan w:val="2"/>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eastAsia="宋体"/>
                <w:bCs/>
                <w:color w:val="auto"/>
                <w:sz w:val="22"/>
                <w:szCs w:val="22"/>
                <w:highlight w:val="none"/>
                <w:lang w:eastAsia="zh-CN"/>
              </w:rPr>
            </w:pPr>
            <w:r>
              <w:rPr>
                <w:rFonts w:hint="eastAsia"/>
                <w:bCs/>
                <w:color w:val="auto"/>
                <w:sz w:val="22"/>
                <w:szCs w:val="22"/>
                <w:highlight w:val="none"/>
                <w:lang w:eastAsia="zh-CN"/>
              </w:rPr>
              <w:t>监测要素</w:t>
            </w:r>
          </w:p>
        </w:tc>
        <w:tc>
          <w:tcPr>
            <w:tcW w:w="1637"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default" w:eastAsia="宋体"/>
                <w:bCs/>
                <w:color w:val="auto"/>
                <w:sz w:val="22"/>
                <w:szCs w:val="22"/>
                <w:highlight w:val="none"/>
                <w:lang w:val="en-US" w:eastAsia="zh-CN"/>
              </w:rPr>
            </w:pPr>
            <w:r>
              <w:rPr>
                <w:rFonts w:hint="eastAsia"/>
                <w:bCs/>
                <w:color w:val="auto"/>
                <w:sz w:val="22"/>
                <w:szCs w:val="22"/>
                <w:highlight w:val="none"/>
                <w:lang w:eastAsia="zh-CN"/>
              </w:rPr>
              <w:t>监测点位</w:t>
            </w:r>
            <w:r>
              <w:rPr>
                <w:rFonts w:hint="eastAsia"/>
                <w:bCs/>
                <w:color w:val="auto"/>
                <w:sz w:val="22"/>
                <w:szCs w:val="22"/>
                <w:highlight w:val="none"/>
                <w:lang w:val="en-US" w:eastAsia="zh-CN"/>
              </w:rPr>
              <w:t>/断面</w:t>
            </w:r>
          </w:p>
        </w:tc>
        <w:tc>
          <w:tcPr>
            <w:tcW w:w="1988"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bCs/>
                <w:color w:val="auto"/>
                <w:sz w:val="22"/>
                <w:szCs w:val="22"/>
                <w:highlight w:val="none"/>
              </w:rPr>
            </w:pPr>
            <w:r>
              <w:rPr>
                <w:rFonts w:hint="eastAsia"/>
                <w:bCs/>
                <w:color w:val="auto"/>
                <w:sz w:val="22"/>
                <w:szCs w:val="22"/>
                <w:highlight w:val="none"/>
              </w:rPr>
              <w:t>监测项目</w:t>
            </w:r>
          </w:p>
        </w:tc>
        <w:tc>
          <w:tcPr>
            <w:tcW w:w="1912"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bCs/>
                <w:color w:val="auto"/>
                <w:sz w:val="22"/>
                <w:szCs w:val="22"/>
                <w:highlight w:val="none"/>
              </w:rPr>
            </w:pPr>
            <w:r>
              <w:rPr>
                <w:rFonts w:hint="eastAsia"/>
                <w:bCs/>
                <w:color w:val="auto"/>
                <w:sz w:val="22"/>
                <w:szCs w:val="22"/>
                <w:highlight w:val="none"/>
              </w:rPr>
              <w:t>监测频次</w:t>
            </w:r>
          </w:p>
        </w:tc>
        <w:tc>
          <w:tcPr>
            <w:tcW w:w="1140"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eastAsia="宋体"/>
                <w:bCs/>
                <w:color w:val="auto"/>
                <w:sz w:val="22"/>
                <w:szCs w:val="22"/>
                <w:highlight w:val="none"/>
                <w:lang w:eastAsia="zh-CN"/>
              </w:rPr>
            </w:pPr>
            <w:r>
              <w:rPr>
                <w:rFonts w:hint="eastAsia"/>
                <w:bCs/>
                <w:color w:val="auto"/>
                <w:sz w:val="22"/>
                <w:szCs w:val="22"/>
                <w:highlight w:val="none"/>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restart"/>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r>
              <w:rPr>
                <w:rFonts w:hint="eastAsia"/>
                <w:bCs/>
                <w:color w:val="auto"/>
                <w:sz w:val="22"/>
                <w:szCs w:val="22"/>
                <w:highlight w:val="none"/>
                <w:lang w:eastAsia="zh-CN"/>
              </w:rPr>
              <w:t>施工期</w:t>
            </w:r>
          </w:p>
        </w:tc>
        <w:tc>
          <w:tcPr>
            <w:tcW w:w="1183" w:type="dxa"/>
            <w:gridSpan w:val="2"/>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r>
              <w:rPr>
                <w:rFonts w:hint="eastAsia"/>
                <w:bCs/>
                <w:color w:val="auto"/>
                <w:sz w:val="22"/>
                <w:szCs w:val="22"/>
                <w:highlight w:val="none"/>
                <w:lang w:eastAsia="zh-CN"/>
              </w:rPr>
              <w:t>地表水</w:t>
            </w:r>
          </w:p>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r>
              <w:rPr>
                <w:rFonts w:hint="eastAsia"/>
                <w:bCs/>
                <w:color w:val="auto"/>
                <w:sz w:val="22"/>
                <w:szCs w:val="22"/>
                <w:highlight w:val="none"/>
                <w:lang w:eastAsia="zh-CN"/>
              </w:rPr>
              <w:t>环境</w:t>
            </w:r>
          </w:p>
        </w:tc>
        <w:tc>
          <w:tcPr>
            <w:tcW w:w="1637"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r>
              <w:rPr>
                <w:rFonts w:hint="eastAsia"/>
                <w:bCs/>
                <w:color w:val="auto"/>
                <w:sz w:val="22"/>
                <w:szCs w:val="22"/>
                <w:highlight w:val="none"/>
                <w:lang w:eastAsia="zh-CN"/>
              </w:rPr>
              <w:t>船闸上游、下游500m处</w:t>
            </w:r>
          </w:p>
        </w:tc>
        <w:tc>
          <w:tcPr>
            <w:tcW w:w="1988"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rPr>
            </w:pPr>
            <w:r>
              <w:rPr>
                <w:rFonts w:hint="eastAsia"/>
                <w:bCs/>
                <w:color w:val="auto"/>
                <w:sz w:val="22"/>
                <w:szCs w:val="22"/>
                <w:highlight w:val="none"/>
                <w:lang w:val="en-US" w:eastAsia="zh-CN"/>
              </w:rPr>
              <w:t>pH、</w:t>
            </w:r>
            <w:r>
              <w:rPr>
                <w:rFonts w:hint="eastAsia"/>
                <w:bCs/>
                <w:color w:val="auto"/>
                <w:sz w:val="22"/>
                <w:szCs w:val="22"/>
                <w:highlight w:val="none"/>
              </w:rPr>
              <w:t>COD、SS、石油类、氨氮</w:t>
            </w:r>
          </w:p>
        </w:tc>
        <w:tc>
          <w:tcPr>
            <w:tcW w:w="1912"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rPr>
            </w:pPr>
            <w:r>
              <w:rPr>
                <w:rFonts w:hint="eastAsia"/>
                <w:bCs/>
                <w:color w:val="auto"/>
                <w:sz w:val="22"/>
                <w:szCs w:val="22"/>
                <w:highlight w:val="none"/>
              </w:rPr>
              <w:t>1次/季（根据施工情况适当调整）</w:t>
            </w:r>
          </w:p>
        </w:tc>
        <w:tc>
          <w:tcPr>
            <w:tcW w:w="1140"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default"/>
                <w:bCs/>
                <w:color w:val="auto"/>
                <w:sz w:val="22"/>
                <w:szCs w:val="22"/>
                <w:highlight w:val="none"/>
                <w:lang w:val="en-US" w:eastAsia="zh-CN"/>
              </w:rPr>
            </w:pPr>
            <w:r>
              <w:rPr>
                <w:rFonts w:hint="eastAsia"/>
                <w:bCs/>
                <w:color w:val="auto"/>
                <w:sz w:val="22"/>
                <w:szCs w:val="2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p>
        </w:tc>
        <w:tc>
          <w:tcPr>
            <w:tcW w:w="1183" w:type="dxa"/>
            <w:gridSpan w:val="2"/>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r>
              <w:rPr>
                <w:rFonts w:hint="eastAsia"/>
                <w:bCs/>
                <w:color w:val="auto"/>
                <w:sz w:val="22"/>
                <w:szCs w:val="22"/>
                <w:highlight w:val="none"/>
                <w:lang w:eastAsia="zh-CN"/>
              </w:rPr>
              <w:t>声环境</w:t>
            </w:r>
          </w:p>
        </w:tc>
        <w:tc>
          <w:tcPr>
            <w:tcW w:w="1637"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r>
              <w:rPr>
                <w:rFonts w:hint="eastAsia"/>
                <w:bCs/>
                <w:color w:val="auto"/>
                <w:sz w:val="22"/>
                <w:szCs w:val="22"/>
                <w:highlight w:val="none"/>
                <w:lang w:eastAsia="zh-CN"/>
              </w:rPr>
              <w:t>施工区最近居民点或有投诉的区域</w:t>
            </w:r>
          </w:p>
        </w:tc>
        <w:tc>
          <w:tcPr>
            <w:tcW w:w="1988"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rPr>
            </w:pPr>
            <w:r>
              <w:rPr>
                <w:rFonts w:hint="eastAsia"/>
                <w:bCs/>
                <w:color w:val="auto"/>
                <w:sz w:val="22"/>
                <w:szCs w:val="22"/>
                <w:highlight w:val="none"/>
              </w:rPr>
              <w:t>等效连续A声级</w:t>
            </w:r>
          </w:p>
        </w:tc>
        <w:tc>
          <w:tcPr>
            <w:tcW w:w="1912"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rPr>
            </w:pPr>
            <w:r>
              <w:rPr>
                <w:rFonts w:hint="eastAsia"/>
                <w:bCs/>
                <w:color w:val="auto"/>
                <w:sz w:val="22"/>
                <w:szCs w:val="22"/>
                <w:highlight w:val="none"/>
              </w:rPr>
              <w:t>1次/季（根据施工情况适当调整）</w:t>
            </w:r>
          </w:p>
        </w:tc>
        <w:tc>
          <w:tcPr>
            <w:tcW w:w="1140"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default"/>
                <w:bCs/>
                <w:color w:val="auto"/>
                <w:sz w:val="22"/>
                <w:szCs w:val="22"/>
                <w:highlight w:val="none"/>
                <w:lang w:val="en-US" w:eastAsia="zh-CN"/>
              </w:rPr>
            </w:pPr>
            <w:r>
              <w:rPr>
                <w:rFonts w:hint="eastAsia"/>
                <w:bCs/>
                <w:color w:val="auto"/>
                <w:sz w:val="22"/>
                <w:szCs w:val="2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p>
        </w:tc>
        <w:tc>
          <w:tcPr>
            <w:tcW w:w="511" w:type="dxa"/>
            <w:vMerge w:val="restart"/>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r>
              <w:rPr>
                <w:rFonts w:hint="eastAsia"/>
                <w:bCs/>
                <w:color w:val="auto"/>
                <w:sz w:val="22"/>
                <w:szCs w:val="22"/>
                <w:highlight w:val="none"/>
                <w:lang w:eastAsia="zh-CN"/>
              </w:rPr>
              <w:t>生态环境</w:t>
            </w:r>
          </w:p>
        </w:tc>
        <w:tc>
          <w:tcPr>
            <w:tcW w:w="672"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r>
              <w:rPr>
                <w:rFonts w:hint="eastAsia"/>
                <w:bCs/>
                <w:color w:val="auto"/>
                <w:sz w:val="22"/>
                <w:szCs w:val="22"/>
                <w:highlight w:val="none"/>
                <w:lang w:eastAsia="zh-CN"/>
              </w:rPr>
              <w:t>水生</w:t>
            </w:r>
          </w:p>
        </w:tc>
        <w:tc>
          <w:tcPr>
            <w:tcW w:w="1637" w:type="dxa"/>
            <w:vAlign w:val="center"/>
          </w:tcPr>
          <w:p>
            <w:pPr>
              <w:pStyle w:val="197"/>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2"/>
                <w:szCs w:val="22"/>
                <w:highlight w:val="none"/>
                <w:lang w:val="en-US" w:eastAsia="zh-CN" w:bidi="ar-SA"/>
              </w:rPr>
            </w:pPr>
            <w:r>
              <w:rPr>
                <w:rFonts w:hint="eastAsia"/>
                <w:bCs/>
                <w:color w:val="auto"/>
                <w:sz w:val="22"/>
                <w:szCs w:val="22"/>
                <w:highlight w:val="none"/>
                <w:lang w:val="en-US" w:eastAsia="zh-CN"/>
              </w:rPr>
              <w:t>船闸</w:t>
            </w:r>
            <w:r>
              <w:rPr>
                <w:rFonts w:hint="eastAsia"/>
                <w:bCs/>
                <w:color w:val="auto"/>
                <w:sz w:val="22"/>
                <w:szCs w:val="22"/>
                <w:highlight w:val="none"/>
                <w:lang w:eastAsia="zh-CN"/>
              </w:rPr>
              <w:t>工程上游、工程处、工程下游</w:t>
            </w:r>
          </w:p>
        </w:tc>
        <w:tc>
          <w:tcPr>
            <w:tcW w:w="1988" w:type="dxa"/>
            <w:vAlign w:val="center"/>
          </w:tcPr>
          <w:p>
            <w:pPr>
              <w:pStyle w:val="197"/>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2"/>
                <w:szCs w:val="22"/>
                <w:highlight w:val="none"/>
                <w:lang w:val="en-US" w:eastAsia="zh-CN" w:bidi="ar-SA"/>
              </w:rPr>
            </w:pPr>
            <w:r>
              <w:rPr>
                <w:rFonts w:hint="eastAsia"/>
                <w:bCs/>
                <w:color w:val="auto"/>
                <w:sz w:val="22"/>
                <w:szCs w:val="22"/>
                <w:highlight w:val="none"/>
              </w:rPr>
              <w:t>浮游</w:t>
            </w:r>
            <w:r>
              <w:rPr>
                <w:rFonts w:hint="eastAsia"/>
                <w:bCs/>
                <w:color w:val="auto"/>
                <w:sz w:val="22"/>
                <w:szCs w:val="22"/>
                <w:highlight w:val="none"/>
                <w:lang w:eastAsia="zh-CN"/>
              </w:rPr>
              <w:t>生物</w:t>
            </w:r>
            <w:r>
              <w:rPr>
                <w:rFonts w:hint="eastAsia"/>
                <w:bCs/>
                <w:color w:val="auto"/>
                <w:sz w:val="22"/>
                <w:szCs w:val="22"/>
                <w:highlight w:val="none"/>
              </w:rPr>
              <w:t>、底栖动物、水生维管束植物、鱼类</w:t>
            </w:r>
            <w:r>
              <w:rPr>
                <w:rFonts w:hint="eastAsia"/>
                <w:bCs/>
                <w:color w:val="auto"/>
                <w:sz w:val="22"/>
                <w:szCs w:val="22"/>
                <w:highlight w:val="none"/>
                <w:lang w:eastAsia="zh-CN"/>
              </w:rPr>
              <w:t>资源</w:t>
            </w:r>
          </w:p>
        </w:tc>
        <w:tc>
          <w:tcPr>
            <w:tcW w:w="1912" w:type="dxa"/>
            <w:vAlign w:val="center"/>
          </w:tcPr>
          <w:p>
            <w:pPr>
              <w:pStyle w:val="197"/>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2"/>
                <w:szCs w:val="22"/>
                <w:highlight w:val="none"/>
                <w:lang w:val="en-US" w:eastAsia="zh-CN" w:bidi="ar-SA"/>
              </w:rPr>
            </w:pPr>
            <w:r>
              <w:rPr>
                <w:rFonts w:hint="eastAsia"/>
                <w:bCs/>
                <w:color w:val="auto"/>
                <w:sz w:val="22"/>
                <w:szCs w:val="22"/>
                <w:highlight w:val="none"/>
              </w:rPr>
              <w:t>水生生物每年监测4次，每季度1次；鱼类资源每年监测2次，春冬季各1次。</w:t>
            </w:r>
          </w:p>
        </w:tc>
        <w:tc>
          <w:tcPr>
            <w:tcW w:w="1140"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default"/>
                <w:bCs/>
                <w:color w:val="auto"/>
                <w:sz w:val="22"/>
                <w:szCs w:val="22"/>
                <w:highlight w:val="none"/>
                <w:lang w:val="en-US" w:eastAsia="zh-CN"/>
              </w:rPr>
            </w:pPr>
            <w:r>
              <w:rPr>
                <w:rFonts w:hint="eastAsia"/>
                <w:bCs/>
                <w:color w:val="auto"/>
                <w:sz w:val="22"/>
                <w:szCs w:val="2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p>
        </w:tc>
        <w:tc>
          <w:tcPr>
            <w:tcW w:w="511" w:type="dxa"/>
            <w:vMerge w:val="continue"/>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p>
        </w:tc>
        <w:tc>
          <w:tcPr>
            <w:tcW w:w="672"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r>
              <w:rPr>
                <w:rFonts w:hint="eastAsia"/>
                <w:bCs/>
                <w:color w:val="auto"/>
                <w:sz w:val="22"/>
                <w:szCs w:val="22"/>
                <w:highlight w:val="none"/>
                <w:lang w:eastAsia="zh-CN"/>
              </w:rPr>
              <w:t>陆生</w:t>
            </w:r>
          </w:p>
        </w:tc>
        <w:tc>
          <w:tcPr>
            <w:tcW w:w="1637"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r>
              <w:rPr>
                <w:rFonts w:hint="eastAsia"/>
                <w:bCs/>
                <w:color w:val="auto"/>
                <w:sz w:val="22"/>
                <w:szCs w:val="22"/>
                <w:highlight w:val="none"/>
                <w:lang w:eastAsia="zh-CN"/>
              </w:rPr>
              <w:t>湿地公园内</w:t>
            </w:r>
          </w:p>
        </w:tc>
        <w:tc>
          <w:tcPr>
            <w:tcW w:w="1988"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rPr>
            </w:pPr>
            <w:r>
              <w:rPr>
                <w:rFonts w:hint="eastAsia"/>
                <w:bCs/>
                <w:color w:val="auto"/>
                <w:sz w:val="22"/>
                <w:szCs w:val="22"/>
                <w:highlight w:val="none"/>
              </w:rPr>
              <w:t>植物种类及组成、植被类型</w:t>
            </w:r>
            <w:r>
              <w:rPr>
                <w:rFonts w:hint="eastAsia"/>
                <w:bCs/>
                <w:color w:val="auto"/>
                <w:sz w:val="22"/>
                <w:szCs w:val="22"/>
                <w:highlight w:val="none"/>
                <w:shd w:val="clear" w:fill="FFFFFF"/>
                <w:lang w:eastAsia="zh-CN"/>
              </w:rPr>
              <w:t>、重</w:t>
            </w:r>
            <w:r>
              <w:rPr>
                <w:rFonts w:hint="eastAsia"/>
                <w:bCs/>
                <w:color w:val="auto"/>
                <w:sz w:val="22"/>
                <w:szCs w:val="22"/>
                <w:highlight w:val="none"/>
              </w:rPr>
              <w:t>点保护野生动物的种类、数量、栖息地、动态变化等</w:t>
            </w:r>
          </w:p>
        </w:tc>
        <w:tc>
          <w:tcPr>
            <w:tcW w:w="1912"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eastAsia="宋体"/>
                <w:bCs/>
                <w:color w:val="auto"/>
                <w:sz w:val="22"/>
                <w:szCs w:val="22"/>
                <w:highlight w:val="none"/>
                <w:lang w:eastAsia="zh-CN"/>
              </w:rPr>
            </w:pPr>
            <w:r>
              <w:rPr>
                <w:rFonts w:hint="eastAsia"/>
                <w:bCs/>
                <w:color w:val="auto"/>
                <w:sz w:val="22"/>
                <w:szCs w:val="22"/>
                <w:highlight w:val="none"/>
              </w:rPr>
              <w:t>1次/</w:t>
            </w:r>
            <w:r>
              <w:rPr>
                <w:rFonts w:hint="eastAsia"/>
                <w:bCs/>
                <w:color w:val="auto"/>
                <w:sz w:val="22"/>
                <w:szCs w:val="22"/>
                <w:highlight w:val="none"/>
                <w:lang w:eastAsia="zh-CN"/>
              </w:rPr>
              <w:t>年</w:t>
            </w:r>
          </w:p>
        </w:tc>
        <w:tc>
          <w:tcPr>
            <w:tcW w:w="1140"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default"/>
                <w:bCs/>
                <w:color w:val="auto"/>
                <w:sz w:val="22"/>
                <w:szCs w:val="22"/>
                <w:highlight w:val="none"/>
                <w:lang w:val="en-US" w:eastAsia="zh-CN"/>
              </w:rPr>
            </w:pPr>
            <w:r>
              <w:rPr>
                <w:rFonts w:hint="eastAsia"/>
                <w:bCs/>
                <w:color w:val="auto"/>
                <w:sz w:val="22"/>
                <w:szCs w:val="2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restart"/>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r>
              <w:rPr>
                <w:rFonts w:hint="eastAsia"/>
                <w:bCs/>
                <w:color w:val="auto"/>
                <w:sz w:val="22"/>
                <w:szCs w:val="22"/>
                <w:highlight w:val="none"/>
                <w:lang w:eastAsia="zh-CN"/>
              </w:rPr>
              <w:t>运营期</w:t>
            </w:r>
          </w:p>
        </w:tc>
        <w:tc>
          <w:tcPr>
            <w:tcW w:w="511" w:type="dxa"/>
            <w:vMerge w:val="restart"/>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r>
              <w:rPr>
                <w:rFonts w:hint="eastAsia"/>
                <w:bCs/>
                <w:color w:val="auto"/>
                <w:sz w:val="22"/>
                <w:szCs w:val="22"/>
                <w:highlight w:val="none"/>
                <w:lang w:eastAsia="zh-CN"/>
              </w:rPr>
              <w:t>生态环境</w:t>
            </w:r>
          </w:p>
        </w:tc>
        <w:tc>
          <w:tcPr>
            <w:tcW w:w="672"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2"/>
                <w:szCs w:val="22"/>
                <w:highlight w:val="none"/>
                <w:lang w:val="en-US" w:eastAsia="zh-CN" w:bidi="ar-SA"/>
              </w:rPr>
            </w:pPr>
            <w:r>
              <w:rPr>
                <w:rFonts w:hint="eastAsia"/>
                <w:bCs/>
                <w:color w:val="auto"/>
                <w:sz w:val="22"/>
                <w:szCs w:val="22"/>
                <w:highlight w:val="none"/>
                <w:lang w:eastAsia="zh-CN"/>
              </w:rPr>
              <w:t>水生</w:t>
            </w:r>
          </w:p>
        </w:tc>
        <w:tc>
          <w:tcPr>
            <w:tcW w:w="1637" w:type="dxa"/>
            <w:vAlign w:val="center"/>
          </w:tcPr>
          <w:p>
            <w:pPr>
              <w:pStyle w:val="197"/>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2"/>
                <w:szCs w:val="22"/>
                <w:highlight w:val="none"/>
                <w:lang w:val="en-US" w:eastAsia="zh-CN" w:bidi="ar-SA"/>
              </w:rPr>
            </w:pPr>
            <w:r>
              <w:rPr>
                <w:rFonts w:hint="eastAsia"/>
                <w:bCs/>
                <w:color w:val="auto"/>
                <w:sz w:val="22"/>
                <w:szCs w:val="22"/>
                <w:highlight w:val="none"/>
                <w:lang w:val="en-US" w:eastAsia="zh-CN"/>
              </w:rPr>
              <w:t>船闸</w:t>
            </w:r>
            <w:r>
              <w:rPr>
                <w:rFonts w:hint="eastAsia"/>
                <w:bCs/>
                <w:color w:val="auto"/>
                <w:sz w:val="22"/>
                <w:szCs w:val="22"/>
                <w:highlight w:val="none"/>
                <w:lang w:eastAsia="zh-CN"/>
              </w:rPr>
              <w:t>工程上游、工程处、工程下游</w:t>
            </w:r>
          </w:p>
        </w:tc>
        <w:tc>
          <w:tcPr>
            <w:tcW w:w="1988" w:type="dxa"/>
            <w:vAlign w:val="center"/>
          </w:tcPr>
          <w:p>
            <w:pPr>
              <w:pStyle w:val="197"/>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2"/>
                <w:szCs w:val="22"/>
                <w:highlight w:val="none"/>
                <w:lang w:val="en-US" w:eastAsia="zh-CN" w:bidi="ar-SA"/>
              </w:rPr>
            </w:pPr>
            <w:r>
              <w:rPr>
                <w:rFonts w:hint="eastAsia"/>
                <w:bCs/>
                <w:color w:val="auto"/>
                <w:sz w:val="22"/>
                <w:szCs w:val="22"/>
                <w:highlight w:val="none"/>
              </w:rPr>
              <w:t>浮游</w:t>
            </w:r>
            <w:r>
              <w:rPr>
                <w:rFonts w:hint="eastAsia"/>
                <w:bCs/>
                <w:color w:val="auto"/>
                <w:sz w:val="22"/>
                <w:szCs w:val="22"/>
                <w:highlight w:val="none"/>
                <w:lang w:eastAsia="zh-CN"/>
              </w:rPr>
              <w:t>生物</w:t>
            </w:r>
            <w:r>
              <w:rPr>
                <w:rFonts w:hint="eastAsia"/>
                <w:bCs/>
                <w:color w:val="auto"/>
                <w:sz w:val="22"/>
                <w:szCs w:val="22"/>
                <w:highlight w:val="none"/>
              </w:rPr>
              <w:t>、底栖动物、水生维管束植物、鱼类</w:t>
            </w:r>
            <w:r>
              <w:rPr>
                <w:rFonts w:hint="eastAsia"/>
                <w:bCs/>
                <w:color w:val="auto"/>
                <w:sz w:val="22"/>
                <w:szCs w:val="22"/>
                <w:highlight w:val="none"/>
                <w:lang w:eastAsia="zh-CN"/>
              </w:rPr>
              <w:t>资源</w:t>
            </w:r>
          </w:p>
        </w:tc>
        <w:tc>
          <w:tcPr>
            <w:tcW w:w="1912" w:type="dxa"/>
            <w:vAlign w:val="center"/>
          </w:tcPr>
          <w:p>
            <w:pPr>
              <w:pStyle w:val="197"/>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2"/>
                <w:szCs w:val="22"/>
                <w:highlight w:val="none"/>
                <w:lang w:val="en-US" w:eastAsia="zh-CN" w:bidi="ar-SA"/>
              </w:rPr>
            </w:pPr>
            <w:r>
              <w:rPr>
                <w:rFonts w:hint="eastAsia"/>
                <w:bCs/>
                <w:color w:val="auto"/>
                <w:sz w:val="22"/>
                <w:szCs w:val="22"/>
                <w:highlight w:val="none"/>
              </w:rPr>
              <w:t>水生生物每年监测4次，每季度1次；鱼类资源每年监测2次，春冬季各1次。</w:t>
            </w:r>
          </w:p>
        </w:tc>
        <w:tc>
          <w:tcPr>
            <w:tcW w:w="1140"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r>
              <w:rPr>
                <w:rFonts w:hint="eastAsia"/>
                <w:bCs/>
                <w:color w:val="auto"/>
                <w:sz w:val="22"/>
                <w:szCs w:val="22"/>
                <w:highlight w:val="none"/>
                <w:lang w:eastAsia="zh-CN"/>
              </w:rPr>
              <w:t>根据上下游鱼类监测</w:t>
            </w:r>
            <w:r>
              <w:rPr>
                <w:rFonts w:hint="eastAsia"/>
                <w:bCs/>
                <w:color w:val="auto"/>
                <w:sz w:val="22"/>
                <w:szCs w:val="22"/>
                <w:highlight w:val="none"/>
                <w:shd w:val="clear" w:fill="FFFFFF"/>
                <w:lang w:eastAsia="zh-CN"/>
              </w:rPr>
              <w:t>资料</w:t>
            </w:r>
            <w:r>
              <w:rPr>
                <w:rFonts w:hint="eastAsia"/>
                <w:bCs/>
                <w:color w:val="auto"/>
                <w:sz w:val="22"/>
                <w:szCs w:val="22"/>
                <w:highlight w:val="none"/>
                <w:lang w:eastAsia="zh-CN"/>
              </w:rPr>
              <w:t>分析</w:t>
            </w:r>
            <w:r>
              <w:rPr>
                <w:rFonts w:hint="eastAsia" w:cs="Times New Roman"/>
                <w:bCs w:val="0"/>
                <w:color w:val="auto"/>
                <w:sz w:val="22"/>
                <w:szCs w:val="22"/>
                <w:highlight w:val="none"/>
              </w:rPr>
              <w:t>鱼道过鱼效果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p>
        </w:tc>
        <w:tc>
          <w:tcPr>
            <w:tcW w:w="511" w:type="dxa"/>
            <w:vMerge w:val="continue"/>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p>
        </w:tc>
        <w:tc>
          <w:tcPr>
            <w:tcW w:w="672"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2"/>
                <w:szCs w:val="22"/>
                <w:highlight w:val="none"/>
                <w:lang w:val="en-US" w:eastAsia="zh-CN" w:bidi="ar-SA"/>
              </w:rPr>
            </w:pPr>
            <w:r>
              <w:rPr>
                <w:rFonts w:hint="eastAsia"/>
                <w:bCs/>
                <w:color w:val="auto"/>
                <w:sz w:val="22"/>
                <w:szCs w:val="22"/>
                <w:highlight w:val="none"/>
                <w:lang w:eastAsia="zh-CN"/>
              </w:rPr>
              <w:t>陆生</w:t>
            </w:r>
          </w:p>
        </w:tc>
        <w:tc>
          <w:tcPr>
            <w:tcW w:w="1637"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lang w:eastAsia="zh-CN"/>
              </w:rPr>
            </w:pPr>
            <w:r>
              <w:rPr>
                <w:rFonts w:hint="eastAsia"/>
                <w:bCs/>
                <w:color w:val="auto"/>
                <w:sz w:val="22"/>
                <w:szCs w:val="22"/>
                <w:highlight w:val="none"/>
                <w:lang w:eastAsia="zh-CN"/>
              </w:rPr>
              <w:t>临时占地区</w:t>
            </w:r>
          </w:p>
        </w:tc>
        <w:tc>
          <w:tcPr>
            <w:tcW w:w="1988"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rPr>
            </w:pPr>
            <w:r>
              <w:rPr>
                <w:rFonts w:hint="eastAsia"/>
                <w:bCs/>
                <w:color w:val="auto"/>
                <w:sz w:val="22"/>
                <w:szCs w:val="22"/>
                <w:highlight w:val="none"/>
              </w:rPr>
              <w:t>恢复植被的成活率、覆盖度等</w:t>
            </w:r>
          </w:p>
        </w:tc>
        <w:tc>
          <w:tcPr>
            <w:tcW w:w="1912"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eastAsia"/>
                <w:bCs/>
                <w:color w:val="auto"/>
                <w:sz w:val="22"/>
                <w:szCs w:val="22"/>
                <w:highlight w:val="none"/>
              </w:rPr>
            </w:pPr>
            <w:r>
              <w:rPr>
                <w:rFonts w:hint="eastAsia"/>
                <w:bCs/>
                <w:color w:val="auto"/>
                <w:sz w:val="22"/>
                <w:szCs w:val="22"/>
                <w:highlight w:val="none"/>
              </w:rPr>
              <w:t>运行后连续观测 3年</w:t>
            </w:r>
          </w:p>
        </w:tc>
        <w:tc>
          <w:tcPr>
            <w:tcW w:w="1140" w:type="dxa"/>
            <w:vAlign w:val="center"/>
          </w:tcPr>
          <w:p>
            <w:pPr>
              <w:pStyle w:val="197"/>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default"/>
                <w:bCs/>
                <w:color w:val="auto"/>
                <w:sz w:val="22"/>
                <w:szCs w:val="22"/>
                <w:highlight w:val="none"/>
                <w:lang w:val="en-US" w:eastAsia="zh-CN"/>
              </w:rPr>
            </w:pPr>
            <w:r>
              <w:rPr>
                <w:rFonts w:hint="eastAsia"/>
                <w:bCs/>
                <w:color w:val="auto"/>
                <w:sz w:val="22"/>
                <w:szCs w:val="22"/>
                <w:highlight w:val="none"/>
                <w:lang w:val="en-US" w:eastAsia="zh-CN"/>
              </w:rPr>
              <w:t>/</w:t>
            </w:r>
          </w:p>
        </w:tc>
      </w:tr>
    </w:tbl>
    <w:p>
      <w:pPr>
        <w:spacing w:line="240" w:lineRule="auto"/>
        <w:ind w:firstLine="0" w:firstLineChars="0"/>
        <w:jc w:val="center"/>
        <w:rPr>
          <w:color w:val="auto"/>
          <w:szCs w:val="26"/>
          <w:highlight w:val="none"/>
        </w:rPr>
      </w:pPr>
    </w:p>
    <w:p>
      <w:pPr>
        <w:pStyle w:val="4"/>
        <w:rPr>
          <w:color w:val="auto"/>
          <w:highlight w:val="none"/>
        </w:rPr>
      </w:pPr>
      <w:bookmarkStart w:id="174" w:name="_Toc21424"/>
      <w:r>
        <w:rPr>
          <w:color w:val="auto"/>
          <w:highlight w:val="none"/>
        </w:rPr>
        <w:t>环境保护竣工验收调查内容</w:t>
      </w:r>
      <w:bookmarkEnd w:id="173"/>
      <w:bookmarkEnd w:id="174"/>
    </w:p>
    <w:p>
      <w:pPr>
        <w:snapToGrid w:val="0"/>
        <w:ind w:firstLine="520"/>
        <w:rPr>
          <w:rFonts w:hint="eastAsia"/>
          <w:color w:val="auto"/>
          <w:szCs w:val="26"/>
          <w:highlight w:val="none"/>
        </w:rPr>
      </w:pPr>
      <w:r>
        <w:rPr>
          <w:rFonts w:hint="eastAsia"/>
          <w:color w:val="auto"/>
          <w:szCs w:val="26"/>
          <w:highlight w:val="none"/>
        </w:rPr>
        <w:t>项目竣工后，建设单位应当按照国务院环境保护行政主管部门规定的标准和程序，对配套建设的环境保护设施进行验收，验收合格后，方可投入生产或者使用。验收内容见</w:t>
      </w:r>
      <w:r>
        <w:rPr>
          <w:rFonts w:hint="eastAsia"/>
          <w:color w:val="auto"/>
          <w:szCs w:val="26"/>
          <w:highlight w:val="none"/>
          <w:lang w:eastAsia="zh-CN"/>
        </w:rPr>
        <w:t>下表：</w:t>
      </w:r>
    </w:p>
    <w:p>
      <w:pPr>
        <w:snapToGrid w:val="0"/>
        <w:spacing w:line="240" w:lineRule="auto"/>
        <w:ind w:firstLine="520"/>
        <w:rPr>
          <w:rFonts w:hint="eastAsia"/>
          <w:color w:val="auto"/>
          <w:szCs w:val="26"/>
          <w:highlight w:val="none"/>
        </w:rPr>
      </w:pPr>
    </w:p>
    <w:p>
      <w:pPr>
        <w:snapToGrid w:val="0"/>
        <w:spacing w:line="240" w:lineRule="auto"/>
        <w:ind w:left="0" w:leftChars="0" w:firstLine="0" w:firstLineChars="0"/>
        <w:jc w:val="center"/>
        <w:rPr>
          <w:color w:val="auto"/>
          <w:szCs w:val="26"/>
          <w:highlight w:val="none"/>
        </w:rPr>
      </w:pPr>
      <w:r>
        <w:rPr>
          <w:rFonts w:hint="eastAsia"/>
          <w:color w:val="auto"/>
          <w:szCs w:val="26"/>
          <w:highlight w:val="none"/>
        </w:rPr>
        <w:t>表</w:t>
      </w:r>
      <w:r>
        <w:rPr>
          <w:rFonts w:hint="eastAsia"/>
          <w:color w:val="auto"/>
          <w:szCs w:val="26"/>
          <w:highlight w:val="none"/>
          <w:lang w:val="en-US" w:eastAsia="zh-CN"/>
        </w:rPr>
        <w:t xml:space="preserve">7.3-1  </w:t>
      </w:r>
      <w:r>
        <w:rPr>
          <w:rFonts w:hint="eastAsia"/>
          <w:color w:val="auto"/>
          <w:szCs w:val="26"/>
          <w:highlight w:val="none"/>
        </w:rPr>
        <w:t>项目竣工环境保护验收一览表</w:t>
      </w:r>
    </w:p>
    <w:tbl>
      <w:tblPr>
        <w:tblStyle w:val="28"/>
        <w:tblW w:w="4921"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11" w:type="dxa"/>
          <w:left w:w="6" w:type="dxa"/>
          <w:bottom w:w="11" w:type="dxa"/>
          <w:right w:w="6" w:type="dxa"/>
        </w:tblCellMar>
      </w:tblPr>
      <w:tblGrid>
        <w:gridCol w:w="633"/>
        <w:gridCol w:w="595"/>
        <w:gridCol w:w="1185"/>
        <w:gridCol w:w="4572"/>
        <w:gridCol w:w="1517"/>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Align w:val="center"/>
          </w:tcPr>
          <w:p>
            <w:pPr>
              <w:snapToGrid w:val="0"/>
              <w:spacing w:line="240" w:lineRule="auto"/>
              <w:ind w:left="52" w:leftChars="20" w:right="52" w:rightChars="20" w:firstLine="0" w:firstLineChars="0"/>
              <w:jc w:val="center"/>
              <w:rPr>
                <w:color w:val="auto"/>
                <w:sz w:val="22"/>
                <w:szCs w:val="22"/>
                <w:highlight w:val="none"/>
              </w:rPr>
            </w:pPr>
            <w:bookmarkStart w:id="175" w:name="_Hlk45618104"/>
            <w:r>
              <w:rPr>
                <w:color w:val="auto"/>
                <w:sz w:val="22"/>
                <w:szCs w:val="22"/>
                <w:highlight w:val="none"/>
              </w:rPr>
              <w:t>环境要素</w:t>
            </w:r>
          </w:p>
        </w:tc>
        <w:tc>
          <w:tcPr>
            <w:tcW w:w="595"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r>
              <w:rPr>
                <w:rFonts w:hint="eastAsia"/>
                <w:color w:val="auto"/>
                <w:sz w:val="22"/>
                <w:szCs w:val="22"/>
                <w:highlight w:val="none"/>
              </w:rPr>
              <w:t>阶段</w:t>
            </w:r>
          </w:p>
        </w:tc>
        <w:tc>
          <w:tcPr>
            <w:tcW w:w="1184"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r>
              <w:rPr>
                <w:color w:val="auto"/>
                <w:sz w:val="22"/>
                <w:szCs w:val="22"/>
                <w:highlight w:val="none"/>
              </w:rPr>
              <w:t>污染源/关注对象</w:t>
            </w:r>
          </w:p>
        </w:tc>
        <w:tc>
          <w:tcPr>
            <w:tcW w:w="4568"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r>
              <w:rPr>
                <w:color w:val="auto"/>
                <w:sz w:val="22"/>
                <w:szCs w:val="22"/>
                <w:highlight w:val="none"/>
              </w:rPr>
              <w:t>验收内容</w:t>
            </w:r>
          </w:p>
        </w:tc>
        <w:tc>
          <w:tcPr>
            <w:tcW w:w="1516"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r>
              <w:rPr>
                <w:color w:val="auto"/>
                <w:sz w:val="22"/>
                <w:szCs w:val="22"/>
                <w:highlight w:val="none"/>
              </w:rPr>
              <w:t>验收要求</w:t>
            </w:r>
          </w:p>
          <w:p>
            <w:pPr>
              <w:snapToGrid w:val="0"/>
              <w:spacing w:line="240" w:lineRule="auto"/>
              <w:ind w:left="52" w:leftChars="20" w:right="52" w:rightChars="20" w:firstLine="0" w:firstLineChars="0"/>
              <w:jc w:val="center"/>
              <w:rPr>
                <w:color w:val="auto"/>
                <w:sz w:val="22"/>
                <w:szCs w:val="22"/>
                <w:highlight w:val="none"/>
              </w:rPr>
            </w:pPr>
            <w:r>
              <w:rPr>
                <w:color w:val="auto"/>
                <w:sz w:val="22"/>
                <w:szCs w:val="22"/>
                <w:highlight w:val="none"/>
              </w:rPr>
              <w:t>或标准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restart"/>
            <w:vAlign w:val="center"/>
          </w:tcPr>
          <w:p>
            <w:pPr>
              <w:snapToGrid w:val="0"/>
              <w:spacing w:line="240" w:lineRule="auto"/>
              <w:ind w:left="52" w:leftChars="20" w:right="52" w:rightChars="20" w:firstLine="0" w:firstLineChars="0"/>
              <w:jc w:val="center"/>
              <w:rPr>
                <w:color w:val="auto"/>
                <w:sz w:val="22"/>
                <w:szCs w:val="22"/>
                <w:highlight w:val="none"/>
              </w:rPr>
            </w:pPr>
            <w:r>
              <w:rPr>
                <w:color w:val="auto"/>
                <w:sz w:val="22"/>
                <w:szCs w:val="22"/>
                <w:highlight w:val="none"/>
              </w:rPr>
              <w:t>地表水环境</w:t>
            </w:r>
          </w:p>
        </w:tc>
        <w:tc>
          <w:tcPr>
            <w:tcW w:w="595" w:type="dxa"/>
            <w:vMerge w:val="restart"/>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r>
              <w:rPr>
                <w:rFonts w:hint="eastAsia"/>
                <w:color w:val="auto"/>
                <w:sz w:val="22"/>
                <w:szCs w:val="22"/>
                <w:highlight w:val="none"/>
              </w:rPr>
              <w:t>施工期</w:t>
            </w:r>
          </w:p>
        </w:tc>
        <w:tc>
          <w:tcPr>
            <w:tcW w:w="1184" w:type="dxa"/>
            <w:tcMar>
              <w:top w:w="0" w:type="dxa"/>
              <w:left w:w="0" w:type="dxa"/>
              <w:bottom w:w="0" w:type="dxa"/>
              <w:right w:w="0" w:type="dxa"/>
            </w:tcMar>
            <w:vAlign w:val="center"/>
          </w:tcPr>
          <w:p>
            <w:pPr>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混凝土</w:t>
            </w:r>
            <w:r>
              <w:rPr>
                <w:rFonts w:hint="eastAsia"/>
                <w:color w:val="auto"/>
                <w:sz w:val="22"/>
                <w:szCs w:val="22"/>
                <w:highlight w:val="none"/>
                <w:shd w:val="clear" w:fill="FFFFFF"/>
              </w:rPr>
              <w:t>拌合系统</w:t>
            </w:r>
            <w:r>
              <w:rPr>
                <w:rFonts w:hint="eastAsia"/>
                <w:color w:val="auto"/>
                <w:sz w:val="22"/>
                <w:szCs w:val="22"/>
                <w:highlight w:val="none"/>
              </w:rPr>
              <w:t>废水</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设置清水池、沉淀池，</w:t>
            </w:r>
            <w:r>
              <w:rPr>
                <w:rFonts w:hint="eastAsia"/>
                <w:color w:val="auto"/>
                <w:sz w:val="22"/>
                <w:szCs w:val="22"/>
                <w:highlight w:val="none"/>
              </w:rPr>
              <w:t>采用沉淀法中和处理，经处理后全部回用于生产。</w:t>
            </w:r>
          </w:p>
        </w:tc>
        <w:tc>
          <w:tcPr>
            <w:tcW w:w="1516"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处理后</w:t>
            </w:r>
            <w:r>
              <w:rPr>
                <w:rFonts w:hint="eastAsia"/>
                <w:color w:val="auto"/>
                <w:sz w:val="22"/>
                <w:szCs w:val="22"/>
                <w:highlight w:val="none"/>
              </w:rPr>
              <w:t>回用，妥善处置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continue"/>
            <w:vAlign w:val="center"/>
          </w:tcPr>
          <w:p>
            <w:pPr>
              <w:snapToGrid w:val="0"/>
              <w:spacing w:line="240" w:lineRule="auto"/>
              <w:ind w:left="52" w:leftChars="20" w:right="52" w:rightChars="20" w:firstLine="0" w:firstLineChars="0"/>
              <w:jc w:val="center"/>
              <w:rPr>
                <w:color w:val="auto"/>
                <w:sz w:val="22"/>
                <w:szCs w:val="22"/>
                <w:highlight w:val="none"/>
              </w:rPr>
            </w:pPr>
          </w:p>
        </w:tc>
        <w:tc>
          <w:tcPr>
            <w:tcW w:w="595" w:type="dxa"/>
            <w:vMerge w:val="continue"/>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p>
        </w:tc>
        <w:tc>
          <w:tcPr>
            <w:tcW w:w="1184" w:type="dxa"/>
            <w:tcMar>
              <w:top w:w="0" w:type="dxa"/>
              <w:left w:w="0" w:type="dxa"/>
              <w:bottom w:w="0" w:type="dxa"/>
              <w:right w:w="0" w:type="dxa"/>
            </w:tcMar>
            <w:vAlign w:val="center"/>
          </w:tcPr>
          <w:p>
            <w:pPr>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基坑排水</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在基坑沉淀池加中和絮凝剂沉淀处理</w:t>
            </w:r>
            <w:r>
              <w:rPr>
                <w:rFonts w:hint="eastAsia"/>
                <w:color w:val="auto"/>
                <w:sz w:val="22"/>
                <w:szCs w:val="22"/>
                <w:highlight w:val="none"/>
                <w:lang w:eastAsia="zh-CN"/>
              </w:rPr>
              <w:t>后排放。</w:t>
            </w:r>
          </w:p>
        </w:tc>
        <w:tc>
          <w:tcPr>
            <w:tcW w:w="1516"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r>
              <w:rPr>
                <w:rFonts w:hint="eastAsia"/>
                <w:color w:val="auto"/>
                <w:sz w:val="22"/>
                <w:szCs w:val="22"/>
                <w:highlight w:val="none"/>
                <w:lang w:eastAsia="zh-CN"/>
              </w:rPr>
              <w:t>处理后排放，未对涪江水质造成影响。</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continue"/>
            <w:vAlign w:val="center"/>
          </w:tcPr>
          <w:p>
            <w:pPr>
              <w:snapToGrid w:val="0"/>
              <w:spacing w:line="240" w:lineRule="auto"/>
              <w:ind w:left="52" w:leftChars="20" w:right="52" w:rightChars="20" w:firstLine="0" w:firstLineChars="0"/>
              <w:jc w:val="center"/>
              <w:rPr>
                <w:color w:val="auto"/>
                <w:sz w:val="22"/>
                <w:szCs w:val="22"/>
                <w:highlight w:val="none"/>
              </w:rPr>
            </w:pPr>
          </w:p>
        </w:tc>
        <w:tc>
          <w:tcPr>
            <w:tcW w:w="595" w:type="dxa"/>
            <w:vMerge w:val="continue"/>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p>
        </w:tc>
        <w:tc>
          <w:tcPr>
            <w:tcW w:w="1184" w:type="dxa"/>
            <w:tcMar>
              <w:top w:w="0" w:type="dxa"/>
              <w:left w:w="0" w:type="dxa"/>
              <w:bottom w:w="0" w:type="dxa"/>
              <w:right w:w="0" w:type="dxa"/>
            </w:tcMar>
            <w:vAlign w:val="center"/>
          </w:tcPr>
          <w:p>
            <w:pPr>
              <w:snapToGrid w:val="0"/>
              <w:spacing w:line="240" w:lineRule="auto"/>
              <w:ind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车辆冲洗废水</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配套建设沉淀池，沉淀处理后回用于车辆冲洗</w:t>
            </w:r>
            <w:r>
              <w:rPr>
                <w:rFonts w:hint="eastAsia"/>
                <w:color w:val="auto"/>
                <w:sz w:val="22"/>
                <w:szCs w:val="22"/>
                <w:highlight w:val="none"/>
                <w:lang w:eastAsia="zh-CN"/>
              </w:rPr>
              <w:t>。</w:t>
            </w:r>
          </w:p>
        </w:tc>
        <w:tc>
          <w:tcPr>
            <w:tcW w:w="1516"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rFonts w:hint="eastAsia"/>
                <w:color w:val="auto"/>
                <w:sz w:val="22"/>
                <w:szCs w:val="22"/>
                <w:highlight w:val="none"/>
                <w:lang w:eastAsia="zh-CN"/>
              </w:rPr>
            </w:pPr>
            <w:r>
              <w:rPr>
                <w:rFonts w:hint="eastAsia"/>
                <w:color w:val="auto"/>
                <w:sz w:val="22"/>
                <w:szCs w:val="22"/>
                <w:highlight w:val="none"/>
                <w:lang w:eastAsia="zh-CN"/>
              </w:rPr>
              <w:t>处理后</w:t>
            </w:r>
            <w:r>
              <w:rPr>
                <w:rFonts w:hint="eastAsia"/>
                <w:color w:val="auto"/>
                <w:sz w:val="22"/>
                <w:szCs w:val="22"/>
                <w:highlight w:val="none"/>
              </w:rPr>
              <w:t>回用，妥善处置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continue"/>
            <w:vAlign w:val="center"/>
          </w:tcPr>
          <w:p>
            <w:pPr>
              <w:snapToGrid w:val="0"/>
              <w:spacing w:line="240" w:lineRule="auto"/>
              <w:ind w:left="52" w:leftChars="20" w:right="52" w:rightChars="20" w:firstLine="0" w:firstLineChars="0"/>
              <w:jc w:val="center"/>
              <w:rPr>
                <w:color w:val="auto"/>
                <w:sz w:val="22"/>
                <w:szCs w:val="22"/>
                <w:highlight w:val="none"/>
              </w:rPr>
            </w:pPr>
          </w:p>
        </w:tc>
        <w:tc>
          <w:tcPr>
            <w:tcW w:w="595" w:type="dxa"/>
            <w:vMerge w:val="continue"/>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p>
        </w:tc>
        <w:tc>
          <w:tcPr>
            <w:tcW w:w="1184" w:type="dxa"/>
            <w:tcMar>
              <w:top w:w="0" w:type="dxa"/>
              <w:left w:w="0" w:type="dxa"/>
              <w:bottom w:w="0" w:type="dxa"/>
              <w:right w:w="0" w:type="dxa"/>
            </w:tcMar>
            <w:vAlign w:val="center"/>
          </w:tcPr>
          <w:p>
            <w:pPr>
              <w:snapToGrid w:val="0"/>
              <w:spacing w:line="240" w:lineRule="auto"/>
              <w:ind w:firstLine="0" w:firstLineChars="0"/>
              <w:jc w:val="center"/>
              <w:rPr>
                <w:rFonts w:hint="eastAsia"/>
                <w:color w:val="auto"/>
                <w:sz w:val="22"/>
                <w:szCs w:val="22"/>
                <w:highlight w:val="none"/>
                <w:lang w:eastAsia="zh-CN"/>
              </w:rPr>
            </w:pPr>
            <w:r>
              <w:rPr>
                <w:rFonts w:hint="eastAsia"/>
                <w:color w:val="auto"/>
                <w:sz w:val="22"/>
                <w:szCs w:val="22"/>
                <w:highlight w:val="none"/>
                <w:lang w:eastAsia="zh-CN"/>
              </w:rPr>
              <w:t>疏浚砂临时堆场余水</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在临时堆料场四周设置截水沟及配套沉淀池，经沉淀处理后，回用施工场地洒水降尘、绿化</w:t>
            </w:r>
          </w:p>
        </w:tc>
        <w:tc>
          <w:tcPr>
            <w:tcW w:w="1516"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rFonts w:hint="eastAsia"/>
                <w:color w:val="auto"/>
                <w:sz w:val="22"/>
                <w:szCs w:val="22"/>
                <w:highlight w:val="none"/>
                <w:lang w:eastAsia="zh-CN"/>
              </w:rPr>
            </w:pPr>
            <w:r>
              <w:rPr>
                <w:rFonts w:hint="eastAsia"/>
                <w:color w:val="auto"/>
                <w:sz w:val="22"/>
                <w:szCs w:val="22"/>
                <w:highlight w:val="none"/>
                <w:lang w:eastAsia="zh-CN"/>
              </w:rPr>
              <w:t>处理后</w:t>
            </w:r>
            <w:r>
              <w:rPr>
                <w:rFonts w:hint="eastAsia"/>
                <w:color w:val="auto"/>
                <w:sz w:val="22"/>
                <w:szCs w:val="22"/>
                <w:highlight w:val="none"/>
              </w:rPr>
              <w:t>回用，妥善处置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continue"/>
            <w:vAlign w:val="center"/>
          </w:tcPr>
          <w:p>
            <w:pPr>
              <w:snapToGrid w:val="0"/>
              <w:spacing w:line="240" w:lineRule="auto"/>
              <w:ind w:left="52" w:leftChars="20" w:right="52" w:rightChars="20" w:firstLine="0" w:firstLineChars="0"/>
              <w:jc w:val="center"/>
              <w:rPr>
                <w:color w:val="auto"/>
                <w:sz w:val="22"/>
                <w:szCs w:val="22"/>
                <w:highlight w:val="none"/>
              </w:rPr>
            </w:pPr>
          </w:p>
        </w:tc>
        <w:tc>
          <w:tcPr>
            <w:tcW w:w="595" w:type="dxa"/>
            <w:vMerge w:val="continue"/>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p>
        </w:tc>
        <w:tc>
          <w:tcPr>
            <w:tcW w:w="1184" w:type="dxa"/>
            <w:tcMar>
              <w:top w:w="0" w:type="dxa"/>
              <w:left w:w="0" w:type="dxa"/>
              <w:bottom w:w="0" w:type="dxa"/>
              <w:right w:w="0" w:type="dxa"/>
            </w:tcMar>
            <w:vAlign w:val="center"/>
          </w:tcPr>
          <w:p>
            <w:pPr>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生活</w:t>
            </w:r>
            <w:r>
              <w:rPr>
                <w:rFonts w:hint="eastAsia"/>
                <w:color w:val="auto"/>
                <w:sz w:val="22"/>
                <w:szCs w:val="22"/>
                <w:highlight w:val="none"/>
                <w:lang w:eastAsia="zh-CN"/>
              </w:rPr>
              <w:t>污水</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设置一体化污水处理设备，</w:t>
            </w:r>
            <w:r>
              <w:rPr>
                <w:rFonts w:hint="eastAsia"/>
                <w:color w:val="auto"/>
                <w:sz w:val="22"/>
                <w:szCs w:val="22"/>
                <w:highlight w:val="none"/>
              </w:rPr>
              <w:t>经处理</w:t>
            </w:r>
            <w:r>
              <w:rPr>
                <w:rFonts w:hint="eastAsia"/>
                <w:color w:val="auto"/>
                <w:sz w:val="22"/>
                <w:szCs w:val="22"/>
                <w:highlight w:val="none"/>
                <w:lang w:eastAsia="zh-CN"/>
              </w:rPr>
              <w:t>后回</w:t>
            </w:r>
            <w:r>
              <w:rPr>
                <w:rFonts w:hint="eastAsia"/>
                <w:color w:val="auto"/>
                <w:sz w:val="22"/>
                <w:szCs w:val="22"/>
                <w:highlight w:val="none"/>
              </w:rPr>
              <w:t>用于车辆冲洗、洒水抑尘或周边绿化，不外排</w:t>
            </w:r>
            <w:r>
              <w:rPr>
                <w:rFonts w:hint="eastAsia"/>
                <w:color w:val="auto"/>
                <w:sz w:val="22"/>
                <w:szCs w:val="22"/>
                <w:highlight w:val="none"/>
                <w:lang w:eastAsia="zh-CN"/>
              </w:rPr>
              <w:t>。</w:t>
            </w:r>
          </w:p>
        </w:tc>
        <w:tc>
          <w:tcPr>
            <w:tcW w:w="1516"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处理后</w:t>
            </w:r>
            <w:r>
              <w:rPr>
                <w:rFonts w:hint="eastAsia"/>
                <w:color w:val="auto"/>
                <w:sz w:val="22"/>
                <w:szCs w:val="22"/>
                <w:highlight w:val="none"/>
              </w:rPr>
              <w:t>回用，妥善处置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continue"/>
            <w:vAlign w:val="center"/>
          </w:tcPr>
          <w:p>
            <w:pPr>
              <w:snapToGrid w:val="0"/>
              <w:spacing w:line="240" w:lineRule="auto"/>
              <w:ind w:left="52" w:leftChars="20" w:right="52" w:rightChars="20" w:firstLine="0" w:firstLineChars="0"/>
              <w:jc w:val="center"/>
              <w:rPr>
                <w:color w:val="auto"/>
                <w:sz w:val="22"/>
                <w:szCs w:val="22"/>
                <w:highlight w:val="none"/>
              </w:rPr>
            </w:pPr>
          </w:p>
        </w:tc>
        <w:tc>
          <w:tcPr>
            <w:tcW w:w="595"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r>
              <w:rPr>
                <w:rFonts w:hint="eastAsia"/>
                <w:color w:val="auto"/>
                <w:sz w:val="22"/>
                <w:szCs w:val="22"/>
                <w:highlight w:val="none"/>
              </w:rPr>
              <w:t>运营期</w:t>
            </w:r>
          </w:p>
        </w:tc>
        <w:tc>
          <w:tcPr>
            <w:tcW w:w="1184" w:type="dxa"/>
            <w:tcMar>
              <w:top w:w="0" w:type="dxa"/>
              <w:left w:w="0" w:type="dxa"/>
              <w:bottom w:w="0" w:type="dxa"/>
              <w:right w:w="0" w:type="dxa"/>
            </w:tcMar>
            <w:vAlign w:val="center"/>
          </w:tcPr>
          <w:p>
            <w:pPr>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生活污水</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hint="default"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在管理区建设污水处理站，内设</w:t>
            </w:r>
            <w:r>
              <w:rPr>
                <w:rFonts w:hint="eastAsia" w:cs="宋体"/>
                <w:color w:val="auto"/>
                <w:kern w:val="0"/>
                <w:sz w:val="22"/>
                <w:szCs w:val="22"/>
                <w:highlight w:val="none"/>
                <w:lang w:eastAsia="zh-CN"/>
              </w:rPr>
              <w:t>一体化污水处理设备，设计规模</w:t>
            </w:r>
            <w:r>
              <w:rPr>
                <w:rFonts w:hint="eastAsia" w:cs="宋体"/>
                <w:color w:val="auto"/>
                <w:kern w:val="0"/>
                <w:sz w:val="22"/>
                <w:szCs w:val="22"/>
                <w:highlight w:val="none"/>
                <w:lang w:val="en-US" w:eastAsia="zh-CN"/>
              </w:rPr>
              <w:t>3m³/h，</w:t>
            </w:r>
            <w:r>
              <w:rPr>
                <w:rFonts w:hint="eastAsia" w:cs="宋体"/>
                <w:color w:val="auto"/>
                <w:kern w:val="0"/>
                <w:sz w:val="22"/>
                <w:szCs w:val="22"/>
                <w:highlight w:val="none"/>
                <w:lang w:eastAsia="zh-CN"/>
              </w:rPr>
              <w:t>生活污水经一体化污水处理设备</w:t>
            </w:r>
            <w:r>
              <w:rPr>
                <w:rFonts w:hint="eastAsia" w:cs="宋体"/>
                <w:color w:val="auto"/>
                <w:kern w:val="0"/>
                <w:sz w:val="22"/>
                <w:szCs w:val="22"/>
                <w:highlight w:val="none"/>
                <w:shd w:val="clear" w:fill="FFFFFF"/>
                <w:lang w:eastAsia="zh-CN"/>
              </w:rPr>
              <w:t>处理达</w:t>
            </w:r>
            <w:r>
              <w:rPr>
                <w:rFonts w:hint="eastAsia" w:cs="宋体"/>
                <w:color w:val="auto"/>
                <w:kern w:val="0"/>
                <w:sz w:val="22"/>
                <w:szCs w:val="22"/>
                <w:highlight w:val="none"/>
                <w:lang w:eastAsia="zh-CN"/>
              </w:rPr>
              <w:t>后回用于绿化，不外排。</w:t>
            </w:r>
          </w:p>
        </w:tc>
        <w:tc>
          <w:tcPr>
            <w:tcW w:w="1516"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r>
              <w:rPr>
                <w:rFonts w:hint="eastAsia"/>
                <w:color w:val="auto"/>
                <w:sz w:val="22"/>
                <w:szCs w:val="22"/>
                <w:highlight w:val="none"/>
                <w:lang w:eastAsia="zh-CN"/>
              </w:rPr>
              <w:t>处理后</w:t>
            </w:r>
            <w:r>
              <w:rPr>
                <w:rFonts w:hint="eastAsia"/>
                <w:color w:val="auto"/>
                <w:sz w:val="22"/>
                <w:szCs w:val="22"/>
                <w:highlight w:val="none"/>
              </w:rPr>
              <w:t>回用，妥善处置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restart"/>
            <w:vAlign w:val="center"/>
          </w:tcPr>
          <w:p>
            <w:pPr>
              <w:snapToGrid w:val="0"/>
              <w:spacing w:line="240" w:lineRule="auto"/>
              <w:ind w:left="52" w:leftChars="20" w:right="52" w:rightChars="20" w:firstLine="0" w:firstLineChars="0"/>
              <w:jc w:val="center"/>
              <w:rPr>
                <w:color w:val="auto"/>
                <w:sz w:val="22"/>
                <w:szCs w:val="22"/>
                <w:highlight w:val="none"/>
              </w:rPr>
            </w:pPr>
            <w:r>
              <w:rPr>
                <w:color w:val="auto"/>
                <w:sz w:val="22"/>
                <w:szCs w:val="22"/>
                <w:highlight w:val="none"/>
              </w:rPr>
              <w:t>环境空气</w:t>
            </w:r>
          </w:p>
        </w:tc>
        <w:tc>
          <w:tcPr>
            <w:tcW w:w="595" w:type="dxa"/>
            <w:vMerge w:val="restart"/>
            <w:vAlign w:val="center"/>
          </w:tcPr>
          <w:p>
            <w:pPr>
              <w:snapToGrid w:val="0"/>
              <w:spacing w:line="240" w:lineRule="auto"/>
              <w:ind w:left="52" w:leftChars="20" w:right="52" w:rightChars="20" w:firstLine="0" w:firstLineChars="0"/>
              <w:jc w:val="center"/>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施工期</w:t>
            </w:r>
          </w:p>
        </w:tc>
        <w:tc>
          <w:tcPr>
            <w:tcW w:w="1184" w:type="dxa"/>
            <w:tcMar>
              <w:top w:w="0" w:type="dxa"/>
              <w:left w:w="0" w:type="dxa"/>
              <w:bottom w:w="0" w:type="dxa"/>
              <w:right w:w="0" w:type="dxa"/>
            </w:tcMar>
            <w:vAlign w:val="center"/>
          </w:tcPr>
          <w:p>
            <w:pPr>
              <w:snapToGrid w:val="0"/>
              <w:spacing w:line="240" w:lineRule="auto"/>
              <w:ind w:firstLine="0" w:firstLineChars="0"/>
              <w:jc w:val="center"/>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施工扬尘</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配备洒水车进行洒水抑尘、建立施工围挡、堆场加盖篷布，进出车辆冲洗</w:t>
            </w:r>
            <w:r>
              <w:rPr>
                <w:rFonts w:hint="eastAsia"/>
                <w:color w:val="auto"/>
                <w:sz w:val="22"/>
                <w:szCs w:val="22"/>
                <w:highlight w:val="none"/>
                <w:lang w:eastAsia="zh-CN"/>
              </w:rPr>
              <w:t>。</w:t>
            </w:r>
          </w:p>
        </w:tc>
        <w:tc>
          <w:tcPr>
            <w:tcW w:w="1516" w:type="dxa"/>
            <w:vMerge w:val="restart"/>
            <w:tcMar>
              <w:top w:w="0" w:type="dxa"/>
              <w:left w:w="0" w:type="dxa"/>
              <w:bottom w:w="0" w:type="dxa"/>
              <w:right w:w="0" w:type="dxa"/>
            </w:tcMar>
            <w:vAlign w:val="center"/>
          </w:tcPr>
          <w:p>
            <w:pPr>
              <w:snapToGrid w:val="0"/>
              <w:spacing w:line="240" w:lineRule="auto"/>
              <w:ind w:left="52" w:leftChars="20" w:right="52" w:rightChars="20"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施工期落实了扬尘控制措施，未对区域大气环境质量造成破坏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continue"/>
            <w:vAlign w:val="center"/>
          </w:tcPr>
          <w:p>
            <w:pPr>
              <w:snapToGrid w:val="0"/>
              <w:spacing w:line="240" w:lineRule="auto"/>
              <w:ind w:left="52" w:leftChars="20" w:right="52" w:rightChars="20" w:firstLine="0" w:firstLineChars="0"/>
              <w:jc w:val="center"/>
              <w:rPr>
                <w:color w:val="auto"/>
                <w:sz w:val="22"/>
                <w:szCs w:val="22"/>
                <w:highlight w:val="none"/>
              </w:rPr>
            </w:pPr>
          </w:p>
        </w:tc>
        <w:tc>
          <w:tcPr>
            <w:tcW w:w="595" w:type="dxa"/>
            <w:vMerge w:val="continue"/>
            <w:vAlign w:val="center"/>
          </w:tcPr>
          <w:p>
            <w:pPr>
              <w:snapToGrid w:val="0"/>
              <w:spacing w:line="240" w:lineRule="auto"/>
              <w:ind w:left="52" w:leftChars="20" w:right="52" w:rightChars="20" w:firstLine="0" w:firstLineChars="0"/>
              <w:jc w:val="center"/>
              <w:rPr>
                <w:color w:val="auto"/>
                <w:sz w:val="22"/>
                <w:szCs w:val="22"/>
                <w:highlight w:val="none"/>
              </w:rPr>
            </w:pPr>
          </w:p>
        </w:tc>
        <w:tc>
          <w:tcPr>
            <w:tcW w:w="1184" w:type="dxa"/>
            <w:tcMar>
              <w:top w:w="0" w:type="dxa"/>
              <w:left w:w="0" w:type="dxa"/>
              <w:bottom w:w="0" w:type="dxa"/>
              <w:right w:w="0" w:type="dxa"/>
            </w:tcMar>
            <w:vAlign w:val="center"/>
          </w:tcPr>
          <w:p>
            <w:pPr>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混凝土</w:t>
            </w:r>
            <w:r>
              <w:rPr>
                <w:rFonts w:hint="eastAsia"/>
                <w:color w:val="auto"/>
                <w:sz w:val="22"/>
                <w:szCs w:val="22"/>
                <w:highlight w:val="none"/>
                <w:shd w:val="clear" w:fill="FFFFFF"/>
              </w:rPr>
              <w:t>拌</w:t>
            </w:r>
            <w:r>
              <w:rPr>
                <w:rFonts w:hint="eastAsia"/>
                <w:color w:val="auto"/>
                <w:sz w:val="22"/>
                <w:szCs w:val="22"/>
                <w:highlight w:val="none"/>
                <w:shd w:val="clear" w:fill="FFFFFF"/>
                <w:lang w:eastAsia="zh-CN"/>
              </w:rPr>
              <w:t>合</w:t>
            </w:r>
            <w:r>
              <w:rPr>
                <w:rFonts w:hint="eastAsia"/>
                <w:color w:val="auto"/>
                <w:sz w:val="22"/>
                <w:szCs w:val="22"/>
                <w:highlight w:val="none"/>
                <w:shd w:val="clear" w:fill="FFFFFF"/>
              </w:rPr>
              <w:t>系统</w:t>
            </w:r>
            <w:r>
              <w:rPr>
                <w:rFonts w:hint="eastAsia"/>
                <w:color w:val="auto"/>
                <w:sz w:val="22"/>
                <w:szCs w:val="22"/>
                <w:highlight w:val="none"/>
              </w:rPr>
              <w:t>扬尘</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混凝土</w:t>
            </w:r>
            <w:r>
              <w:rPr>
                <w:rFonts w:hint="eastAsia"/>
                <w:color w:val="auto"/>
                <w:sz w:val="22"/>
                <w:szCs w:val="22"/>
                <w:highlight w:val="none"/>
                <w:shd w:val="clear" w:fill="FFFFFF"/>
              </w:rPr>
              <w:t>拌和</w:t>
            </w:r>
            <w:r>
              <w:rPr>
                <w:rFonts w:hint="eastAsia"/>
                <w:color w:val="auto"/>
                <w:sz w:val="22"/>
                <w:szCs w:val="22"/>
                <w:highlight w:val="none"/>
              </w:rPr>
              <w:t>系统采用全封闭</w:t>
            </w:r>
            <w:r>
              <w:rPr>
                <w:rFonts w:hint="eastAsia"/>
                <w:color w:val="auto"/>
                <w:sz w:val="22"/>
                <w:szCs w:val="22"/>
                <w:highlight w:val="none"/>
                <w:shd w:val="clear" w:fill="FFFFFF"/>
              </w:rPr>
              <w:t>拌和</w:t>
            </w:r>
            <w:r>
              <w:rPr>
                <w:rFonts w:hint="eastAsia"/>
                <w:color w:val="auto"/>
                <w:sz w:val="22"/>
                <w:szCs w:val="22"/>
                <w:highlight w:val="none"/>
              </w:rPr>
              <w:t>楼，</w:t>
            </w:r>
            <w:r>
              <w:rPr>
                <w:rFonts w:hint="eastAsia"/>
                <w:color w:val="auto"/>
                <w:sz w:val="22"/>
                <w:szCs w:val="22"/>
                <w:highlight w:val="none"/>
                <w:lang w:eastAsia="zh-CN"/>
              </w:rPr>
              <w:t>配备</w:t>
            </w:r>
            <w:r>
              <w:rPr>
                <w:rFonts w:hint="eastAsia"/>
                <w:color w:val="auto"/>
                <w:sz w:val="22"/>
                <w:szCs w:val="22"/>
                <w:highlight w:val="none"/>
                <w:shd w:val="clear" w:fill="FFFFFF"/>
              </w:rPr>
              <w:t>除尘设备</w:t>
            </w:r>
            <w:r>
              <w:rPr>
                <w:rFonts w:hint="eastAsia"/>
                <w:color w:val="auto"/>
                <w:sz w:val="22"/>
                <w:szCs w:val="22"/>
                <w:highlight w:val="none"/>
                <w:lang w:eastAsia="zh-CN"/>
              </w:rPr>
              <w:t>，</w:t>
            </w:r>
            <w:r>
              <w:rPr>
                <w:rFonts w:hint="eastAsia"/>
                <w:color w:val="auto"/>
                <w:sz w:val="22"/>
                <w:szCs w:val="22"/>
                <w:highlight w:val="none"/>
              </w:rPr>
              <w:t>水泥和粉煤灰输送采用封闭设备</w:t>
            </w:r>
          </w:p>
        </w:tc>
        <w:tc>
          <w:tcPr>
            <w:tcW w:w="1516" w:type="dxa"/>
            <w:vMerge w:val="continue"/>
            <w:tcMar>
              <w:top w:w="0" w:type="dxa"/>
              <w:left w:w="0" w:type="dxa"/>
              <w:bottom w:w="0" w:type="dxa"/>
              <w:right w:w="0" w:type="dxa"/>
            </w:tcMar>
            <w:vAlign w:val="center"/>
          </w:tcPr>
          <w:p>
            <w:pPr>
              <w:snapToGrid w:val="0"/>
              <w:spacing w:line="240" w:lineRule="auto"/>
              <w:ind w:left="52" w:leftChars="20" w:right="52" w:rightChars="20" w:firstLine="0" w:firstLineChars="0"/>
              <w:jc w:val="center"/>
              <w:rPr>
                <w:rFonts w:hint="eastAsia"/>
                <w:color w:val="auto"/>
                <w:sz w:val="22"/>
                <w:szCs w:val="22"/>
                <w:highlight w:val="non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continue"/>
            <w:vAlign w:val="center"/>
          </w:tcPr>
          <w:p>
            <w:pPr>
              <w:snapToGrid w:val="0"/>
              <w:spacing w:line="240" w:lineRule="auto"/>
              <w:ind w:left="52" w:leftChars="20" w:right="52" w:rightChars="20" w:firstLine="0" w:firstLineChars="0"/>
              <w:jc w:val="center"/>
              <w:rPr>
                <w:color w:val="auto"/>
                <w:sz w:val="22"/>
                <w:szCs w:val="22"/>
                <w:highlight w:val="none"/>
              </w:rPr>
            </w:pPr>
          </w:p>
        </w:tc>
        <w:tc>
          <w:tcPr>
            <w:tcW w:w="595" w:type="dxa"/>
            <w:vMerge w:val="continue"/>
            <w:vAlign w:val="center"/>
          </w:tcPr>
          <w:p>
            <w:pPr>
              <w:snapToGrid w:val="0"/>
              <w:spacing w:line="240" w:lineRule="auto"/>
              <w:ind w:left="52" w:leftChars="20" w:right="52" w:rightChars="20" w:firstLine="0" w:firstLineChars="0"/>
              <w:jc w:val="center"/>
              <w:rPr>
                <w:color w:val="auto"/>
                <w:sz w:val="22"/>
                <w:szCs w:val="22"/>
                <w:highlight w:val="none"/>
              </w:rPr>
            </w:pPr>
          </w:p>
        </w:tc>
        <w:tc>
          <w:tcPr>
            <w:tcW w:w="1184" w:type="dxa"/>
            <w:tcMar>
              <w:top w:w="0" w:type="dxa"/>
              <w:left w:w="0" w:type="dxa"/>
              <w:bottom w:w="0" w:type="dxa"/>
              <w:right w:w="0" w:type="dxa"/>
            </w:tcMar>
            <w:vAlign w:val="center"/>
          </w:tcPr>
          <w:p>
            <w:pPr>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燃油废气</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采用满足环保要求的设备，加强对施工机械、车辆的维修保养；</w:t>
            </w:r>
          </w:p>
        </w:tc>
        <w:tc>
          <w:tcPr>
            <w:tcW w:w="1516" w:type="dxa"/>
            <w:vMerge w:val="continue"/>
            <w:tcMar>
              <w:top w:w="0" w:type="dxa"/>
              <w:left w:w="0" w:type="dxa"/>
              <w:bottom w:w="0" w:type="dxa"/>
              <w:right w:w="0" w:type="dxa"/>
            </w:tcMar>
            <w:vAlign w:val="center"/>
          </w:tcPr>
          <w:p>
            <w:pPr>
              <w:snapToGrid w:val="0"/>
              <w:spacing w:line="240" w:lineRule="auto"/>
              <w:ind w:left="52" w:leftChars="20" w:right="52" w:rightChars="20" w:firstLine="0" w:firstLineChars="0"/>
              <w:jc w:val="center"/>
              <w:rPr>
                <w:rFonts w:hint="eastAsia"/>
                <w:color w:val="auto"/>
                <w:sz w:val="22"/>
                <w:szCs w:val="22"/>
                <w:highlight w:val="non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continue"/>
            <w:vAlign w:val="center"/>
          </w:tcPr>
          <w:p>
            <w:pPr>
              <w:snapToGrid w:val="0"/>
              <w:spacing w:line="240" w:lineRule="auto"/>
              <w:ind w:left="52" w:leftChars="20" w:right="52" w:rightChars="20" w:firstLine="0" w:firstLineChars="0"/>
              <w:jc w:val="center"/>
              <w:rPr>
                <w:color w:val="auto"/>
                <w:sz w:val="22"/>
                <w:szCs w:val="22"/>
                <w:highlight w:val="none"/>
              </w:rPr>
            </w:pPr>
          </w:p>
        </w:tc>
        <w:tc>
          <w:tcPr>
            <w:tcW w:w="595" w:type="dxa"/>
            <w:vAlign w:val="center"/>
          </w:tcPr>
          <w:p>
            <w:pPr>
              <w:snapToGrid w:val="0"/>
              <w:spacing w:line="240" w:lineRule="auto"/>
              <w:ind w:left="52" w:leftChars="20" w:right="52" w:rightChars="20" w:firstLine="0" w:firstLineChars="0"/>
              <w:jc w:val="center"/>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运营期</w:t>
            </w:r>
          </w:p>
        </w:tc>
        <w:tc>
          <w:tcPr>
            <w:tcW w:w="1184" w:type="dxa"/>
            <w:tcMar>
              <w:top w:w="0" w:type="dxa"/>
              <w:left w:w="0" w:type="dxa"/>
              <w:bottom w:w="0" w:type="dxa"/>
              <w:right w:w="0" w:type="dxa"/>
            </w:tcMar>
            <w:vAlign w:val="center"/>
          </w:tcPr>
          <w:p>
            <w:pPr>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食堂油烟</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油烟经集气罩收集后，通过油烟净化器进行净化后高空排放</w:t>
            </w:r>
          </w:p>
        </w:tc>
        <w:tc>
          <w:tcPr>
            <w:tcW w:w="1516"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食堂安装了油烟净化装置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restart"/>
            <w:vAlign w:val="center"/>
          </w:tcPr>
          <w:p>
            <w:pPr>
              <w:snapToGrid w:val="0"/>
              <w:spacing w:line="240" w:lineRule="auto"/>
              <w:ind w:left="52" w:leftChars="20" w:right="52" w:rightChars="20"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噪声</w:t>
            </w:r>
          </w:p>
        </w:tc>
        <w:tc>
          <w:tcPr>
            <w:tcW w:w="1779" w:type="dxa"/>
            <w:gridSpan w:val="2"/>
            <w:vAlign w:val="center"/>
          </w:tcPr>
          <w:p>
            <w:pPr>
              <w:snapToGrid w:val="0"/>
              <w:spacing w:line="240" w:lineRule="auto"/>
              <w:ind w:firstLine="1" w:firstLineChars="0"/>
              <w:jc w:val="center"/>
              <w:rPr>
                <w:rFonts w:hint="eastAsia" w:ascii="Times New Roman" w:hAnsi="Times New Roman" w:eastAsia="宋体" w:cs="Times New Roman"/>
                <w:snapToGrid w:val="0"/>
                <w:color w:val="auto"/>
                <w:kern w:val="2"/>
                <w:sz w:val="22"/>
                <w:szCs w:val="22"/>
                <w:highlight w:val="none"/>
                <w:lang w:val="en-US" w:eastAsia="zh-CN" w:bidi="ar-SA"/>
              </w:rPr>
            </w:pPr>
            <w:r>
              <w:rPr>
                <w:rFonts w:hint="eastAsia"/>
                <w:snapToGrid w:val="0"/>
                <w:color w:val="auto"/>
                <w:sz w:val="22"/>
                <w:szCs w:val="22"/>
                <w:highlight w:val="none"/>
                <w:lang w:eastAsia="zh-CN"/>
              </w:rPr>
              <w:t>施工期噪声</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sz w:val="22"/>
                <w:szCs w:val="22"/>
                <w:highlight w:val="none"/>
              </w:rPr>
              <w:t>选用低噪声设备、机械和施工工艺</w:t>
            </w:r>
            <w:r>
              <w:rPr>
                <w:rFonts w:hint="eastAsia" w:ascii="Times New Roman" w:hAnsi="Times New Roman" w:eastAsia="宋体" w:cs="Times New Roman"/>
                <w:color w:val="auto"/>
                <w:sz w:val="22"/>
                <w:szCs w:val="22"/>
                <w:highlight w:val="none"/>
                <w:lang w:eastAsia="zh-CN"/>
              </w:rPr>
              <w:t>，并</w:t>
            </w:r>
            <w:r>
              <w:rPr>
                <w:rFonts w:hint="eastAsia" w:ascii="Times New Roman" w:hAnsi="Times New Roman" w:eastAsia="宋体" w:cs="Times New Roman"/>
                <w:color w:val="auto"/>
                <w:sz w:val="22"/>
                <w:szCs w:val="22"/>
                <w:highlight w:val="none"/>
              </w:rPr>
              <w:t>加强设备维护和保养</w:t>
            </w:r>
            <w:r>
              <w:rPr>
                <w:rFonts w:hint="eastAsia" w:ascii="Times New Roman" w:hAnsi="Times New Roman" w:eastAsia="宋体" w:cs="Times New Roman"/>
                <w:color w:val="auto"/>
                <w:sz w:val="22"/>
                <w:szCs w:val="22"/>
                <w:highlight w:val="none"/>
                <w:lang w:eastAsia="zh-CN"/>
              </w:rPr>
              <w:t>；合理布局施工机械</w:t>
            </w:r>
            <w:r>
              <w:rPr>
                <w:rFonts w:hint="eastAsia" w:ascii="Times New Roman" w:hAnsi="Times New Roman" w:eastAsia="宋体" w:cs="Times New Roman"/>
                <w:color w:val="auto"/>
                <w:sz w:val="22"/>
                <w:szCs w:val="22"/>
                <w:highlight w:val="none"/>
                <w:shd w:val="clear" w:fill="FFFFFF"/>
                <w:lang w:eastAsia="zh-CN"/>
              </w:rPr>
              <w:t>；</w:t>
            </w:r>
            <w:r>
              <w:rPr>
                <w:rFonts w:hint="eastAsia" w:ascii="Times New Roman" w:hAnsi="Times New Roman" w:eastAsia="宋体" w:cs="Times New Roman"/>
                <w:color w:val="auto"/>
                <w:sz w:val="22"/>
                <w:szCs w:val="22"/>
                <w:highlight w:val="none"/>
                <w:lang w:eastAsia="zh-CN"/>
              </w:rPr>
              <w:t>高噪声固定声源采取隔声、减振措施；尽量控制爆破的单响用量，做好爆破参数的优化和炮孔的堵塞，用草袋覆盖爆破面；合理安排运输路线及物料运输时间，采取限速、禁鸣等控制交通噪声；做好施工组织设计，</w:t>
            </w:r>
            <w:r>
              <w:rPr>
                <w:rFonts w:hint="eastAsia" w:ascii="Times New Roman" w:hAnsi="Times New Roman" w:eastAsia="宋体" w:cs="Times New Roman"/>
                <w:color w:val="auto"/>
                <w:sz w:val="22"/>
                <w:szCs w:val="22"/>
                <w:highlight w:val="none"/>
              </w:rPr>
              <w:t>合理安排施工</w:t>
            </w:r>
            <w:r>
              <w:rPr>
                <w:rFonts w:hint="eastAsia" w:ascii="Times New Roman" w:hAnsi="Times New Roman" w:eastAsia="宋体" w:cs="Times New Roman"/>
                <w:color w:val="auto"/>
                <w:sz w:val="22"/>
                <w:szCs w:val="22"/>
                <w:highlight w:val="none"/>
                <w:lang w:eastAsia="zh-CN"/>
              </w:rPr>
              <w:t>强度及施工</w:t>
            </w:r>
            <w:r>
              <w:rPr>
                <w:rFonts w:hint="eastAsia" w:ascii="Times New Roman" w:hAnsi="Times New Roman" w:eastAsia="宋体" w:cs="Times New Roman"/>
                <w:color w:val="auto"/>
                <w:sz w:val="22"/>
                <w:szCs w:val="22"/>
                <w:highlight w:val="none"/>
              </w:rPr>
              <w:t>时间等</w:t>
            </w:r>
            <w:r>
              <w:rPr>
                <w:rFonts w:hint="eastAsia" w:ascii="Times New Roman" w:hAnsi="Times New Roman" w:eastAsia="宋体" w:cs="Times New Roman"/>
                <w:color w:val="auto"/>
                <w:sz w:val="22"/>
                <w:szCs w:val="22"/>
                <w:highlight w:val="none"/>
                <w:lang w:eastAsia="zh-CN"/>
              </w:rPr>
              <w:t>。</w:t>
            </w:r>
          </w:p>
        </w:tc>
        <w:tc>
          <w:tcPr>
            <w:tcW w:w="1516"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r>
              <w:rPr>
                <w:rFonts w:hint="eastAsia"/>
                <w:color w:val="auto"/>
                <w:sz w:val="22"/>
                <w:szCs w:val="22"/>
                <w:highlight w:val="none"/>
                <w:lang w:eastAsia="zh-CN"/>
              </w:rPr>
              <w:t>施工期落实了噪声控制措施，无环保投诉或环保投诉问题得到及时解决。</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continue"/>
            <w:vAlign w:val="center"/>
          </w:tcPr>
          <w:p>
            <w:pPr>
              <w:snapToGrid w:val="0"/>
              <w:spacing w:line="240" w:lineRule="auto"/>
              <w:ind w:left="52" w:leftChars="20" w:right="52" w:rightChars="20" w:firstLine="0" w:firstLineChars="0"/>
              <w:jc w:val="center"/>
              <w:rPr>
                <w:color w:val="auto"/>
                <w:sz w:val="22"/>
                <w:szCs w:val="22"/>
                <w:highlight w:val="none"/>
              </w:rPr>
            </w:pPr>
          </w:p>
        </w:tc>
        <w:tc>
          <w:tcPr>
            <w:tcW w:w="1779" w:type="dxa"/>
            <w:gridSpan w:val="2"/>
            <w:vAlign w:val="center"/>
          </w:tcPr>
          <w:p>
            <w:pPr>
              <w:snapToGrid w:val="0"/>
              <w:spacing w:line="240" w:lineRule="auto"/>
              <w:ind w:firstLine="1" w:firstLineChars="0"/>
              <w:jc w:val="center"/>
              <w:rPr>
                <w:rFonts w:hint="eastAsia" w:ascii="Times New Roman" w:hAnsi="Times New Roman" w:eastAsia="宋体" w:cs="Times New Roman"/>
                <w:snapToGrid w:val="0"/>
                <w:color w:val="auto"/>
                <w:kern w:val="2"/>
                <w:sz w:val="22"/>
                <w:szCs w:val="22"/>
                <w:highlight w:val="none"/>
                <w:lang w:val="en-US" w:eastAsia="zh-CN" w:bidi="ar-SA"/>
              </w:rPr>
            </w:pPr>
            <w:r>
              <w:rPr>
                <w:rFonts w:hint="eastAsia"/>
                <w:snapToGrid w:val="0"/>
                <w:color w:val="auto"/>
                <w:sz w:val="22"/>
                <w:szCs w:val="22"/>
                <w:highlight w:val="none"/>
                <w:lang w:eastAsia="zh-CN"/>
              </w:rPr>
              <w:t>运营期噪声</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sz w:val="22"/>
                <w:szCs w:val="22"/>
                <w:highlight w:val="none"/>
              </w:rPr>
              <w:t>加强船闸管理，合理安排船舶进出船闸工作，设置禁止鸣笛警示牌</w:t>
            </w:r>
            <w:r>
              <w:rPr>
                <w:rFonts w:hint="eastAsia" w:ascii="Times New Roman" w:hAnsi="Times New Roman" w:eastAsia="宋体" w:cs="Times New Roman"/>
                <w:color w:val="auto"/>
                <w:sz w:val="22"/>
                <w:szCs w:val="22"/>
                <w:highlight w:val="none"/>
                <w:lang w:eastAsia="zh-CN"/>
              </w:rPr>
              <w:t>。</w:t>
            </w:r>
          </w:p>
        </w:tc>
        <w:tc>
          <w:tcPr>
            <w:tcW w:w="1516"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按要求设置了相应标识标牌</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restart"/>
            <w:vAlign w:val="center"/>
          </w:tcPr>
          <w:p>
            <w:pPr>
              <w:snapToGrid w:val="0"/>
              <w:spacing w:line="240" w:lineRule="auto"/>
              <w:ind w:left="52" w:leftChars="20" w:right="52" w:rightChars="20" w:firstLine="0" w:firstLineChars="0"/>
              <w:jc w:val="center"/>
              <w:rPr>
                <w:color w:val="auto"/>
                <w:sz w:val="22"/>
                <w:szCs w:val="22"/>
                <w:highlight w:val="none"/>
              </w:rPr>
            </w:pPr>
            <w:r>
              <w:rPr>
                <w:color w:val="auto"/>
                <w:sz w:val="22"/>
                <w:szCs w:val="22"/>
                <w:highlight w:val="none"/>
              </w:rPr>
              <w:t>固废</w:t>
            </w:r>
          </w:p>
        </w:tc>
        <w:tc>
          <w:tcPr>
            <w:tcW w:w="595" w:type="dxa"/>
            <w:vMerge w:val="restart"/>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r>
              <w:rPr>
                <w:rFonts w:hint="eastAsia"/>
                <w:color w:val="auto"/>
                <w:sz w:val="22"/>
                <w:szCs w:val="22"/>
                <w:highlight w:val="none"/>
              </w:rPr>
              <w:t>施工期</w:t>
            </w:r>
          </w:p>
        </w:tc>
        <w:tc>
          <w:tcPr>
            <w:tcW w:w="1184" w:type="dxa"/>
            <w:tcMar>
              <w:top w:w="0" w:type="dxa"/>
              <w:left w:w="0" w:type="dxa"/>
              <w:bottom w:w="0" w:type="dxa"/>
              <w:right w:w="0" w:type="dxa"/>
            </w:tcMar>
            <w:vAlign w:val="center"/>
          </w:tcPr>
          <w:p>
            <w:pPr>
              <w:snapToGrid w:val="0"/>
              <w:spacing w:line="240" w:lineRule="auto"/>
              <w:ind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sz w:val="22"/>
                <w:szCs w:val="22"/>
                <w:highlight w:val="none"/>
                <w:lang w:eastAsia="zh-CN"/>
              </w:rPr>
              <w:t>弃渣</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hint="eastAsia" w:ascii="Times New Roman" w:hAnsi="Times New Roman" w:eastAsia="宋体" w:cs="Times New Roman"/>
                <w:color w:val="auto"/>
                <w:kern w:val="2"/>
                <w:sz w:val="22"/>
                <w:szCs w:val="22"/>
                <w:highlight w:val="none"/>
                <w:lang w:val="en-US" w:eastAsia="zh-CN" w:bidi="ar-SA"/>
              </w:rPr>
            </w:pPr>
            <w:r>
              <w:rPr>
                <w:rFonts w:hint="eastAsia" w:ascii="Times New Roman" w:hAnsi="Times New Roman" w:eastAsia="宋体" w:cs="Times New Roman"/>
                <w:color w:val="auto"/>
                <w:sz w:val="22"/>
                <w:szCs w:val="22"/>
                <w:highlight w:val="none"/>
                <w:lang w:eastAsia="zh-CN"/>
              </w:rPr>
              <w:t>对开挖土石方尽量进行合理利用，难以利用的</w:t>
            </w:r>
            <w:r>
              <w:rPr>
                <w:rFonts w:hint="default" w:ascii="Times New Roman" w:hAnsi="Times New Roman" w:eastAsia="宋体" w:cs="Times New Roman"/>
                <w:color w:val="auto"/>
                <w:sz w:val="22"/>
                <w:szCs w:val="22"/>
                <w:highlight w:val="none"/>
              </w:rPr>
              <w:t>弃渣运至</w:t>
            </w:r>
            <w:r>
              <w:rPr>
                <w:rFonts w:hint="eastAsia" w:ascii="Times New Roman" w:hAnsi="Times New Roman" w:eastAsia="宋体" w:cs="Times New Roman"/>
                <w:color w:val="auto"/>
                <w:sz w:val="22"/>
                <w:szCs w:val="22"/>
                <w:highlight w:val="none"/>
                <w:lang w:eastAsia="zh-CN"/>
              </w:rPr>
              <w:t>临时弃渣场</w:t>
            </w:r>
            <w:r>
              <w:rPr>
                <w:rFonts w:hint="eastAsia" w:cs="Times New Roman"/>
                <w:color w:val="auto"/>
                <w:sz w:val="22"/>
                <w:szCs w:val="22"/>
                <w:highlight w:val="none"/>
                <w:lang w:eastAsia="zh-CN"/>
              </w:rPr>
              <w:t>堆放，渣场按要求落实好水土保持措施</w:t>
            </w:r>
            <w:r>
              <w:rPr>
                <w:rFonts w:hint="eastAsia" w:ascii="Times New Roman" w:hAnsi="Times New Roman" w:eastAsia="宋体" w:cs="Times New Roman"/>
                <w:color w:val="auto"/>
                <w:sz w:val="22"/>
                <w:szCs w:val="22"/>
                <w:highlight w:val="none"/>
                <w:lang w:eastAsia="zh-CN"/>
              </w:rPr>
              <w:t>。</w:t>
            </w:r>
          </w:p>
        </w:tc>
        <w:tc>
          <w:tcPr>
            <w:tcW w:w="1516" w:type="dxa"/>
            <w:vMerge w:val="restart"/>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r>
              <w:rPr>
                <w:rFonts w:hint="eastAsia"/>
                <w:color w:val="auto"/>
                <w:sz w:val="22"/>
                <w:szCs w:val="22"/>
                <w:highlight w:val="none"/>
              </w:rPr>
              <w:t>固废得到合理</w:t>
            </w:r>
            <w:r>
              <w:rPr>
                <w:color w:val="auto"/>
                <w:sz w:val="22"/>
                <w:szCs w:val="22"/>
                <w:highlight w:val="none"/>
              </w:rPr>
              <w:t>妥善</w:t>
            </w:r>
            <w:r>
              <w:rPr>
                <w:rFonts w:hint="eastAsia"/>
                <w:color w:val="auto"/>
                <w:sz w:val="22"/>
                <w:szCs w:val="22"/>
                <w:highlight w:val="none"/>
              </w:rPr>
              <w:t>处置，减小对环境影响</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continue"/>
            <w:vAlign w:val="center"/>
          </w:tcPr>
          <w:p>
            <w:pPr>
              <w:snapToGrid w:val="0"/>
              <w:spacing w:line="240" w:lineRule="auto"/>
              <w:ind w:left="52" w:leftChars="20" w:right="52" w:rightChars="20" w:firstLine="0" w:firstLineChars="0"/>
              <w:jc w:val="center"/>
              <w:rPr>
                <w:color w:val="auto"/>
                <w:sz w:val="22"/>
                <w:szCs w:val="22"/>
                <w:highlight w:val="none"/>
              </w:rPr>
            </w:pPr>
          </w:p>
        </w:tc>
        <w:tc>
          <w:tcPr>
            <w:tcW w:w="595" w:type="dxa"/>
            <w:vMerge w:val="continue"/>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p>
        </w:tc>
        <w:tc>
          <w:tcPr>
            <w:tcW w:w="1184" w:type="dxa"/>
            <w:tcMar>
              <w:top w:w="0" w:type="dxa"/>
              <w:left w:w="0" w:type="dxa"/>
              <w:bottom w:w="0" w:type="dxa"/>
              <w:right w:w="0" w:type="dxa"/>
            </w:tcMar>
            <w:vAlign w:val="center"/>
          </w:tcPr>
          <w:p>
            <w:pPr>
              <w:snapToGrid w:val="0"/>
              <w:spacing w:line="240" w:lineRule="auto"/>
              <w:ind w:firstLine="0" w:firstLineChars="0"/>
              <w:jc w:val="center"/>
              <w:rPr>
                <w:rFonts w:hint="eastAsia" w:ascii="Times New Roman" w:hAnsi="Times New Roman" w:eastAsia="宋体" w:cs="Times New Roman"/>
                <w:snapToGrid w:val="0"/>
                <w:color w:val="auto"/>
                <w:kern w:val="2"/>
                <w:sz w:val="22"/>
                <w:szCs w:val="22"/>
                <w:highlight w:val="none"/>
                <w:lang w:val="en-US" w:eastAsia="zh-CN" w:bidi="ar-SA"/>
              </w:rPr>
            </w:pPr>
            <w:r>
              <w:rPr>
                <w:rFonts w:hint="eastAsia"/>
                <w:snapToGrid w:val="0"/>
                <w:color w:val="auto"/>
                <w:sz w:val="22"/>
                <w:szCs w:val="22"/>
                <w:highlight w:val="none"/>
                <w:lang w:eastAsia="zh-CN"/>
              </w:rPr>
              <w:t>建筑垃圾</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对于施工及拆除过程中产生的建筑垃圾，优先进行回收利用，不能回收利用的运送至合法的建筑垃圾消纳场进行处置。</w:t>
            </w:r>
          </w:p>
        </w:tc>
        <w:tc>
          <w:tcPr>
            <w:tcW w:w="1516" w:type="dxa"/>
            <w:vMerge w:val="continue"/>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continue"/>
            <w:vAlign w:val="center"/>
          </w:tcPr>
          <w:p>
            <w:pPr>
              <w:snapToGrid w:val="0"/>
              <w:spacing w:line="240" w:lineRule="auto"/>
              <w:ind w:left="52" w:leftChars="20" w:right="52" w:rightChars="20" w:firstLine="0" w:firstLineChars="0"/>
              <w:jc w:val="center"/>
              <w:rPr>
                <w:color w:val="auto"/>
                <w:sz w:val="22"/>
                <w:szCs w:val="22"/>
                <w:highlight w:val="none"/>
              </w:rPr>
            </w:pPr>
          </w:p>
        </w:tc>
        <w:tc>
          <w:tcPr>
            <w:tcW w:w="595" w:type="dxa"/>
            <w:vMerge w:val="continue"/>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p>
        </w:tc>
        <w:tc>
          <w:tcPr>
            <w:tcW w:w="1184" w:type="dxa"/>
            <w:tcMar>
              <w:top w:w="0" w:type="dxa"/>
              <w:left w:w="0" w:type="dxa"/>
              <w:bottom w:w="0" w:type="dxa"/>
              <w:right w:w="0" w:type="dxa"/>
            </w:tcMar>
            <w:vAlign w:val="center"/>
          </w:tcPr>
          <w:p>
            <w:pPr>
              <w:snapToGrid w:val="0"/>
              <w:spacing w:line="240" w:lineRule="auto"/>
              <w:ind w:firstLine="0" w:firstLineChars="0"/>
              <w:jc w:val="center"/>
              <w:rPr>
                <w:rFonts w:ascii="Times New Roman" w:hAnsi="Times New Roman" w:eastAsia="宋体" w:cs="Times New Roman"/>
                <w:snapToGrid w:val="0"/>
                <w:color w:val="auto"/>
                <w:kern w:val="2"/>
                <w:sz w:val="22"/>
                <w:szCs w:val="22"/>
                <w:highlight w:val="none"/>
                <w:lang w:val="en-US" w:eastAsia="zh-CN" w:bidi="ar-SA"/>
              </w:rPr>
            </w:pPr>
            <w:r>
              <w:rPr>
                <w:rFonts w:hint="eastAsia"/>
                <w:snapToGrid w:val="0"/>
                <w:color w:val="auto"/>
                <w:sz w:val="22"/>
                <w:szCs w:val="22"/>
                <w:highlight w:val="none"/>
              </w:rPr>
              <w:t>生活垃圾</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hint="eastAsia" w:ascii="Times New Roman" w:hAnsi="Times New Roman" w:eastAsia="宋体" w:cs="Times New Roman"/>
                <w:color w:val="auto"/>
                <w:kern w:val="2"/>
                <w:sz w:val="22"/>
                <w:szCs w:val="22"/>
                <w:highlight w:val="none"/>
                <w:lang w:val="en-US" w:eastAsia="zh-CN" w:bidi="ar-SA"/>
              </w:rPr>
            </w:pPr>
            <w:r>
              <w:rPr>
                <w:rFonts w:hint="eastAsia"/>
                <w:snapToGrid w:val="0"/>
                <w:color w:val="auto"/>
                <w:sz w:val="22"/>
                <w:szCs w:val="22"/>
                <w:highlight w:val="none"/>
              </w:rPr>
              <w:t>垃圾桶收集后，交</w:t>
            </w:r>
            <w:r>
              <w:rPr>
                <w:color w:val="auto"/>
                <w:sz w:val="22"/>
                <w:szCs w:val="22"/>
                <w:highlight w:val="none"/>
              </w:rPr>
              <w:t>环卫部门处理</w:t>
            </w:r>
            <w:r>
              <w:rPr>
                <w:rFonts w:hint="eastAsia"/>
                <w:color w:val="auto"/>
                <w:sz w:val="22"/>
                <w:szCs w:val="22"/>
                <w:highlight w:val="none"/>
                <w:lang w:eastAsia="zh-CN"/>
              </w:rPr>
              <w:t>。</w:t>
            </w:r>
          </w:p>
        </w:tc>
        <w:tc>
          <w:tcPr>
            <w:tcW w:w="1516" w:type="dxa"/>
            <w:vMerge w:val="continue"/>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continue"/>
            <w:vAlign w:val="center"/>
          </w:tcPr>
          <w:p>
            <w:pPr>
              <w:snapToGrid w:val="0"/>
              <w:spacing w:line="240" w:lineRule="auto"/>
              <w:ind w:left="52" w:leftChars="20" w:right="52" w:rightChars="20" w:firstLine="0" w:firstLineChars="0"/>
              <w:jc w:val="center"/>
              <w:rPr>
                <w:color w:val="auto"/>
                <w:sz w:val="22"/>
                <w:szCs w:val="22"/>
                <w:highlight w:val="none"/>
              </w:rPr>
            </w:pPr>
          </w:p>
        </w:tc>
        <w:tc>
          <w:tcPr>
            <w:tcW w:w="595" w:type="dxa"/>
            <w:vMerge w:val="restart"/>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r>
              <w:rPr>
                <w:rFonts w:hint="eastAsia"/>
                <w:color w:val="auto"/>
                <w:sz w:val="22"/>
                <w:szCs w:val="22"/>
                <w:highlight w:val="none"/>
              </w:rPr>
              <w:t>运营期</w:t>
            </w:r>
          </w:p>
        </w:tc>
        <w:tc>
          <w:tcPr>
            <w:tcW w:w="1184" w:type="dxa"/>
            <w:tcMar>
              <w:top w:w="0" w:type="dxa"/>
              <w:left w:w="0" w:type="dxa"/>
              <w:bottom w:w="0" w:type="dxa"/>
              <w:right w:w="0" w:type="dxa"/>
            </w:tcMar>
            <w:vAlign w:val="center"/>
          </w:tcPr>
          <w:p>
            <w:pPr>
              <w:snapToGrid w:val="0"/>
              <w:spacing w:line="240" w:lineRule="auto"/>
              <w:ind w:firstLine="1" w:firstLineChars="0"/>
              <w:jc w:val="center"/>
              <w:rPr>
                <w:rFonts w:hint="eastAsia" w:ascii="Times New Roman" w:hAnsi="Times New Roman" w:eastAsia="宋体" w:cs="Times New Roman"/>
                <w:snapToGrid w:val="0"/>
                <w:color w:val="auto"/>
                <w:kern w:val="2"/>
                <w:sz w:val="22"/>
                <w:szCs w:val="22"/>
                <w:highlight w:val="none"/>
                <w:lang w:val="en-US" w:eastAsia="zh-CN" w:bidi="ar-SA"/>
              </w:rPr>
            </w:pPr>
            <w:r>
              <w:rPr>
                <w:rFonts w:hint="eastAsia"/>
                <w:snapToGrid w:val="0"/>
                <w:color w:val="auto"/>
                <w:sz w:val="22"/>
                <w:szCs w:val="22"/>
                <w:highlight w:val="none"/>
                <w:lang w:eastAsia="zh-CN"/>
              </w:rPr>
              <w:t>生活垃圾</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rPr>
              <w:t>管理区设置垃圾箱、垃圾桶，生活垃圾经分类集中收集后，由当地环卫部门定期清运处置</w:t>
            </w:r>
          </w:p>
        </w:tc>
        <w:tc>
          <w:tcPr>
            <w:tcW w:w="1516" w:type="dxa"/>
            <w:vMerge w:val="restart"/>
            <w:tcMar>
              <w:top w:w="0" w:type="dxa"/>
              <w:left w:w="0" w:type="dxa"/>
              <w:bottom w:w="0" w:type="dxa"/>
              <w:right w:w="0" w:type="dxa"/>
            </w:tcMar>
            <w:vAlign w:val="center"/>
          </w:tcPr>
          <w:p>
            <w:pPr>
              <w:snapToGrid w:val="0"/>
              <w:spacing w:line="240" w:lineRule="auto"/>
              <w:ind w:left="52" w:leftChars="20" w:right="52" w:rightChars="20"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按要求设置了生活垃圾、危险废物收集、暂存设施，</w:t>
            </w:r>
            <w:r>
              <w:rPr>
                <w:rFonts w:hint="eastAsia"/>
                <w:color w:val="auto"/>
                <w:sz w:val="22"/>
                <w:szCs w:val="22"/>
                <w:highlight w:val="none"/>
              </w:rPr>
              <w:t>固废得到合理</w:t>
            </w:r>
            <w:r>
              <w:rPr>
                <w:color w:val="auto"/>
                <w:sz w:val="22"/>
                <w:szCs w:val="22"/>
                <w:highlight w:val="none"/>
              </w:rPr>
              <w:t>妥善</w:t>
            </w:r>
            <w:r>
              <w:rPr>
                <w:rFonts w:hint="eastAsia"/>
                <w:color w:val="auto"/>
                <w:sz w:val="22"/>
                <w:szCs w:val="22"/>
                <w:highlight w:val="none"/>
              </w:rPr>
              <w:t>处置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632" w:type="dxa"/>
            <w:vMerge w:val="continue"/>
            <w:vAlign w:val="center"/>
          </w:tcPr>
          <w:p>
            <w:pPr>
              <w:snapToGrid w:val="0"/>
              <w:spacing w:line="240" w:lineRule="auto"/>
              <w:ind w:left="52" w:leftChars="20" w:right="52" w:rightChars="20" w:firstLine="0" w:firstLineChars="0"/>
              <w:jc w:val="center"/>
              <w:rPr>
                <w:color w:val="auto"/>
                <w:sz w:val="22"/>
                <w:szCs w:val="22"/>
                <w:highlight w:val="none"/>
              </w:rPr>
            </w:pPr>
          </w:p>
        </w:tc>
        <w:tc>
          <w:tcPr>
            <w:tcW w:w="595" w:type="dxa"/>
            <w:vMerge w:val="continue"/>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p>
        </w:tc>
        <w:tc>
          <w:tcPr>
            <w:tcW w:w="1184" w:type="dxa"/>
            <w:tcMar>
              <w:top w:w="0" w:type="dxa"/>
              <w:left w:w="0" w:type="dxa"/>
              <w:bottom w:w="0" w:type="dxa"/>
              <w:right w:w="0" w:type="dxa"/>
            </w:tcMar>
            <w:vAlign w:val="center"/>
          </w:tcPr>
          <w:p>
            <w:pPr>
              <w:snapToGrid w:val="0"/>
              <w:spacing w:line="240" w:lineRule="auto"/>
              <w:ind w:firstLine="1" w:firstLineChars="0"/>
              <w:jc w:val="center"/>
              <w:rPr>
                <w:rFonts w:hint="eastAsia" w:ascii="Times New Roman" w:hAnsi="Times New Roman" w:eastAsia="宋体" w:cs="Times New Roman"/>
                <w:snapToGrid w:val="0"/>
                <w:color w:val="auto"/>
                <w:kern w:val="2"/>
                <w:sz w:val="22"/>
                <w:szCs w:val="22"/>
                <w:highlight w:val="none"/>
                <w:lang w:val="en-US" w:eastAsia="zh-CN" w:bidi="ar-SA"/>
              </w:rPr>
            </w:pPr>
            <w:r>
              <w:rPr>
                <w:rFonts w:hint="eastAsia"/>
                <w:snapToGrid w:val="0"/>
                <w:color w:val="auto"/>
                <w:sz w:val="22"/>
                <w:szCs w:val="22"/>
                <w:highlight w:val="none"/>
                <w:lang w:eastAsia="zh-CN"/>
              </w:rPr>
              <w:t>危险废物</w:t>
            </w:r>
          </w:p>
        </w:tc>
        <w:tc>
          <w:tcPr>
            <w:tcW w:w="4568" w:type="dxa"/>
            <w:tcMar>
              <w:top w:w="0" w:type="dxa"/>
              <w:left w:w="0" w:type="dxa"/>
              <w:bottom w:w="0" w:type="dxa"/>
              <w:right w:w="0" w:type="dxa"/>
            </w:tcMar>
            <w:vAlign w:val="center"/>
          </w:tcPr>
          <w:p>
            <w:pPr>
              <w:snapToGrid w:val="0"/>
              <w:spacing w:line="240" w:lineRule="auto"/>
              <w:ind w:firstLine="0" w:firstLineChars="0"/>
              <w:jc w:val="both"/>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eastAsia="zh-CN"/>
              </w:rPr>
              <w:t>危险废物分类暂存于管理区危废暂存间内，定期交由有危废处理资质的单位一并接收处理并妥善处置。按要求做好防风、防雨、防晒和防止危险废物流失、扬散等措施。</w:t>
            </w:r>
          </w:p>
        </w:tc>
        <w:tc>
          <w:tcPr>
            <w:tcW w:w="1516" w:type="dxa"/>
            <w:vMerge w:val="continue"/>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1227" w:type="dxa"/>
            <w:gridSpan w:val="2"/>
            <w:vMerge w:val="restart"/>
            <w:vAlign w:val="center"/>
          </w:tcPr>
          <w:p>
            <w:pPr>
              <w:snapToGrid w:val="0"/>
              <w:spacing w:line="240" w:lineRule="auto"/>
              <w:ind w:left="52" w:leftChars="20" w:right="52" w:rightChars="20" w:firstLine="0" w:firstLineChars="0"/>
              <w:jc w:val="center"/>
              <w:rPr>
                <w:color w:val="auto"/>
                <w:sz w:val="22"/>
                <w:szCs w:val="22"/>
                <w:highlight w:val="none"/>
              </w:rPr>
            </w:pPr>
            <w:r>
              <w:rPr>
                <w:color w:val="auto"/>
                <w:sz w:val="22"/>
                <w:szCs w:val="22"/>
                <w:highlight w:val="none"/>
              </w:rPr>
              <w:t>生态环境</w:t>
            </w:r>
          </w:p>
        </w:tc>
        <w:tc>
          <w:tcPr>
            <w:tcW w:w="1184"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r>
              <w:rPr>
                <w:rFonts w:hint="eastAsia"/>
                <w:color w:val="auto"/>
                <w:sz w:val="22"/>
                <w:szCs w:val="22"/>
                <w:highlight w:val="none"/>
              </w:rPr>
              <w:t>植被</w:t>
            </w:r>
            <w:r>
              <w:rPr>
                <w:color w:val="auto"/>
                <w:sz w:val="22"/>
                <w:szCs w:val="22"/>
                <w:highlight w:val="none"/>
              </w:rPr>
              <w:t>破坏</w:t>
            </w:r>
          </w:p>
        </w:tc>
        <w:tc>
          <w:tcPr>
            <w:tcW w:w="4568"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r>
              <w:rPr>
                <w:rFonts w:hint="eastAsia"/>
                <w:color w:val="auto"/>
                <w:sz w:val="22"/>
                <w:szCs w:val="22"/>
                <w:highlight w:val="none"/>
              </w:rPr>
              <w:t>施工迹地、</w:t>
            </w:r>
            <w:r>
              <w:rPr>
                <w:color w:val="auto"/>
                <w:sz w:val="22"/>
                <w:szCs w:val="22"/>
                <w:highlight w:val="none"/>
              </w:rPr>
              <w:t>临时占地全部恢复</w:t>
            </w:r>
            <w:r>
              <w:rPr>
                <w:rFonts w:hint="eastAsia"/>
                <w:color w:val="auto"/>
                <w:sz w:val="22"/>
                <w:szCs w:val="22"/>
                <w:highlight w:val="none"/>
              </w:rPr>
              <w:t>。</w:t>
            </w:r>
          </w:p>
        </w:tc>
        <w:tc>
          <w:tcPr>
            <w:tcW w:w="1516" w:type="dxa"/>
            <w:vMerge w:val="restart"/>
            <w:tcMar>
              <w:top w:w="0" w:type="dxa"/>
              <w:left w:w="0" w:type="dxa"/>
              <w:bottom w:w="0" w:type="dxa"/>
              <w:right w:w="0" w:type="dxa"/>
            </w:tcMar>
            <w:vAlign w:val="center"/>
          </w:tcPr>
          <w:p>
            <w:pPr>
              <w:snapToGrid w:val="0"/>
              <w:spacing w:line="240" w:lineRule="auto"/>
              <w:ind w:left="52" w:leftChars="20" w:right="52" w:rightChars="20" w:firstLine="0" w:firstLineChars="0"/>
              <w:jc w:val="center"/>
              <w:rPr>
                <w:color w:val="auto"/>
                <w:sz w:val="22"/>
                <w:szCs w:val="22"/>
                <w:highlight w:val="none"/>
              </w:rPr>
            </w:pPr>
            <w:r>
              <w:rPr>
                <w:rFonts w:hint="eastAsia"/>
                <w:color w:val="auto"/>
                <w:sz w:val="22"/>
                <w:szCs w:val="22"/>
                <w:highlight w:val="none"/>
              </w:rPr>
              <w:t>减小对生态环境影响</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1227" w:type="dxa"/>
            <w:gridSpan w:val="2"/>
            <w:vMerge w:val="continue"/>
            <w:vAlign w:val="center"/>
          </w:tcPr>
          <w:p>
            <w:pPr>
              <w:snapToGrid w:val="0"/>
              <w:spacing w:line="240" w:lineRule="auto"/>
              <w:ind w:left="52" w:leftChars="20" w:right="52" w:rightChars="20" w:firstLine="0" w:firstLineChars="0"/>
              <w:jc w:val="center"/>
              <w:rPr>
                <w:color w:val="auto"/>
                <w:sz w:val="22"/>
                <w:szCs w:val="22"/>
                <w:highlight w:val="none"/>
              </w:rPr>
            </w:pPr>
          </w:p>
        </w:tc>
        <w:tc>
          <w:tcPr>
            <w:tcW w:w="1184" w:type="dxa"/>
            <w:tcMar>
              <w:top w:w="0" w:type="dxa"/>
              <w:left w:w="0" w:type="dxa"/>
              <w:bottom w:w="0" w:type="dxa"/>
              <w:right w:w="0" w:type="dxa"/>
            </w:tcMar>
            <w:vAlign w:val="center"/>
          </w:tcPr>
          <w:p>
            <w:pPr>
              <w:keepNext w:val="0"/>
              <w:keepLines w:val="0"/>
              <w:suppressLineNumbers w:val="0"/>
              <w:snapToGrid w:val="0"/>
              <w:spacing w:before="0" w:beforeAutospacing="0" w:after="0" w:afterAutospacing="0" w:line="240" w:lineRule="auto"/>
              <w:ind w:left="52" w:leftChars="20" w:right="52" w:rightChars="20"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水生生态</w:t>
            </w:r>
          </w:p>
        </w:tc>
        <w:tc>
          <w:tcPr>
            <w:tcW w:w="4568" w:type="dxa"/>
            <w:tcMar>
              <w:top w:w="0" w:type="dxa"/>
              <w:left w:w="0" w:type="dxa"/>
              <w:bottom w:w="0" w:type="dxa"/>
              <w:right w:w="0" w:type="dxa"/>
            </w:tcMar>
            <w:vAlign w:val="center"/>
          </w:tcPr>
          <w:p>
            <w:pPr>
              <w:keepNext w:val="0"/>
              <w:keepLines w:val="0"/>
              <w:suppressLineNumbers w:val="0"/>
              <w:snapToGrid w:val="0"/>
              <w:spacing w:before="0" w:beforeAutospacing="0" w:after="0" w:afterAutospacing="0" w:line="240" w:lineRule="auto"/>
              <w:ind w:left="52" w:leftChars="20" w:right="52" w:rightChars="20" w:firstLine="0" w:firstLineChars="0"/>
              <w:jc w:val="center"/>
              <w:rPr>
                <w:rFonts w:hint="eastAsia" w:ascii="Times New Roman" w:hAnsi="Times New Roman" w:eastAsia="宋体" w:cs="Times New Roman"/>
                <w:color w:val="auto"/>
                <w:kern w:val="2"/>
                <w:sz w:val="22"/>
                <w:szCs w:val="22"/>
                <w:highlight w:val="none"/>
                <w:lang w:val="en-US" w:eastAsia="zh-CN" w:bidi="ar-SA"/>
              </w:rPr>
            </w:pPr>
            <w:r>
              <w:rPr>
                <w:rFonts w:hint="eastAsia"/>
                <w:color w:val="auto"/>
                <w:sz w:val="22"/>
                <w:szCs w:val="22"/>
                <w:highlight w:val="none"/>
                <w:lang w:val="en-US" w:eastAsia="zh-CN"/>
              </w:rPr>
              <w:t>涉水施工</w:t>
            </w:r>
            <w:r>
              <w:rPr>
                <w:rFonts w:hint="eastAsia"/>
                <w:color w:val="auto"/>
                <w:sz w:val="22"/>
                <w:szCs w:val="22"/>
                <w:highlight w:val="none"/>
              </w:rPr>
              <w:t>避让每年3-</w:t>
            </w:r>
            <w:r>
              <w:rPr>
                <w:rFonts w:hint="eastAsia"/>
                <w:color w:val="auto"/>
                <w:sz w:val="22"/>
                <w:szCs w:val="22"/>
                <w:highlight w:val="none"/>
                <w:lang w:val="en-US" w:eastAsia="zh-CN"/>
              </w:rPr>
              <w:t>6</w:t>
            </w:r>
            <w:r>
              <w:rPr>
                <w:rFonts w:hint="eastAsia"/>
                <w:color w:val="auto"/>
                <w:sz w:val="22"/>
                <w:szCs w:val="22"/>
                <w:highlight w:val="none"/>
              </w:rPr>
              <w:t>月鱼类集中繁殖期、选择枯水期施工（11月~次年2月）；</w:t>
            </w:r>
            <w:r>
              <w:rPr>
                <w:rFonts w:hint="eastAsia"/>
                <w:color w:val="auto"/>
                <w:sz w:val="22"/>
                <w:szCs w:val="22"/>
                <w:highlight w:val="none"/>
                <w:lang w:val="en-US" w:eastAsia="zh-CN"/>
              </w:rPr>
              <w:t>水下爆破避让越冬季</w:t>
            </w:r>
            <w:r>
              <w:rPr>
                <w:rFonts w:hint="eastAsia"/>
                <w:color w:val="auto"/>
                <w:sz w:val="22"/>
                <w:szCs w:val="22"/>
                <w:highlight w:val="none"/>
              </w:rPr>
              <w:t>（11月~次年2月）</w:t>
            </w:r>
            <w:r>
              <w:rPr>
                <w:rFonts w:hint="eastAsia"/>
                <w:color w:val="auto"/>
                <w:sz w:val="22"/>
                <w:szCs w:val="22"/>
                <w:highlight w:val="none"/>
                <w:lang w:eastAsia="zh-CN"/>
              </w:rPr>
              <w:t>；</w:t>
            </w:r>
            <w:r>
              <w:rPr>
                <w:rFonts w:hint="eastAsia"/>
                <w:color w:val="auto"/>
                <w:sz w:val="22"/>
                <w:szCs w:val="22"/>
                <w:highlight w:val="none"/>
              </w:rPr>
              <w:t>弃渣全部上岸，禁止江内倾倒；实施驱鱼措施、气泡帷幕防护、鱼类增殖放流、鱼类资源及水生生态跟踪监测。</w:t>
            </w:r>
          </w:p>
        </w:tc>
        <w:tc>
          <w:tcPr>
            <w:tcW w:w="1516" w:type="dxa"/>
            <w:vMerge w:val="continue"/>
            <w:tcMar>
              <w:top w:w="0" w:type="dxa"/>
              <w:left w:w="0" w:type="dxa"/>
              <w:bottom w:w="0" w:type="dxa"/>
              <w:right w:w="0" w:type="dxa"/>
            </w:tcMar>
            <w:vAlign w:val="center"/>
          </w:tcPr>
          <w:p>
            <w:pPr>
              <w:snapToGrid w:val="0"/>
              <w:spacing w:line="240" w:lineRule="auto"/>
              <w:ind w:left="52" w:leftChars="20" w:right="52" w:rightChars="20" w:firstLine="0" w:firstLineChars="0"/>
              <w:jc w:val="center"/>
              <w:rPr>
                <w:rFonts w:hint="eastAsia"/>
                <w:color w:val="auto"/>
                <w:sz w:val="22"/>
                <w:szCs w:val="22"/>
                <w:highlight w:val="non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2411" w:type="dxa"/>
            <w:gridSpan w:val="3"/>
            <w:vAlign w:val="center"/>
          </w:tcPr>
          <w:p>
            <w:pPr>
              <w:snapToGrid w:val="0"/>
              <w:spacing w:line="240" w:lineRule="auto"/>
              <w:ind w:left="52" w:leftChars="20" w:right="52" w:rightChars="20" w:firstLine="0" w:firstLineChars="0"/>
              <w:jc w:val="center"/>
              <w:rPr>
                <w:color w:val="auto"/>
                <w:sz w:val="22"/>
                <w:szCs w:val="22"/>
                <w:highlight w:val="none"/>
              </w:rPr>
            </w:pPr>
            <w:r>
              <w:rPr>
                <w:rFonts w:hint="eastAsia"/>
                <w:color w:val="auto"/>
                <w:sz w:val="22"/>
                <w:szCs w:val="22"/>
                <w:highlight w:val="none"/>
              </w:rPr>
              <w:t>环境风险</w:t>
            </w:r>
          </w:p>
        </w:tc>
        <w:tc>
          <w:tcPr>
            <w:tcW w:w="4568" w:type="dxa"/>
            <w:tcMar>
              <w:top w:w="0" w:type="dxa"/>
              <w:left w:w="0" w:type="dxa"/>
              <w:bottom w:w="0" w:type="dxa"/>
              <w:right w:w="0" w:type="dxa"/>
            </w:tcMar>
            <w:vAlign w:val="center"/>
          </w:tcPr>
          <w:p>
            <w:pPr>
              <w:snapToGrid w:val="0"/>
              <w:spacing w:line="240" w:lineRule="auto"/>
              <w:ind w:left="52" w:leftChars="20" w:right="52" w:rightChars="20" w:firstLine="0" w:firstLineChars="0"/>
              <w:jc w:val="both"/>
              <w:rPr>
                <w:color w:val="auto"/>
                <w:sz w:val="22"/>
                <w:szCs w:val="22"/>
                <w:highlight w:val="none"/>
              </w:rPr>
            </w:pPr>
            <w:r>
              <w:rPr>
                <w:rFonts w:hint="eastAsia"/>
                <w:color w:val="auto"/>
                <w:sz w:val="22"/>
                <w:szCs w:val="22"/>
                <w:highlight w:val="none"/>
              </w:rPr>
              <w:t>定期监督检查航运环保设施运行使用及安全情况</w:t>
            </w:r>
            <w:r>
              <w:rPr>
                <w:rFonts w:hint="eastAsia"/>
                <w:color w:val="auto"/>
                <w:sz w:val="22"/>
                <w:szCs w:val="22"/>
                <w:highlight w:val="none"/>
                <w:lang w:eastAsia="zh-CN"/>
              </w:rPr>
              <w:t>，</w:t>
            </w:r>
            <w:r>
              <w:rPr>
                <w:rFonts w:hint="eastAsia"/>
                <w:color w:val="auto"/>
                <w:sz w:val="22"/>
                <w:szCs w:val="22"/>
                <w:highlight w:val="none"/>
              </w:rPr>
              <w:t>加强维护维修</w:t>
            </w:r>
            <w:r>
              <w:rPr>
                <w:rFonts w:hint="eastAsia"/>
                <w:color w:val="auto"/>
                <w:sz w:val="22"/>
                <w:szCs w:val="22"/>
                <w:highlight w:val="none"/>
                <w:lang w:eastAsia="zh-CN"/>
              </w:rPr>
              <w:t>；加强过闸船舶管理，</w:t>
            </w:r>
            <w:r>
              <w:rPr>
                <w:rFonts w:hint="eastAsia"/>
                <w:color w:val="auto"/>
                <w:sz w:val="22"/>
                <w:szCs w:val="22"/>
                <w:highlight w:val="none"/>
              </w:rPr>
              <w:t>设立导航及有关警示标志</w:t>
            </w:r>
            <w:r>
              <w:rPr>
                <w:rFonts w:hint="eastAsia"/>
                <w:color w:val="auto"/>
                <w:sz w:val="22"/>
                <w:szCs w:val="22"/>
                <w:highlight w:val="none"/>
                <w:lang w:eastAsia="zh-CN"/>
              </w:rPr>
              <w:t>；制定针对运行期突发性水污染事件的应急预案，配备应急物资。</w:t>
            </w:r>
          </w:p>
        </w:tc>
        <w:tc>
          <w:tcPr>
            <w:tcW w:w="1516"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按要求落实了环境风险防范措施</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11" w:type="dxa"/>
            <w:left w:w="6" w:type="dxa"/>
            <w:bottom w:w="11" w:type="dxa"/>
            <w:right w:w="6" w:type="dxa"/>
          </w:tblCellMar>
        </w:tblPrEx>
        <w:trPr>
          <w:trHeight w:val="340" w:hRule="atLeast"/>
          <w:jc w:val="center"/>
        </w:trPr>
        <w:tc>
          <w:tcPr>
            <w:tcW w:w="2411" w:type="dxa"/>
            <w:gridSpan w:val="3"/>
            <w:vAlign w:val="center"/>
          </w:tcPr>
          <w:p>
            <w:pPr>
              <w:snapToGrid w:val="0"/>
              <w:spacing w:line="240" w:lineRule="auto"/>
              <w:ind w:left="52" w:leftChars="20" w:right="52" w:rightChars="20" w:firstLine="0" w:firstLineChars="0"/>
              <w:jc w:val="center"/>
              <w:rPr>
                <w:color w:val="auto"/>
                <w:sz w:val="22"/>
                <w:szCs w:val="22"/>
                <w:highlight w:val="none"/>
              </w:rPr>
            </w:pPr>
            <w:r>
              <w:rPr>
                <w:color w:val="auto"/>
                <w:sz w:val="22"/>
                <w:szCs w:val="22"/>
                <w:highlight w:val="none"/>
              </w:rPr>
              <w:t>环境管理</w:t>
            </w:r>
          </w:p>
        </w:tc>
        <w:tc>
          <w:tcPr>
            <w:tcW w:w="4568" w:type="dxa"/>
            <w:tcMar>
              <w:top w:w="0" w:type="dxa"/>
              <w:left w:w="0" w:type="dxa"/>
              <w:bottom w:w="0" w:type="dxa"/>
              <w:right w:w="0" w:type="dxa"/>
            </w:tcMar>
            <w:vAlign w:val="center"/>
          </w:tcPr>
          <w:p>
            <w:pPr>
              <w:snapToGrid w:val="0"/>
              <w:spacing w:line="240" w:lineRule="auto"/>
              <w:ind w:left="52" w:leftChars="20" w:right="52" w:rightChars="20" w:firstLine="0" w:firstLineChars="0"/>
              <w:jc w:val="both"/>
              <w:rPr>
                <w:color w:val="auto"/>
                <w:sz w:val="22"/>
                <w:szCs w:val="22"/>
                <w:highlight w:val="none"/>
              </w:rPr>
            </w:pPr>
            <w:r>
              <w:rPr>
                <w:rFonts w:hint="eastAsia"/>
                <w:color w:val="auto"/>
                <w:sz w:val="22"/>
                <w:szCs w:val="22"/>
                <w:highlight w:val="none"/>
                <w:lang w:eastAsia="zh-CN"/>
              </w:rPr>
              <w:t>建立环境管理制度，做好施工期、运营期环境管理工作，落实施工期、运营期环境监测计划。</w:t>
            </w:r>
          </w:p>
        </w:tc>
        <w:tc>
          <w:tcPr>
            <w:tcW w:w="1516" w:type="dxa"/>
            <w:tcMar>
              <w:top w:w="0" w:type="dxa"/>
              <w:left w:w="0" w:type="dxa"/>
              <w:bottom w:w="0" w:type="dxa"/>
              <w:right w:w="0" w:type="dxa"/>
            </w:tcMar>
            <w:vAlign w:val="center"/>
          </w:tcPr>
          <w:p>
            <w:pPr>
              <w:snapToGrid w:val="0"/>
              <w:spacing w:line="240" w:lineRule="auto"/>
              <w:ind w:left="52" w:leftChars="20" w:right="52" w:rightChars="20" w:firstLine="0" w:firstLineChars="0"/>
              <w:jc w:val="center"/>
              <w:rPr>
                <w:rFonts w:hint="eastAsia" w:eastAsia="宋体"/>
                <w:color w:val="auto"/>
                <w:sz w:val="22"/>
                <w:szCs w:val="22"/>
                <w:highlight w:val="none"/>
                <w:lang w:eastAsia="zh-CN"/>
              </w:rPr>
            </w:pPr>
            <w:r>
              <w:rPr>
                <w:rFonts w:hint="eastAsia"/>
                <w:color w:val="auto"/>
                <w:sz w:val="22"/>
                <w:szCs w:val="22"/>
                <w:highlight w:val="none"/>
                <w:lang w:eastAsia="zh-CN"/>
              </w:rPr>
              <w:t>建立了</w:t>
            </w:r>
            <w:r>
              <w:rPr>
                <w:color w:val="auto"/>
                <w:sz w:val="22"/>
                <w:szCs w:val="22"/>
                <w:highlight w:val="none"/>
              </w:rPr>
              <w:t>完善</w:t>
            </w:r>
            <w:r>
              <w:rPr>
                <w:rFonts w:hint="eastAsia"/>
                <w:color w:val="auto"/>
                <w:sz w:val="22"/>
                <w:szCs w:val="22"/>
                <w:highlight w:val="none"/>
              </w:rPr>
              <w:t>的环保</w:t>
            </w:r>
            <w:r>
              <w:rPr>
                <w:color w:val="auto"/>
                <w:sz w:val="22"/>
                <w:szCs w:val="22"/>
                <w:highlight w:val="none"/>
              </w:rPr>
              <w:t>制度</w:t>
            </w:r>
            <w:r>
              <w:rPr>
                <w:rFonts w:hint="eastAsia"/>
                <w:color w:val="auto"/>
                <w:sz w:val="22"/>
                <w:szCs w:val="22"/>
                <w:highlight w:val="none"/>
                <w:lang w:eastAsia="zh-CN"/>
              </w:rPr>
              <w:t>，按要求落实了监测计划</w:t>
            </w:r>
          </w:p>
        </w:tc>
      </w:tr>
      <w:bookmarkEnd w:id="175"/>
    </w:tbl>
    <w:p>
      <w:pPr>
        <w:snapToGrid w:val="0"/>
        <w:spacing w:line="240" w:lineRule="auto"/>
        <w:ind w:firstLine="520"/>
        <w:rPr>
          <w:color w:val="auto"/>
          <w:highlight w:val="none"/>
        </w:rPr>
      </w:pPr>
    </w:p>
    <w:p>
      <w:pPr>
        <w:tabs>
          <w:tab w:val="left" w:pos="1152"/>
        </w:tabs>
        <w:spacing w:line="240" w:lineRule="auto"/>
        <w:ind w:left="0" w:leftChars="0" w:firstLine="0" w:firstLineChars="0"/>
        <w:rPr>
          <w:color w:val="auto"/>
          <w:highlight w:val="none"/>
        </w:rPr>
        <w:sectPr>
          <w:pgSz w:w="11907" w:h="16840"/>
          <w:pgMar w:top="1588" w:right="1588" w:bottom="1588" w:left="1701" w:header="1304" w:footer="1247" w:gutter="0"/>
          <w:cols w:space="425" w:num="1"/>
          <w:docGrid w:linePitch="354" w:charSpace="0"/>
        </w:sectPr>
      </w:pPr>
    </w:p>
    <w:p>
      <w:pPr>
        <w:snapToGrid w:val="0"/>
        <w:spacing w:line="240" w:lineRule="auto"/>
        <w:ind w:firstLine="520"/>
        <w:rPr>
          <w:color w:val="auto"/>
          <w:highlight w:val="none"/>
        </w:rPr>
      </w:pPr>
    </w:p>
    <w:p>
      <w:pPr>
        <w:pStyle w:val="3"/>
        <w:spacing w:line="240" w:lineRule="auto"/>
        <w:ind w:firstLineChars="0"/>
        <w:rPr>
          <w:color w:val="auto"/>
          <w:highlight w:val="none"/>
        </w:rPr>
      </w:pPr>
      <w:bookmarkStart w:id="176" w:name="_Toc22418"/>
      <w:r>
        <w:rPr>
          <w:rFonts w:hint="eastAsia"/>
          <w:color w:val="auto"/>
          <w:highlight w:val="none"/>
        </w:rPr>
        <w:t>环境影响评价</w:t>
      </w:r>
      <w:r>
        <w:rPr>
          <w:color w:val="auto"/>
          <w:highlight w:val="none"/>
        </w:rPr>
        <w:t>结论</w:t>
      </w:r>
      <w:bookmarkEnd w:id="176"/>
    </w:p>
    <w:p>
      <w:pPr>
        <w:spacing w:line="240" w:lineRule="auto"/>
        <w:ind w:firstLine="520"/>
        <w:rPr>
          <w:color w:val="auto"/>
          <w:highlight w:val="none"/>
        </w:rPr>
      </w:pPr>
    </w:p>
    <w:p>
      <w:pPr>
        <w:pStyle w:val="4"/>
        <w:rPr>
          <w:color w:val="auto"/>
          <w:highlight w:val="none"/>
        </w:rPr>
      </w:pPr>
      <w:bookmarkStart w:id="177" w:name="_Toc13568"/>
      <w:r>
        <w:rPr>
          <w:rFonts w:hint="eastAsia"/>
          <w:color w:val="auto"/>
          <w:highlight w:val="none"/>
        </w:rPr>
        <w:t>项目</w:t>
      </w:r>
      <w:r>
        <w:rPr>
          <w:color w:val="auto"/>
          <w:highlight w:val="none"/>
        </w:rPr>
        <w:t>概况</w:t>
      </w:r>
      <w:bookmarkEnd w:id="177"/>
    </w:p>
    <w:p>
      <w:pPr>
        <w:adjustRightInd w:val="0"/>
        <w:snapToGrid w:val="0"/>
        <w:ind w:firstLine="520"/>
        <w:rPr>
          <w:color w:val="auto"/>
          <w:highlight w:val="none"/>
        </w:rPr>
      </w:pPr>
      <w:r>
        <w:rPr>
          <w:rFonts w:hint="eastAsia"/>
          <w:color w:val="auto"/>
          <w:highlight w:val="none"/>
        </w:rPr>
        <w:t>“涪江干流渭沱电厂船闸扩能升级改造工程”在既有船闸右侧新建船闸1座，配套建设公用工程、过鱼设施等，迁建原枢纽电厂配套设施。船闸采用内河Ⅲ级标准建设，有效尺度190×23×4.2米（长×宽×门槛水深）。设计代表船型为1000吨级干散货船，船型尺度 63×11×2.6米（长×宽×吃水）</w:t>
      </w:r>
      <w:r>
        <w:rPr>
          <w:rFonts w:hint="eastAsia"/>
          <w:color w:val="auto"/>
          <w:kern w:val="0"/>
          <w:szCs w:val="26"/>
          <w:highlight w:val="none"/>
        </w:rPr>
        <w:t>。</w:t>
      </w:r>
    </w:p>
    <w:p>
      <w:pPr>
        <w:adjustRightInd w:val="0"/>
        <w:snapToGrid w:val="0"/>
        <w:ind w:firstLine="520"/>
        <w:rPr>
          <w:snapToGrid w:val="0"/>
          <w:color w:val="auto"/>
          <w:kern w:val="0"/>
          <w:highlight w:val="none"/>
        </w:rPr>
      </w:pPr>
      <w:r>
        <w:rPr>
          <w:rFonts w:hint="eastAsia"/>
          <w:color w:val="auto"/>
          <w:szCs w:val="26"/>
          <w:highlight w:val="none"/>
        </w:rPr>
        <w:t>工程总投资约86943.66万</w:t>
      </w:r>
      <w:r>
        <w:rPr>
          <w:color w:val="auto"/>
          <w:szCs w:val="26"/>
          <w:highlight w:val="none"/>
        </w:rPr>
        <w:t>元</w:t>
      </w:r>
      <w:r>
        <w:rPr>
          <w:rFonts w:hint="eastAsia"/>
          <w:color w:val="auto"/>
          <w:szCs w:val="26"/>
          <w:highlight w:val="none"/>
        </w:rPr>
        <w:t>，环保投资约</w:t>
      </w:r>
      <w:r>
        <w:rPr>
          <w:rFonts w:hint="eastAsia"/>
          <w:color w:val="auto"/>
          <w:szCs w:val="26"/>
          <w:highlight w:val="none"/>
          <w:lang w:val="en-US" w:eastAsia="zh-CN"/>
        </w:rPr>
        <w:t>514</w:t>
      </w:r>
      <w:r>
        <w:rPr>
          <w:rFonts w:hint="eastAsia"/>
          <w:color w:val="auto"/>
          <w:szCs w:val="26"/>
          <w:highlight w:val="none"/>
        </w:rPr>
        <w:t>万元，约占总投资的</w:t>
      </w:r>
      <w:r>
        <w:rPr>
          <w:rFonts w:hint="eastAsia"/>
          <w:color w:val="auto"/>
          <w:szCs w:val="26"/>
          <w:highlight w:val="none"/>
          <w:lang w:val="en-US" w:eastAsia="zh-CN"/>
        </w:rPr>
        <w:t>0.59</w:t>
      </w:r>
      <w:r>
        <w:rPr>
          <w:rFonts w:hint="eastAsia"/>
          <w:color w:val="auto"/>
          <w:szCs w:val="26"/>
          <w:highlight w:val="none"/>
        </w:rPr>
        <w:t>%</w:t>
      </w:r>
      <w:r>
        <w:rPr>
          <w:rFonts w:hint="eastAsia"/>
          <w:color w:val="auto"/>
          <w:kern w:val="44"/>
          <w:szCs w:val="26"/>
          <w:highlight w:val="none"/>
        </w:rPr>
        <w:t>。</w:t>
      </w:r>
    </w:p>
    <w:p>
      <w:pPr>
        <w:pStyle w:val="4"/>
        <w:snapToGrid w:val="0"/>
        <w:rPr>
          <w:color w:val="auto"/>
          <w:highlight w:val="none"/>
        </w:rPr>
      </w:pPr>
      <w:bookmarkStart w:id="178" w:name="_Toc14694"/>
      <w:r>
        <w:rPr>
          <w:rFonts w:hint="eastAsia"/>
          <w:color w:val="auto"/>
          <w:highlight w:val="none"/>
        </w:rPr>
        <w:t>环境质量</w:t>
      </w:r>
      <w:r>
        <w:rPr>
          <w:color w:val="auto"/>
          <w:highlight w:val="none"/>
        </w:rPr>
        <w:t>现状</w:t>
      </w:r>
      <w:bookmarkEnd w:id="178"/>
    </w:p>
    <w:p>
      <w:pPr>
        <w:pStyle w:val="5"/>
        <w:bidi w:val="0"/>
        <w:rPr>
          <w:color w:val="auto"/>
          <w:highlight w:val="none"/>
        </w:rPr>
      </w:pPr>
      <w:r>
        <w:rPr>
          <w:rFonts w:hint="eastAsia"/>
          <w:color w:val="auto"/>
          <w:highlight w:val="none"/>
        </w:rPr>
        <w:t>大气环境质量现状</w:t>
      </w:r>
    </w:p>
    <w:p>
      <w:pPr>
        <w:snapToGrid w:val="0"/>
        <w:ind w:firstLine="520"/>
        <w:rPr>
          <w:color w:val="auto"/>
          <w:highlight w:val="none"/>
        </w:rPr>
      </w:pPr>
      <w:r>
        <w:rPr>
          <w:rFonts w:hint="eastAsia"/>
          <w:color w:val="auto"/>
          <w:highlight w:val="none"/>
        </w:rPr>
        <w:t>根据</w:t>
      </w:r>
      <w:r>
        <w:rPr>
          <w:rFonts w:eastAsiaTheme="minorEastAsia"/>
          <w:color w:val="auto"/>
          <w:szCs w:val="26"/>
          <w:highlight w:val="none"/>
        </w:rPr>
        <w:t>《202</w:t>
      </w:r>
      <w:r>
        <w:rPr>
          <w:rFonts w:hint="eastAsia" w:eastAsiaTheme="minorEastAsia"/>
          <w:color w:val="auto"/>
          <w:szCs w:val="26"/>
          <w:highlight w:val="none"/>
          <w:lang w:val="en-US" w:eastAsia="zh-CN"/>
        </w:rPr>
        <w:t>4</w:t>
      </w:r>
      <w:r>
        <w:rPr>
          <w:rFonts w:hint="eastAsia" w:eastAsiaTheme="minorEastAsia"/>
          <w:color w:val="auto"/>
          <w:szCs w:val="26"/>
          <w:highlight w:val="none"/>
        </w:rPr>
        <w:t>年重庆市生态</w:t>
      </w:r>
      <w:r>
        <w:rPr>
          <w:rFonts w:eastAsiaTheme="minorEastAsia"/>
          <w:color w:val="auto"/>
          <w:szCs w:val="26"/>
          <w:highlight w:val="none"/>
        </w:rPr>
        <w:t>环境</w:t>
      </w:r>
      <w:r>
        <w:rPr>
          <w:rFonts w:hint="eastAsia" w:eastAsiaTheme="minorEastAsia"/>
          <w:color w:val="auto"/>
          <w:szCs w:val="26"/>
          <w:highlight w:val="none"/>
        </w:rPr>
        <w:t>状况</w:t>
      </w:r>
      <w:r>
        <w:rPr>
          <w:rFonts w:eastAsiaTheme="minorEastAsia"/>
          <w:color w:val="auto"/>
          <w:szCs w:val="26"/>
          <w:highlight w:val="none"/>
        </w:rPr>
        <w:t>公报》</w:t>
      </w:r>
      <w:r>
        <w:rPr>
          <w:rFonts w:hint="eastAsia" w:eastAsiaTheme="minorEastAsia"/>
          <w:color w:val="auto"/>
          <w:szCs w:val="26"/>
          <w:highlight w:val="none"/>
        </w:rPr>
        <w:t>，</w:t>
      </w:r>
      <w:r>
        <w:rPr>
          <w:rFonts w:hint="eastAsia" w:eastAsiaTheme="minorEastAsia"/>
          <w:color w:val="auto"/>
          <w:szCs w:val="26"/>
          <w:highlight w:val="none"/>
          <w:lang w:eastAsia="zh-CN"/>
        </w:rPr>
        <w:t>项目所在</w:t>
      </w:r>
      <w:r>
        <w:rPr>
          <w:rFonts w:hint="eastAsia"/>
          <w:color w:val="auto"/>
          <w:sz w:val="26"/>
          <w:szCs w:val="26"/>
          <w:highlight w:val="none"/>
        </w:rPr>
        <w:t>合川区</w:t>
      </w:r>
      <w:r>
        <w:rPr>
          <w:color w:val="auto"/>
          <w:sz w:val="26"/>
          <w:szCs w:val="26"/>
          <w:highlight w:val="none"/>
        </w:rPr>
        <w:t>202</w:t>
      </w:r>
      <w:r>
        <w:rPr>
          <w:rFonts w:hint="eastAsia"/>
          <w:color w:val="auto"/>
          <w:sz w:val="26"/>
          <w:szCs w:val="26"/>
          <w:highlight w:val="none"/>
        </w:rPr>
        <w:t>4年</w:t>
      </w:r>
      <w:r>
        <w:rPr>
          <w:color w:val="auto"/>
          <w:sz w:val="26"/>
          <w:szCs w:val="26"/>
          <w:highlight w:val="none"/>
        </w:rPr>
        <w:t>环境空气质量监测结果中SO</w:t>
      </w:r>
      <w:r>
        <w:rPr>
          <w:color w:val="auto"/>
          <w:sz w:val="26"/>
          <w:szCs w:val="26"/>
          <w:highlight w:val="none"/>
          <w:vertAlign w:val="subscript"/>
        </w:rPr>
        <w:t>2</w:t>
      </w:r>
      <w:r>
        <w:rPr>
          <w:color w:val="auto"/>
          <w:sz w:val="26"/>
          <w:szCs w:val="26"/>
          <w:highlight w:val="none"/>
        </w:rPr>
        <w:t>、NO</w:t>
      </w:r>
      <w:r>
        <w:rPr>
          <w:color w:val="auto"/>
          <w:sz w:val="26"/>
          <w:szCs w:val="26"/>
          <w:highlight w:val="none"/>
          <w:vertAlign w:val="subscript"/>
        </w:rPr>
        <w:t>2</w:t>
      </w:r>
      <w:r>
        <w:rPr>
          <w:color w:val="auto"/>
          <w:sz w:val="26"/>
          <w:szCs w:val="26"/>
          <w:highlight w:val="none"/>
        </w:rPr>
        <w:t>、CO、PM</w:t>
      </w:r>
      <w:r>
        <w:rPr>
          <w:color w:val="auto"/>
          <w:sz w:val="26"/>
          <w:szCs w:val="26"/>
          <w:highlight w:val="none"/>
          <w:vertAlign w:val="subscript"/>
        </w:rPr>
        <w:t>10</w:t>
      </w:r>
      <w:r>
        <w:rPr>
          <w:rFonts w:hint="eastAsia"/>
          <w:color w:val="auto"/>
          <w:sz w:val="26"/>
          <w:szCs w:val="26"/>
          <w:highlight w:val="none"/>
          <w:lang w:eastAsia="zh-CN"/>
        </w:rPr>
        <w:t>四</w:t>
      </w:r>
      <w:r>
        <w:rPr>
          <w:rFonts w:hint="eastAsia"/>
          <w:color w:val="auto"/>
          <w:sz w:val="26"/>
          <w:szCs w:val="26"/>
          <w:highlight w:val="none"/>
        </w:rPr>
        <w:t>项</w:t>
      </w:r>
      <w:r>
        <w:rPr>
          <w:color w:val="auto"/>
          <w:sz w:val="26"/>
          <w:szCs w:val="26"/>
          <w:highlight w:val="none"/>
        </w:rPr>
        <w:t>基本因子满足《环境空气质量标准》（GB3095-2012）中二级标准要求</w:t>
      </w:r>
      <w:r>
        <w:rPr>
          <w:rFonts w:hint="eastAsia" w:eastAsiaTheme="minorEastAsia"/>
          <w:color w:val="auto"/>
          <w:sz w:val="26"/>
          <w:szCs w:val="26"/>
          <w:highlight w:val="none"/>
        </w:rPr>
        <w:t>，</w:t>
      </w:r>
      <w:r>
        <w:rPr>
          <w:color w:val="auto"/>
          <w:sz w:val="26"/>
          <w:szCs w:val="26"/>
          <w:highlight w:val="none"/>
        </w:rPr>
        <w:t>PM</w:t>
      </w:r>
      <w:r>
        <w:rPr>
          <w:color w:val="auto"/>
          <w:sz w:val="26"/>
          <w:szCs w:val="26"/>
          <w:highlight w:val="none"/>
          <w:vertAlign w:val="subscript"/>
        </w:rPr>
        <w:t>2.5</w:t>
      </w:r>
      <w:r>
        <w:rPr>
          <w:color w:val="auto"/>
          <w:sz w:val="26"/>
          <w:szCs w:val="26"/>
          <w:highlight w:val="none"/>
        </w:rPr>
        <w:t>、O</w:t>
      </w:r>
      <w:r>
        <w:rPr>
          <w:color w:val="auto"/>
          <w:sz w:val="26"/>
          <w:szCs w:val="26"/>
          <w:highlight w:val="none"/>
          <w:vertAlign w:val="subscript"/>
        </w:rPr>
        <w:t>3</w:t>
      </w:r>
      <w:r>
        <w:rPr>
          <w:rFonts w:hint="eastAsia"/>
          <w:color w:val="auto"/>
          <w:sz w:val="26"/>
          <w:szCs w:val="26"/>
          <w:highlight w:val="none"/>
        </w:rPr>
        <w:t>不满足</w:t>
      </w:r>
      <w:r>
        <w:rPr>
          <w:color w:val="auto"/>
          <w:sz w:val="26"/>
          <w:szCs w:val="26"/>
          <w:highlight w:val="none"/>
        </w:rPr>
        <w:t>标准限值</w:t>
      </w:r>
      <w:r>
        <w:rPr>
          <w:rFonts w:hint="eastAsia"/>
          <w:color w:val="auto"/>
          <w:sz w:val="26"/>
          <w:szCs w:val="26"/>
          <w:highlight w:val="none"/>
        </w:rPr>
        <w:t>要求，</w:t>
      </w:r>
      <w:r>
        <w:rPr>
          <w:rFonts w:eastAsiaTheme="minorEastAsia"/>
          <w:color w:val="auto"/>
          <w:sz w:val="26"/>
          <w:szCs w:val="26"/>
          <w:highlight w:val="none"/>
        </w:rPr>
        <w:t>属于</w:t>
      </w:r>
      <w:r>
        <w:rPr>
          <w:rFonts w:hint="eastAsia" w:eastAsiaTheme="minorEastAsia"/>
          <w:color w:val="auto"/>
          <w:sz w:val="26"/>
          <w:szCs w:val="26"/>
          <w:highlight w:val="none"/>
        </w:rPr>
        <w:t>不</w:t>
      </w:r>
      <w:r>
        <w:rPr>
          <w:rFonts w:eastAsiaTheme="minorEastAsia"/>
          <w:color w:val="auto"/>
          <w:sz w:val="26"/>
          <w:szCs w:val="26"/>
          <w:highlight w:val="none"/>
        </w:rPr>
        <w:t>达标区域</w:t>
      </w:r>
      <w:r>
        <w:rPr>
          <w:rFonts w:hint="eastAsia" w:eastAsiaTheme="minorEastAsia"/>
          <w:color w:val="auto"/>
          <w:sz w:val="26"/>
          <w:szCs w:val="26"/>
          <w:highlight w:val="none"/>
        </w:rPr>
        <w:t>，</w:t>
      </w:r>
      <w:r>
        <w:rPr>
          <w:rFonts w:eastAsiaTheme="minorEastAsia"/>
          <w:color w:val="auto"/>
          <w:sz w:val="26"/>
          <w:szCs w:val="26"/>
          <w:highlight w:val="none"/>
        </w:rPr>
        <w:t>不达标因子为</w:t>
      </w:r>
      <w:r>
        <w:rPr>
          <w:rFonts w:hint="eastAsia" w:eastAsiaTheme="minorEastAsia"/>
          <w:color w:val="auto"/>
          <w:sz w:val="26"/>
          <w:szCs w:val="26"/>
          <w:highlight w:val="none"/>
        </w:rPr>
        <w:t>PM</w:t>
      </w:r>
      <w:r>
        <w:rPr>
          <w:rFonts w:hint="eastAsia" w:eastAsiaTheme="minorEastAsia"/>
          <w:color w:val="auto"/>
          <w:sz w:val="26"/>
          <w:szCs w:val="26"/>
          <w:highlight w:val="none"/>
          <w:vertAlign w:val="subscript"/>
        </w:rPr>
        <w:t>2.5</w:t>
      </w:r>
      <w:r>
        <w:rPr>
          <w:color w:val="auto"/>
          <w:sz w:val="26"/>
          <w:szCs w:val="26"/>
          <w:highlight w:val="none"/>
        </w:rPr>
        <w:t>、O</w:t>
      </w:r>
      <w:r>
        <w:rPr>
          <w:color w:val="auto"/>
          <w:sz w:val="26"/>
          <w:szCs w:val="26"/>
          <w:highlight w:val="none"/>
          <w:vertAlign w:val="subscript"/>
        </w:rPr>
        <w:t>3</w:t>
      </w:r>
      <w:r>
        <w:rPr>
          <w:rFonts w:hint="eastAsia"/>
          <w:color w:val="auto"/>
          <w:highlight w:val="none"/>
        </w:rPr>
        <w:t>。</w:t>
      </w:r>
    </w:p>
    <w:p>
      <w:pPr>
        <w:pStyle w:val="5"/>
        <w:bidi w:val="0"/>
        <w:rPr>
          <w:color w:val="auto"/>
          <w:highlight w:val="none"/>
        </w:rPr>
      </w:pPr>
      <w:r>
        <w:rPr>
          <w:rFonts w:hint="eastAsia"/>
          <w:color w:val="auto"/>
          <w:highlight w:val="none"/>
        </w:rPr>
        <w:t>地表</w:t>
      </w:r>
      <w:r>
        <w:rPr>
          <w:rFonts w:hint="eastAsia"/>
          <w:color w:val="auto"/>
          <w:highlight w:val="none"/>
          <w:lang w:eastAsia="zh-CN"/>
        </w:rPr>
        <w:t>水</w:t>
      </w:r>
      <w:r>
        <w:rPr>
          <w:rFonts w:hint="eastAsia"/>
          <w:color w:val="auto"/>
          <w:highlight w:val="none"/>
        </w:rPr>
        <w:t>环境质量现状</w:t>
      </w:r>
    </w:p>
    <w:p>
      <w:pPr>
        <w:ind w:firstLine="520"/>
        <w:rPr>
          <w:rFonts w:hint="eastAsia" w:cs="Times New Roman" w:eastAsiaTheme="minorEastAsia"/>
          <w:snapToGrid w:val="0"/>
          <w:color w:val="auto"/>
          <w:kern w:val="0"/>
          <w:szCs w:val="26"/>
          <w:highlight w:val="none"/>
          <w:lang w:eastAsia="zh-CN"/>
        </w:rPr>
      </w:pPr>
      <w:r>
        <w:rPr>
          <w:rFonts w:hint="default" w:ascii="Times New Roman" w:hAnsi="Times New Roman" w:cs="Times New Roman" w:eastAsiaTheme="minorEastAsia"/>
          <w:snapToGrid w:val="0"/>
          <w:color w:val="auto"/>
          <w:kern w:val="0"/>
          <w:szCs w:val="26"/>
          <w:highlight w:val="none"/>
        </w:rPr>
        <w:t>根据例行监测数据可知：</w:t>
      </w:r>
      <w:r>
        <w:rPr>
          <w:rFonts w:hint="eastAsia" w:cs="Times New Roman" w:eastAsiaTheme="minorEastAsia"/>
          <w:snapToGrid w:val="0"/>
          <w:color w:val="auto"/>
          <w:kern w:val="0"/>
          <w:szCs w:val="26"/>
          <w:highlight w:val="none"/>
          <w:lang w:eastAsia="zh-CN"/>
        </w:rPr>
        <w:t>涪江干流、</w:t>
      </w:r>
      <w:r>
        <w:rPr>
          <w:rFonts w:hint="default" w:ascii="Times New Roman" w:hAnsi="Times New Roman" w:cs="Times New Roman" w:eastAsiaTheme="minorEastAsia"/>
          <w:snapToGrid w:val="0"/>
          <w:color w:val="auto"/>
          <w:kern w:val="0"/>
          <w:szCs w:val="26"/>
          <w:highlight w:val="none"/>
        </w:rPr>
        <w:t>渭沱水库各监测断面主要监测因子均满足《地表水环境质量标准》（GB3838-2002）</w:t>
      </w:r>
      <w:r>
        <w:rPr>
          <w:rFonts w:hint="default" w:ascii="Times New Roman" w:hAnsi="Times New Roman" w:cs="Times New Roman" w:eastAsiaTheme="minorEastAsia"/>
          <w:snapToGrid w:val="0"/>
          <w:color w:val="auto"/>
          <w:kern w:val="0"/>
          <w:szCs w:val="26"/>
          <w:highlight w:val="none"/>
        </w:rPr>
        <w:fldChar w:fldCharType="begin"/>
      </w:r>
      <w:r>
        <w:rPr>
          <w:rFonts w:hint="default" w:ascii="Times New Roman" w:hAnsi="Times New Roman" w:cs="Times New Roman" w:eastAsiaTheme="minorEastAsia"/>
          <w:snapToGrid w:val="0"/>
          <w:color w:val="auto"/>
          <w:kern w:val="0"/>
          <w:szCs w:val="26"/>
          <w:highlight w:val="none"/>
        </w:rPr>
        <w:instrText xml:space="preserve"> = 3 \* ROMAN </w:instrText>
      </w:r>
      <w:r>
        <w:rPr>
          <w:rFonts w:hint="default" w:ascii="Times New Roman" w:hAnsi="Times New Roman" w:cs="Times New Roman" w:eastAsiaTheme="minorEastAsia"/>
          <w:snapToGrid w:val="0"/>
          <w:color w:val="auto"/>
          <w:kern w:val="0"/>
          <w:szCs w:val="26"/>
          <w:highlight w:val="none"/>
        </w:rPr>
        <w:fldChar w:fldCharType="separate"/>
      </w:r>
      <w:r>
        <w:rPr>
          <w:rFonts w:hint="default" w:ascii="Times New Roman" w:hAnsi="Times New Roman" w:cs="Times New Roman" w:eastAsiaTheme="minorEastAsia"/>
          <w:snapToGrid w:val="0"/>
          <w:color w:val="auto"/>
          <w:kern w:val="0"/>
          <w:szCs w:val="26"/>
          <w:highlight w:val="none"/>
        </w:rPr>
        <w:t>III</w:t>
      </w:r>
      <w:r>
        <w:rPr>
          <w:rFonts w:hint="default" w:ascii="Times New Roman" w:hAnsi="Times New Roman" w:cs="Times New Roman" w:eastAsiaTheme="minorEastAsia"/>
          <w:snapToGrid w:val="0"/>
          <w:color w:val="auto"/>
          <w:kern w:val="0"/>
          <w:szCs w:val="26"/>
          <w:highlight w:val="none"/>
        </w:rPr>
        <w:fldChar w:fldCharType="end"/>
      </w:r>
      <w:r>
        <w:rPr>
          <w:rFonts w:hint="default" w:ascii="Times New Roman" w:hAnsi="Times New Roman" w:cs="Times New Roman" w:eastAsiaTheme="minorEastAsia"/>
          <w:snapToGrid w:val="0"/>
          <w:color w:val="auto"/>
          <w:kern w:val="0"/>
          <w:szCs w:val="26"/>
          <w:highlight w:val="none"/>
        </w:rPr>
        <w:t>类水质标准</w:t>
      </w:r>
      <w:r>
        <w:rPr>
          <w:rFonts w:hint="eastAsia" w:cs="Times New Roman" w:eastAsiaTheme="minorEastAsia"/>
          <w:snapToGrid w:val="0"/>
          <w:color w:val="auto"/>
          <w:kern w:val="0"/>
          <w:szCs w:val="26"/>
          <w:highlight w:val="none"/>
          <w:lang w:eastAsia="zh-CN"/>
        </w:rPr>
        <w:t>，</w:t>
      </w:r>
      <w:r>
        <w:rPr>
          <w:rFonts w:hint="default" w:ascii="Times New Roman" w:hAnsi="Times New Roman" w:cs="Times New Roman" w:eastAsiaTheme="minorEastAsia"/>
          <w:snapToGrid w:val="0"/>
          <w:color w:val="auto"/>
          <w:kern w:val="0"/>
          <w:szCs w:val="26"/>
          <w:highlight w:val="none"/>
        </w:rPr>
        <w:t>水质状况良好</w:t>
      </w:r>
      <w:r>
        <w:rPr>
          <w:rFonts w:hint="eastAsia" w:cs="Times New Roman" w:eastAsiaTheme="minorEastAsia"/>
          <w:snapToGrid w:val="0"/>
          <w:color w:val="auto"/>
          <w:kern w:val="0"/>
          <w:szCs w:val="26"/>
          <w:highlight w:val="none"/>
          <w:lang w:eastAsia="zh-CN"/>
        </w:rPr>
        <w:t>。</w:t>
      </w:r>
    </w:p>
    <w:p>
      <w:pPr>
        <w:snapToGrid w:val="0"/>
        <w:ind w:firstLine="520"/>
        <w:rPr>
          <w:color w:val="auto"/>
          <w:highlight w:val="none"/>
        </w:rPr>
      </w:pPr>
      <w:r>
        <w:rPr>
          <w:rFonts w:hint="eastAsia"/>
          <w:color w:val="auto"/>
          <w:highlight w:val="none"/>
          <w:lang w:val="en-US" w:eastAsia="zh-CN"/>
        </w:rPr>
        <w:t>根据本次补充监测及引用监测数据显示：上游对照断面、下游控制断面、下游金沙水厂水源地各监测因子均满足《地表水环境质量标准》（GB3838-2002）Ⅲ类水质标准，涪江水环境质量较好。</w:t>
      </w:r>
    </w:p>
    <w:p>
      <w:pPr>
        <w:pStyle w:val="5"/>
        <w:bidi w:val="0"/>
        <w:rPr>
          <w:color w:val="auto"/>
          <w:highlight w:val="none"/>
        </w:rPr>
      </w:pPr>
      <w:r>
        <w:rPr>
          <w:rFonts w:hint="eastAsia"/>
          <w:color w:val="auto"/>
          <w:highlight w:val="none"/>
        </w:rPr>
        <w:t>声环境质量现状</w:t>
      </w:r>
    </w:p>
    <w:p>
      <w:pPr>
        <w:ind w:firstLine="520"/>
        <w:rPr>
          <w:color w:val="auto"/>
          <w:highlight w:val="none"/>
        </w:rPr>
      </w:pPr>
      <w:r>
        <w:rPr>
          <w:rFonts w:hint="eastAsia"/>
          <w:color w:val="auto"/>
          <w:szCs w:val="26"/>
          <w:highlight w:val="none"/>
          <w:lang w:eastAsia="zh-CN"/>
        </w:rPr>
        <w:t>项目周边</w:t>
      </w:r>
      <w:r>
        <w:rPr>
          <w:color w:val="auto"/>
          <w:szCs w:val="26"/>
          <w:highlight w:val="none"/>
        </w:rPr>
        <w:t>各监测点昼、夜监测结果</w:t>
      </w:r>
      <w:r>
        <w:rPr>
          <w:rFonts w:hint="eastAsia"/>
          <w:color w:val="auto"/>
          <w:szCs w:val="26"/>
          <w:highlight w:val="none"/>
          <w:lang w:eastAsia="zh-CN"/>
        </w:rPr>
        <w:t>分别</w:t>
      </w:r>
      <w:r>
        <w:rPr>
          <w:color w:val="auto"/>
          <w:szCs w:val="26"/>
          <w:highlight w:val="none"/>
        </w:rPr>
        <w:t>满足《声环境质量标准》（GB3096-2008）2类</w:t>
      </w:r>
      <w:r>
        <w:rPr>
          <w:rFonts w:hint="eastAsia"/>
          <w:color w:val="auto"/>
          <w:szCs w:val="26"/>
          <w:highlight w:val="none"/>
          <w:lang w:eastAsia="zh-CN"/>
        </w:rPr>
        <w:t>、</w:t>
      </w:r>
      <w:r>
        <w:rPr>
          <w:rFonts w:hint="eastAsia"/>
          <w:color w:val="auto"/>
          <w:szCs w:val="26"/>
          <w:highlight w:val="none"/>
          <w:lang w:val="en-US" w:eastAsia="zh-CN"/>
        </w:rPr>
        <w:t>4a类</w:t>
      </w:r>
      <w:r>
        <w:rPr>
          <w:color w:val="auto"/>
          <w:szCs w:val="26"/>
          <w:highlight w:val="none"/>
        </w:rPr>
        <w:t>声环境功能区标准，区域声环境质量现状</w:t>
      </w:r>
      <w:r>
        <w:rPr>
          <w:rFonts w:hint="eastAsia"/>
          <w:color w:val="auto"/>
          <w:szCs w:val="26"/>
          <w:highlight w:val="none"/>
        </w:rPr>
        <w:t>良</w:t>
      </w:r>
      <w:r>
        <w:rPr>
          <w:color w:val="auto"/>
          <w:szCs w:val="26"/>
          <w:highlight w:val="none"/>
        </w:rPr>
        <w:t>好</w:t>
      </w:r>
      <w:r>
        <w:rPr>
          <w:rFonts w:hint="eastAsia"/>
          <w:color w:val="auto"/>
          <w:highlight w:val="none"/>
        </w:rPr>
        <w:t>。</w:t>
      </w:r>
    </w:p>
    <w:p>
      <w:pPr>
        <w:pStyle w:val="5"/>
        <w:bidi w:val="0"/>
        <w:rPr>
          <w:color w:val="auto"/>
          <w:highlight w:val="none"/>
        </w:rPr>
      </w:pPr>
      <w:r>
        <w:rPr>
          <w:rFonts w:hint="eastAsia"/>
          <w:color w:val="auto"/>
          <w:highlight w:val="none"/>
          <w:lang w:eastAsia="zh-CN"/>
        </w:rPr>
        <w:t>底泥</w:t>
      </w:r>
      <w:r>
        <w:rPr>
          <w:rFonts w:hint="eastAsia"/>
          <w:color w:val="auto"/>
          <w:highlight w:val="none"/>
        </w:rPr>
        <w:t>质量现状</w:t>
      </w:r>
    </w:p>
    <w:p>
      <w:pPr>
        <w:snapToGrid w:val="0"/>
        <w:ind w:firstLine="520"/>
        <w:rPr>
          <w:color w:val="auto"/>
          <w:highlight w:val="none"/>
        </w:rPr>
      </w:pPr>
      <w:r>
        <w:rPr>
          <w:rFonts w:hint="eastAsia"/>
          <w:color w:val="auto"/>
          <w:highlight w:val="none"/>
        </w:rPr>
        <w:t>根据引用</w:t>
      </w:r>
      <w:r>
        <w:rPr>
          <w:rFonts w:hint="eastAsia"/>
          <w:color w:val="auto"/>
          <w:highlight w:val="none"/>
          <w:lang w:eastAsia="zh-CN"/>
        </w:rPr>
        <w:t>项目所在河段底泥</w:t>
      </w:r>
      <w:r>
        <w:rPr>
          <w:rFonts w:hint="eastAsia"/>
          <w:color w:val="auto"/>
          <w:highlight w:val="none"/>
        </w:rPr>
        <w:t>监测数据</w:t>
      </w:r>
      <w:r>
        <w:rPr>
          <w:rFonts w:hint="eastAsia"/>
          <w:color w:val="auto"/>
          <w:highlight w:val="none"/>
          <w:lang w:eastAsia="zh-CN"/>
        </w:rPr>
        <w:t>可知：项目所在河段</w:t>
      </w:r>
      <w:r>
        <w:rPr>
          <w:rFonts w:hint="eastAsia"/>
          <w:color w:val="auto"/>
          <w:highlight w:val="none"/>
        </w:rPr>
        <w:t>各监测点的底质铜、镉、铅、铬、汞、砷、锌、镍等监测因子均低于《土壤环境质量农用地土壤污染风险管控标准（试行）》（GB 15618-2018）风险筛选值，河道底泥生态环境风险低。</w:t>
      </w:r>
    </w:p>
    <w:p>
      <w:pPr>
        <w:pStyle w:val="5"/>
        <w:bidi w:val="0"/>
        <w:rPr>
          <w:color w:val="auto"/>
          <w:highlight w:val="none"/>
        </w:rPr>
      </w:pPr>
      <w:r>
        <w:rPr>
          <w:rFonts w:hint="eastAsia"/>
          <w:color w:val="auto"/>
          <w:highlight w:val="none"/>
        </w:rPr>
        <w:t>生态环境现状</w:t>
      </w:r>
    </w:p>
    <w:p>
      <w:pPr>
        <w:bidi w:val="0"/>
        <w:rPr>
          <w:rFonts w:hint="eastAsia"/>
          <w:color w:val="auto"/>
          <w:highlight w:val="none"/>
        </w:rPr>
      </w:pPr>
      <w:r>
        <w:rPr>
          <w:color w:val="auto"/>
          <w:szCs w:val="20"/>
          <w:highlight w:val="none"/>
        </w:rPr>
        <w:t>项目</w:t>
      </w:r>
      <w:r>
        <w:rPr>
          <w:rFonts w:hint="eastAsia"/>
          <w:color w:val="auto"/>
          <w:szCs w:val="20"/>
          <w:highlight w:val="none"/>
        </w:rPr>
        <w:t>占地范围</w:t>
      </w:r>
      <w:r>
        <w:rPr>
          <w:color w:val="auto"/>
          <w:szCs w:val="20"/>
          <w:highlight w:val="none"/>
        </w:rPr>
        <w:t>内</w:t>
      </w:r>
      <w:r>
        <w:rPr>
          <w:rFonts w:hint="eastAsia"/>
          <w:color w:val="auto"/>
          <w:szCs w:val="20"/>
          <w:highlight w:val="none"/>
          <w:lang w:eastAsia="zh-CN"/>
        </w:rPr>
        <w:t>除水域外，</w:t>
      </w:r>
      <w:r>
        <w:rPr>
          <w:rFonts w:hint="eastAsia"/>
          <w:color w:val="auto"/>
          <w:szCs w:val="20"/>
          <w:highlight w:val="none"/>
        </w:rPr>
        <w:t>土地利用类型</w:t>
      </w:r>
      <w:r>
        <w:rPr>
          <w:color w:val="auto"/>
          <w:szCs w:val="20"/>
          <w:highlight w:val="none"/>
        </w:rPr>
        <w:t>主要为耕地和林地，</w:t>
      </w:r>
      <w:r>
        <w:rPr>
          <w:rFonts w:hint="eastAsia"/>
          <w:color w:val="auto"/>
          <w:szCs w:val="20"/>
          <w:highlight w:val="none"/>
        </w:rPr>
        <w:t>生态</w:t>
      </w:r>
      <w:r>
        <w:rPr>
          <w:color w:val="auto"/>
          <w:szCs w:val="20"/>
          <w:highlight w:val="none"/>
        </w:rPr>
        <w:t>系统以耕地生态系统为主，</w:t>
      </w:r>
      <w:r>
        <w:rPr>
          <w:rFonts w:hint="eastAsia"/>
          <w:color w:val="auto"/>
          <w:highlight w:val="none"/>
        </w:rPr>
        <w:t>植被类型主要为农田植被，及</w:t>
      </w:r>
      <w:r>
        <w:rPr>
          <w:rFonts w:hint="eastAsia"/>
          <w:color w:val="auto"/>
          <w:highlight w:val="none"/>
          <w:lang w:eastAsia="zh-CN"/>
        </w:rPr>
        <w:t>枫杨林</w:t>
      </w:r>
      <w:r>
        <w:rPr>
          <w:rFonts w:hint="eastAsia"/>
          <w:color w:val="auto"/>
          <w:highlight w:val="none"/>
        </w:rPr>
        <w:t>、</w:t>
      </w:r>
      <w:r>
        <w:rPr>
          <w:rFonts w:hint="eastAsia"/>
          <w:color w:val="auto"/>
          <w:highlight w:val="none"/>
          <w:lang w:eastAsia="zh-CN"/>
        </w:rPr>
        <w:t>柏木林、</w:t>
      </w:r>
      <w:r>
        <w:rPr>
          <w:rFonts w:hint="eastAsia"/>
          <w:color w:val="auto"/>
          <w:highlight w:val="none"/>
        </w:rPr>
        <w:t>慈竹林等常见植被，项目占地范围内无重要野生保护植物及古树名木分布；动物主要有</w:t>
      </w:r>
      <w:r>
        <w:rPr>
          <w:rFonts w:hint="eastAsia"/>
          <w:color w:val="auto"/>
          <w:szCs w:val="26"/>
          <w:highlight w:val="none"/>
        </w:rPr>
        <w:t>少量常见</w:t>
      </w:r>
      <w:r>
        <w:rPr>
          <w:color w:val="auto"/>
          <w:szCs w:val="26"/>
          <w:highlight w:val="none"/>
        </w:rPr>
        <w:t>蛇类、啮齿类以及鸟类等</w:t>
      </w:r>
      <w:r>
        <w:rPr>
          <w:rFonts w:hint="eastAsia"/>
          <w:color w:val="auto"/>
          <w:szCs w:val="26"/>
          <w:highlight w:val="none"/>
        </w:rPr>
        <w:t>当地常见物种，</w:t>
      </w:r>
      <w:r>
        <w:rPr>
          <w:rFonts w:hint="eastAsia"/>
          <w:color w:val="auto"/>
          <w:highlight w:val="none"/>
        </w:rPr>
        <w:t>根据现场调查及文献资料查阅，</w:t>
      </w:r>
      <w:r>
        <w:rPr>
          <w:color w:val="auto"/>
          <w:szCs w:val="26"/>
          <w:highlight w:val="none"/>
        </w:rPr>
        <w:t>本项目评价范围内</w:t>
      </w:r>
      <w:r>
        <w:rPr>
          <w:rFonts w:hint="eastAsia"/>
          <w:color w:val="auto"/>
          <w:szCs w:val="22"/>
          <w:highlight w:val="none"/>
          <w:lang w:eastAsia="zh-CN"/>
        </w:rPr>
        <w:t>分布有</w:t>
      </w:r>
      <w:r>
        <w:rPr>
          <w:color w:val="auto"/>
          <w:szCs w:val="22"/>
          <w:highlight w:val="none"/>
        </w:rPr>
        <w:t>国家</w:t>
      </w:r>
      <w:r>
        <w:rPr>
          <w:rFonts w:hint="eastAsia"/>
          <w:color w:val="auto"/>
          <w:szCs w:val="22"/>
          <w:highlight w:val="none"/>
        </w:rPr>
        <w:t>二</w:t>
      </w:r>
      <w:r>
        <w:rPr>
          <w:color w:val="auto"/>
          <w:szCs w:val="22"/>
          <w:highlight w:val="none"/>
        </w:rPr>
        <w:t>级</w:t>
      </w:r>
      <w:r>
        <w:rPr>
          <w:rFonts w:hint="eastAsia"/>
          <w:color w:val="auto"/>
          <w:szCs w:val="22"/>
          <w:highlight w:val="none"/>
        </w:rPr>
        <w:t>重点</w:t>
      </w:r>
      <w:r>
        <w:rPr>
          <w:color w:val="auto"/>
          <w:szCs w:val="22"/>
          <w:highlight w:val="none"/>
        </w:rPr>
        <w:t>保护</w:t>
      </w:r>
      <w:r>
        <w:rPr>
          <w:rFonts w:hint="eastAsia"/>
          <w:color w:val="auto"/>
          <w:szCs w:val="22"/>
          <w:highlight w:val="none"/>
        </w:rPr>
        <w:t>野生</w:t>
      </w:r>
      <w:r>
        <w:rPr>
          <w:color w:val="auto"/>
          <w:szCs w:val="22"/>
          <w:highlight w:val="none"/>
        </w:rPr>
        <w:t>动物2种</w:t>
      </w:r>
      <w:r>
        <w:rPr>
          <w:rFonts w:hint="eastAsia"/>
          <w:color w:val="auto"/>
          <w:szCs w:val="22"/>
          <w:highlight w:val="none"/>
        </w:rPr>
        <w:t>，</w:t>
      </w:r>
      <w:r>
        <w:rPr>
          <w:color w:val="auto"/>
          <w:szCs w:val="22"/>
          <w:highlight w:val="none"/>
        </w:rPr>
        <w:t>即普通鵟、游隼</w:t>
      </w:r>
      <w:r>
        <w:rPr>
          <w:rFonts w:hint="eastAsia"/>
          <w:color w:val="auto"/>
          <w:szCs w:val="22"/>
          <w:highlight w:val="none"/>
        </w:rPr>
        <w:t>，重庆市级重点保护野生动</w:t>
      </w:r>
      <w:r>
        <w:rPr>
          <w:rFonts w:hint="eastAsia"/>
          <w:color w:val="auto"/>
          <w:highlight w:val="none"/>
        </w:rPr>
        <w:t>物共</w:t>
      </w:r>
      <w:r>
        <w:rPr>
          <w:rFonts w:hint="eastAsia"/>
          <w:color w:val="auto"/>
          <w:highlight w:val="none"/>
          <w:lang w:val="en-US" w:eastAsia="zh-CN"/>
        </w:rPr>
        <w:t>7</w:t>
      </w:r>
      <w:r>
        <w:rPr>
          <w:rFonts w:hint="eastAsia"/>
          <w:color w:val="auto"/>
          <w:highlight w:val="none"/>
        </w:rPr>
        <w:t>种，</w:t>
      </w:r>
      <w:r>
        <w:rPr>
          <w:color w:val="auto"/>
          <w:highlight w:val="none"/>
        </w:rPr>
        <w:t>即黑眉锦蛇</w:t>
      </w:r>
      <w:r>
        <w:rPr>
          <w:rFonts w:hint="eastAsia"/>
          <w:color w:val="auto"/>
          <w:highlight w:val="none"/>
        </w:rPr>
        <w:t>、</w:t>
      </w:r>
      <w:r>
        <w:rPr>
          <w:color w:val="auto"/>
          <w:highlight w:val="none"/>
        </w:rPr>
        <w:t>乌梢蛇</w:t>
      </w:r>
      <w:r>
        <w:rPr>
          <w:rFonts w:hint="eastAsia"/>
          <w:color w:val="auto"/>
          <w:highlight w:val="none"/>
        </w:rPr>
        <w:t>、</w:t>
      </w:r>
      <w:r>
        <w:rPr>
          <w:rFonts w:hint="eastAsia"/>
          <w:color w:val="auto"/>
          <w:highlight w:val="none"/>
          <w:lang w:eastAsia="zh-CN"/>
        </w:rPr>
        <w:t>灰胸竹鸡、</w:t>
      </w:r>
      <w:r>
        <w:rPr>
          <w:rFonts w:hint="eastAsia"/>
          <w:color w:val="auto"/>
          <w:highlight w:val="none"/>
        </w:rPr>
        <w:t>小</w:t>
      </w:r>
      <w:r>
        <w:rPr>
          <w:rFonts w:hint="eastAsia"/>
          <w:color w:val="auto"/>
          <w:highlight w:val="none"/>
          <w:shd w:val="clear" w:fill="FFFFFF"/>
        </w:rPr>
        <w:t>鸊鷉</w:t>
      </w:r>
      <w:r>
        <w:rPr>
          <w:rFonts w:hint="eastAsia"/>
          <w:color w:val="auto"/>
          <w:highlight w:val="none"/>
        </w:rPr>
        <w:t>、普通鸬鹚、</w:t>
      </w:r>
      <w:r>
        <w:rPr>
          <w:color w:val="auto"/>
          <w:highlight w:val="none"/>
        </w:rPr>
        <w:t>四声杜鹃</w:t>
      </w:r>
      <w:r>
        <w:rPr>
          <w:rFonts w:hint="eastAsia"/>
          <w:color w:val="auto"/>
          <w:highlight w:val="none"/>
        </w:rPr>
        <w:t>等，</w:t>
      </w:r>
      <w:r>
        <w:rPr>
          <w:rFonts w:hint="eastAsia"/>
          <w:color w:val="auto"/>
          <w:highlight w:val="none"/>
          <w:lang w:eastAsia="zh-CN"/>
        </w:rPr>
        <w:t>其中灰胸竹鸡为特有种。</w:t>
      </w:r>
      <w:r>
        <w:rPr>
          <w:rFonts w:hint="eastAsia"/>
          <w:color w:val="auto"/>
          <w:highlight w:val="none"/>
        </w:rPr>
        <w:t>主要分布在评价范围内</w:t>
      </w:r>
      <w:r>
        <w:rPr>
          <w:rFonts w:hint="eastAsia"/>
          <w:color w:val="auto"/>
          <w:highlight w:val="none"/>
          <w:lang w:eastAsia="zh-CN"/>
        </w:rPr>
        <w:t>涪江</w:t>
      </w:r>
      <w:r>
        <w:rPr>
          <w:rFonts w:hint="eastAsia"/>
          <w:color w:val="auto"/>
          <w:highlight w:val="none"/>
        </w:rPr>
        <w:t>两岸的草地、灌丛中，项目占地范围</w:t>
      </w:r>
      <w:r>
        <w:rPr>
          <w:rFonts w:hint="eastAsia"/>
          <w:color w:val="auto"/>
          <w:highlight w:val="none"/>
          <w:lang w:eastAsia="zh-CN"/>
        </w:rPr>
        <w:t>主要为渭沱枢纽管理区，人为活动干扰较大，</w:t>
      </w:r>
      <w:r>
        <w:rPr>
          <w:rFonts w:hint="eastAsia"/>
          <w:color w:val="auto"/>
          <w:highlight w:val="none"/>
        </w:rPr>
        <w:t>未发现珍稀濒危重点保护野生动物栖息地</w:t>
      </w:r>
      <w:r>
        <w:rPr>
          <w:rFonts w:hint="eastAsia"/>
          <w:color w:val="auto"/>
          <w:highlight w:val="none"/>
          <w:lang w:eastAsia="zh-CN"/>
        </w:rPr>
        <w:t>分布</w:t>
      </w:r>
      <w:r>
        <w:rPr>
          <w:rFonts w:hint="eastAsia"/>
          <w:color w:val="auto"/>
          <w:highlight w:val="none"/>
        </w:rPr>
        <w:t>。</w:t>
      </w:r>
    </w:p>
    <w:p>
      <w:pPr>
        <w:keepNext w:val="0"/>
        <w:keepLines w:val="0"/>
        <w:widowControl w:val="0"/>
        <w:suppressLineNumbers w:val="0"/>
        <w:adjustRightInd w:val="0"/>
        <w:snapToGrid w:val="0"/>
        <w:spacing w:before="0" w:beforeAutospacing="0" w:after="0" w:afterAutospacing="0" w:line="480" w:lineRule="exact"/>
        <w:ind w:left="0" w:right="0" w:firstLine="520" w:firstLineChars="200"/>
        <w:contextualSpacing/>
        <w:jc w:val="both"/>
        <w:rPr>
          <w:rFonts w:hint="default" w:ascii="Times New Roman" w:hAnsi="Times New Roman" w:eastAsia="宋体" w:cs="Times New Roman"/>
          <w:bCs/>
          <w:color w:val="auto"/>
          <w:kern w:val="2"/>
          <w:sz w:val="26"/>
          <w:szCs w:val="26"/>
          <w:highlight w:val="none"/>
        </w:rPr>
      </w:pPr>
      <w:r>
        <w:rPr>
          <w:rFonts w:hint="default"/>
          <w:color w:val="auto"/>
          <w:highlight w:val="none"/>
          <w:lang w:val="en-US" w:eastAsia="zh-CN"/>
        </w:rPr>
        <w:t>本次</w:t>
      </w:r>
      <w:r>
        <w:rPr>
          <w:rFonts w:hint="eastAsia"/>
          <w:color w:val="auto"/>
          <w:highlight w:val="none"/>
          <w:shd w:val="clear" w:fill="FFFFFF"/>
          <w:lang w:val="en-US" w:eastAsia="zh-CN"/>
        </w:rPr>
        <w:t>调查</w:t>
      </w:r>
      <w:r>
        <w:rPr>
          <w:rFonts w:hint="default"/>
          <w:color w:val="auto"/>
          <w:highlight w:val="none"/>
          <w:lang w:val="en-US" w:eastAsia="zh-CN"/>
        </w:rPr>
        <w:t>在评价区域共采集到浮游植物7门9纲16目40属83种</w:t>
      </w:r>
      <w:r>
        <w:rPr>
          <w:rFonts w:hint="eastAsia"/>
          <w:color w:val="auto"/>
          <w:highlight w:val="none"/>
          <w:lang w:val="en-US" w:eastAsia="zh-CN"/>
        </w:rPr>
        <w:t>，</w:t>
      </w:r>
      <w:r>
        <w:rPr>
          <w:rFonts w:hint="default" w:ascii="Times New Roman" w:hAnsi="Times New Roman" w:eastAsia="宋体" w:cs="Times New Roman"/>
          <w:color w:val="auto"/>
          <w:kern w:val="2"/>
          <w:sz w:val="26"/>
          <w:szCs w:val="26"/>
          <w:highlight w:val="none"/>
          <w:lang w:val="en-US" w:eastAsia="zh-CN" w:bidi="ar"/>
        </w:rPr>
        <w:t>浮游动物3门27属44种</w:t>
      </w:r>
      <w:r>
        <w:rPr>
          <w:rFonts w:hint="eastAsia" w:cs="Times New Roman"/>
          <w:color w:val="auto"/>
          <w:kern w:val="2"/>
          <w:sz w:val="26"/>
          <w:szCs w:val="26"/>
          <w:highlight w:val="none"/>
          <w:lang w:val="en-US" w:eastAsia="zh-CN" w:bidi="ar"/>
        </w:rPr>
        <w:t>，</w:t>
      </w:r>
      <w:r>
        <w:rPr>
          <w:rFonts w:hint="default" w:ascii="Times New Roman" w:hAnsi="Times New Roman" w:eastAsia="宋体" w:cs="Times New Roman"/>
          <w:color w:val="auto"/>
          <w:kern w:val="2"/>
          <w:sz w:val="26"/>
          <w:szCs w:val="26"/>
          <w:highlight w:val="none"/>
          <w:lang w:val="en-US" w:eastAsia="zh-CN" w:bidi="ar"/>
        </w:rPr>
        <w:t>底栖动物3门4纲5目6种</w:t>
      </w:r>
      <w:r>
        <w:rPr>
          <w:rFonts w:hint="eastAsia" w:cs="Times New Roman"/>
          <w:color w:val="auto"/>
          <w:kern w:val="2"/>
          <w:sz w:val="26"/>
          <w:szCs w:val="26"/>
          <w:highlight w:val="none"/>
          <w:lang w:val="en-US" w:eastAsia="zh-CN" w:bidi="ar"/>
        </w:rPr>
        <w:t>；</w:t>
      </w:r>
      <w:r>
        <w:rPr>
          <w:rFonts w:hint="default" w:ascii="Times New Roman" w:hAnsi="Times New Roman" w:eastAsia="宋体" w:cs="Times New Roman"/>
          <w:color w:val="auto"/>
          <w:kern w:val="2"/>
          <w:sz w:val="26"/>
          <w:szCs w:val="26"/>
          <w:highlight w:val="none"/>
          <w:lang w:val="en-US" w:eastAsia="zh-CN" w:bidi="ar"/>
        </w:rPr>
        <w:t>分布鱼类48种，分隶于4目9科40属，鲤形目为该区的主要类群，已知有31属38种，鲇形目3属4种，鲈形目5属5种，合鳃目1属1种，其中长江上游特有鱼类5种</w:t>
      </w:r>
      <w:r>
        <w:rPr>
          <w:rFonts w:hint="eastAsia" w:cs="Times New Roman"/>
          <w:color w:val="auto"/>
          <w:kern w:val="2"/>
          <w:sz w:val="26"/>
          <w:szCs w:val="26"/>
          <w:highlight w:val="none"/>
          <w:lang w:val="en-US" w:eastAsia="zh-CN" w:bidi="ar"/>
        </w:rPr>
        <w:t>，</w:t>
      </w:r>
      <w:r>
        <w:rPr>
          <w:rFonts w:hint="default" w:ascii="Times New Roman" w:hAnsi="Times New Roman" w:eastAsia="宋体" w:cs="Times New Roman"/>
          <w:color w:val="auto"/>
          <w:kern w:val="2"/>
          <w:sz w:val="26"/>
          <w:szCs w:val="26"/>
          <w:highlight w:val="none"/>
          <w:lang w:val="en-US" w:eastAsia="zh-CN" w:bidi="ar"/>
        </w:rPr>
        <w:t>国家保护鱼类为2种（岩原鲤、胭脂鱼），均为国家二级保护动物种。评价</w:t>
      </w:r>
      <w:r>
        <w:rPr>
          <w:rFonts w:hint="eastAsia" w:cs="Times New Roman"/>
          <w:color w:val="auto"/>
          <w:kern w:val="2"/>
          <w:sz w:val="26"/>
          <w:szCs w:val="26"/>
          <w:highlight w:val="none"/>
          <w:lang w:val="en-US" w:eastAsia="zh-CN" w:bidi="ar"/>
        </w:rPr>
        <w:t>范围</w:t>
      </w:r>
      <w:r>
        <w:rPr>
          <w:rFonts w:hint="default" w:ascii="Times New Roman" w:hAnsi="Times New Roman" w:eastAsia="宋体" w:cs="Times New Roman"/>
          <w:color w:val="auto"/>
          <w:kern w:val="2"/>
          <w:sz w:val="26"/>
          <w:szCs w:val="26"/>
          <w:highlight w:val="none"/>
          <w:lang w:val="en-US" w:eastAsia="zh-CN" w:bidi="ar"/>
        </w:rPr>
        <w:t>内共有产卵场1个，大型索饵场2个，主要在安居电站下游段，越冬场位于渭沱库区。评价流域内的洄游通道因河流的梯级开发而基本上丧失了功能。</w:t>
      </w:r>
      <w:r>
        <w:rPr>
          <w:rFonts w:hint="default" w:ascii="Times New Roman" w:hAnsi="Times New Roman" w:eastAsia="宋体" w:cs="Times New Roman"/>
          <w:bCs/>
          <w:color w:val="auto"/>
          <w:kern w:val="2"/>
          <w:sz w:val="26"/>
          <w:szCs w:val="26"/>
          <w:highlight w:val="none"/>
          <w:lang w:val="en-US" w:eastAsia="zh-CN" w:bidi="ar"/>
        </w:rPr>
        <w:t>本项目占地范围与鱼类“三场”不重叠，工程实施不会直接破坏鱼类“三场”。</w:t>
      </w:r>
    </w:p>
    <w:p>
      <w:pPr>
        <w:pStyle w:val="4"/>
        <w:snapToGrid w:val="0"/>
        <w:rPr>
          <w:color w:val="auto"/>
          <w:highlight w:val="none"/>
        </w:rPr>
      </w:pPr>
      <w:bookmarkStart w:id="179" w:name="_Toc3666"/>
      <w:r>
        <w:rPr>
          <w:rFonts w:hint="eastAsia"/>
          <w:color w:val="auto"/>
          <w:highlight w:val="none"/>
        </w:rPr>
        <w:t>主要环境影响及</w:t>
      </w:r>
      <w:r>
        <w:rPr>
          <w:rFonts w:hint="eastAsia"/>
          <w:color w:val="auto"/>
          <w:highlight w:val="none"/>
          <w:lang w:eastAsia="zh-CN"/>
        </w:rPr>
        <w:t>对策</w:t>
      </w:r>
      <w:r>
        <w:rPr>
          <w:rFonts w:hint="eastAsia"/>
          <w:color w:val="auto"/>
          <w:highlight w:val="none"/>
        </w:rPr>
        <w:t>措施</w:t>
      </w:r>
      <w:bookmarkEnd w:id="179"/>
    </w:p>
    <w:p>
      <w:pPr>
        <w:pStyle w:val="5"/>
        <w:bidi w:val="0"/>
        <w:rPr>
          <w:color w:val="auto"/>
          <w:highlight w:val="none"/>
        </w:rPr>
      </w:pPr>
      <w:r>
        <w:rPr>
          <w:rFonts w:hint="eastAsia"/>
          <w:color w:val="auto"/>
          <w:highlight w:val="none"/>
          <w:lang w:eastAsia="zh-CN"/>
        </w:rPr>
        <w:t>地表水</w:t>
      </w:r>
      <w:r>
        <w:rPr>
          <w:rFonts w:hint="eastAsia"/>
          <w:color w:val="auto"/>
          <w:highlight w:val="none"/>
        </w:rPr>
        <w:t>环境影响及污染防治措施</w:t>
      </w:r>
    </w:p>
    <w:p>
      <w:pPr>
        <w:ind w:firstLine="52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）水文情势影响</w:t>
      </w:r>
    </w:p>
    <w:p>
      <w:pPr>
        <w:bidi w:val="0"/>
        <w:rPr>
          <w:rFonts w:hint="eastAsia"/>
          <w:color w:val="auto"/>
          <w:highlight w:val="none"/>
          <w:lang w:val="en-US" w:eastAsia="zh-CN"/>
        </w:rPr>
      </w:pPr>
      <w:r>
        <w:rPr>
          <w:rFonts w:hint="eastAsia"/>
          <w:color w:val="auto"/>
          <w:highlight w:val="none"/>
          <w:lang w:val="en-US" w:eastAsia="zh-CN"/>
        </w:rPr>
        <w:t>本次船闸升级改造工程主要在现有船闸右侧陆域范围内进行建设，项目</w:t>
      </w:r>
      <w:r>
        <w:rPr>
          <w:rFonts w:hint="default"/>
          <w:color w:val="auto"/>
          <w:highlight w:val="none"/>
          <w:lang w:val="en-US" w:eastAsia="zh-CN"/>
        </w:rPr>
        <w:t>船闸主围堰采用滩地开挖料填筑土围堰，</w:t>
      </w:r>
      <w:r>
        <w:rPr>
          <w:rFonts w:hint="eastAsia"/>
          <w:color w:val="auto"/>
          <w:highlight w:val="none"/>
          <w:lang w:val="en-US" w:eastAsia="zh-CN"/>
        </w:rPr>
        <w:t>主体工程施工在围堰内进行，</w:t>
      </w:r>
      <w:r>
        <w:rPr>
          <w:rFonts w:hint="default"/>
          <w:color w:val="auto"/>
          <w:highlight w:val="none"/>
          <w:lang w:val="en-US" w:eastAsia="zh-CN"/>
        </w:rPr>
        <w:t>在正常水文条件下，</w:t>
      </w:r>
      <w:r>
        <w:rPr>
          <w:rFonts w:hint="eastAsia"/>
          <w:color w:val="auto"/>
          <w:highlight w:val="none"/>
          <w:lang w:val="en-US" w:eastAsia="zh-CN"/>
        </w:rPr>
        <w:t>涪江</w:t>
      </w:r>
      <w:r>
        <w:rPr>
          <w:rFonts w:hint="default"/>
          <w:color w:val="auto"/>
          <w:highlight w:val="none"/>
          <w:lang w:val="en-US" w:eastAsia="zh-CN"/>
        </w:rPr>
        <w:t>水位不会上涨至工程范围内，而工程河段流量是由</w:t>
      </w:r>
      <w:r>
        <w:rPr>
          <w:rFonts w:hint="eastAsia"/>
          <w:color w:val="auto"/>
          <w:highlight w:val="none"/>
          <w:lang w:val="en-US" w:eastAsia="zh-CN"/>
        </w:rPr>
        <w:t>渭沱枢纽</w:t>
      </w:r>
      <w:r>
        <w:rPr>
          <w:rFonts w:hint="default"/>
          <w:color w:val="auto"/>
          <w:highlight w:val="none"/>
          <w:lang w:val="en-US" w:eastAsia="zh-CN"/>
        </w:rPr>
        <w:t>泄水闸来调度下泄，本工程施工期间不会改变</w:t>
      </w:r>
      <w:r>
        <w:rPr>
          <w:rFonts w:hint="eastAsia"/>
          <w:color w:val="auto"/>
          <w:highlight w:val="none"/>
          <w:shd w:val="clear" w:fill="FFFFFF"/>
          <w:lang w:val="en-US" w:eastAsia="zh-CN"/>
        </w:rPr>
        <w:t>渭</w:t>
      </w:r>
      <w:r>
        <w:rPr>
          <w:rFonts w:hint="eastAsia"/>
          <w:color w:val="auto"/>
          <w:highlight w:val="none"/>
          <w:lang w:val="en-US" w:eastAsia="zh-CN"/>
        </w:rPr>
        <w:t>沱</w:t>
      </w:r>
      <w:r>
        <w:rPr>
          <w:rFonts w:hint="default"/>
          <w:color w:val="auto"/>
          <w:highlight w:val="none"/>
          <w:lang w:val="en-US" w:eastAsia="zh-CN"/>
        </w:rPr>
        <w:t>纽的调度方式，因此不会对下游流量</w:t>
      </w:r>
      <w:r>
        <w:rPr>
          <w:rFonts w:hint="eastAsia"/>
          <w:color w:val="auto"/>
          <w:highlight w:val="none"/>
          <w:lang w:val="en-US" w:eastAsia="zh-CN"/>
        </w:rPr>
        <w:t>及水流流向</w:t>
      </w:r>
      <w:r>
        <w:rPr>
          <w:rFonts w:hint="default"/>
          <w:color w:val="auto"/>
          <w:highlight w:val="none"/>
          <w:lang w:val="en-US" w:eastAsia="zh-CN"/>
        </w:rPr>
        <w:t>造成影响</w:t>
      </w:r>
      <w:r>
        <w:rPr>
          <w:rFonts w:hint="eastAsia"/>
          <w:color w:val="auto"/>
          <w:highlight w:val="none"/>
          <w:lang w:val="en-US" w:eastAsia="zh-CN"/>
        </w:rPr>
        <w:t>。</w:t>
      </w:r>
    </w:p>
    <w:p>
      <w:pPr>
        <w:bidi w:val="0"/>
        <w:rPr>
          <w:rFonts w:hint="eastAsia"/>
          <w:color w:val="auto"/>
          <w:highlight w:val="none"/>
        </w:rPr>
      </w:pPr>
      <w:r>
        <w:rPr>
          <w:rFonts w:hint="eastAsia"/>
          <w:color w:val="auto"/>
          <w:highlight w:val="none"/>
        </w:rPr>
        <w:t>运行期评价区水文情势变化主要由</w:t>
      </w:r>
      <w:r>
        <w:rPr>
          <w:rFonts w:hint="eastAsia"/>
          <w:color w:val="auto"/>
          <w:highlight w:val="none"/>
          <w:lang w:eastAsia="zh-CN"/>
        </w:rPr>
        <w:t>渭沱</w:t>
      </w:r>
      <w:r>
        <w:rPr>
          <w:rFonts w:hint="eastAsia"/>
          <w:color w:val="auto"/>
          <w:highlight w:val="none"/>
        </w:rPr>
        <w:t>枢纽调度运行决定，本工程建设不改变运行期的调度运行方式</w:t>
      </w:r>
      <w:r>
        <w:rPr>
          <w:rFonts w:hint="eastAsia"/>
          <w:color w:val="auto"/>
          <w:highlight w:val="none"/>
          <w:lang w:eastAsia="zh-CN"/>
        </w:rPr>
        <w:t>，不会对流域水文情势造成进一步影响，</w:t>
      </w:r>
      <w:r>
        <w:rPr>
          <w:rFonts w:hint="eastAsia"/>
          <w:color w:val="auto"/>
          <w:highlight w:val="none"/>
        </w:rPr>
        <w:t>工程建设后水位、流速基本不变。工程建设后，对</w:t>
      </w:r>
      <w:r>
        <w:rPr>
          <w:rFonts w:hint="eastAsia"/>
          <w:color w:val="auto"/>
          <w:highlight w:val="none"/>
          <w:lang w:eastAsia="zh-CN"/>
        </w:rPr>
        <w:t>涪江</w:t>
      </w:r>
      <w:r>
        <w:rPr>
          <w:rFonts w:hint="eastAsia"/>
          <w:color w:val="auto"/>
          <w:highlight w:val="none"/>
        </w:rPr>
        <w:t>水文情势影响较小。</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）水污染影响</w:t>
      </w:r>
    </w:p>
    <w:p>
      <w:pPr>
        <w:bidi w:val="0"/>
        <w:rPr>
          <w:rFonts w:hint="eastAsia"/>
          <w:color w:val="auto"/>
          <w:highlight w:val="none"/>
          <w:lang w:eastAsia="zh-CN"/>
        </w:rPr>
      </w:pPr>
      <w:r>
        <w:rPr>
          <w:rFonts w:hint="eastAsia"/>
          <w:color w:val="auto"/>
          <w:highlight w:val="none"/>
          <w:lang w:eastAsia="zh-CN"/>
        </w:rPr>
        <w:t>项目施工期水污染影响主要体现在涉水施工扰动影响以及施工废水影响。其中，涉水施工影响主要是施工导流、</w:t>
      </w:r>
      <w:r>
        <w:rPr>
          <w:rFonts w:hint="eastAsia"/>
          <w:color w:val="auto"/>
          <w:highlight w:val="none"/>
        </w:rPr>
        <w:t>航道疏浚、炸礁、筑坝抛石作业产生的悬浮物</w:t>
      </w:r>
      <w:r>
        <w:rPr>
          <w:rFonts w:hint="eastAsia"/>
          <w:color w:val="auto"/>
          <w:highlight w:val="none"/>
          <w:lang w:eastAsia="zh-CN"/>
        </w:rPr>
        <w:t>对水质造成影响，但</w:t>
      </w:r>
      <w:r>
        <w:rPr>
          <w:rFonts w:hint="eastAsia"/>
          <w:color w:val="auto"/>
          <w:highlight w:val="none"/>
        </w:rPr>
        <w:t>仅对局部水质产生影响，一般可控制在作业点周围</w:t>
      </w:r>
      <w:r>
        <w:rPr>
          <w:color w:val="auto"/>
          <w:highlight w:val="none"/>
        </w:rPr>
        <w:t>500m</w:t>
      </w:r>
      <w:r>
        <w:rPr>
          <w:rFonts w:hint="eastAsia"/>
          <w:color w:val="auto"/>
          <w:highlight w:val="none"/>
        </w:rPr>
        <w:t>以内且影响</w:t>
      </w:r>
      <w:r>
        <w:rPr>
          <w:rFonts w:hint="eastAsia"/>
          <w:color w:val="auto"/>
          <w:highlight w:val="none"/>
          <w:lang w:eastAsia="zh-CN"/>
        </w:rPr>
        <w:t>持续时间</w:t>
      </w:r>
      <w:r>
        <w:rPr>
          <w:rFonts w:hint="eastAsia"/>
          <w:color w:val="auto"/>
          <w:highlight w:val="none"/>
        </w:rPr>
        <w:t>有限，施工作业停止2小时后下游水质基本可以恢复到原有水平。</w:t>
      </w:r>
      <w:r>
        <w:rPr>
          <w:rFonts w:hint="eastAsia"/>
          <w:color w:val="auto"/>
          <w:highlight w:val="none"/>
          <w:lang w:eastAsia="zh-CN"/>
        </w:rPr>
        <w:t>施工废水主要包括生活污水和生产废水两部分，生活污水经施工营地生活污水经一体化设备处理后用于</w:t>
      </w:r>
      <w:r>
        <w:rPr>
          <w:rFonts w:hint="eastAsia"/>
          <w:color w:val="auto"/>
          <w:highlight w:val="none"/>
        </w:rPr>
        <w:t>车辆冲洗、洒水抑尘或周边绿化</w:t>
      </w:r>
      <w:r>
        <w:rPr>
          <w:rFonts w:hint="eastAsia"/>
          <w:color w:val="auto"/>
          <w:highlight w:val="none"/>
          <w:lang w:eastAsia="zh-CN"/>
        </w:rPr>
        <w:t>，不外排；生产废水主要来源于混凝土拌和系统碱性冲洗废水及基坑排放，施工废水经处理后基本回用；基坑排水主要以降水和围堰、地下水渗水等组成，水质成分简单且与涪江原本水质较为一致，经处理排放到周边水体中。在采取上述措施后，施工期废水可得到合理有效处置，不会对地表水环境造成较大影响。</w:t>
      </w:r>
    </w:p>
    <w:p>
      <w:pPr>
        <w:bidi w:val="0"/>
        <w:rPr>
          <w:rFonts w:hint="eastAsia"/>
          <w:color w:val="auto"/>
          <w:highlight w:val="none"/>
          <w:lang w:eastAsia="zh-CN"/>
        </w:rPr>
      </w:pPr>
      <w:r>
        <w:rPr>
          <w:rFonts w:hint="eastAsia"/>
          <w:color w:val="auto"/>
          <w:highlight w:val="none"/>
          <w:lang w:eastAsia="zh-CN"/>
        </w:rPr>
        <w:t>船闸运营期</w:t>
      </w:r>
      <w:r>
        <w:rPr>
          <w:rFonts w:hint="default"/>
          <w:color w:val="auto"/>
          <w:highlight w:val="none"/>
        </w:rPr>
        <w:t>仅供船舶通航，不提供船舶停驻和维护工作，不涉及船舶水污染物，运行期</w:t>
      </w:r>
      <w:r>
        <w:rPr>
          <w:rFonts w:hint="eastAsia"/>
          <w:color w:val="auto"/>
          <w:highlight w:val="none"/>
          <w:lang w:eastAsia="zh-CN"/>
        </w:rPr>
        <w:t>废水</w:t>
      </w:r>
      <w:r>
        <w:rPr>
          <w:rFonts w:hint="default"/>
          <w:color w:val="auto"/>
          <w:highlight w:val="none"/>
        </w:rPr>
        <w:t>主要为船闸管理人员产生的生活污水</w:t>
      </w:r>
      <w:r>
        <w:rPr>
          <w:rFonts w:hint="eastAsia"/>
          <w:color w:val="auto"/>
          <w:highlight w:val="none"/>
          <w:lang w:eastAsia="zh-CN"/>
        </w:rPr>
        <w:t>，经管理区</w:t>
      </w:r>
      <w:r>
        <w:rPr>
          <w:rFonts w:hint="eastAsia"/>
          <w:color w:val="auto"/>
          <w:highlight w:val="none"/>
          <w:lang w:val="en-US" w:eastAsia="zh-CN"/>
        </w:rPr>
        <w:t>生活污水经一体化设备</w:t>
      </w:r>
      <w:r>
        <w:rPr>
          <w:rFonts w:hint="eastAsia"/>
          <w:color w:val="auto"/>
          <w:highlight w:val="none"/>
        </w:rPr>
        <w:t>处理</w:t>
      </w:r>
      <w:r>
        <w:rPr>
          <w:rFonts w:hint="eastAsia"/>
          <w:color w:val="auto"/>
          <w:highlight w:val="none"/>
          <w:shd w:val="clear" w:fill="FFFFFF"/>
        </w:rPr>
        <w:t>达</w:t>
      </w:r>
      <w:r>
        <w:rPr>
          <w:rFonts w:hint="eastAsia"/>
          <w:color w:val="auto"/>
          <w:highlight w:val="none"/>
        </w:rPr>
        <w:t>《城市污水再生利用</w:t>
      </w:r>
      <w:r>
        <w:rPr>
          <w:rFonts w:hint="eastAsia"/>
          <w:color w:val="auto"/>
          <w:highlight w:val="none"/>
          <w:lang w:val="en-US" w:eastAsia="zh-CN"/>
        </w:rPr>
        <w:t xml:space="preserve"> </w:t>
      </w:r>
      <w:r>
        <w:rPr>
          <w:rFonts w:hint="eastAsia"/>
          <w:color w:val="auto"/>
          <w:highlight w:val="none"/>
        </w:rPr>
        <w:t>城市杂用水水质》(GB/T18920-2020)相应标准后回用于绿化，不外排</w:t>
      </w:r>
      <w:r>
        <w:rPr>
          <w:rFonts w:hint="eastAsia"/>
          <w:color w:val="auto"/>
          <w:highlight w:val="none"/>
          <w:lang w:val="en-US" w:eastAsia="zh-CN"/>
        </w:rPr>
        <w:t>，对周边地表水环境影响较小。</w:t>
      </w:r>
    </w:p>
    <w:p>
      <w:pPr>
        <w:pStyle w:val="5"/>
        <w:bidi w:val="0"/>
        <w:rPr>
          <w:rFonts w:hint="eastAsia"/>
          <w:color w:val="auto"/>
          <w:highlight w:val="none"/>
          <w:lang w:eastAsia="zh-CN"/>
        </w:rPr>
      </w:pPr>
      <w:r>
        <w:rPr>
          <w:rFonts w:hint="eastAsia"/>
          <w:color w:val="auto"/>
          <w:highlight w:val="none"/>
          <w:lang w:eastAsia="zh-CN"/>
        </w:rPr>
        <w:t>大气环境影响及污染防治措施</w:t>
      </w:r>
    </w:p>
    <w:p>
      <w:pPr>
        <w:ind w:firstLine="520"/>
        <w:rPr>
          <w:color w:val="auto"/>
          <w:highlight w:val="none"/>
        </w:rPr>
      </w:pPr>
      <w:r>
        <w:rPr>
          <w:rFonts w:hint="eastAsia"/>
          <w:color w:val="auto"/>
          <w:highlight w:val="none"/>
        </w:rPr>
        <w:t>工程施工期对环境空气的影响主要来自土石方开挖及填筑、混凝土</w:t>
      </w:r>
      <w:r>
        <w:rPr>
          <w:rFonts w:hint="eastAsia"/>
          <w:color w:val="auto"/>
          <w:highlight w:val="none"/>
          <w:shd w:val="clear" w:fill="FFFFFF"/>
        </w:rPr>
        <w:t>拌和</w:t>
      </w:r>
      <w:r>
        <w:rPr>
          <w:rFonts w:hint="eastAsia"/>
          <w:color w:val="auto"/>
          <w:highlight w:val="none"/>
        </w:rPr>
        <w:t>及车辆运输等过程中产生的扬尘和废气，</w:t>
      </w:r>
      <w:r>
        <w:rPr>
          <w:rFonts w:hint="eastAsia"/>
          <w:color w:val="auto"/>
          <w:highlight w:val="none"/>
          <w:lang w:eastAsia="zh-CN"/>
        </w:rPr>
        <w:t>主要污染物为</w:t>
      </w:r>
      <w:r>
        <w:rPr>
          <w:rFonts w:hint="eastAsia"/>
          <w:color w:val="auto"/>
          <w:highlight w:val="none"/>
          <w:lang w:val="en-US" w:eastAsia="zh-CN"/>
        </w:rPr>
        <w:t>TSP，主要采取以下措施：</w:t>
      </w:r>
      <w:r>
        <w:rPr>
          <w:rFonts w:hint="eastAsia"/>
          <w:color w:val="auto"/>
          <w:highlight w:val="none"/>
        </w:rPr>
        <w:t>临时堆土周边采取临时拦挡及密目网苫盖防护措施；加强施工场地洒水降尘；加强机械、车辆的保养、维修</w:t>
      </w:r>
      <w:r>
        <w:rPr>
          <w:rFonts w:hint="eastAsia"/>
          <w:color w:val="auto"/>
          <w:highlight w:val="none"/>
          <w:lang w:eastAsia="zh-CN"/>
        </w:rPr>
        <w:t>；施工期进出口设置洗车装置，对进出车辆进行冲洗，</w:t>
      </w:r>
      <w:r>
        <w:rPr>
          <w:rFonts w:hint="eastAsia"/>
          <w:color w:val="auto"/>
          <w:highlight w:val="none"/>
        </w:rPr>
        <w:t>加强施工道路路面养护，限制车速，购置洒水车洒水降尘；混凝土系统应采用集中搅拌的方式并采取成套封闭式</w:t>
      </w:r>
      <w:r>
        <w:rPr>
          <w:rFonts w:hint="eastAsia"/>
          <w:color w:val="auto"/>
          <w:highlight w:val="none"/>
          <w:shd w:val="clear" w:fill="FFFFFF"/>
        </w:rPr>
        <w:t>拌和</w:t>
      </w:r>
      <w:r>
        <w:rPr>
          <w:rFonts w:hint="eastAsia"/>
          <w:color w:val="auto"/>
          <w:highlight w:val="none"/>
        </w:rPr>
        <w:t>楼进行生产</w:t>
      </w:r>
      <w:r>
        <w:rPr>
          <w:rFonts w:hint="eastAsia"/>
          <w:color w:val="auto"/>
          <w:highlight w:val="none"/>
          <w:lang w:eastAsia="zh-CN"/>
        </w:rPr>
        <w:t>，</w:t>
      </w:r>
      <w:r>
        <w:rPr>
          <w:rFonts w:hint="eastAsia"/>
          <w:color w:val="auto"/>
          <w:highlight w:val="none"/>
          <w:shd w:val="clear" w:fill="FFFFFF"/>
          <w:lang w:eastAsia="zh-CN"/>
        </w:rPr>
        <w:t>拌合</w:t>
      </w:r>
      <w:r>
        <w:rPr>
          <w:rFonts w:hint="eastAsia"/>
          <w:color w:val="auto"/>
          <w:highlight w:val="none"/>
          <w:lang w:eastAsia="zh-CN"/>
        </w:rPr>
        <w:t>楼设置除尘设备；弃渣场按规定设置硬质密封围挡，按要求进行洒水或者冲洗，对非作业区应当进行绿化或者铺设防尘网</w:t>
      </w:r>
      <w:r>
        <w:rPr>
          <w:rFonts w:hint="eastAsia"/>
          <w:color w:val="auto"/>
          <w:highlight w:val="none"/>
        </w:rPr>
        <w:t>。总的来说，在采取洒水抑尘、密闭运输等大气污染防治措施后，工程施工对周边环境空气影响较小，</w:t>
      </w:r>
      <w:r>
        <w:rPr>
          <w:rFonts w:hint="eastAsia"/>
          <w:color w:val="auto"/>
          <w:szCs w:val="26"/>
          <w:highlight w:val="none"/>
        </w:rPr>
        <w:t>随着</w:t>
      </w:r>
      <w:r>
        <w:rPr>
          <w:color w:val="auto"/>
          <w:szCs w:val="26"/>
          <w:highlight w:val="none"/>
        </w:rPr>
        <w:t>工程结束，</w:t>
      </w:r>
      <w:r>
        <w:rPr>
          <w:rFonts w:hint="eastAsia"/>
          <w:color w:val="auto"/>
          <w:szCs w:val="26"/>
          <w:highlight w:val="none"/>
        </w:rPr>
        <w:t>产生的</w:t>
      </w:r>
      <w:r>
        <w:rPr>
          <w:color w:val="auto"/>
          <w:szCs w:val="26"/>
          <w:highlight w:val="none"/>
        </w:rPr>
        <w:t>大气环境影响也随之消失</w:t>
      </w:r>
      <w:r>
        <w:rPr>
          <w:rFonts w:hint="eastAsia"/>
          <w:color w:val="auto"/>
          <w:highlight w:val="none"/>
        </w:rPr>
        <w:t>。</w:t>
      </w:r>
      <w:r>
        <w:rPr>
          <w:color w:val="auto"/>
          <w:highlight w:val="none"/>
        </w:rPr>
        <w:cr/>
      </w:r>
      <w:r>
        <w:rPr>
          <w:color w:val="auto"/>
          <w:highlight w:val="none"/>
        </w:rPr>
        <w:t xml:space="preserve">    </w:t>
      </w:r>
      <w:r>
        <w:rPr>
          <w:rFonts w:hint="eastAsia"/>
          <w:color w:val="auto"/>
          <w:highlight w:val="none"/>
        </w:rPr>
        <w:t>运行期大气污染源主要是航行船舶无组织排放船舶废气</w:t>
      </w:r>
      <w:r>
        <w:rPr>
          <w:rFonts w:hint="eastAsia"/>
          <w:color w:val="auto"/>
          <w:highlight w:val="none"/>
          <w:lang w:eastAsia="zh-CN"/>
        </w:rPr>
        <w:t>及食堂油烟</w:t>
      </w:r>
      <w:r>
        <w:rPr>
          <w:rFonts w:hint="eastAsia"/>
          <w:color w:val="auto"/>
          <w:highlight w:val="none"/>
        </w:rPr>
        <w:t>，随着工程实施和经济的发展，一方面通过区域货物运量增大，废气的排放量也相应增大，将对环境空气产生一定的影响，但这种影响范围仅局限于航道内，不会对航道两侧环境空气保护目标产生影响。</w:t>
      </w:r>
      <w:r>
        <w:rPr>
          <w:rFonts w:hint="eastAsia"/>
          <w:color w:val="auto"/>
          <w:highlight w:val="none"/>
          <w:lang w:eastAsia="zh-CN"/>
        </w:rPr>
        <w:t>食堂规模较小，食堂油烟经油烟净化器处理后对周边环境影响较小</w:t>
      </w:r>
      <w:r>
        <w:rPr>
          <w:rFonts w:hint="eastAsia"/>
          <w:color w:val="auto"/>
          <w:highlight w:val="none"/>
        </w:rPr>
        <w:t>。</w:t>
      </w:r>
    </w:p>
    <w:p>
      <w:pPr>
        <w:pStyle w:val="5"/>
        <w:bidi w:val="0"/>
        <w:rPr>
          <w:color w:val="auto"/>
          <w:highlight w:val="none"/>
        </w:rPr>
      </w:pPr>
      <w:r>
        <w:rPr>
          <w:rFonts w:hint="eastAsia"/>
          <w:color w:val="auto"/>
          <w:highlight w:val="none"/>
        </w:rPr>
        <w:t>声环境影响及污染防治措施</w:t>
      </w:r>
    </w:p>
    <w:p>
      <w:pPr>
        <w:ind w:firstLine="520"/>
        <w:rPr>
          <w:color w:val="auto"/>
          <w:highlight w:val="none"/>
        </w:rPr>
      </w:pPr>
      <w:r>
        <w:rPr>
          <w:rFonts w:hint="eastAsia"/>
          <w:color w:val="auto"/>
          <w:highlight w:val="none"/>
        </w:rPr>
        <w:t>工程施工期噪声影响主要来自施工机械、车辆运输、混凝土</w:t>
      </w:r>
      <w:r>
        <w:rPr>
          <w:rFonts w:hint="eastAsia"/>
          <w:color w:val="auto"/>
          <w:highlight w:val="none"/>
          <w:shd w:val="clear" w:fill="FFFFFF"/>
        </w:rPr>
        <w:t>拌和</w:t>
      </w:r>
      <w:r>
        <w:rPr>
          <w:rFonts w:hint="eastAsia"/>
          <w:color w:val="auto"/>
          <w:highlight w:val="none"/>
        </w:rPr>
        <w:t>等，声环境保护目标主要为</w:t>
      </w:r>
      <w:r>
        <w:rPr>
          <w:rFonts w:hint="eastAsia"/>
          <w:color w:val="auto"/>
          <w:highlight w:val="none"/>
          <w:lang w:eastAsia="zh-CN"/>
        </w:rPr>
        <w:t>施工区</w:t>
      </w:r>
      <w:r>
        <w:rPr>
          <w:color w:val="auto"/>
          <w:highlight w:val="none"/>
        </w:rPr>
        <w:t>周边</w:t>
      </w:r>
      <w:r>
        <w:rPr>
          <w:rFonts w:hint="eastAsia"/>
          <w:color w:val="auto"/>
          <w:highlight w:val="none"/>
        </w:rPr>
        <w:t>散户居民，经过预测分析，施工期如不采取合理的污染防治措施，将对其产生一定程度的影响。环评要求施工期合理安排施工强度及施工时间，做好施工设计和组织，合理布局施工机械，充分利用施工区的地形、地势等自然隔声屏障，</w:t>
      </w:r>
      <w:r>
        <w:rPr>
          <w:rFonts w:hint="eastAsia"/>
          <w:color w:val="auto"/>
          <w:highlight w:val="none"/>
          <w:lang w:eastAsia="zh-CN"/>
        </w:rPr>
        <w:t>高</w:t>
      </w:r>
      <w:r>
        <w:rPr>
          <w:rFonts w:hint="eastAsia"/>
          <w:color w:val="auto"/>
          <w:highlight w:val="none"/>
        </w:rPr>
        <w:t>噪声源尽可能远离周边的敏感点</w:t>
      </w:r>
      <w:r>
        <w:rPr>
          <w:rFonts w:hint="eastAsia"/>
          <w:color w:val="auto"/>
          <w:highlight w:val="none"/>
          <w:lang w:eastAsia="zh-CN"/>
        </w:rPr>
        <w:t>，做好隔声、减震措施</w:t>
      </w:r>
      <w:r>
        <w:rPr>
          <w:rFonts w:hint="eastAsia"/>
          <w:color w:val="auto"/>
          <w:highlight w:val="none"/>
        </w:rPr>
        <w:t>；选用符合国家标准的低噪声设备，尽量选用低噪声的施工机械或工艺，从根本上降低噪声源强，并加强对设备的维修保养；施工前加强与附近居民的沟通，争取他们的理解和支持。对于交通道路带来的噪声，</w:t>
      </w:r>
      <w:r>
        <w:rPr>
          <w:rFonts w:hint="eastAsia"/>
          <w:color w:val="auto"/>
          <w:highlight w:val="none"/>
          <w:lang w:eastAsia="zh-CN"/>
        </w:rPr>
        <w:t>合理安排运输路线及物料运输时间，</w:t>
      </w:r>
      <w:r>
        <w:rPr>
          <w:rFonts w:hint="eastAsia"/>
          <w:color w:val="auto"/>
          <w:highlight w:val="none"/>
        </w:rPr>
        <w:t>加强施工道路维修，材料运输车辆在经过道路沿线的村庄时低速行驶并禁止鸣笛。</w:t>
      </w:r>
      <w:r>
        <w:rPr>
          <w:rFonts w:hint="eastAsia"/>
          <w:color w:val="auto"/>
          <w:highlight w:val="none"/>
          <w:lang w:eastAsia="zh-CN"/>
        </w:rPr>
        <w:t>采取上述措施后，</w:t>
      </w:r>
      <w:r>
        <w:rPr>
          <w:rFonts w:hint="eastAsia"/>
          <w:color w:val="auto"/>
          <w:highlight w:val="none"/>
        </w:rPr>
        <w:t>可最大限度地减少施工噪声对周围环境的影响，</w:t>
      </w:r>
      <w:r>
        <w:rPr>
          <w:rFonts w:hint="eastAsia"/>
          <w:color w:val="auto"/>
          <w:highlight w:val="none"/>
          <w:lang w:eastAsia="zh-CN"/>
        </w:rPr>
        <w:t>项目</w:t>
      </w:r>
      <w:r>
        <w:rPr>
          <w:rFonts w:hint="eastAsia"/>
          <w:color w:val="auto"/>
          <w:highlight w:val="none"/>
        </w:rPr>
        <w:t>施工期噪声对周边敏感点的影响是可以接受的，且随着施工的结束，噪声影响随之消失。</w:t>
      </w:r>
      <w:r>
        <w:rPr>
          <w:color w:val="auto"/>
          <w:highlight w:val="none"/>
        </w:rPr>
        <w:cr/>
      </w:r>
      <w:r>
        <w:rPr>
          <w:color w:val="auto"/>
          <w:highlight w:val="none"/>
        </w:rPr>
        <w:t xml:space="preserve">    </w:t>
      </w:r>
      <w:r>
        <w:rPr>
          <w:rFonts w:hint="eastAsia"/>
          <w:color w:val="auto"/>
          <w:highlight w:val="none"/>
        </w:rPr>
        <w:t>运行期噪声来源主要为来往船舶，</w:t>
      </w:r>
      <w:r>
        <w:rPr>
          <w:rFonts w:hint="eastAsia"/>
          <w:color w:val="auto"/>
          <w:highlight w:val="none"/>
          <w:lang w:eastAsia="zh-CN"/>
        </w:rPr>
        <w:t>根据分析</w:t>
      </w:r>
      <w:r>
        <w:rPr>
          <w:rFonts w:hint="eastAsia"/>
          <w:color w:val="auto"/>
          <w:highlight w:val="none"/>
        </w:rPr>
        <w:t>距离船只</w:t>
      </w:r>
      <w:r>
        <w:rPr>
          <w:rFonts w:hint="eastAsia"/>
          <w:color w:val="auto"/>
          <w:highlight w:val="none"/>
          <w:lang w:val="en-US" w:eastAsia="zh-CN"/>
        </w:rPr>
        <w:t>5</w:t>
      </w:r>
      <w:r>
        <w:rPr>
          <w:rFonts w:hint="eastAsia"/>
          <w:color w:val="auto"/>
          <w:highlight w:val="none"/>
        </w:rPr>
        <w:t>m处最大暴露噪声级为</w:t>
      </w:r>
      <w:r>
        <w:rPr>
          <w:rFonts w:hint="eastAsia"/>
          <w:color w:val="auto"/>
          <w:highlight w:val="none"/>
          <w:lang w:val="en-US" w:eastAsia="zh-CN"/>
        </w:rPr>
        <w:t>73</w:t>
      </w:r>
      <w:r>
        <w:rPr>
          <w:rFonts w:hint="eastAsia"/>
          <w:color w:val="auto"/>
          <w:highlight w:val="none"/>
        </w:rPr>
        <w:t>dB（A），衰减至 60dB（A）距离为</w:t>
      </w:r>
      <w:r>
        <w:rPr>
          <w:rFonts w:hint="eastAsia"/>
          <w:color w:val="auto"/>
          <w:highlight w:val="none"/>
          <w:lang w:val="en-US" w:eastAsia="zh-CN"/>
        </w:rPr>
        <w:t>13</w:t>
      </w:r>
      <w:r>
        <w:rPr>
          <w:rFonts w:hint="eastAsia"/>
          <w:color w:val="auto"/>
          <w:highlight w:val="none"/>
        </w:rPr>
        <w:t>m。本工程声环境敏感点距离航道边界线最近距离</w:t>
      </w:r>
      <w:r>
        <w:rPr>
          <w:rFonts w:hint="eastAsia"/>
          <w:color w:val="auto"/>
          <w:highlight w:val="none"/>
          <w:lang w:eastAsia="zh-CN"/>
        </w:rPr>
        <w:t>较远，</w:t>
      </w:r>
      <w:r>
        <w:rPr>
          <w:rFonts w:hint="eastAsia"/>
          <w:color w:val="auto"/>
          <w:highlight w:val="none"/>
        </w:rPr>
        <w:t>且部分敏感点与航道之间</w:t>
      </w:r>
      <w:r>
        <w:rPr>
          <w:rFonts w:hint="eastAsia"/>
          <w:color w:val="auto"/>
          <w:highlight w:val="none"/>
          <w:lang w:eastAsia="zh-CN"/>
        </w:rPr>
        <w:t>堤坝阻隔</w:t>
      </w:r>
      <w:r>
        <w:rPr>
          <w:rFonts w:hint="eastAsia"/>
          <w:color w:val="auto"/>
          <w:highlight w:val="none"/>
        </w:rPr>
        <w:t>，因此运行期航行船舶噪声影响范围主要是堤外及江面上，</w:t>
      </w:r>
      <w:r>
        <w:rPr>
          <w:rFonts w:hint="eastAsia"/>
          <w:bCs/>
          <w:color w:val="auto"/>
          <w:szCs w:val="26"/>
          <w:highlight w:val="none"/>
          <w:lang w:eastAsia="zh-CN"/>
        </w:rPr>
        <w:t>不会对沿线居民产生大的不利影响</w:t>
      </w:r>
      <w:r>
        <w:rPr>
          <w:rFonts w:hint="eastAsia"/>
          <w:color w:val="auto"/>
          <w:highlight w:val="none"/>
        </w:rPr>
        <w:t>。</w:t>
      </w:r>
    </w:p>
    <w:p>
      <w:pPr>
        <w:pStyle w:val="5"/>
        <w:bidi w:val="0"/>
        <w:rPr>
          <w:color w:val="auto"/>
          <w:highlight w:val="none"/>
        </w:rPr>
      </w:pPr>
      <w:r>
        <w:rPr>
          <w:rFonts w:hint="eastAsia"/>
          <w:color w:val="auto"/>
          <w:highlight w:val="none"/>
        </w:rPr>
        <w:t>固体废物影响及处置措施</w:t>
      </w:r>
    </w:p>
    <w:p>
      <w:pPr>
        <w:ind w:firstLine="520"/>
        <w:rPr>
          <w:color w:val="auto"/>
          <w:highlight w:val="none"/>
        </w:rPr>
      </w:pPr>
      <w:r>
        <w:rPr>
          <w:rFonts w:hint="eastAsia"/>
          <w:color w:val="auto"/>
          <w:highlight w:val="none"/>
        </w:rPr>
        <w:t>工程施工产生固体废弃物主要包括生活垃圾、建筑垃圾和辅助企业生产垃圾、工程弃渣等。施工人员生活垃圾定点收集，定期交由环卫部门处理。</w:t>
      </w:r>
      <w:r>
        <w:rPr>
          <w:rFonts w:hint="eastAsia"/>
          <w:color w:val="auto"/>
          <w:highlight w:val="none"/>
          <w:lang w:eastAsia="zh-CN"/>
        </w:rPr>
        <w:t>施工弃渣尽量在场地综合利用，不能利用的</w:t>
      </w:r>
      <w:r>
        <w:rPr>
          <w:rFonts w:hint="default" w:ascii="Times New Roman" w:hAnsi="Times New Roman" w:cs="Times New Roman"/>
          <w:color w:val="auto"/>
          <w:kern w:val="2"/>
          <w:highlight w:val="none"/>
        </w:rPr>
        <w:t>弃渣运至</w:t>
      </w:r>
      <w:r>
        <w:rPr>
          <w:rFonts w:hint="eastAsia" w:ascii="Times New Roman" w:hAnsi="Times New Roman" w:cs="Times New Roman"/>
          <w:color w:val="auto"/>
          <w:kern w:val="2"/>
          <w:highlight w:val="none"/>
          <w:lang w:eastAsia="zh-CN"/>
        </w:rPr>
        <w:t>临时弃渣场</w:t>
      </w:r>
      <w:r>
        <w:rPr>
          <w:rFonts w:hint="eastAsia" w:cs="Times New Roman"/>
          <w:color w:val="auto"/>
          <w:kern w:val="2"/>
          <w:highlight w:val="none"/>
          <w:lang w:eastAsia="zh-CN"/>
        </w:rPr>
        <w:t>；</w:t>
      </w:r>
      <w:r>
        <w:rPr>
          <w:rFonts w:hint="eastAsia"/>
          <w:color w:val="auto"/>
          <w:highlight w:val="none"/>
          <w:lang w:val="en-US" w:eastAsia="zh-CN"/>
        </w:rPr>
        <w:t>拆除产生的建筑垃圾</w:t>
      </w:r>
      <w:r>
        <w:rPr>
          <w:rFonts w:hint="eastAsia" w:ascii="Times New Roman" w:hAnsi="Times New Roman"/>
          <w:color w:val="auto"/>
          <w:highlight w:val="none"/>
          <w:lang w:eastAsia="zh-CN"/>
        </w:rPr>
        <w:t>优先进行回收利用，不能回收利用的运送至合法的建筑垃圾消纳场进行处置，不会对区域环境造成破坏。</w:t>
      </w:r>
      <w:r>
        <w:rPr>
          <w:color w:val="auto"/>
          <w:highlight w:val="none"/>
        </w:rPr>
        <w:cr/>
      </w:r>
      <w:r>
        <w:rPr>
          <w:color w:val="auto"/>
          <w:highlight w:val="none"/>
        </w:rPr>
        <w:t xml:space="preserve">   </w:t>
      </w:r>
      <w:r>
        <w:rPr>
          <w:rFonts w:hint="eastAsia"/>
          <w:color w:val="auto"/>
          <w:sz w:val="26"/>
          <w:szCs w:val="26"/>
          <w:highlight w:val="none"/>
          <w:lang w:eastAsia="zh-CN"/>
        </w:rPr>
        <w:t>项目建成运行后，船闸区域不接收过闸船舶垃圾，故项目运营期固体废物主要为管理人员生活垃圾、船闸检修废油等</w:t>
      </w:r>
      <w:r>
        <w:rPr>
          <w:rFonts w:hint="eastAsia"/>
          <w:color w:val="auto"/>
          <w:sz w:val="26"/>
          <w:szCs w:val="26"/>
          <w:highlight w:val="none"/>
        </w:rPr>
        <w:t>。</w:t>
      </w:r>
      <w:r>
        <w:rPr>
          <w:rFonts w:hint="eastAsia"/>
          <w:color w:val="auto"/>
          <w:sz w:val="26"/>
          <w:szCs w:val="26"/>
          <w:highlight w:val="none"/>
          <w:lang w:eastAsia="zh-CN"/>
        </w:rPr>
        <w:t>其中生活垃圾经集中收集后定期交由环卫部门处置，</w:t>
      </w:r>
      <w:r>
        <w:rPr>
          <w:rFonts w:hint="eastAsia"/>
          <w:color w:val="auto"/>
          <w:sz w:val="26"/>
          <w:szCs w:val="26"/>
          <w:highlight w:val="none"/>
        </w:rPr>
        <w:t>船闸检修</w:t>
      </w:r>
      <w:r>
        <w:rPr>
          <w:rFonts w:hint="eastAsia"/>
          <w:color w:val="auto"/>
          <w:sz w:val="26"/>
          <w:szCs w:val="26"/>
          <w:highlight w:val="none"/>
          <w:lang w:eastAsia="zh-CN"/>
        </w:rPr>
        <w:t>有专业单位负责，产生的废机油、含油固废在危废暂存间暂存后，定期交由有危废处置资质单位处置</w:t>
      </w:r>
      <w:r>
        <w:rPr>
          <w:bCs/>
          <w:color w:val="auto"/>
          <w:szCs w:val="26"/>
          <w:highlight w:val="none"/>
        </w:rPr>
        <w:t>。</w:t>
      </w:r>
      <w:r>
        <w:rPr>
          <w:rFonts w:hint="eastAsia"/>
          <w:bCs/>
          <w:color w:val="auto"/>
          <w:szCs w:val="26"/>
          <w:highlight w:val="none"/>
          <w:lang w:eastAsia="zh-CN"/>
        </w:rPr>
        <w:t>采取上述措施后，项目运营期固体废物可得到合理有效处置，不会对环境造成破坏。</w:t>
      </w:r>
    </w:p>
    <w:p>
      <w:pPr>
        <w:pStyle w:val="5"/>
        <w:bidi w:val="0"/>
        <w:rPr>
          <w:color w:val="auto"/>
          <w:highlight w:val="none"/>
        </w:rPr>
      </w:pPr>
      <w:r>
        <w:rPr>
          <w:rFonts w:hint="eastAsia"/>
          <w:color w:val="auto"/>
          <w:highlight w:val="none"/>
        </w:rPr>
        <w:t>生态环境影响及保护措施</w:t>
      </w:r>
    </w:p>
    <w:p>
      <w:pPr>
        <w:ind w:firstLine="520"/>
        <w:rPr>
          <w:rFonts w:hint="eastAsia" w:eastAsia="宋体"/>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）陆生生态</w:t>
      </w:r>
    </w:p>
    <w:p>
      <w:pPr>
        <w:ind w:firstLine="520"/>
        <w:rPr>
          <w:rFonts w:hint="eastAsia"/>
          <w:color w:val="auto"/>
          <w:highlight w:val="none"/>
          <w:lang w:eastAsia="zh-CN"/>
        </w:rPr>
      </w:pPr>
      <w:r>
        <w:rPr>
          <w:rFonts w:hint="eastAsia"/>
          <w:color w:val="auto"/>
          <w:highlight w:val="none"/>
          <w:lang w:eastAsia="zh-CN"/>
        </w:rPr>
        <w:t>项目施工期对陆生生态影响主要体现在施工占地对植被的破坏，造成植物资源损失，对野生动物生境造成占用，同时，</w:t>
      </w:r>
      <w:r>
        <w:rPr>
          <w:rFonts w:hint="eastAsia"/>
          <w:color w:val="auto"/>
          <w:highlight w:val="none"/>
        </w:rPr>
        <w:t>施工活动一定程度上</w:t>
      </w:r>
      <w:r>
        <w:rPr>
          <w:bCs/>
          <w:color w:val="auto"/>
          <w:szCs w:val="26"/>
          <w:highlight w:val="none"/>
        </w:rPr>
        <w:t>改变动物生境，迫使其迁往周边区域适宜栖息地</w:t>
      </w:r>
      <w:r>
        <w:rPr>
          <w:rFonts w:hint="eastAsia"/>
          <w:color w:val="auto"/>
          <w:highlight w:val="none"/>
          <w:lang w:eastAsia="zh-CN"/>
        </w:rPr>
        <w:t>。根据调查</w:t>
      </w:r>
      <w:r>
        <w:rPr>
          <w:rFonts w:hint="eastAsia"/>
          <w:color w:val="auto"/>
          <w:highlight w:val="none"/>
        </w:rPr>
        <w:t>，受项目建设影响的物种在当地分布广、数量大，</w:t>
      </w:r>
      <w:r>
        <w:rPr>
          <w:rFonts w:hint="eastAsia"/>
          <w:color w:val="auto"/>
          <w:highlight w:val="none"/>
          <w:lang w:eastAsia="zh-CN"/>
        </w:rPr>
        <w:t>占地范围内无</w:t>
      </w:r>
      <w:r>
        <w:rPr>
          <w:rFonts w:hint="eastAsia"/>
          <w:color w:val="auto"/>
          <w:highlight w:val="none"/>
        </w:rPr>
        <w:t>珍稀濒危植物</w:t>
      </w:r>
      <w:r>
        <w:rPr>
          <w:rFonts w:hint="eastAsia"/>
          <w:color w:val="auto"/>
          <w:highlight w:val="none"/>
          <w:lang w:eastAsia="zh-CN"/>
        </w:rPr>
        <w:t>，</w:t>
      </w:r>
      <w:r>
        <w:rPr>
          <w:rFonts w:hint="eastAsia"/>
          <w:color w:val="auto"/>
          <w:highlight w:val="none"/>
        </w:rPr>
        <w:t>施工最大的影响就是造成物种个体数量减少，但不会发生某种动植物区系的改变及种类的丧失或者消亡</w:t>
      </w:r>
      <w:r>
        <w:rPr>
          <w:rFonts w:hint="eastAsia"/>
          <w:color w:val="auto"/>
          <w:highlight w:val="none"/>
          <w:lang w:eastAsia="zh-CN"/>
        </w:rPr>
        <w:t>，</w:t>
      </w:r>
      <w:r>
        <w:rPr>
          <w:rFonts w:hint="eastAsia"/>
          <w:color w:val="auto"/>
          <w:highlight w:val="none"/>
        </w:rPr>
        <w:t>项目不涉及珍稀濒危野生动物分布区，也不涉及野生动物的通道、栖息地等敏感区，</w:t>
      </w:r>
      <w:r>
        <w:rPr>
          <w:rFonts w:hint="eastAsia"/>
          <w:color w:val="auto"/>
          <w:highlight w:val="none"/>
          <w:lang w:eastAsia="zh-CN"/>
        </w:rPr>
        <w:t>受施工影响动物</w:t>
      </w:r>
      <w:r>
        <w:rPr>
          <w:rFonts w:hint="eastAsia"/>
          <w:color w:val="auto"/>
          <w:highlight w:val="none"/>
        </w:rPr>
        <w:t>会迁移到</w:t>
      </w:r>
      <w:r>
        <w:rPr>
          <w:rFonts w:hint="eastAsia"/>
          <w:color w:val="auto"/>
          <w:highlight w:val="none"/>
          <w:lang w:eastAsia="zh-CN"/>
        </w:rPr>
        <w:t>周边</w:t>
      </w:r>
      <w:r>
        <w:rPr>
          <w:rFonts w:hint="eastAsia"/>
          <w:color w:val="auto"/>
          <w:highlight w:val="none"/>
        </w:rPr>
        <w:t>相似生境，因而对其生存不会造成威胁</w:t>
      </w:r>
      <w:r>
        <w:rPr>
          <w:rFonts w:hint="eastAsia"/>
          <w:color w:val="auto"/>
          <w:highlight w:val="none"/>
          <w:lang w:eastAsia="zh-CN"/>
        </w:rPr>
        <w:t>，项目施工</w:t>
      </w:r>
      <w:r>
        <w:rPr>
          <w:rFonts w:hint="eastAsia"/>
          <w:color w:val="auto"/>
          <w:highlight w:val="none"/>
        </w:rPr>
        <w:t>对野生动物多样性影响</w:t>
      </w:r>
      <w:r>
        <w:rPr>
          <w:rFonts w:hint="eastAsia"/>
          <w:color w:val="auto"/>
          <w:highlight w:val="none"/>
          <w:lang w:eastAsia="zh-CN"/>
        </w:rPr>
        <w:t>较小</w:t>
      </w:r>
      <w:r>
        <w:rPr>
          <w:rFonts w:hint="eastAsia"/>
          <w:color w:val="auto"/>
          <w:highlight w:val="none"/>
        </w:rPr>
        <w:t>。</w:t>
      </w:r>
    </w:p>
    <w:p>
      <w:pPr>
        <w:rPr>
          <w:rFonts w:hint="eastAsia"/>
          <w:color w:val="auto"/>
          <w:highlight w:val="none"/>
        </w:rPr>
      </w:pPr>
      <w:r>
        <w:rPr>
          <w:rFonts w:hint="eastAsia"/>
          <w:color w:val="auto"/>
          <w:highlight w:val="none"/>
        </w:rPr>
        <w:t>通过加强施工管理，严格控制施工范围，集约化使用土地，施工结束后及时</w:t>
      </w:r>
      <w:r>
        <w:rPr>
          <w:rFonts w:hint="eastAsia"/>
          <w:color w:val="auto"/>
          <w:highlight w:val="none"/>
          <w:lang w:eastAsia="zh-CN"/>
        </w:rPr>
        <w:t>对施工临时占地</w:t>
      </w:r>
      <w:r>
        <w:rPr>
          <w:rFonts w:hint="eastAsia"/>
          <w:color w:val="auto"/>
          <w:highlight w:val="none"/>
        </w:rPr>
        <w:t>进行复种、复垦以及植被恢复，工程施工对动植物生境及项目周边区域的生态系统的影响将逐渐减弱。总体上看，项目</w:t>
      </w:r>
      <w:r>
        <w:rPr>
          <w:color w:val="auto"/>
          <w:highlight w:val="none"/>
        </w:rPr>
        <w:t>占地范围较小，施工活动影响范围有限</w:t>
      </w:r>
      <w:r>
        <w:rPr>
          <w:rFonts w:hint="eastAsia"/>
          <w:color w:val="auto"/>
          <w:highlight w:val="none"/>
        </w:rPr>
        <w:t>，工程建设对生态环境影响较小。</w:t>
      </w:r>
    </w:p>
    <w:p>
      <w:pPr>
        <w:ind w:firstLine="52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）水生生态</w:t>
      </w:r>
    </w:p>
    <w:p>
      <w:pPr>
        <w:ind w:firstLine="520"/>
        <w:rPr>
          <w:rFonts w:hint="default"/>
          <w:bCs/>
          <w:color w:val="auto"/>
          <w:szCs w:val="26"/>
          <w:highlight w:val="none"/>
          <w:lang w:val="en-US" w:eastAsia="zh-CN"/>
        </w:rPr>
      </w:pPr>
      <w:r>
        <w:rPr>
          <w:rFonts w:hint="eastAsia"/>
          <w:color w:val="auto"/>
          <w:highlight w:val="none"/>
        </w:rPr>
        <w:t>施工期水域施工活动主要包括主体工程的船闸工程、航道工程和鱼道工程等的建设，以及辅助工程和临时工程等的建设，施工期间产生的噪声、污水、扬尘和固体废物</w:t>
      </w:r>
      <w:r>
        <w:rPr>
          <w:rFonts w:hint="eastAsia"/>
          <w:color w:val="auto"/>
          <w:highlight w:val="none"/>
          <w:shd w:val="clear" w:fill="FFFFFF"/>
          <w:lang w:eastAsia="zh-CN"/>
        </w:rPr>
        <w:t>会对</w:t>
      </w:r>
      <w:r>
        <w:rPr>
          <w:rFonts w:hint="eastAsia"/>
          <w:color w:val="auto"/>
          <w:highlight w:val="none"/>
          <w:lang w:eastAsia="zh-CN"/>
        </w:rPr>
        <w:t>区域水生生态</w:t>
      </w:r>
      <w:r>
        <w:rPr>
          <w:rFonts w:hint="eastAsia"/>
          <w:color w:val="auto"/>
          <w:highlight w:val="none"/>
        </w:rPr>
        <w:t>产生一定的负面影响。</w:t>
      </w:r>
      <w:r>
        <w:rPr>
          <w:rFonts w:hint="default"/>
          <w:bCs/>
          <w:color w:val="auto"/>
          <w:szCs w:val="26"/>
          <w:highlight w:val="none"/>
          <w:lang w:val="en-US" w:eastAsia="zh-CN"/>
        </w:rPr>
        <w:t>对比该江段整体水域来看，本工程作业范围</w:t>
      </w:r>
      <w:r>
        <w:rPr>
          <w:rFonts w:hint="eastAsia"/>
          <w:bCs/>
          <w:color w:val="auto"/>
          <w:szCs w:val="26"/>
          <w:highlight w:val="none"/>
          <w:lang w:val="en-US" w:eastAsia="zh-CN"/>
        </w:rPr>
        <w:t>有限</w:t>
      </w:r>
      <w:r>
        <w:rPr>
          <w:rFonts w:hint="default"/>
          <w:bCs/>
          <w:color w:val="auto"/>
          <w:szCs w:val="26"/>
          <w:highlight w:val="none"/>
          <w:lang w:val="en-US" w:eastAsia="zh-CN"/>
        </w:rPr>
        <w:t>，整体上不会导致该江段水生生物栖息环境的剧烈变化，不会对该江段鱼类等水生生物多样性以及水生生态系统结构产生明显影响。</w:t>
      </w:r>
      <w:r>
        <w:rPr>
          <w:rFonts w:hint="eastAsia"/>
          <w:bCs/>
          <w:color w:val="auto"/>
          <w:szCs w:val="26"/>
          <w:highlight w:val="none"/>
          <w:lang w:val="en-US" w:eastAsia="zh-CN"/>
        </w:rPr>
        <w:t>且上述</w:t>
      </w:r>
      <w:r>
        <w:rPr>
          <w:rFonts w:hint="default"/>
          <w:bCs/>
          <w:color w:val="auto"/>
          <w:szCs w:val="26"/>
          <w:highlight w:val="none"/>
          <w:lang w:val="en-US" w:eastAsia="zh-CN"/>
        </w:rPr>
        <w:t>影响主要集中在施工期，工程施工结束后基本消除。总体上，本工程不会改变水生态系统的性质，对水生生物和主要保护对象的影响有限，对水生态系统结构和功能的影响有限。在保护和生态补偿措施到位，加强监管的条件下，工程建设对水生态的影响将进一步减低，总体属可控，可接受的。</w:t>
      </w:r>
    </w:p>
    <w:p>
      <w:pPr>
        <w:ind w:firstLine="520"/>
        <w:rPr>
          <w:rFonts w:hint="default"/>
          <w:bCs/>
          <w:color w:val="auto"/>
          <w:szCs w:val="26"/>
          <w:highlight w:val="none"/>
          <w:lang w:val="en-US" w:eastAsia="zh-CN"/>
        </w:rPr>
      </w:pPr>
      <w:r>
        <w:rPr>
          <w:rFonts w:hint="eastAsia"/>
          <w:bCs/>
          <w:color w:val="auto"/>
          <w:szCs w:val="26"/>
          <w:highlight w:val="none"/>
          <w:lang w:val="en-US" w:eastAsia="zh-CN"/>
        </w:rPr>
        <w:t>运营期船闸本身不排放污染物，主要是过往船舶对水生生态的影响。</w:t>
      </w:r>
      <w:r>
        <w:rPr>
          <w:rFonts w:hint="eastAsia"/>
          <w:bCs/>
          <w:color w:val="auto"/>
          <w:szCs w:val="26"/>
          <w:highlight w:val="none"/>
          <w:lang w:eastAsia="zh-CN"/>
        </w:rPr>
        <w:t>由于涪江已存在多级枢纽，库区水流较缓，船舶吃水深度有限，与河底尚有一定距离，行船不会直接影响底栖生物，行船过程中可能搅动少量底泥，引起水体悬浮物的短暂增加</w:t>
      </w:r>
      <w:r>
        <w:rPr>
          <w:rFonts w:hint="eastAsia"/>
          <w:bCs/>
          <w:color w:val="auto"/>
          <w:szCs w:val="26"/>
          <w:highlight w:val="none"/>
          <w:shd w:val="clear" w:fill="FFFFFF"/>
          <w:lang w:eastAsia="zh-CN"/>
        </w:rPr>
        <w:t>，行</w:t>
      </w:r>
      <w:r>
        <w:rPr>
          <w:rFonts w:hint="eastAsia"/>
          <w:bCs/>
          <w:color w:val="auto"/>
          <w:szCs w:val="26"/>
          <w:highlight w:val="none"/>
          <w:lang w:eastAsia="zh-CN"/>
        </w:rPr>
        <w:t>船过程中不会搅动河底的泥沙引起水体悬浮物的大量增加，且船舶航行后泥沙将迅速沉降，对水生生物影响时间较为短暂，对其影响较小。</w:t>
      </w:r>
      <w:r>
        <w:rPr>
          <w:rFonts w:hint="eastAsia"/>
          <w:bCs/>
          <w:color w:val="auto"/>
          <w:szCs w:val="26"/>
          <w:highlight w:val="none"/>
          <w:lang w:val="en-US" w:eastAsia="zh-CN"/>
        </w:rPr>
        <w:t>运营期由于船舶航行按规划航道行驶，与产卵场、索饵场和越冬场空间上存在一定距离，不会对鱼类产卵、索饵和越冬产生明显影响；由于鱼道的修建将重新建立渭沱船闸上下游鱼类活动通道，对洄游通道恢复具有明显的正效应。</w:t>
      </w:r>
    </w:p>
    <w:p>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）对重庆合川三江国家湿地公园的影响分析</w:t>
      </w:r>
    </w:p>
    <w:p>
      <w:pPr>
        <w:pStyle w:val="197"/>
        <w:spacing w:beforeLines="0" w:afterLines="0"/>
        <w:ind w:firstLine="520"/>
        <w:jc w:val="both"/>
        <w:rPr>
          <w:rFonts w:hint="eastAsia"/>
          <w:color w:val="auto"/>
          <w:highlight w:val="none"/>
          <w:lang w:eastAsia="zh-CN"/>
        </w:rPr>
      </w:pPr>
      <w:r>
        <w:rPr>
          <w:rFonts w:hint="eastAsia"/>
          <w:color w:val="auto"/>
          <w:sz w:val="26"/>
          <w:szCs w:val="22"/>
          <w:highlight w:val="none"/>
        </w:rPr>
        <w:t>项目建设占用合川三江国家湿地公园面积</w:t>
      </w:r>
      <w:r>
        <w:rPr>
          <w:rFonts w:hint="eastAsia"/>
          <w:color w:val="auto"/>
          <w:kern w:val="0"/>
          <w:sz w:val="26"/>
          <w:szCs w:val="22"/>
          <w:highlight w:val="none"/>
        </w:rPr>
        <w:t>占湿地公园面积比例</w:t>
      </w:r>
      <w:r>
        <w:rPr>
          <w:rFonts w:hint="eastAsia"/>
          <w:color w:val="auto"/>
          <w:kern w:val="0"/>
          <w:sz w:val="26"/>
          <w:szCs w:val="22"/>
          <w:highlight w:val="none"/>
          <w:lang w:eastAsia="zh-CN"/>
        </w:rPr>
        <w:t>仅约</w:t>
      </w:r>
      <w:r>
        <w:rPr>
          <w:rFonts w:hint="default"/>
          <w:color w:val="auto"/>
          <w:kern w:val="0"/>
          <w:sz w:val="26"/>
          <w:szCs w:val="22"/>
          <w:highlight w:val="none"/>
        </w:rPr>
        <w:t>0.</w:t>
      </w:r>
      <w:r>
        <w:rPr>
          <w:rFonts w:hint="eastAsia"/>
          <w:color w:val="auto"/>
          <w:kern w:val="0"/>
          <w:sz w:val="26"/>
          <w:szCs w:val="22"/>
          <w:highlight w:val="none"/>
          <w:lang w:val="en-US" w:eastAsia="zh-CN"/>
        </w:rPr>
        <w:t>19</w:t>
      </w:r>
      <w:r>
        <w:rPr>
          <w:rFonts w:hint="default"/>
          <w:color w:val="auto"/>
          <w:kern w:val="0"/>
          <w:sz w:val="26"/>
          <w:szCs w:val="22"/>
          <w:highlight w:val="none"/>
        </w:rPr>
        <w:t>%</w:t>
      </w:r>
      <w:r>
        <w:rPr>
          <w:rFonts w:hint="eastAsia"/>
          <w:color w:val="auto"/>
          <w:kern w:val="0"/>
          <w:sz w:val="26"/>
          <w:szCs w:val="22"/>
          <w:highlight w:val="none"/>
        </w:rPr>
        <w:t>，</w:t>
      </w:r>
      <w:r>
        <w:rPr>
          <w:rFonts w:hint="eastAsia"/>
          <w:color w:val="auto"/>
          <w:kern w:val="0"/>
          <w:sz w:val="26"/>
          <w:szCs w:val="21"/>
          <w:highlight w:val="none"/>
        </w:rPr>
        <w:t>工程实施对湿地资源的结构和功能的影响相对较小。施工活动对湿地生态系统的功能影响主要体现在短期内，对于重点保护动物，虽然在施工期间可能会受到一定的干扰，但这些影响不会对它们的长期生存和繁殖造成威胁</w:t>
      </w:r>
      <w:r>
        <w:rPr>
          <w:rFonts w:hint="eastAsia"/>
          <w:color w:val="auto"/>
          <w:kern w:val="0"/>
          <w:sz w:val="26"/>
          <w:szCs w:val="21"/>
          <w:highlight w:val="none"/>
          <w:lang w:eastAsia="zh-CN"/>
        </w:rPr>
        <w:t>，</w:t>
      </w:r>
      <w:r>
        <w:rPr>
          <w:rFonts w:hint="eastAsia"/>
          <w:color w:val="auto"/>
          <w:kern w:val="0"/>
          <w:sz w:val="26"/>
          <w:szCs w:val="21"/>
          <w:highlight w:val="none"/>
        </w:rPr>
        <w:t>一旦施工结束，这些影响将基本消除。对于湿地景观的美学价值，由于工程占用的面积非常小，对湿地景观的影响微乎其微，不会改变湿地的整体美学体验。通过采取适当的环保措施，可以确保工程实施对湿地生态系统的影响降到最低。</w:t>
      </w:r>
      <w:r>
        <w:rPr>
          <w:rFonts w:hint="eastAsia"/>
          <w:color w:val="auto"/>
          <w:kern w:val="0"/>
          <w:sz w:val="26"/>
          <w:szCs w:val="21"/>
          <w:highlight w:val="none"/>
          <w:lang w:eastAsia="zh-CN"/>
        </w:rPr>
        <w:t>目前，项目正在编制对湿地公园生态影响专题评价报告，通过严格</w:t>
      </w:r>
      <w:r>
        <w:rPr>
          <w:rFonts w:hint="eastAsia"/>
          <w:color w:val="auto"/>
          <w:highlight w:val="none"/>
          <w:vertAlign w:val="baseline"/>
          <w:lang w:val="en-US" w:eastAsia="zh-CN"/>
        </w:rPr>
        <w:t>落实专项评价提出的湿地保护与修复方案，以及各项生态环境保护措施后，项目建设对</w:t>
      </w:r>
      <w:r>
        <w:rPr>
          <w:rFonts w:hint="eastAsia"/>
          <w:color w:val="auto"/>
          <w:highlight w:val="none"/>
          <w:lang w:eastAsia="zh-CN"/>
        </w:rPr>
        <w:t>重庆合川三江国家湿地公园影响可接受。</w:t>
      </w:r>
    </w:p>
    <w:p>
      <w:pPr>
        <w:pStyle w:val="5"/>
        <w:bidi w:val="0"/>
        <w:rPr>
          <w:color w:val="auto"/>
          <w:highlight w:val="none"/>
        </w:rPr>
      </w:pPr>
      <w:r>
        <w:rPr>
          <w:rFonts w:hint="eastAsia"/>
          <w:color w:val="auto"/>
          <w:highlight w:val="none"/>
        </w:rPr>
        <w:t>环境风险分析</w:t>
      </w:r>
    </w:p>
    <w:p>
      <w:pPr>
        <w:ind w:firstLine="520"/>
        <w:rPr>
          <w:color w:val="auto"/>
          <w:highlight w:val="none"/>
        </w:rPr>
      </w:pPr>
      <w:r>
        <w:rPr>
          <w:rFonts w:hint="eastAsia"/>
          <w:color w:val="auto"/>
          <w:highlight w:val="none"/>
        </w:rPr>
        <w:t>本项目运营期本身不存在物质危险性和功能性危险源，环境风险事故的发生由间接行为导致，主要环境风险为过闸船舶环境风险物质</w:t>
      </w:r>
      <w:r>
        <w:rPr>
          <w:rFonts w:hint="eastAsia"/>
          <w:color w:val="auto"/>
          <w:highlight w:val="none"/>
          <w:shd w:val="clear" w:fill="FFFFFF"/>
          <w:lang w:eastAsia="zh-CN"/>
        </w:rPr>
        <w:t>泄漏</w:t>
      </w:r>
      <w:r>
        <w:rPr>
          <w:rFonts w:hint="eastAsia"/>
          <w:color w:val="auto"/>
          <w:highlight w:val="none"/>
        </w:rPr>
        <w:t>，项目涉及的危险物质主要为油类物质等。环境风险类型主要为</w:t>
      </w:r>
      <w:r>
        <w:rPr>
          <w:rFonts w:hint="eastAsia"/>
          <w:color w:val="auto"/>
          <w:highlight w:val="none"/>
          <w:lang w:eastAsia="zh-CN"/>
        </w:rPr>
        <w:t>施工船舶、运营期</w:t>
      </w:r>
      <w:r>
        <w:rPr>
          <w:rFonts w:hint="eastAsia"/>
          <w:color w:val="auto"/>
          <w:highlight w:val="none"/>
        </w:rPr>
        <w:t>过闸船舶燃料油直接泄漏入江，对涪江水生生态环境和水环境产生影响。</w:t>
      </w:r>
      <w:r>
        <w:rPr>
          <w:rFonts w:hint="eastAsia"/>
          <w:color w:val="auto"/>
          <w:highlight w:val="none"/>
          <w:lang w:eastAsia="zh-CN"/>
        </w:rPr>
        <w:t>通过采取加强运输船舶管理，设立导航及有关警示标志，制定针对突发环境风险事故应急预案，配备收油机、围油栏、吸油毡等应急物资等措施后</w:t>
      </w:r>
      <w:r>
        <w:rPr>
          <w:rFonts w:hint="eastAsia"/>
          <w:color w:val="auto"/>
          <w:highlight w:val="none"/>
        </w:rPr>
        <w:t>，可以满足环境风险事故的防范和处理要求，环境风险可控。</w:t>
      </w:r>
    </w:p>
    <w:p>
      <w:pPr>
        <w:pStyle w:val="4"/>
        <w:rPr>
          <w:color w:val="auto"/>
          <w:highlight w:val="none"/>
        </w:rPr>
      </w:pPr>
      <w:bookmarkStart w:id="180" w:name="_Toc161"/>
      <w:r>
        <w:rPr>
          <w:rFonts w:hint="eastAsia"/>
          <w:color w:val="auto"/>
          <w:highlight w:val="none"/>
        </w:rPr>
        <w:t>环境影响经济损益分析</w:t>
      </w:r>
      <w:bookmarkEnd w:id="180"/>
    </w:p>
    <w:p>
      <w:pPr>
        <w:ind w:firstLine="520"/>
        <w:rPr>
          <w:color w:val="auto"/>
          <w:highlight w:val="none"/>
        </w:rPr>
      </w:pPr>
      <w:r>
        <w:rPr>
          <w:rFonts w:hint="eastAsia"/>
          <w:color w:val="auto"/>
          <w:highlight w:val="none"/>
        </w:rPr>
        <w:t>本项目</w:t>
      </w:r>
      <w:r>
        <w:rPr>
          <w:rFonts w:hint="eastAsia"/>
          <w:color w:val="auto"/>
          <w:highlight w:val="none"/>
          <w:lang w:eastAsia="zh-CN"/>
        </w:rPr>
        <w:t>建设</w:t>
      </w:r>
      <w:r>
        <w:rPr>
          <w:rFonts w:hint="eastAsia"/>
          <w:color w:val="auto"/>
          <w:highlight w:val="none"/>
          <w:shd w:val="clear" w:fill="FFFFFF"/>
          <w:lang w:eastAsia="zh-CN"/>
        </w:rPr>
        <w:t>将</w:t>
      </w:r>
      <w:r>
        <w:rPr>
          <w:rFonts w:hint="eastAsia"/>
          <w:color w:val="auto"/>
          <w:highlight w:val="none"/>
        </w:rPr>
        <w:t>带动当地就业、对当地人口结构和经济结构产生积极影响，具有较好的社会效益；项目建成投产后，</w:t>
      </w:r>
      <w:r>
        <w:rPr>
          <w:rFonts w:hint="eastAsia"/>
          <w:color w:val="auto"/>
          <w:szCs w:val="26"/>
          <w:highlight w:val="none"/>
        </w:rPr>
        <w:t>可</w:t>
      </w:r>
      <w:r>
        <w:rPr>
          <w:rFonts w:hint="eastAsia"/>
          <w:color w:val="auto"/>
          <w:szCs w:val="26"/>
          <w:highlight w:val="none"/>
          <w:lang w:eastAsia="zh-CN"/>
        </w:rPr>
        <w:t>有效</w:t>
      </w:r>
      <w:r>
        <w:rPr>
          <w:rFonts w:hint="eastAsia"/>
          <w:color w:val="auto"/>
          <w:szCs w:val="26"/>
          <w:highlight w:val="none"/>
        </w:rPr>
        <w:t>改善涪江干流河段通航条件</w:t>
      </w:r>
      <w:r>
        <w:rPr>
          <w:rFonts w:hint="eastAsia"/>
          <w:color w:val="auto"/>
          <w:szCs w:val="26"/>
          <w:highlight w:val="none"/>
          <w:lang w:eastAsia="zh-CN"/>
        </w:rPr>
        <w:t>，提升涪江水运</w:t>
      </w:r>
      <w:r>
        <w:rPr>
          <w:rFonts w:hint="eastAsia"/>
          <w:color w:val="auto"/>
          <w:szCs w:val="26"/>
          <w:highlight w:val="none"/>
          <w:shd w:val="clear" w:fill="FFFFFF"/>
          <w:lang w:eastAsia="zh-CN"/>
        </w:rPr>
        <w:t>能力</w:t>
      </w:r>
      <w:r>
        <w:rPr>
          <w:rFonts w:hint="eastAsia"/>
          <w:color w:val="auto"/>
          <w:szCs w:val="26"/>
          <w:highlight w:val="none"/>
          <w:shd w:val="clear" w:fill="FFFFFF"/>
        </w:rPr>
        <w:t>等</w:t>
      </w:r>
      <w:r>
        <w:rPr>
          <w:rFonts w:hint="eastAsia"/>
          <w:color w:val="auto"/>
          <w:szCs w:val="26"/>
          <w:highlight w:val="none"/>
          <w:lang w:eastAsia="zh-CN"/>
        </w:rPr>
        <w:t>，降低运输成本，</w:t>
      </w:r>
      <w:r>
        <w:rPr>
          <w:rFonts w:hint="eastAsia"/>
          <w:color w:val="auto"/>
          <w:highlight w:val="none"/>
          <w:lang w:eastAsia="zh-CN"/>
        </w:rPr>
        <w:t>提高大宗货物水运比例，有效减少碳排放，</w:t>
      </w:r>
      <w:r>
        <w:rPr>
          <w:rFonts w:hint="eastAsia"/>
          <w:color w:val="auto"/>
          <w:highlight w:val="none"/>
        </w:rPr>
        <w:t>将实现较好的经济</w:t>
      </w:r>
      <w:r>
        <w:rPr>
          <w:rFonts w:hint="eastAsia"/>
          <w:color w:val="auto"/>
          <w:highlight w:val="none"/>
          <w:lang w:eastAsia="zh-CN"/>
        </w:rPr>
        <w:t>、社会效益、环境</w:t>
      </w:r>
      <w:r>
        <w:rPr>
          <w:rFonts w:hint="eastAsia"/>
          <w:color w:val="auto"/>
          <w:highlight w:val="none"/>
        </w:rPr>
        <w:t>效益；为了保护环境，减轻工程建设和运营对环境的影响，本项目将投入一定的环境保护费用，将使得污染物得到有效治理，将取得显著的环境效益。总体而言，</w:t>
      </w:r>
      <w:r>
        <w:rPr>
          <w:color w:val="auto"/>
          <w:highlight w:val="none"/>
        </w:rPr>
        <w:t>本工程实施后所带来的经济效益、社会效益和环境效益，比本工程施工中所造成的直接环境、经济损失要大得多。因此，本工程实施后所产生的经济效益、社会效益和环境效益是显著的。</w:t>
      </w:r>
    </w:p>
    <w:p>
      <w:pPr>
        <w:pStyle w:val="4"/>
        <w:rPr>
          <w:color w:val="auto"/>
          <w:highlight w:val="none"/>
        </w:rPr>
      </w:pPr>
      <w:bookmarkStart w:id="181" w:name="_Toc20524"/>
      <w:r>
        <w:rPr>
          <w:rFonts w:hint="eastAsia"/>
          <w:color w:val="auto"/>
          <w:highlight w:val="none"/>
        </w:rPr>
        <w:t>环境管理及监测计划</w:t>
      </w:r>
      <w:bookmarkEnd w:id="181"/>
    </w:p>
    <w:p>
      <w:pPr>
        <w:ind w:firstLine="520"/>
        <w:rPr>
          <w:rFonts w:hint="eastAsia" w:eastAsia="宋体"/>
          <w:color w:val="auto"/>
          <w:highlight w:val="none"/>
          <w:lang w:eastAsia="zh-CN"/>
        </w:rPr>
      </w:pPr>
      <w:r>
        <w:rPr>
          <w:rFonts w:hint="eastAsia"/>
          <w:color w:val="auto"/>
          <w:highlight w:val="none"/>
        </w:rPr>
        <w:t>建设单位应加强本项目环境保护管理工作，设置专门的环保机构，配备专业的环保管理人员，负责项目建设和运营过程中的环境管理工作及监测计划；并根据环境影响报告中提出的环保措施，结合在施工和运营期间实际造成的环境影响，详细制定施工期和运营期环境保护规章制度</w:t>
      </w:r>
      <w:r>
        <w:rPr>
          <w:rFonts w:hint="eastAsia"/>
          <w:color w:val="auto"/>
          <w:highlight w:val="none"/>
          <w:lang w:eastAsia="zh-CN"/>
        </w:rPr>
        <w:t>。</w:t>
      </w:r>
    </w:p>
    <w:p>
      <w:pPr>
        <w:pStyle w:val="4"/>
        <w:rPr>
          <w:color w:val="auto"/>
          <w:highlight w:val="none"/>
        </w:rPr>
      </w:pPr>
      <w:bookmarkStart w:id="182" w:name="_Toc107479937"/>
      <w:bookmarkStart w:id="183" w:name="_Toc16659"/>
      <w:r>
        <w:rPr>
          <w:rFonts w:hint="eastAsia"/>
          <w:color w:val="auto"/>
          <w:highlight w:val="none"/>
        </w:rPr>
        <w:t>公众</w:t>
      </w:r>
      <w:bookmarkEnd w:id="182"/>
      <w:r>
        <w:rPr>
          <w:rFonts w:hint="eastAsia"/>
          <w:color w:val="auto"/>
          <w:highlight w:val="none"/>
          <w:lang w:eastAsia="zh-CN"/>
        </w:rPr>
        <w:t>参与</w:t>
      </w:r>
      <w:bookmarkEnd w:id="183"/>
    </w:p>
    <w:p>
      <w:pPr>
        <w:ind w:firstLine="520"/>
        <w:rPr>
          <w:color w:val="auto"/>
          <w:highlight w:val="none"/>
        </w:rPr>
      </w:pPr>
      <w:r>
        <w:rPr>
          <w:rFonts w:hint="eastAsia"/>
          <w:color w:val="auto"/>
          <w:highlight w:val="none"/>
        </w:rPr>
        <w:t>根据建设单位开展的项目环境影响评价公众参与资料，本项目按照《环境影响评价公众参与办法》有关要求开展了</w:t>
      </w:r>
      <w:r>
        <w:rPr>
          <w:rFonts w:hint="eastAsia"/>
          <w:color w:val="auto"/>
          <w:highlight w:val="none"/>
          <w:shd w:val="clear" w:fill="FFFFFF"/>
          <w:lang w:eastAsia="zh-CN"/>
        </w:rPr>
        <w:t>环境影响</w:t>
      </w:r>
      <w:r>
        <w:rPr>
          <w:rFonts w:hint="eastAsia"/>
          <w:color w:val="auto"/>
          <w:highlight w:val="none"/>
        </w:rPr>
        <w:t>评价信息公示，采取了网络、报纸、张贴公告相结合的公开方式，三次公示期间均未收到公众提交的与环境</w:t>
      </w:r>
      <w:r>
        <w:rPr>
          <w:color w:val="auto"/>
          <w:highlight w:val="none"/>
        </w:rPr>
        <w:t>影响有关的</w:t>
      </w:r>
      <w:r>
        <w:rPr>
          <w:rFonts w:hint="eastAsia"/>
          <w:color w:val="auto"/>
          <w:highlight w:val="none"/>
        </w:rPr>
        <w:t>公众意见。</w:t>
      </w:r>
    </w:p>
    <w:p>
      <w:pPr>
        <w:pStyle w:val="4"/>
        <w:rPr>
          <w:color w:val="auto"/>
          <w:highlight w:val="none"/>
        </w:rPr>
      </w:pPr>
      <w:bookmarkStart w:id="184" w:name="_Toc5880"/>
      <w:r>
        <w:rPr>
          <w:rFonts w:hint="eastAsia"/>
          <w:color w:val="auto"/>
          <w:highlight w:val="none"/>
        </w:rPr>
        <w:t>总体结论</w:t>
      </w:r>
      <w:bookmarkEnd w:id="184"/>
    </w:p>
    <w:p>
      <w:pPr>
        <w:ind w:firstLine="520"/>
        <w:rPr>
          <w:color w:val="auto"/>
          <w:highlight w:val="none"/>
        </w:rPr>
      </w:pPr>
      <w:r>
        <w:rPr>
          <w:rFonts w:hint="eastAsia"/>
          <w:color w:val="auto"/>
          <w:highlight w:val="none"/>
        </w:rPr>
        <w:t>“涪江干流渭沱电厂船闸扩能升级改造工程”符合国家及重庆市产业政策及相关规划，工程的选址选线满足相关法律法规要求，与</w:t>
      </w:r>
      <w:r>
        <w:rPr>
          <w:color w:val="auto"/>
          <w:szCs w:val="26"/>
          <w:highlight w:val="none"/>
        </w:rPr>
        <w:t>区域</w:t>
      </w:r>
      <w:r>
        <w:rPr>
          <w:rFonts w:hint="eastAsia"/>
          <w:color w:val="auto"/>
          <w:szCs w:val="26"/>
          <w:highlight w:val="none"/>
          <w:lang w:eastAsia="zh-CN"/>
        </w:rPr>
        <w:t>生态环境分区</w:t>
      </w:r>
      <w:r>
        <w:rPr>
          <w:color w:val="auto"/>
          <w:szCs w:val="26"/>
          <w:highlight w:val="none"/>
        </w:rPr>
        <w:t>管控要求</w:t>
      </w:r>
      <w:r>
        <w:rPr>
          <w:rFonts w:hint="eastAsia"/>
          <w:color w:val="auto"/>
          <w:szCs w:val="26"/>
          <w:highlight w:val="none"/>
        </w:rPr>
        <w:t>不冲突，</w:t>
      </w:r>
      <w:r>
        <w:rPr>
          <w:rFonts w:hint="eastAsia"/>
          <w:color w:val="auto"/>
          <w:highlight w:val="none"/>
        </w:rPr>
        <w:t>工程建设对</w:t>
      </w:r>
      <w:r>
        <w:rPr>
          <w:rFonts w:hint="eastAsia"/>
          <w:color w:val="auto"/>
          <w:szCs w:val="26"/>
          <w:highlight w:val="none"/>
        </w:rPr>
        <w:t>改善涪江干流河段通航条件</w:t>
      </w:r>
      <w:r>
        <w:rPr>
          <w:rFonts w:hint="eastAsia"/>
          <w:color w:val="auto"/>
          <w:szCs w:val="26"/>
          <w:highlight w:val="none"/>
          <w:lang w:eastAsia="zh-CN"/>
        </w:rPr>
        <w:t>，提升涪江水运能力</w:t>
      </w:r>
      <w:r>
        <w:rPr>
          <w:rFonts w:hint="eastAsia"/>
          <w:color w:val="auto"/>
          <w:highlight w:val="none"/>
        </w:rPr>
        <w:t>具有重要意义。项目</w:t>
      </w:r>
      <w:r>
        <w:rPr>
          <w:rFonts w:hint="eastAsia"/>
          <w:color w:val="auto"/>
          <w:highlight w:val="none"/>
          <w:shd w:val="clear" w:fill="FFFFFF"/>
          <w:lang w:eastAsia="zh-CN"/>
        </w:rPr>
        <w:t>实施</w:t>
      </w:r>
      <w:r>
        <w:rPr>
          <w:rFonts w:hint="eastAsia"/>
          <w:color w:val="auto"/>
          <w:highlight w:val="none"/>
        </w:rPr>
        <w:t>将对环境造成一定的影响，但在采取严格的生态保护及污染防治措施后，对环境的不利影响可得到有效减缓和控制，对生态环境造成的影响可接受，不会改变区域生态环境功能，因此，从环境保护的角度看，本项目建设是可行的。</w:t>
      </w:r>
    </w:p>
    <w:p>
      <w:pPr>
        <w:ind w:firstLine="0" w:firstLineChars="0"/>
        <w:rPr>
          <w:color w:val="auto"/>
          <w:highlight w:val="none"/>
        </w:rPr>
      </w:pPr>
    </w:p>
    <w:sectPr>
      <w:pgSz w:w="11907" w:h="16840"/>
      <w:pgMar w:top="1701" w:right="1588" w:bottom="1588" w:left="1588" w:header="1304" w:footer="1247" w:gutter="0"/>
      <w:cols w:space="425"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20"/>
      </w:pPr>
      <w:r>
        <w:separator/>
      </w:r>
    </w:p>
  </w:endnote>
  <w:endnote w:type="continuationSeparator" w:id="1">
    <w:p>
      <w:pPr>
        <w:spacing w:line="240" w:lineRule="auto"/>
        <w:ind w:firstLine="5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ˎ̥">
    <w:altName w:val="Times New Roman"/>
    <w:panose1 w:val="00000000000000000000"/>
    <w:charset w:val="00"/>
    <w:family w:val="roman"/>
    <w:pitch w:val="default"/>
    <w:sig w:usb0="00000000" w:usb1="00000000" w:usb2="00000000" w:usb3="00000000" w:csb0="00040001" w:csb1="00000000"/>
  </w:font>
  <w:font w:name="等线">
    <w:altName w:val="Arial Unicode MS"/>
    <w:panose1 w:val="02010600030101010101"/>
    <w:charset w:val="86"/>
    <w:family w:val="auto"/>
    <w:pitch w:val="default"/>
    <w:sig w:usb0="00000000" w:usb1="00000000" w:usb2="00000016" w:usb3="00000000" w:csb0="0004000F" w:csb1="00000000"/>
  </w:font>
  <w:font w:name="楷体_GB2312">
    <w:panose1 w:val="02010609030101010101"/>
    <w:charset w:val="86"/>
    <w:family w:val="modern"/>
    <w:pitch w:val="default"/>
    <w:sig w:usb0="00000001" w:usb1="080E0000" w:usb2="00000000" w:usb3="00000000" w:csb0="00040000" w:csb1="00000000"/>
  </w:font>
  <w:font w:name="Calibri Light">
    <w:panose1 w:val="020F0302020204030204"/>
    <w:charset w:val="00"/>
    <w:family w:val="swiss"/>
    <w:pitch w:val="default"/>
    <w:sig w:usb0="A00002EF" w:usb1="4000207B" w:usb2="00000000"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Cambria">
    <w:panose1 w:val="02040503050406030204"/>
    <w:charset w:val="00"/>
    <w:family w:val="roman"/>
    <w:pitch w:val="default"/>
    <w:sig w:usb0="E00002FF" w:usb1="400004FF" w:usb2="00000000" w:usb3="00000000" w:csb0="2000019F" w:csb1="00000000"/>
  </w:font>
  <w:font w:name="Arial Narrow">
    <w:panose1 w:val="020B0606020202030204"/>
    <w:charset w:val="00"/>
    <w:family w:val="swiss"/>
    <w:pitch w:val="default"/>
    <w:sig w:usb0="00000287" w:usb1="00000800" w:usb2="00000000" w:usb3="00000000" w:csb0="2000009F" w:csb1="DFD70000"/>
  </w:font>
  <w:font w:name="Arial Unicode MS">
    <w:panose1 w:val="020B0604020202020204"/>
    <w:charset w:val="86"/>
    <w:family w:val="swiss"/>
    <w:pitch w:val="default"/>
    <w:sig w:usb0="FFFFFFFF" w:usb1="E9FFFFFF" w:usb2="0000003F" w:usb3="00000000" w:csb0="603F01FF" w:csb1="FFFF0000"/>
  </w:font>
  <w:font w:name="Times">
    <w:altName w:val="Times New Roman"/>
    <w:panose1 w:val="02020603050405020304"/>
    <w:charset w:val="00"/>
    <w:family w:val="roman"/>
    <w:pitch w:val="default"/>
    <w:sig w:usb0="00000000" w:usb1="00000000" w:usb2="00000009" w:usb3="00000000" w:csb0="000001FF" w:csb1="00000000"/>
  </w:font>
  <w:font w:name="楷体">
    <w:panose1 w:val="02010609060101010101"/>
    <w:charset w:val="86"/>
    <w:family w:val="modern"/>
    <w:pitch w:val="default"/>
    <w:sig w:usb0="800002BF" w:usb1="38CF7CFA" w:usb2="00000016" w:usb3="00000000" w:csb0="00040001" w:csb1="00000000"/>
  </w:font>
  <w:font w:name="华文新魏">
    <w:panose1 w:val="02010800040101010101"/>
    <w:charset w:val="86"/>
    <w:family w:val="auto"/>
    <w:pitch w:val="default"/>
    <w:sig w:usb0="00000001" w:usb1="080F0000" w:usb2="00000000" w:usb3="00000000" w:csb0="00040000" w:csb1="00000000"/>
  </w:font>
  <w:font w:name="Verdana">
    <w:panose1 w:val="020B0604030504040204"/>
    <w:charset w:val="00"/>
    <w:family w:val="swiss"/>
    <w:pitch w:val="default"/>
    <w:sig w:usb0="A10006FF" w:usb1="4000205B" w:usb2="00000010" w:usb3="00000000" w:csb0="2000019F" w:csb1="00000000"/>
  </w:font>
  <w:font w:name="Helvetica">
    <w:altName w:val="Arial"/>
    <w:panose1 w:val="00000000000000000000"/>
    <w:charset w:val="00"/>
    <w:family w:val="auto"/>
    <w:pitch w:val="default"/>
    <w:sig w:usb0="00000000" w:usb1="00000000" w:usb2="00000000" w:usb3="00000000" w:csb0="00000000"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方正仿宋_GBK">
    <w:panose1 w:val="03000509000000000000"/>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1"/>
      </w:pBdr>
      <w:tabs>
        <w:tab w:val="center" w:pos="4535"/>
        <w:tab w:val="right" w:pos="9070"/>
      </w:tabs>
      <w:spacing w:line="240" w:lineRule="auto"/>
      <w:ind w:firstLine="0" w:firstLineChars="0"/>
      <w:jc w:val="center"/>
      <w:rPr>
        <w:sz w:val="21"/>
        <w:szCs w:val="21"/>
      </w:rPr>
    </w:pPr>
    <w:r>
      <w:rPr>
        <w:rFonts w:hint="eastAsia"/>
        <w:sz w:val="21"/>
        <w:szCs w:val="21"/>
      </w:rPr>
      <w:t>第</w:t>
    </w: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1</w:t>
    </w:r>
    <w:r>
      <w:rPr>
        <w:sz w:val="21"/>
        <w:szCs w:val="21"/>
      </w:rPr>
      <w:fldChar w:fldCharType="end"/>
    </w:r>
    <w:r>
      <w:rPr>
        <w:rFonts w:hint="eastAsia"/>
        <w:sz w:val="21"/>
        <w:szCs w:val="21"/>
      </w:rPr>
      <w:t>页</w:t>
    </w:r>
    <w:r>
      <w:rPr>
        <w:sz w:val="21"/>
        <w:szCs w:val="21"/>
      </w:rPr>
      <w:ptab w:relativeTo="margin" w:alignment="center" w:leader="none"/>
    </w:r>
    <w:r>
      <w:rPr>
        <w:rFonts w:hint="eastAsia"/>
        <w:sz w:val="21"/>
        <w:szCs w:val="21"/>
      </w:rPr>
      <w:t>中煤科工重庆设计研究院（集团）有限公司</w:t>
    </w:r>
    <w:r>
      <w:rPr>
        <w:sz w:val="21"/>
        <w:szCs w:val="21"/>
      </w:rPr>
      <w:ptab w:relativeTo="margin" w:alignment="right" w:leader="none"/>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1"/>
      </w:pBdr>
      <w:tabs>
        <w:tab w:val="center" w:pos="4365"/>
        <w:tab w:val="right" w:pos="8730"/>
      </w:tabs>
      <w:adjustRightInd w:val="0"/>
      <w:ind w:firstLine="400"/>
      <w:jc w:val="center"/>
    </w:pPr>
    <w:r>
      <w:rPr>
        <w:rFonts w:hint="eastAsia"/>
        <w:sz w:val="20"/>
      </w:rPr>
      <w:t>第</w:t>
    </w:r>
    <w:r>
      <w:rPr>
        <w:sz w:val="20"/>
      </w:rPr>
      <w:fldChar w:fldCharType="begin"/>
    </w:r>
    <w:r>
      <w:rPr>
        <w:sz w:val="20"/>
      </w:rPr>
      <w:instrText xml:space="preserve">PAGE   \* MERGEFORMAT</w:instrText>
    </w:r>
    <w:r>
      <w:rPr>
        <w:sz w:val="20"/>
      </w:rPr>
      <w:fldChar w:fldCharType="separate"/>
    </w:r>
    <w:r>
      <w:rPr>
        <w:lang w:val="zh-CN"/>
      </w:rPr>
      <w:t>2</w:t>
    </w:r>
    <w:r>
      <w:rPr>
        <w:sz w:val="20"/>
      </w:rPr>
      <w:fldChar w:fldCharType="end"/>
    </w:r>
    <w:r>
      <w:rPr>
        <w:rFonts w:hint="eastAsia"/>
        <w:sz w:val="20"/>
      </w:rPr>
      <w:t>页</w:t>
    </w:r>
    <w:r>
      <w:rPr>
        <w:sz w:val="20"/>
      </w:rPr>
      <w:tab/>
    </w:r>
    <w:r>
      <w:rPr>
        <w:rFonts w:hint="eastAsia"/>
        <w:sz w:val="20"/>
      </w:rPr>
      <w:t>中煤科工重庆</w:t>
    </w:r>
    <w:r>
      <w:rPr>
        <w:sz w:val="20"/>
      </w:rPr>
      <w:t>设计研究院</w:t>
    </w:r>
    <w:r>
      <w:rPr>
        <w:rFonts w:hint="eastAsia"/>
        <w:sz w:val="20"/>
      </w:rPr>
      <w:t>（集团）有限公司</w:t>
    </w:r>
    <w:r>
      <w:rPr>
        <w:sz w:val="20"/>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535"/>
        <w:tab w:val="right" w:pos="9070"/>
      </w:tabs>
      <w:ind w:firstLine="520"/>
    </w:pPr>
    <w:r>
      <w:tab/>
    </w:r>
    <w:r>
      <w:t xml:space="preserve"> </w:t>
    </w:r>
    <w: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1"/>
      </w:pBdr>
      <w:tabs>
        <w:tab w:val="center" w:pos="4535"/>
        <w:tab w:val="right" w:pos="9070"/>
      </w:tabs>
      <w:adjustRightInd w:val="0"/>
      <w:snapToGrid w:val="0"/>
      <w:spacing w:line="240" w:lineRule="auto"/>
      <w:ind w:firstLine="2730" w:firstLineChars="1300"/>
      <w:jc w:val="right"/>
      <w:rPr>
        <w:sz w:val="21"/>
        <w:szCs w:val="21"/>
      </w:rPr>
    </w:pPr>
    <w:r>
      <w:rPr>
        <w:sz w:val="21"/>
        <w:szCs w:val="21"/>
      </w:rPr>
      <w:t>中煤科工重庆设计研究院（集团）有限公司</w:t>
    </w:r>
    <w:r>
      <w:rPr>
        <w:rFonts w:hint="eastAsia"/>
        <w:sz w:val="21"/>
        <w:szCs w:val="21"/>
      </w:rPr>
      <w:t xml:space="preserve">             </w:t>
    </w:r>
    <w:r>
      <w:rPr>
        <w:sz w:val="21"/>
        <w:szCs w:val="21"/>
      </w:rPr>
      <w:t>第</w:t>
    </w: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93</w:t>
    </w:r>
    <w:r>
      <w:rPr>
        <w:sz w:val="21"/>
        <w:szCs w:val="21"/>
      </w:rPr>
      <w:fldChar w:fldCharType="end"/>
    </w:r>
    <w:r>
      <w:rPr>
        <w:sz w:val="21"/>
        <w:szCs w:val="21"/>
      </w:rPr>
      <w:t>页</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1"/>
      </w:pBdr>
      <w:spacing w:line="240" w:lineRule="auto"/>
      <w:ind w:firstLine="0" w:firstLineChars="0"/>
      <w:rPr>
        <w:sz w:val="21"/>
        <w:szCs w:val="21"/>
      </w:rPr>
    </w:pPr>
    <w:r>
      <w:rPr>
        <w:rFonts w:hint="eastAsia"/>
        <w:sz w:val="21"/>
        <w:szCs w:val="21"/>
      </w:rPr>
      <w:t>第</w:t>
    </w: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260</w:t>
    </w:r>
    <w:r>
      <w:rPr>
        <w:sz w:val="21"/>
        <w:szCs w:val="21"/>
      </w:rPr>
      <w:fldChar w:fldCharType="end"/>
    </w:r>
    <w:r>
      <w:rPr>
        <w:rFonts w:hint="eastAsia"/>
        <w:sz w:val="21"/>
        <w:szCs w:val="21"/>
      </w:rPr>
      <w:t>页</w:t>
    </w:r>
    <w:r>
      <w:rPr>
        <w:sz w:val="21"/>
        <w:szCs w:val="21"/>
      </w:rPr>
      <w:ptab w:relativeTo="margin" w:alignment="center" w:leader="none"/>
    </w:r>
    <w:r>
      <w:rPr>
        <w:rFonts w:hint="eastAsia"/>
        <w:sz w:val="21"/>
        <w:szCs w:val="21"/>
      </w:rPr>
      <w:t>中煤科工重庆设计研究院（集团）有限公司</w:t>
    </w:r>
    <w:r>
      <w:rPr>
        <w:sz w:val="21"/>
        <w:szCs w:val="21"/>
      </w:rPr>
      <w:ptab w:relativeTo="margin" w:alignment="right" w:leader="none"/>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1"/>
      </w:pBdr>
      <w:spacing w:line="240" w:lineRule="auto"/>
      <w:ind w:firstLine="0" w:firstLineChars="0"/>
      <w:rPr>
        <w:sz w:val="21"/>
        <w:szCs w:val="21"/>
      </w:rPr>
    </w:pPr>
    <w:r>
      <w:rPr>
        <w:rFonts w:hint="eastAsia"/>
        <w:sz w:val="21"/>
        <w:szCs w:val="21"/>
      </w:rPr>
      <w:t>第</w:t>
    </w: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316</w:t>
    </w:r>
    <w:r>
      <w:rPr>
        <w:sz w:val="21"/>
        <w:szCs w:val="21"/>
      </w:rPr>
      <w:fldChar w:fldCharType="end"/>
    </w:r>
    <w:r>
      <w:rPr>
        <w:rFonts w:hint="eastAsia"/>
        <w:sz w:val="21"/>
        <w:szCs w:val="21"/>
      </w:rPr>
      <w:t>页</w:t>
    </w:r>
    <w:r>
      <w:rPr>
        <w:sz w:val="21"/>
        <w:szCs w:val="21"/>
      </w:rPr>
      <w:ptab w:relativeTo="margin" w:alignment="center" w:leader="none"/>
    </w:r>
    <w:r>
      <w:rPr>
        <w:rFonts w:hint="eastAsia"/>
        <w:sz w:val="21"/>
        <w:szCs w:val="21"/>
      </w:rPr>
      <w:t>中煤科工重庆设计研究院（集团）有限公司</w:t>
    </w:r>
    <w:r>
      <w:rPr>
        <w:sz w:val="21"/>
        <w:szCs w:val="21"/>
      </w:rPr>
      <w:ptab w:relativeTo="margin" w:alignment="right" w:leader="none"/>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520"/>
      </w:pPr>
      <w:r>
        <w:separator/>
      </w:r>
    </w:p>
  </w:footnote>
  <w:footnote w:type="continuationSeparator" w:id="1">
    <w:p>
      <w:pPr>
        <w:spacing w:line="240" w:lineRule="auto"/>
        <w:ind w:firstLine="5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adjustRightInd w:val="0"/>
      <w:snapToGrid w:val="0"/>
      <w:spacing w:line="240" w:lineRule="auto"/>
      <w:ind w:firstLine="0" w:firstLineChars="0"/>
      <w:jc w:val="center"/>
      <w:rPr>
        <w:sz w:val="24"/>
        <w:szCs w:val="22"/>
      </w:rPr>
    </w:pPr>
    <w:r>
      <w:rPr>
        <w:rFonts w:hint="eastAsia"/>
        <w:sz w:val="20"/>
        <w:szCs w:val="20"/>
      </w:rPr>
      <w:t>涪江干流渭沱电厂船闸扩能升级改造工程环境影响报告书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adjustRightInd w:val="0"/>
      <w:snapToGrid w:val="0"/>
      <w:spacing w:line="240" w:lineRule="auto"/>
      <w:ind w:firstLine="0" w:firstLineChars="0"/>
      <w:jc w:val="center"/>
      <w:rPr>
        <w:sz w:val="20"/>
        <w:szCs w:val="20"/>
      </w:rPr>
    </w:pPr>
    <w:r>
      <w:rPr>
        <w:rFonts w:hint="eastAsia"/>
        <w:sz w:val="20"/>
        <w:szCs w:val="20"/>
      </w:rPr>
      <w:t>涪江干流渭沱电厂船闸扩能升级改造工程环境影响报告书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5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B080E1"/>
    <w:multiLevelType w:val="singleLevel"/>
    <w:tmpl w:val="82B080E1"/>
    <w:lvl w:ilvl="0" w:tentative="0">
      <w:start w:val="1"/>
      <w:numFmt w:val="chineseCounting"/>
      <w:suff w:val="nothing"/>
      <w:lvlText w:val="%1、"/>
      <w:lvlJc w:val="left"/>
      <w:pPr>
        <w:ind w:left="0" w:firstLine="420"/>
      </w:pPr>
      <w:rPr>
        <w:rFonts w:hint="eastAsia"/>
      </w:rPr>
    </w:lvl>
  </w:abstractNum>
  <w:abstractNum w:abstractNumId="1">
    <w:nsid w:val="96C921AB"/>
    <w:multiLevelType w:val="singleLevel"/>
    <w:tmpl w:val="96C921AB"/>
    <w:lvl w:ilvl="0" w:tentative="0">
      <w:start w:val="1"/>
      <w:numFmt w:val="bullet"/>
      <w:lvlText w:val=""/>
      <w:lvlJc w:val="left"/>
      <w:pPr>
        <w:ind w:left="420" w:hanging="420"/>
      </w:pPr>
      <w:rPr>
        <w:rFonts w:hint="default" w:ascii="Wingdings" w:hAnsi="Wingdings"/>
      </w:rPr>
    </w:lvl>
  </w:abstractNum>
  <w:abstractNum w:abstractNumId="2">
    <w:nsid w:val="9935A043"/>
    <w:multiLevelType w:val="singleLevel"/>
    <w:tmpl w:val="9935A043"/>
    <w:lvl w:ilvl="0" w:tentative="0">
      <w:start w:val="1"/>
      <w:numFmt w:val="decimal"/>
      <w:suff w:val="nothing"/>
      <w:lvlText w:val="%1"/>
      <w:lvlJc w:val="left"/>
      <w:pPr>
        <w:ind w:left="0" w:leftChars="0" w:firstLine="0" w:firstLineChars="0"/>
      </w:pPr>
      <w:rPr>
        <w:rFonts w:hint="default"/>
      </w:rPr>
    </w:lvl>
  </w:abstractNum>
  <w:abstractNum w:abstractNumId="3">
    <w:nsid w:val="AA3A262D"/>
    <w:multiLevelType w:val="singleLevel"/>
    <w:tmpl w:val="AA3A262D"/>
    <w:lvl w:ilvl="0" w:tentative="0">
      <w:start w:val="1"/>
      <w:numFmt w:val="decimal"/>
      <w:suff w:val="nothing"/>
      <w:lvlText w:val="%1"/>
      <w:lvlJc w:val="left"/>
      <w:pPr>
        <w:ind w:left="0" w:leftChars="0" w:firstLine="0" w:firstLineChars="0"/>
      </w:pPr>
      <w:rPr>
        <w:rFonts w:hint="default"/>
      </w:rPr>
    </w:lvl>
  </w:abstractNum>
  <w:abstractNum w:abstractNumId="4">
    <w:nsid w:val="B306C8C2"/>
    <w:multiLevelType w:val="singleLevel"/>
    <w:tmpl w:val="B306C8C2"/>
    <w:lvl w:ilvl="0" w:tentative="0">
      <w:start w:val="1"/>
      <w:numFmt w:val="decimal"/>
      <w:suff w:val="nothing"/>
      <w:lvlText w:val="%1"/>
      <w:lvlJc w:val="left"/>
      <w:pPr>
        <w:ind w:left="0" w:leftChars="0" w:firstLine="0" w:firstLineChars="0"/>
      </w:pPr>
      <w:rPr>
        <w:rFonts w:hint="default"/>
      </w:rPr>
    </w:lvl>
  </w:abstractNum>
  <w:abstractNum w:abstractNumId="5">
    <w:nsid w:val="B97C34C1"/>
    <w:multiLevelType w:val="singleLevel"/>
    <w:tmpl w:val="B97C34C1"/>
    <w:lvl w:ilvl="0" w:tentative="0">
      <w:start w:val="1"/>
      <w:numFmt w:val="upperLetter"/>
      <w:suff w:val="nothing"/>
      <w:lvlText w:val="%1、"/>
      <w:lvlJc w:val="left"/>
    </w:lvl>
  </w:abstractNum>
  <w:abstractNum w:abstractNumId="6">
    <w:nsid w:val="BFA00C76"/>
    <w:multiLevelType w:val="multilevel"/>
    <w:tmpl w:val="BFA00C76"/>
    <w:lvl w:ilvl="0" w:tentative="0">
      <w:start w:val="1"/>
      <w:numFmt w:val="decimal"/>
      <w:suff w:val="nothing"/>
      <w:lvlText w:val="（%1）"/>
      <w:lvlJc w:val="left"/>
    </w:lvl>
    <w:lvl w:ilvl="1" w:tentative="0">
      <w:start w:val="1"/>
      <w:numFmt w:val="decimal"/>
      <w:lvlText w:val=""/>
      <w:lvlJc w:val="left"/>
    </w:lvl>
    <w:lvl w:ilvl="2" w:tentative="0">
      <w:start w:val="1"/>
      <w:numFmt w:val="decimal"/>
      <w:lvlText w:val=""/>
      <w:lvlJc w:val="left"/>
    </w:lvl>
    <w:lvl w:ilvl="3" w:tentative="0">
      <w:start w:val="1"/>
      <w:numFmt w:val="decimal"/>
      <w:lvlText w:val=""/>
      <w:lvlJc w:val="left"/>
    </w:lvl>
    <w:lvl w:ilvl="4" w:tentative="0">
      <w:start w:val="1"/>
      <w:numFmt w:val="decimal"/>
      <w:lvlText w:val=""/>
      <w:lvlJc w:val="left"/>
    </w:lvl>
    <w:lvl w:ilvl="5" w:tentative="0">
      <w:start w:val="1"/>
      <w:numFmt w:val="decimal"/>
      <w:lvlText w:val=""/>
      <w:lvlJc w:val="left"/>
    </w:lvl>
    <w:lvl w:ilvl="6" w:tentative="0">
      <w:start w:val="1"/>
      <w:numFmt w:val="decimal"/>
      <w:lvlText w:val=""/>
      <w:lvlJc w:val="left"/>
    </w:lvl>
    <w:lvl w:ilvl="7" w:tentative="0">
      <w:start w:val="1"/>
      <w:numFmt w:val="decimal"/>
      <w:lvlText w:val=""/>
      <w:lvlJc w:val="left"/>
    </w:lvl>
    <w:lvl w:ilvl="8" w:tentative="0">
      <w:start w:val="1"/>
      <w:numFmt w:val="decimal"/>
      <w:lvlText w:val=""/>
      <w:lvlJc w:val="left"/>
    </w:lvl>
  </w:abstractNum>
  <w:abstractNum w:abstractNumId="7">
    <w:nsid w:val="D4A1F4B2"/>
    <w:multiLevelType w:val="multilevel"/>
    <w:tmpl w:val="D4A1F4B2"/>
    <w:lvl w:ilvl="0" w:tentative="0">
      <w:start w:val="1"/>
      <w:numFmt w:val="decimal"/>
      <w:suff w:val="nothing"/>
      <w:lvlText w:val="（%1）"/>
      <w:lvlJc w:val="left"/>
    </w:lvl>
    <w:lvl w:ilvl="1" w:tentative="0">
      <w:start w:val="1"/>
      <w:numFmt w:val="decimal"/>
      <w:lvlText w:val=""/>
      <w:lvlJc w:val="left"/>
    </w:lvl>
    <w:lvl w:ilvl="2" w:tentative="0">
      <w:start w:val="1"/>
      <w:numFmt w:val="decimal"/>
      <w:lvlText w:val=""/>
      <w:lvlJc w:val="left"/>
    </w:lvl>
    <w:lvl w:ilvl="3" w:tentative="0">
      <w:start w:val="1"/>
      <w:numFmt w:val="decimal"/>
      <w:lvlText w:val=""/>
      <w:lvlJc w:val="left"/>
    </w:lvl>
    <w:lvl w:ilvl="4" w:tentative="0">
      <w:start w:val="1"/>
      <w:numFmt w:val="decimal"/>
      <w:lvlText w:val=""/>
      <w:lvlJc w:val="left"/>
    </w:lvl>
    <w:lvl w:ilvl="5" w:tentative="0">
      <w:start w:val="1"/>
      <w:numFmt w:val="decimal"/>
      <w:lvlText w:val=""/>
      <w:lvlJc w:val="left"/>
    </w:lvl>
    <w:lvl w:ilvl="6" w:tentative="0">
      <w:start w:val="1"/>
      <w:numFmt w:val="decimal"/>
      <w:lvlText w:val=""/>
      <w:lvlJc w:val="left"/>
    </w:lvl>
    <w:lvl w:ilvl="7" w:tentative="0">
      <w:start w:val="1"/>
      <w:numFmt w:val="decimal"/>
      <w:lvlText w:val=""/>
      <w:lvlJc w:val="left"/>
    </w:lvl>
    <w:lvl w:ilvl="8" w:tentative="0">
      <w:start w:val="1"/>
      <w:numFmt w:val="decimal"/>
      <w:lvlText w:val=""/>
      <w:lvlJc w:val="left"/>
    </w:lvl>
  </w:abstractNum>
  <w:abstractNum w:abstractNumId="8">
    <w:nsid w:val="D9849A1B"/>
    <w:multiLevelType w:val="multilevel"/>
    <w:tmpl w:val="D9849A1B"/>
    <w:lvl w:ilvl="0" w:tentative="0">
      <w:start w:val="1"/>
      <w:numFmt w:val="decimal"/>
      <w:suff w:val="nothing"/>
      <w:lvlText w:val="%1"/>
      <w:lvlJc w:val="left"/>
      <w:pPr>
        <w:ind w:left="567" w:hanging="567"/>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FB084857"/>
    <w:multiLevelType w:val="multilevel"/>
    <w:tmpl w:val="FB084857"/>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0">
    <w:nsid w:val="0747BE26"/>
    <w:multiLevelType w:val="singleLevel"/>
    <w:tmpl w:val="0747BE26"/>
    <w:lvl w:ilvl="0" w:tentative="0">
      <w:start w:val="19"/>
      <w:numFmt w:val="chineseCounting"/>
      <w:suff w:val="nothing"/>
      <w:lvlText w:val="第%1条　"/>
      <w:lvlJc w:val="left"/>
      <w:rPr>
        <w:rFonts w:hint="eastAsia"/>
      </w:rPr>
    </w:lvl>
  </w:abstractNum>
  <w:abstractNum w:abstractNumId="11">
    <w:nsid w:val="0C4B3862"/>
    <w:multiLevelType w:val="singleLevel"/>
    <w:tmpl w:val="0C4B3862"/>
    <w:lvl w:ilvl="0" w:tentative="0">
      <w:start w:val="3"/>
      <w:numFmt w:val="decimal"/>
      <w:suff w:val="nothing"/>
      <w:lvlText w:val="（%1）"/>
      <w:lvlJc w:val="left"/>
    </w:lvl>
  </w:abstractNum>
  <w:abstractNum w:abstractNumId="12">
    <w:nsid w:val="128A5A59"/>
    <w:multiLevelType w:val="multilevel"/>
    <w:tmpl w:val="128A5A59"/>
    <w:lvl w:ilvl="0" w:tentative="0">
      <w:start w:val="1"/>
      <w:numFmt w:val="decimal"/>
      <w:suff w:val="nothing"/>
      <w:lvlText w:val="（%1）"/>
      <w:lvlJc w:val="left"/>
      <w:pPr>
        <w:ind w:left="0" w:firstLine="0"/>
      </w:pPr>
      <w:rPr>
        <w:rFonts w:hint="default"/>
        <w:b w:val="0"/>
        <w:color w:val="auto"/>
        <w:lang w:val="en-US"/>
      </w:rPr>
    </w:lvl>
    <w:lvl w:ilvl="1" w:tentative="0">
      <w:start w:val="1"/>
      <w:numFmt w:val="lowerLetter"/>
      <w:lvlText w:val="%2)"/>
      <w:lvlJc w:val="left"/>
      <w:pPr>
        <w:ind w:left="1360" w:hanging="420"/>
      </w:pPr>
    </w:lvl>
    <w:lvl w:ilvl="2" w:tentative="0">
      <w:start w:val="1"/>
      <w:numFmt w:val="lowerRoman"/>
      <w:lvlText w:val="%3."/>
      <w:lvlJc w:val="right"/>
      <w:pPr>
        <w:ind w:left="1780" w:hanging="420"/>
      </w:pPr>
    </w:lvl>
    <w:lvl w:ilvl="3" w:tentative="0">
      <w:start w:val="1"/>
      <w:numFmt w:val="decimal"/>
      <w:lvlText w:val="%4."/>
      <w:lvlJc w:val="left"/>
      <w:pPr>
        <w:ind w:left="2200" w:hanging="420"/>
      </w:pPr>
    </w:lvl>
    <w:lvl w:ilvl="4" w:tentative="0">
      <w:start w:val="1"/>
      <w:numFmt w:val="lowerLetter"/>
      <w:lvlText w:val="%5)"/>
      <w:lvlJc w:val="left"/>
      <w:pPr>
        <w:ind w:left="2620" w:hanging="420"/>
      </w:pPr>
    </w:lvl>
    <w:lvl w:ilvl="5" w:tentative="0">
      <w:start w:val="1"/>
      <w:numFmt w:val="lowerRoman"/>
      <w:lvlText w:val="%6."/>
      <w:lvlJc w:val="right"/>
      <w:pPr>
        <w:ind w:left="3040" w:hanging="420"/>
      </w:pPr>
    </w:lvl>
    <w:lvl w:ilvl="6" w:tentative="0">
      <w:start w:val="1"/>
      <w:numFmt w:val="decimal"/>
      <w:lvlText w:val="%7."/>
      <w:lvlJc w:val="left"/>
      <w:pPr>
        <w:ind w:left="3460" w:hanging="420"/>
      </w:pPr>
    </w:lvl>
    <w:lvl w:ilvl="7" w:tentative="0">
      <w:start w:val="1"/>
      <w:numFmt w:val="lowerLetter"/>
      <w:lvlText w:val="%8)"/>
      <w:lvlJc w:val="left"/>
      <w:pPr>
        <w:ind w:left="3880" w:hanging="420"/>
      </w:pPr>
    </w:lvl>
    <w:lvl w:ilvl="8" w:tentative="0">
      <w:start w:val="1"/>
      <w:numFmt w:val="lowerRoman"/>
      <w:lvlText w:val="%9."/>
      <w:lvlJc w:val="right"/>
      <w:pPr>
        <w:ind w:left="4300" w:hanging="420"/>
      </w:pPr>
    </w:lvl>
  </w:abstractNum>
  <w:abstractNum w:abstractNumId="13">
    <w:nsid w:val="229C6CA8"/>
    <w:multiLevelType w:val="multilevel"/>
    <w:tmpl w:val="229C6CA8"/>
    <w:lvl w:ilvl="0" w:tentative="0">
      <w:start w:val="1"/>
      <w:numFmt w:val="decimal"/>
      <w:suff w:val="nothing"/>
      <w:lvlText w:val="（%1）"/>
      <w:lvlJc w:val="left"/>
      <w:pPr>
        <w:ind w:left="1838" w:hanging="420"/>
      </w:pPr>
      <w:rPr>
        <w:rFonts w:hint="default"/>
        <w:b w:val="0"/>
        <w:color w:val="auto"/>
      </w:rPr>
    </w:lvl>
    <w:lvl w:ilvl="1" w:tentative="0">
      <w:start w:val="4"/>
      <w:numFmt w:val="decimalEnclosedCircle"/>
      <w:lvlText w:val="%2、"/>
      <w:lvlJc w:val="left"/>
      <w:pPr>
        <w:ind w:left="876" w:hanging="456"/>
      </w:pPr>
      <w:rPr>
        <w:rFonts w:hint="default"/>
        <w:sz w:val="21"/>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29572AE1"/>
    <w:multiLevelType w:val="multilevel"/>
    <w:tmpl w:val="29572AE1"/>
    <w:lvl w:ilvl="0" w:tentative="0">
      <w:start w:val="1"/>
      <w:numFmt w:val="decimal"/>
      <w:suff w:val="space"/>
      <w:lvlText w:val="%1"/>
      <w:lvlJc w:val="center"/>
      <w:pPr>
        <w:ind w:left="0" w:firstLine="0"/>
      </w:pPr>
      <w:rPr>
        <w:rFonts w:hint="eastAsia" w:ascii="Times New Roman" w:hAnsi="Times New Roman" w:eastAsia="宋体"/>
        <w:b/>
        <w:i w:val="0"/>
        <w:sz w:val="32"/>
      </w:rPr>
    </w:lvl>
    <w:lvl w:ilvl="1" w:tentative="0">
      <w:start w:val="1"/>
      <w:numFmt w:val="decimal"/>
      <w:suff w:val="space"/>
      <w:lvlText w:val="%1.%2"/>
      <w:lvlJc w:val="left"/>
      <w:pPr>
        <w:ind w:left="400" w:hanging="400"/>
      </w:pPr>
      <w:rPr>
        <w:rFonts w:hint="default" w:ascii="Times New Roman" w:hAnsi="Times New Roman" w:eastAsia="宋体" w:cs="Times New Roman"/>
        <w:b/>
        <w:i w:val="0"/>
        <w:sz w:val="26"/>
      </w:rPr>
    </w:lvl>
    <w:lvl w:ilvl="2" w:tentative="0">
      <w:start w:val="1"/>
      <w:numFmt w:val="decimal"/>
      <w:suff w:val="space"/>
      <w:lvlText w:val="%1.%2.%3"/>
      <w:lvlJc w:val="left"/>
      <w:pPr>
        <w:ind w:left="420" w:hanging="420"/>
      </w:pPr>
      <w:rPr>
        <w:rFonts w:hint="default" w:ascii="Times New Roman" w:hAnsi="Times New Roman" w:eastAsia="宋体" w:cs="Times New Roman"/>
        <w:b/>
        <w:i w:val="0"/>
        <w:sz w:val="26"/>
      </w:rPr>
    </w:lvl>
    <w:lvl w:ilvl="3" w:tentative="0">
      <w:start w:val="1"/>
      <w:numFmt w:val="decimal"/>
      <w:suff w:val="space"/>
      <w:lvlText w:val="%1.%2.%3.%4"/>
      <w:lvlJc w:val="left"/>
      <w:pPr>
        <w:ind w:left="420" w:hanging="420"/>
      </w:pPr>
      <w:rPr>
        <w:rFonts w:hint="default" w:ascii="Times New Roman" w:hAnsi="Times New Roman" w:eastAsia="宋体" w:cs="Times New Roman"/>
        <w:b/>
        <w:i w:val="0"/>
        <w:sz w:val="26"/>
      </w:rPr>
    </w:lvl>
    <w:lvl w:ilvl="4" w:tentative="0">
      <w:start w:val="1"/>
      <w:numFmt w:val="decimal"/>
      <w:lvlRestart w:val="2"/>
      <w:pStyle w:val="217"/>
      <w:suff w:val="space"/>
      <w:lvlText w:val="表%1.%2-%5"/>
      <w:lvlJc w:val="center"/>
      <w:pPr>
        <w:ind w:left="0" w:firstLine="0"/>
      </w:pPr>
      <w:rPr>
        <w:rFonts w:hint="default" w:ascii="Times New Roman" w:hAnsi="Times New Roman" w:eastAsia="宋体" w:cs="Times New Roman"/>
        <w:b/>
        <w:i w:val="0"/>
        <w:sz w:val="26"/>
      </w:rPr>
    </w:lvl>
    <w:lvl w:ilvl="5" w:tentative="0">
      <w:start w:val="1"/>
      <w:numFmt w:val="decimal"/>
      <w:lvlRestart w:val="2"/>
      <w:suff w:val="space"/>
      <w:lvlText w:val="图%1.%2-%6  "/>
      <w:lvlJc w:val="center"/>
      <w:pPr>
        <w:ind w:left="0" w:firstLine="0"/>
      </w:pPr>
      <w:rPr>
        <w:rFonts w:hint="default" w:ascii="Times" w:hAnsi="Times" w:eastAsia="宋体" w:cs="Times New Roman"/>
        <w:b/>
        <w:i w:val="0"/>
        <w:sz w:val="26"/>
      </w:r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5">
    <w:nsid w:val="2D803EBE"/>
    <w:multiLevelType w:val="multilevel"/>
    <w:tmpl w:val="2D803EBE"/>
    <w:lvl w:ilvl="0" w:tentative="0">
      <w:start w:val="1"/>
      <w:numFmt w:val="decimal"/>
      <w:suff w:val="nothing"/>
      <w:lvlText w:val="（%1）"/>
      <w:lvlJc w:val="left"/>
      <w:pPr>
        <w:ind w:left="1271" w:hanging="420"/>
      </w:pPr>
      <w:rPr>
        <w:rFonts w:hint="default"/>
        <w:b w:val="0"/>
        <w:color w:val="auto"/>
      </w:rPr>
    </w:lvl>
    <w:lvl w:ilvl="1" w:tentative="0">
      <w:start w:val="1"/>
      <w:numFmt w:val="lowerLetter"/>
      <w:lvlText w:val="%2)"/>
      <w:lvlJc w:val="left"/>
      <w:pPr>
        <w:ind w:left="1360" w:hanging="420"/>
      </w:pPr>
    </w:lvl>
    <w:lvl w:ilvl="2" w:tentative="0">
      <w:start w:val="1"/>
      <w:numFmt w:val="lowerRoman"/>
      <w:lvlText w:val="%3."/>
      <w:lvlJc w:val="right"/>
      <w:pPr>
        <w:ind w:left="1780" w:hanging="420"/>
      </w:pPr>
    </w:lvl>
    <w:lvl w:ilvl="3" w:tentative="0">
      <w:start w:val="1"/>
      <w:numFmt w:val="decimal"/>
      <w:lvlText w:val="%4."/>
      <w:lvlJc w:val="left"/>
      <w:pPr>
        <w:ind w:left="2200" w:hanging="420"/>
      </w:pPr>
    </w:lvl>
    <w:lvl w:ilvl="4" w:tentative="0">
      <w:start w:val="1"/>
      <w:numFmt w:val="lowerLetter"/>
      <w:lvlText w:val="%5)"/>
      <w:lvlJc w:val="left"/>
      <w:pPr>
        <w:ind w:left="2620" w:hanging="420"/>
      </w:pPr>
    </w:lvl>
    <w:lvl w:ilvl="5" w:tentative="0">
      <w:start w:val="1"/>
      <w:numFmt w:val="lowerRoman"/>
      <w:lvlText w:val="%6."/>
      <w:lvlJc w:val="right"/>
      <w:pPr>
        <w:ind w:left="3040" w:hanging="420"/>
      </w:pPr>
    </w:lvl>
    <w:lvl w:ilvl="6" w:tentative="0">
      <w:start w:val="1"/>
      <w:numFmt w:val="decimal"/>
      <w:lvlText w:val="%7."/>
      <w:lvlJc w:val="left"/>
      <w:pPr>
        <w:ind w:left="3460" w:hanging="420"/>
      </w:pPr>
    </w:lvl>
    <w:lvl w:ilvl="7" w:tentative="0">
      <w:start w:val="1"/>
      <w:numFmt w:val="lowerLetter"/>
      <w:lvlText w:val="%8)"/>
      <w:lvlJc w:val="left"/>
      <w:pPr>
        <w:ind w:left="3880" w:hanging="420"/>
      </w:pPr>
    </w:lvl>
    <w:lvl w:ilvl="8" w:tentative="0">
      <w:start w:val="1"/>
      <w:numFmt w:val="lowerRoman"/>
      <w:lvlText w:val="%9."/>
      <w:lvlJc w:val="right"/>
      <w:pPr>
        <w:ind w:left="4300" w:hanging="420"/>
      </w:pPr>
    </w:lvl>
  </w:abstractNum>
  <w:abstractNum w:abstractNumId="16">
    <w:nsid w:val="2E715064"/>
    <w:multiLevelType w:val="singleLevel"/>
    <w:tmpl w:val="2E715064"/>
    <w:lvl w:ilvl="0" w:tentative="0">
      <w:start w:val="3"/>
      <w:numFmt w:val="chineseCounting"/>
      <w:suff w:val="nothing"/>
      <w:lvlText w:val="%1、"/>
      <w:lvlJc w:val="left"/>
      <w:rPr>
        <w:rFonts w:hint="eastAsia"/>
      </w:rPr>
    </w:lvl>
  </w:abstractNum>
  <w:abstractNum w:abstractNumId="17">
    <w:nsid w:val="37FDAA58"/>
    <w:multiLevelType w:val="multilevel"/>
    <w:tmpl w:val="37FDAA58"/>
    <w:lvl w:ilvl="0" w:tentative="0">
      <w:start w:val="1"/>
      <w:numFmt w:val="decimal"/>
      <w:suff w:val="nothing"/>
      <w:lvlText w:val="（%1）"/>
      <w:lvlJc w:val="left"/>
    </w:lvl>
    <w:lvl w:ilvl="1" w:tentative="0">
      <w:start w:val="1"/>
      <w:numFmt w:val="decimal"/>
      <w:lvlText w:val=""/>
      <w:lvlJc w:val="left"/>
    </w:lvl>
    <w:lvl w:ilvl="2" w:tentative="0">
      <w:start w:val="1"/>
      <w:numFmt w:val="decimal"/>
      <w:lvlText w:val=""/>
      <w:lvlJc w:val="left"/>
    </w:lvl>
    <w:lvl w:ilvl="3" w:tentative="0">
      <w:start w:val="1"/>
      <w:numFmt w:val="decimal"/>
      <w:lvlText w:val=""/>
      <w:lvlJc w:val="left"/>
    </w:lvl>
    <w:lvl w:ilvl="4" w:tentative="0">
      <w:start w:val="1"/>
      <w:numFmt w:val="decimal"/>
      <w:lvlText w:val=""/>
      <w:lvlJc w:val="left"/>
    </w:lvl>
    <w:lvl w:ilvl="5" w:tentative="0">
      <w:start w:val="1"/>
      <w:numFmt w:val="decimal"/>
      <w:lvlText w:val=""/>
      <w:lvlJc w:val="left"/>
    </w:lvl>
    <w:lvl w:ilvl="6" w:tentative="0">
      <w:start w:val="1"/>
      <w:numFmt w:val="decimal"/>
      <w:lvlText w:val=""/>
      <w:lvlJc w:val="left"/>
    </w:lvl>
    <w:lvl w:ilvl="7" w:tentative="0">
      <w:start w:val="1"/>
      <w:numFmt w:val="decimal"/>
      <w:lvlText w:val=""/>
      <w:lvlJc w:val="left"/>
    </w:lvl>
    <w:lvl w:ilvl="8" w:tentative="0">
      <w:start w:val="1"/>
      <w:numFmt w:val="decimal"/>
      <w:lvlText w:val=""/>
      <w:lvlJc w:val="left"/>
    </w:lvl>
  </w:abstractNum>
  <w:abstractNum w:abstractNumId="18">
    <w:nsid w:val="38C67B43"/>
    <w:multiLevelType w:val="singleLevel"/>
    <w:tmpl w:val="38C67B43"/>
    <w:lvl w:ilvl="0" w:tentative="0">
      <w:start w:val="1"/>
      <w:numFmt w:val="decimal"/>
      <w:suff w:val="nothing"/>
      <w:lvlText w:val="%1"/>
      <w:lvlJc w:val="left"/>
      <w:pPr>
        <w:tabs>
          <w:tab w:val="left" w:pos="0"/>
        </w:tabs>
        <w:ind w:left="0" w:leftChars="0" w:firstLine="0" w:firstLineChars="0"/>
      </w:pPr>
      <w:rPr>
        <w:rFonts w:hint="default" w:ascii="宋体" w:hAnsi="宋体" w:eastAsia="宋体" w:cs="Times New Roman"/>
        <w:szCs w:val="22"/>
      </w:rPr>
    </w:lvl>
  </w:abstractNum>
  <w:abstractNum w:abstractNumId="19">
    <w:nsid w:val="3B1DC1BC"/>
    <w:multiLevelType w:val="multilevel"/>
    <w:tmpl w:val="3B1DC1BC"/>
    <w:lvl w:ilvl="0" w:tentative="0">
      <w:start w:val="1"/>
      <w:numFmt w:val="decimal"/>
      <w:suff w:val="nothing"/>
      <w:lvlText w:val="%1"/>
      <w:lvlJc w:val="left"/>
      <w:pPr>
        <w:ind w:left="0" w:leftChars="0" w:firstLine="0" w:firstLineChars="0"/>
      </w:pPr>
      <w:rPr>
        <w:rFonts w:hint="default" w:ascii="Times New Roman" w:hAnsi="Times New Roman" w:eastAsia="宋体"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20">
    <w:nsid w:val="3E877D67"/>
    <w:multiLevelType w:val="multilevel"/>
    <w:tmpl w:val="3E877D67"/>
    <w:lvl w:ilvl="0" w:tentative="0">
      <w:start w:val="2"/>
      <w:numFmt w:val="upperLetter"/>
      <w:lvlText w:val="%1."/>
      <w:lvlJc w:val="left"/>
      <w:pPr>
        <w:tabs>
          <w:tab w:val="left" w:pos="312"/>
        </w:tabs>
      </w:pPr>
      <w:rPr>
        <w:rFonts w:hint="default"/>
        <w:u w:val="none" w:color="auto"/>
      </w:rPr>
    </w:lvl>
    <w:lvl w:ilvl="1" w:tentative="0">
      <w:start w:val="1"/>
      <w:numFmt w:val="decimal"/>
      <w:lvlText w:val=""/>
      <w:lvlJc w:val="left"/>
    </w:lvl>
    <w:lvl w:ilvl="2" w:tentative="0">
      <w:start w:val="1"/>
      <w:numFmt w:val="decimal"/>
      <w:lvlText w:val=""/>
      <w:lvlJc w:val="left"/>
    </w:lvl>
    <w:lvl w:ilvl="3" w:tentative="0">
      <w:start w:val="1"/>
      <w:numFmt w:val="decimal"/>
      <w:lvlText w:val=""/>
      <w:lvlJc w:val="left"/>
    </w:lvl>
    <w:lvl w:ilvl="4" w:tentative="0">
      <w:start w:val="1"/>
      <w:numFmt w:val="decimal"/>
      <w:lvlText w:val=""/>
      <w:lvlJc w:val="left"/>
    </w:lvl>
    <w:lvl w:ilvl="5" w:tentative="0">
      <w:start w:val="1"/>
      <w:numFmt w:val="decimal"/>
      <w:lvlText w:val=""/>
      <w:lvlJc w:val="left"/>
    </w:lvl>
    <w:lvl w:ilvl="6" w:tentative="0">
      <w:start w:val="1"/>
      <w:numFmt w:val="decimal"/>
      <w:lvlText w:val=""/>
      <w:lvlJc w:val="left"/>
    </w:lvl>
    <w:lvl w:ilvl="7" w:tentative="0">
      <w:start w:val="1"/>
      <w:numFmt w:val="decimal"/>
      <w:lvlText w:val=""/>
      <w:lvlJc w:val="left"/>
    </w:lvl>
    <w:lvl w:ilvl="8" w:tentative="0">
      <w:start w:val="1"/>
      <w:numFmt w:val="decimal"/>
      <w:lvlText w:val=""/>
      <w:lvlJc w:val="left"/>
    </w:lvl>
  </w:abstractNum>
  <w:abstractNum w:abstractNumId="21">
    <w:nsid w:val="3F98DA14"/>
    <w:multiLevelType w:val="multilevel"/>
    <w:tmpl w:val="3F98DA14"/>
    <w:lvl w:ilvl="0" w:tentative="0">
      <w:start w:val="11"/>
      <w:numFmt w:val="upperLetter"/>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2">
    <w:nsid w:val="3FD472EF"/>
    <w:multiLevelType w:val="singleLevel"/>
    <w:tmpl w:val="3FD472EF"/>
    <w:lvl w:ilvl="0" w:tentative="0">
      <w:start w:val="1"/>
      <w:numFmt w:val="decimal"/>
      <w:suff w:val="nothing"/>
      <w:lvlText w:val="%1"/>
      <w:lvlJc w:val="left"/>
      <w:pPr>
        <w:ind w:left="0" w:leftChars="0" w:firstLine="0" w:firstLineChars="0"/>
      </w:pPr>
      <w:rPr>
        <w:rFonts w:hint="default"/>
      </w:rPr>
    </w:lvl>
  </w:abstractNum>
  <w:abstractNum w:abstractNumId="23">
    <w:nsid w:val="5584C0E2"/>
    <w:multiLevelType w:val="singleLevel"/>
    <w:tmpl w:val="5584C0E2"/>
    <w:lvl w:ilvl="0" w:tentative="0">
      <w:start w:val="1"/>
      <w:numFmt w:val="decimal"/>
      <w:suff w:val="nothing"/>
      <w:lvlText w:val="%1．"/>
      <w:lvlJc w:val="left"/>
      <w:pPr>
        <w:ind w:left="0" w:firstLine="400"/>
      </w:pPr>
      <w:rPr>
        <w:rFonts w:hint="default"/>
      </w:rPr>
    </w:lvl>
  </w:abstractNum>
  <w:abstractNum w:abstractNumId="24">
    <w:nsid w:val="5B542BA9"/>
    <w:multiLevelType w:val="singleLevel"/>
    <w:tmpl w:val="5B542BA9"/>
    <w:lvl w:ilvl="0" w:tentative="0">
      <w:start w:val="1"/>
      <w:numFmt w:val="decimal"/>
      <w:suff w:val="nothing"/>
      <w:lvlText w:val="%1"/>
      <w:lvlJc w:val="left"/>
      <w:pPr>
        <w:ind w:left="0" w:leftChars="0" w:firstLine="0" w:firstLineChars="0"/>
      </w:pPr>
      <w:rPr>
        <w:rFonts w:hint="default"/>
      </w:rPr>
    </w:lvl>
  </w:abstractNum>
  <w:abstractNum w:abstractNumId="25">
    <w:nsid w:val="633C48D1"/>
    <w:multiLevelType w:val="multilevel"/>
    <w:tmpl w:val="633C48D1"/>
    <w:lvl w:ilvl="0" w:tentative="0">
      <w:start w:val="1"/>
      <w:numFmt w:val="decimal"/>
      <w:suff w:val="nothing"/>
      <w:lvlText w:val="（%1）"/>
      <w:lvlJc w:val="left"/>
      <w:pPr>
        <w:ind w:left="0" w:firstLine="0"/>
      </w:pPr>
      <w:rPr>
        <w:rFonts w:hint="default"/>
        <w:b w:val="0"/>
        <w:color w:val="auto"/>
      </w:rPr>
    </w:lvl>
    <w:lvl w:ilvl="1" w:tentative="0">
      <w:start w:val="1"/>
      <w:numFmt w:val="lowerLetter"/>
      <w:lvlText w:val="%2)"/>
      <w:lvlJc w:val="left"/>
      <w:pPr>
        <w:ind w:left="1360" w:hanging="420"/>
      </w:pPr>
    </w:lvl>
    <w:lvl w:ilvl="2" w:tentative="0">
      <w:start w:val="1"/>
      <w:numFmt w:val="lowerRoman"/>
      <w:lvlText w:val="%3."/>
      <w:lvlJc w:val="right"/>
      <w:pPr>
        <w:ind w:left="1780" w:hanging="420"/>
      </w:pPr>
    </w:lvl>
    <w:lvl w:ilvl="3" w:tentative="0">
      <w:start w:val="1"/>
      <w:numFmt w:val="decimal"/>
      <w:lvlText w:val="%4."/>
      <w:lvlJc w:val="left"/>
      <w:pPr>
        <w:ind w:left="2200" w:hanging="420"/>
      </w:pPr>
    </w:lvl>
    <w:lvl w:ilvl="4" w:tentative="0">
      <w:start w:val="1"/>
      <w:numFmt w:val="lowerLetter"/>
      <w:lvlText w:val="%5)"/>
      <w:lvlJc w:val="left"/>
      <w:pPr>
        <w:ind w:left="2620" w:hanging="420"/>
      </w:pPr>
    </w:lvl>
    <w:lvl w:ilvl="5" w:tentative="0">
      <w:start w:val="1"/>
      <w:numFmt w:val="lowerRoman"/>
      <w:lvlText w:val="%6."/>
      <w:lvlJc w:val="right"/>
      <w:pPr>
        <w:ind w:left="3040" w:hanging="420"/>
      </w:pPr>
    </w:lvl>
    <w:lvl w:ilvl="6" w:tentative="0">
      <w:start w:val="1"/>
      <w:numFmt w:val="decimal"/>
      <w:lvlText w:val="%7."/>
      <w:lvlJc w:val="left"/>
      <w:pPr>
        <w:ind w:left="3460" w:hanging="420"/>
      </w:pPr>
    </w:lvl>
    <w:lvl w:ilvl="7" w:tentative="0">
      <w:start w:val="1"/>
      <w:numFmt w:val="lowerLetter"/>
      <w:lvlText w:val="%8)"/>
      <w:lvlJc w:val="left"/>
      <w:pPr>
        <w:ind w:left="3880" w:hanging="420"/>
      </w:pPr>
    </w:lvl>
    <w:lvl w:ilvl="8" w:tentative="0">
      <w:start w:val="1"/>
      <w:numFmt w:val="lowerRoman"/>
      <w:lvlText w:val="%9."/>
      <w:lvlJc w:val="right"/>
      <w:pPr>
        <w:ind w:left="4300" w:hanging="420"/>
      </w:pPr>
    </w:lvl>
  </w:abstractNum>
  <w:abstractNum w:abstractNumId="26">
    <w:nsid w:val="63C37745"/>
    <w:multiLevelType w:val="multilevel"/>
    <w:tmpl w:val="63C37745"/>
    <w:lvl w:ilvl="0" w:tentative="0">
      <w:start w:val="1"/>
      <w:numFmt w:val="decimal"/>
      <w:suff w:val="nothing"/>
      <w:lvlText w:val="（%1）"/>
      <w:lvlJc w:val="left"/>
      <w:pPr>
        <w:ind w:left="940" w:hanging="420"/>
      </w:pPr>
      <w:rPr>
        <w:rFonts w:hint="default"/>
        <w:b w:val="0"/>
        <w:color w:val="auto"/>
      </w:rPr>
    </w:lvl>
    <w:lvl w:ilvl="1" w:tentative="0">
      <w:start w:val="1"/>
      <w:numFmt w:val="lowerLetter"/>
      <w:lvlText w:val="%2)"/>
      <w:lvlJc w:val="left"/>
      <w:pPr>
        <w:ind w:left="1360" w:hanging="420"/>
      </w:pPr>
    </w:lvl>
    <w:lvl w:ilvl="2" w:tentative="0">
      <w:start w:val="1"/>
      <w:numFmt w:val="lowerRoman"/>
      <w:lvlText w:val="%3."/>
      <w:lvlJc w:val="right"/>
      <w:pPr>
        <w:ind w:left="1780" w:hanging="420"/>
      </w:pPr>
    </w:lvl>
    <w:lvl w:ilvl="3" w:tentative="0">
      <w:start w:val="1"/>
      <w:numFmt w:val="decimal"/>
      <w:lvlText w:val="%4."/>
      <w:lvlJc w:val="left"/>
      <w:pPr>
        <w:ind w:left="2200" w:hanging="420"/>
      </w:pPr>
    </w:lvl>
    <w:lvl w:ilvl="4" w:tentative="0">
      <w:start w:val="1"/>
      <w:numFmt w:val="lowerLetter"/>
      <w:lvlText w:val="%5)"/>
      <w:lvlJc w:val="left"/>
      <w:pPr>
        <w:ind w:left="2620" w:hanging="420"/>
      </w:pPr>
    </w:lvl>
    <w:lvl w:ilvl="5" w:tentative="0">
      <w:start w:val="1"/>
      <w:numFmt w:val="lowerRoman"/>
      <w:lvlText w:val="%6."/>
      <w:lvlJc w:val="right"/>
      <w:pPr>
        <w:ind w:left="3040" w:hanging="420"/>
      </w:pPr>
    </w:lvl>
    <w:lvl w:ilvl="6" w:tentative="0">
      <w:start w:val="1"/>
      <w:numFmt w:val="decimal"/>
      <w:lvlText w:val="%7."/>
      <w:lvlJc w:val="left"/>
      <w:pPr>
        <w:ind w:left="3460" w:hanging="420"/>
      </w:pPr>
    </w:lvl>
    <w:lvl w:ilvl="7" w:tentative="0">
      <w:start w:val="1"/>
      <w:numFmt w:val="lowerLetter"/>
      <w:lvlText w:val="%8)"/>
      <w:lvlJc w:val="left"/>
      <w:pPr>
        <w:ind w:left="3880" w:hanging="420"/>
      </w:pPr>
    </w:lvl>
    <w:lvl w:ilvl="8" w:tentative="0">
      <w:start w:val="1"/>
      <w:numFmt w:val="lowerRoman"/>
      <w:lvlText w:val="%9."/>
      <w:lvlJc w:val="right"/>
      <w:pPr>
        <w:ind w:left="4300" w:hanging="420"/>
      </w:pPr>
    </w:lvl>
  </w:abstractNum>
  <w:abstractNum w:abstractNumId="27">
    <w:nsid w:val="662F0BEB"/>
    <w:multiLevelType w:val="singleLevel"/>
    <w:tmpl w:val="662F0BEB"/>
    <w:lvl w:ilvl="0" w:tentative="0">
      <w:start w:val="1"/>
      <w:numFmt w:val="decimal"/>
      <w:suff w:val="nothing"/>
      <w:lvlText w:val="%1"/>
      <w:lvlJc w:val="left"/>
      <w:pPr>
        <w:ind w:left="0" w:leftChars="0" w:firstLine="0" w:firstLineChars="0"/>
      </w:pPr>
      <w:rPr>
        <w:rFonts w:hint="default"/>
      </w:rPr>
    </w:lvl>
  </w:abstractNum>
  <w:abstractNum w:abstractNumId="28">
    <w:nsid w:val="66326377"/>
    <w:multiLevelType w:val="multilevel"/>
    <w:tmpl w:val="66326377"/>
    <w:lvl w:ilvl="0" w:tentative="0">
      <w:start w:val="1"/>
      <w:numFmt w:val="decimal"/>
      <w:suff w:val="nothing"/>
      <w:lvlText w:val="（%1）"/>
      <w:lvlJc w:val="left"/>
      <w:pPr>
        <w:ind w:left="1251" w:hanging="400"/>
      </w:pPr>
      <w:rPr>
        <w:rFonts w:hint="default"/>
        <w:b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9">
    <w:nsid w:val="6997F7CB"/>
    <w:multiLevelType w:val="singleLevel"/>
    <w:tmpl w:val="6997F7CB"/>
    <w:lvl w:ilvl="0" w:tentative="0">
      <w:start w:val="2"/>
      <w:numFmt w:val="decimal"/>
      <w:suff w:val="nothing"/>
      <w:lvlText w:val="（%1）"/>
      <w:lvlJc w:val="left"/>
    </w:lvl>
  </w:abstractNum>
  <w:abstractNum w:abstractNumId="30">
    <w:nsid w:val="6A79FFE3"/>
    <w:multiLevelType w:val="singleLevel"/>
    <w:tmpl w:val="6A79FFE3"/>
    <w:lvl w:ilvl="0" w:tentative="0">
      <w:start w:val="1"/>
      <w:numFmt w:val="decimal"/>
      <w:suff w:val="nothing"/>
      <w:lvlText w:val="（%1）"/>
      <w:lvlJc w:val="left"/>
    </w:lvl>
  </w:abstractNum>
  <w:abstractNum w:abstractNumId="31">
    <w:nsid w:val="6E0619A5"/>
    <w:multiLevelType w:val="multilevel"/>
    <w:tmpl w:val="6E0619A5"/>
    <w:lvl w:ilvl="0" w:tentative="0">
      <w:start w:val="1"/>
      <w:numFmt w:val="decimal"/>
      <w:pStyle w:val="3"/>
      <w:suff w:val="space"/>
      <w:lvlText w:val="%1"/>
      <w:lvlJc w:val="left"/>
      <w:pPr>
        <w:ind w:left="5242" w:hanging="432"/>
      </w:pPr>
      <w:rPr>
        <w:rFonts w:hint="eastAsia"/>
        <w:color w:val="auto"/>
      </w:rPr>
    </w:lvl>
    <w:lvl w:ilvl="1" w:tentative="0">
      <w:start w:val="1"/>
      <w:numFmt w:val="decimal"/>
      <w:pStyle w:val="4"/>
      <w:suff w:val="space"/>
      <w:lvlText w:val="%1.%2"/>
      <w:lvlJc w:val="left"/>
      <w:pPr>
        <w:ind w:left="576" w:hanging="576"/>
      </w:pPr>
      <w:rPr>
        <w:rFonts w:hint="default" w:ascii="Times New Roman" w:hAnsi="Times New Roman" w:cs="Times New Roman"/>
      </w:rPr>
    </w:lvl>
    <w:lvl w:ilvl="2" w:tentative="0">
      <w:start w:val="1"/>
      <w:numFmt w:val="decimal"/>
      <w:pStyle w:val="5"/>
      <w:suff w:val="space"/>
      <w:lvlText w:val="%1.%2.%3"/>
      <w:lvlJc w:val="left"/>
      <w:pPr>
        <w:ind w:left="1571" w:hanging="720"/>
      </w:pPr>
      <w:rPr>
        <w:rFonts w:hint="eastAsia"/>
      </w:rPr>
    </w:lvl>
    <w:lvl w:ilvl="3" w:tentative="0">
      <w:start w:val="1"/>
      <w:numFmt w:val="decimal"/>
      <w:pStyle w:val="6"/>
      <w:suff w:val="space"/>
      <w:lvlText w:val="%1.%2.%3.%4"/>
      <w:lvlJc w:val="left"/>
      <w:pPr>
        <w:ind w:left="864" w:hanging="864"/>
      </w:pPr>
      <w:rPr>
        <w:rFonts w:hint="eastAsia"/>
      </w:rPr>
    </w:lvl>
    <w:lvl w:ilvl="4" w:tentative="0">
      <w:start w:val="1"/>
      <w:numFmt w:val="decimal"/>
      <w:pStyle w:val="8"/>
      <w:lvlText w:val="%1.%2.%3.%4.%5"/>
      <w:lvlJc w:val="left"/>
      <w:pPr>
        <w:ind w:left="1008" w:hanging="1008"/>
      </w:pPr>
      <w:rPr>
        <w:rFonts w:hint="eastAsia"/>
      </w:rPr>
    </w:lvl>
    <w:lvl w:ilvl="5" w:tentative="0">
      <w:start w:val="1"/>
      <w:numFmt w:val="decimal"/>
      <w:pStyle w:val="9"/>
      <w:lvlText w:val="%1.%2.%3.%4.%5.%6"/>
      <w:lvlJc w:val="left"/>
      <w:pPr>
        <w:ind w:left="1152" w:hanging="1152"/>
      </w:pPr>
      <w:rPr>
        <w:rFonts w:hint="eastAsia"/>
      </w:rPr>
    </w:lvl>
    <w:lvl w:ilvl="6" w:tentative="0">
      <w:start w:val="1"/>
      <w:numFmt w:val="decimal"/>
      <w:pStyle w:val="10"/>
      <w:lvlText w:val="%1.%2.%3.%4.%5.%6.%7"/>
      <w:lvlJc w:val="left"/>
      <w:pPr>
        <w:ind w:left="1296" w:hanging="1296"/>
      </w:pPr>
      <w:rPr>
        <w:rFonts w:hint="eastAsia"/>
      </w:rPr>
    </w:lvl>
    <w:lvl w:ilvl="7" w:tentative="0">
      <w:start w:val="1"/>
      <w:numFmt w:val="decimal"/>
      <w:pStyle w:val="11"/>
      <w:lvlText w:val="%1.%2.%3.%4.%5.%6.%7.%8"/>
      <w:lvlJc w:val="left"/>
      <w:pPr>
        <w:ind w:left="1440" w:hanging="1440"/>
      </w:pPr>
      <w:rPr>
        <w:rFonts w:hint="eastAsia"/>
      </w:rPr>
    </w:lvl>
    <w:lvl w:ilvl="8" w:tentative="0">
      <w:start w:val="1"/>
      <w:numFmt w:val="decimal"/>
      <w:pStyle w:val="12"/>
      <w:lvlText w:val="%1.%2.%3.%4.%5.%6.%7.%8.%9"/>
      <w:lvlJc w:val="left"/>
      <w:pPr>
        <w:ind w:left="1584" w:hanging="1584"/>
      </w:pPr>
      <w:rPr>
        <w:rFonts w:hint="eastAsia"/>
      </w:rPr>
    </w:lvl>
  </w:abstractNum>
  <w:abstractNum w:abstractNumId="32">
    <w:nsid w:val="7BF5C3F5"/>
    <w:multiLevelType w:val="singleLevel"/>
    <w:tmpl w:val="7BF5C3F5"/>
    <w:lvl w:ilvl="0" w:tentative="0">
      <w:start w:val="1"/>
      <w:numFmt w:val="decimal"/>
      <w:suff w:val="nothing"/>
      <w:lvlText w:val="%1"/>
      <w:lvlJc w:val="left"/>
      <w:pPr>
        <w:ind w:left="0" w:leftChars="0" w:firstLine="0" w:firstLineChars="0"/>
      </w:pPr>
      <w:rPr>
        <w:rFonts w:hint="default"/>
      </w:rPr>
    </w:lvl>
  </w:abstractNum>
  <w:num w:numId="1">
    <w:abstractNumId w:val="31"/>
  </w:num>
  <w:num w:numId="2">
    <w:abstractNumId w:val="14"/>
  </w:num>
  <w:num w:numId="3">
    <w:abstractNumId w:val="28"/>
  </w:num>
  <w:num w:numId="4">
    <w:abstractNumId w:val="25"/>
  </w:num>
  <w:num w:numId="5">
    <w:abstractNumId w:val="13"/>
  </w:num>
  <w:num w:numId="6">
    <w:abstractNumId w:val="12"/>
  </w:num>
  <w:num w:numId="7">
    <w:abstractNumId w:val="26"/>
  </w:num>
  <w:num w:numId="8">
    <w:abstractNumId w:val="15"/>
  </w:num>
  <w:num w:numId="9">
    <w:abstractNumId w:val="18"/>
  </w:num>
  <w:num w:numId="10">
    <w:abstractNumId w:val="16"/>
  </w:num>
  <w:num w:numId="11">
    <w:abstractNumId w:val="10"/>
  </w:num>
  <w:num w:numId="12">
    <w:abstractNumId w:val="8"/>
  </w:num>
  <w:num w:numId="13">
    <w:abstractNumId w:val="29"/>
  </w:num>
  <w:num w:numId="14">
    <w:abstractNumId w:val="17"/>
  </w:num>
  <w:num w:numId="15">
    <w:abstractNumId w:val="20"/>
  </w:num>
  <w:num w:numId="16">
    <w:abstractNumId w:val="27"/>
  </w:num>
  <w:num w:numId="17">
    <w:abstractNumId w:val="3"/>
  </w:num>
  <w:num w:numId="18">
    <w:abstractNumId w:val="32"/>
  </w:num>
  <w:num w:numId="19">
    <w:abstractNumId w:val="22"/>
  </w:num>
  <w:num w:numId="20">
    <w:abstractNumId w:val="4"/>
  </w:num>
  <w:num w:numId="21">
    <w:abstractNumId w:val="2"/>
  </w:num>
  <w:num w:numId="22">
    <w:abstractNumId w:val="24"/>
  </w:num>
  <w:num w:numId="23">
    <w:abstractNumId w:val="1"/>
  </w:num>
  <w:num w:numId="24">
    <w:abstractNumId w:val="0"/>
  </w:num>
  <w:num w:numId="25">
    <w:abstractNumId w:val="23"/>
  </w:num>
  <w:num w:numId="26">
    <w:abstractNumId w:val="30"/>
  </w:num>
  <w:num w:numId="27">
    <w:abstractNumId w:val="6"/>
  </w:num>
  <w:num w:numId="28">
    <w:abstractNumId w:val="19"/>
  </w:num>
  <w:num w:numId="29">
    <w:abstractNumId w:val="21"/>
  </w:num>
  <w:num w:numId="30">
    <w:abstractNumId w:val="9"/>
  </w:num>
  <w:num w:numId="31">
    <w:abstractNumId w:val="11"/>
  </w:num>
  <w:num w:numId="32">
    <w:abstractNumId w:val="5"/>
  </w:num>
  <w:num w:numId="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isplayBackgroundShape w:val="1"/>
  <w:bordersDoNotSurroundHeader w:val="0"/>
  <w:bordersDoNotSurroundFooter w:val="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evenAndOddHeaders w:val="1"/>
  <w:drawingGridHorizontalSpacing w:val="130"/>
  <w:drawingGridVerticalSpacing w:val="177"/>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7CCC"/>
    <w:rsid w:val="00000213"/>
    <w:rsid w:val="000003DB"/>
    <w:rsid w:val="000004F8"/>
    <w:rsid w:val="000006A2"/>
    <w:rsid w:val="00000B6C"/>
    <w:rsid w:val="00000D84"/>
    <w:rsid w:val="00000DE3"/>
    <w:rsid w:val="00000FF1"/>
    <w:rsid w:val="00001021"/>
    <w:rsid w:val="000014B0"/>
    <w:rsid w:val="00001549"/>
    <w:rsid w:val="000016AC"/>
    <w:rsid w:val="0000179F"/>
    <w:rsid w:val="00001881"/>
    <w:rsid w:val="00001A49"/>
    <w:rsid w:val="00002919"/>
    <w:rsid w:val="000029AA"/>
    <w:rsid w:val="000029C4"/>
    <w:rsid w:val="00002AB7"/>
    <w:rsid w:val="00002D08"/>
    <w:rsid w:val="00002F42"/>
    <w:rsid w:val="00002FA4"/>
    <w:rsid w:val="00003155"/>
    <w:rsid w:val="000031A2"/>
    <w:rsid w:val="00003576"/>
    <w:rsid w:val="00003692"/>
    <w:rsid w:val="000037C7"/>
    <w:rsid w:val="00003ECA"/>
    <w:rsid w:val="0000401A"/>
    <w:rsid w:val="000048FF"/>
    <w:rsid w:val="00004943"/>
    <w:rsid w:val="000050D5"/>
    <w:rsid w:val="000050EB"/>
    <w:rsid w:val="000052EB"/>
    <w:rsid w:val="00005408"/>
    <w:rsid w:val="00005502"/>
    <w:rsid w:val="00005B4A"/>
    <w:rsid w:val="00005CA2"/>
    <w:rsid w:val="00005D60"/>
    <w:rsid w:val="00005DFC"/>
    <w:rsid w:val="00005ED0"/>
    <w:rsid w:val="00006461"/>
    <w:rsid w:val="00006A6B"/>
    <w:rsid w:val="00007093"/>
    <w:rsid w:val="00007219"/>
    <w:rsid w:val="0000728D"/>
    <w:rsid w:val="00007386"/>
    <w:rsid w:val="00007CC5"/>
    <w:rsid w:val="0001006C"/>
    <w:rsid w:val="00010289"/>
    <w:rsid w:val="0001049A"/>
    <w:rsid w:val="000105F7"/>
    <w:rsid w:val="0001065D"/>
    <w:rsid w:val="0001095D"/>
    <w:rsid w:val="0001112D"/>
    <w:rsid w:val="000111BD"/>
    <w:rsid w:val="0001131D"/>
    <w:rsid w:val="00011495"/>
    <w:rsid w:val="000115B5"/>
    <w:rsid w:val="00011648"/>
    <w:rsid w:val="0001185D"/>
    <w:rsid w:val="00011945"/>
    <w:rsid w:val="00011999"/>
    <w:rsid w:val="00011A04"/>
    <w:rsid w:val="00011F84"/>
    <w:rsid w:val="000120C4"/>
    <w:rsid w:val="0001223E"/>
    <w:rsid w:val="0001241A"/>
    <w:rsid w:val="00012930"/>
    <w:rsid w:val="00012AE8"/>
    <w:rsid w:val="00012B44"/>
    <w:rsid w:val="00012D40"/>
    <w:rsid w:val="00013035"/>
    <w:rsid w:val="000133A6"/>
    <w:rsid w:val="00013414"/>
    <w:rsid w:val="0001353A"/>
    <w:rsid w:val="00013603"/>
    <w:rsid w:val="000136CF"/>
    <w:rsid w:val="00013984"/>
    <w:rsid w:val="00013FD1"/>
    <w:rsid w:val="000141D4"/>
    <w:rsid w:val="0001432A"/>
    <w:rsid w:val="000147F4"/>
    <w:rsid w:val="0001487D"/>
    <w:rsid w:val="00014BE5"/>
    <w:rsid w:val="00014FE1"/>
    <w:rsid w:val="000150DF"/>
    <w:rsid w:val="00015148"/>
    <w:rsid w:val="00015250"/>
    <w:rsid w:val="00015298"/>
    <w:rsid w:val="000152D3"/>
    <w:rsid w:val="0001547E"/>
    <w:rsid w:val="000155D8"/>
    <w:rsid w:val="000157B8"/>
    <w:rsid w:val="00016197"/>
    <w:rsid w:val="0001654B"/>
    <w:rsid w:val="00016A8D"/>
    <w:rsid w:val="000170D9"/>
    <w:rsid w:val="0001750C"/>
    <w:rsid w:val="000178CD"/>
    <w:rsid w:val="00017951"/>
    <w:rsid w:val="00017A59"/>
    <w:rsid w:val="00017B5E"/>
    <w:rsid w:val="00017EBF"/>
    <w:rsid w:val="00017F94"/>
    <w:rsid w:val="00017FB7"/>
    <w:rsid w:val="00020118"/>
    <w:rsid w:val="0002033C"/>
    <w:rsid w:val="00020368"/>
    <w:rsid w:val="0002036F"/>
    <w:rsid w:val="000204B4"/>
    <w:rsid w:val="000205EF"/>
    <w:rsid w:val="000209E3"/>
    <w:rsid w:val="00020E89"/>
    <w:rsid w:val="000210CC"/>
    <w:rsid w:val="000212D8"/>
    <w:rsid w:val="000215FE"/>
    <w:rsid w:val="00021B3B"/>
    <w:rsid w:val="00021D40"/>
    <w:rsid w:val="00021DBB"/>
    <w:rsid w:val="00021EA4"/>
    <w:rsid w:val="00022A3C"/>
    <w:rsid w:val="00022B8A"/>
    <w:rsid w:val="0002318D"/>
    <w:rsid w:val="0002333A"/>
    <w:rsid w:val="000236D3"/>
    <w:rsid w:val="000239C1"/>
    <w:rsid w:val="00023C33"/>
    <w:rsid w:val="0002408C"/>
    <w:rsid w:val="00024157"/>
    <w:rsid w:val="0002417B"/>
    <w:rsid w:val="000241EE"/>
    <w:rsid w:val="0002421E"/>
    <w:rsid w:val="00024397"/>
    <w:rsid w:val="000245CD"/>
    <w:rsid w:val="0002485F"/>
    <w:rsid w:val="00024BCF"/>
    <w:rsid w:val="00024C67"/>
    <w:rsid w:val="00025009"/>
    <w:rsid w:val="000252CF"/>
    <w:rsid w:val="00025665"/>
    <w:rsid w:val="0002585A"/>
    <w:rsid w:val="0002589D"/>
    <w:rsid w:val="000258DA"/>
    <w:rsid w:val="000259E6"/>
    <w:rsid w:val="00025B72"/>
    <w:rsid w:val="00025BC5"/>
    <w:rsid w:val="00025D58"/>
    <w:rsid w:val="00025DBC"/>
    <w:rsid w:val="000260AE"/>
    <w:rsid w:val="000262EA"/>
    <w:rsid w:val="0002631F"/>
    <w:rsid w:val="0002645B"/>
    <w:rsid w:val="00026C13"/>
    <w:rsid w:val="00026CD8"/>
    <w:rsid w:val="00026D54"/>
    <w:rsid w:val="00026D95"/>
    <w:rsid w:val="00026DF1"/>
    <w:rsid w:val="00026E7C"/>
    <w:rsid w:val="0002711E"/>
    <w:rsid w:val="0002776B"/>
    <w:rsid w:val="00027892"/>
    <w:rsid w:val="00027945"/>
    <w:rsid w:val="00027ACA"/>
    <w:rsid w:val="00027C3C"/>
    <w:rsid w:val="00027E2A"/>
    <w:rsid w:val="00027E46"/>
    <w:rsid w:val="000304BB"/>
    <w:rsid w:val="000304DB"/>
    <w:rsid w:val="00030579"/>
    <w:rsid w:val="000305A8"/>
    <w:rsid w:val="00030A51"/>
    <w:rsid w:val="00030CA4"/>
    <w:rsid w:val="00030FB4"/>
    <w:rsid w:val="00031208"/>
    <w:rsid w:val="00031552"/>
    <w:rsid w:val="00031761"/>
    <w:rsid w:val="00031912"/>
    <w:rsid w:val="00031BA1"/>
    <w:rsid w:val="00031BDE"/>
    <w:rsid w:val="00031CCB"/>
    <w:rsid w:val="00031CEC"/>
    <w:rsid w:val="00031F3D"/>
    <w:rsid w:val="00031FCE"/>
    <w:rsid w:val="00032307"/>
    <w:rsid w:val="000325FD"/>
    <w:rsid w:val="0003269A"/>
    <w:rsid w:val="00032AFF"/>
    <w:rsid w:val="00032D47"/>
    <w:rsid w:val="0003323F"/>
    <w:rsid w:val="000332AB"/>
    <w:rsid w:val="00033338"/>
    <w:rsid w:val="00033EEB"/>
    <w:rsid w:val="0003428A"/>
    <w:rsid w:val="0003484E"/>
    <w:rsid w:val="000349E7"/>
    <w:rsid w:val="00034BF7"/>
    <w:rsid w:val="00034D05"/>
    <w:rsid w:val="00034D40"/>
    <w:rsid w:val="00034D93"/>
    <w:rsid w:val="00034DF5"/>
    <w:rsid w:val="00034F76"/>
    <w:rsid w:val="00035701"/>
    <w:rsid w:val="00035703"/>
    <w:rsid w:val="00035B35"/>
    <w:rsid w:val="00035E69"/>
    <w:rsid w:val="00035E93"/>
    <w:rsid w:val="00036061"/>
    <w:rsid w:val="00036074"/>
    <w:rsid w:val="000362C5"/>
    <w:rsid w:val="000362CA"/>
    <w:rsid w:val="000363E6"/>
    <w:rsid w:val="0003694F"/>
    <w:rsid w:val="0003721C"/>
    <w:rsid w:val="00037305"/>
    <w:rsid w:val="00037392"/>
    <w:rsid w:val="000375AE"/>
    <w:rsid w:val="00037920"/>
    <w:rsid w:val="00037A52"/>
    <w:rsid w:val="00037B21"/>
    <w:rsid w:val="00037B58"/>
    <w:rsid w:val="00037BB5"/>
    <w:rsid w:val="00037BEB"/>
    <w:rsid w:val="00037F28"/>
    <w:rsid w:val="000408CC"/>
    <w:rsid w:val="00040BD6"/>
    <w:rsid w:val="00040C89"/>
    <w:rsid w:val="00040CF7"/>
    <w:rsid w:val="000412E5"/>
    <w:rsid w:val="000415E9"/>
    <w:rsid w:val="00041776"/>
    <w:rsid w:val="00041E9C"/>
    <w:rsid w:val="00041EF1"/>
    <w:rsid w:val="00042108"/>
    <w:rsid w:val="0004218B"/>
    <w:rsid w:val="00042342"/>
    <w:rsid w:val="00042461"/>
    <w:rsid w:val="00042486"/>
    <w:rsid w:val="000424AD"/>
    <w:rsid w:val="00042C0F"/>
    <w:rsid w:val="00042D33"/>
    <w:rsid w:val="00043229"/>
    <w:rsid w:val="00043B51"/>
    <w:rsid w:val="00043CBC"/>
    <w:rsid w:val="00043F08"/>
    <w:rsid w:val="0004410C"/>
    <w:rsid w:val="00044403"/>
    <w:rsid w:val="00044BC6"/>
    <w:rsid w:val="00044E37"/>
    <w:rsid w:val="00044F4C"/>
    <w:rsid w:val="00044F7D"/>
    <w:rsid w:val="000451D5"/>
    <w:rsid w:val="00045329"/>
    <w:rsid w:val="00045355"/>
    <w:rsid w:val="00045B62"/>
    <w:rsid w:val="00045D81"/>
    <w:rsid w:val="00045DA4"/>
    <w:rsid w:val="00046437"/>
    <w:rsid w:val="00046508"/>
    <w:rsid w:val="0004657C"/>
    <w:rsid w:val="00046670"/>
    <w:rsid w:val="0004690B"/>
    <w:rsid w:val="00046AB0"/>
    <w:rsid w:val="00046E3A"/>
    <w:rsid w:val="00046EF6"/>
    <w:rsid w:val="00046F6B"/>
    <w:rsid w:val="0004731C"/>
    <w:rsid w:val="000473C1"/>
    <w:rsid w:val="00047401"/>
    <w:rsid w:val="0004760E"/>
    <w:rsid w:val="0004778B"/>
    <w:rsid w:val="000478DA"/>
    <w:rsid w:val="00047942"/>
    <w:rsid w:val="00047BC1"/>
    <w:rsid w:val="0005006E"/>
    <w:rsid w:val="00050206"/>
    <w:rsid w:val="000502ED"/>
    <w:rsid w:val="000503BA"/>
    <w:rsid w:val="00050464"/>
    <w:rsid w:val="00050E67"/>
    <w:rsid w:val="00050F92"/>
    <w:rsid w:val="00050FD7"/>
    <w:rsid w:val="00051538"/>
    <w:rsid w:val="00051805"/>
    <w:rsid w:val="0005198F"/>
    <w:rsid w:val="00051FD2"/>
    <w:rsid w:val="00052262"/>
    <w:rsid w:val="00052765"/>
    <w:rsid w:val="000536E6"/>
    <w:rsid w:val="00053C3C"/>
    <w:rsid w:val="00053C57"/>
    <w:rsid w:val="00053CD4"/>
    <w:rsid w:val="00053D35"/>
    <w:rsid w:val="00053D8B"/>
    <w:rsid w:val="00053EAE"/>
    <w:rsid w:val="000545D8"/>
    <w:rsid w:val="00054707"/>
    <w:rsid w:val="00054F7A"/>
    <w:rsid w:val="000554AE"/>
    <w:rsid w:val="00055E0E"/>
    <w:rsid w:val="00055F1D"/>
    <w:rsid w:val="00056637"/>
    <w:rsid w:val="00056715"/>
    <w:rsid w:val="000569B3"/>
    <w:rsid w:val="00056CBF"/>
    <w:rsid w:val="00056D30"/>
    <w:rsid w:val="00056E67"/>
    <w:rsid w:val="000573EC"/>
    <w:rsid w:val="000575E6"/>
    <w:rsid w:val="0005795A"/>
    <w:rsid w:val="00057B58"/>
    <w:rsid w:val="00057F5C"/>
    <w:rsid w:val="00060149"/>
    <w:rsid w:val="000605A0"/>
    <w:rsid w:val="00060833"/>
    <w:rsid w:val="00060C39"/>
    <w:rsid w:val="00060D49"/>
    <w:rsid w:val="00060EF8"/>
    <w:rsid w:val="00060FA9"/>
    <w:rsid w:val="000611A2"/>
    <w:rsid w:val="0006141E"/>
    <w:rsid w:val="00061503"/>
    <w:rsid w:val="00061583"/>
    <w:rsid w:val="00061A2D"/>
    <w:rsid w:val="00061AEB"/>
    <w:rsid w:val="00061B71"/>
    <w:rsid w:val="0006225A"/>
    <w:rsid w:val="00062653"/>
    <w:rsid w:val="0006293B"/>
    <w:rsid w:val="00062A93"/>
    <w:rsid w:val="00062B65"/>
    <w:rsid w:val="00062D69"/>
    <w:rsid w:val="00062EAB"/>
    <w:rsid w:val="000633EA"/>
    <w:rsid w:val="000634C1"/>
    <w:rsid w:val="00063674"/>
    <w:rsid w:val="0006382D"/>
    <w:rsid w:val="00063B08"/>
    <w:rsid w:val="00063C7C"/>
    <w:rsid w:val="00063E97"/>
    <w:rsid w:val="000642C3"/>
    <w:rsid w:val="0006435C"/>
    <w:rsid w:val="00064438"/>
    <w:rsid w:val="000644D2"/>
    <w:rsid w:val="000646D9"/>
    <w:rsid w:val="00064F97"/>
    <w:rsid w:val="000654C2"/>
    <w:rsid w:val="000656CC"/>
    <w:rsid w:val="000656F6"/>
    <w:rsid w:val="000657E4"/>
    <w:rsid w:val="000657F4"/>
    <w:rsid w:val="00065936"/>
    <w:rsid w:val="00065A95"/>
    <w:rsid w:val="00065B2B"/>
    <w:rsid w:val="00065D86"/>
    <w:rsid w:val="00066088"/>
    <w:rsid w:val="0006616B"/>
    <w:rsid w:val="00066205"/>
    <w:rsid w:val="000668B0"/>
    <w:rsid w:val="000668BC"/>
    <w:rsid w:val="00066A0D"/>
    <w:rsid w:val="00066ADD"/>
    <w:rsid w:val="00066FE0"/>
    <w:rsid w:val="0006703F"/>
    <w:rsid w:val="0006716D"/>
    <w:rsid w:val="0006759B"/>
    <w:rsid w:val="00067735"/>
    <w:rsid w:val="000678E4"/>
    <w:rsid w:val="0006793D"/>
    <w:rsid w:val="00067ABB"/>
    <w:rsid w:val="00067F7D"/>
    <w:rsid w:val="000701F1"/>
    <w:rsid w:val="00070483"/>
    <w:rsid w:val="000704F4"/>
    <w:rsid w:val="00070AAE"/>
    <w:rsid w:val="0007124F"/>
    <w:rsid w:val="00071539"/>
    <w:rsid w:val="00071642"/>
    <w:rsid w:val="00071806"/>
    <w:rsid w:val="00071D2A"/>
    <w:rsid w:val="00071DBA"/>
    <w:rsid w:val="00071ED9"/>
    <w:rsid w:val="00071FB7"/>
    <w:rsid w:val="000722D8"/>
    <w:rsid w:val="000723CC"/>
    <w:rsid w:val="0007263C"/>
    <w:rsid w:val="000729E8"/>
    <w:rsid w:val="00072A35"/>
    <w:rsid w:val="000732F8"/>
    <w:rsid w:val="00073399"/>
    <w:rsid w:val="00073734"/>
    <w:rsid w:val="00073B05"/>
    <w:rsid w:val="00073DB4"/>
    <w:rsid w:val="0007412F"/>
    <w:rsid w:val="0007428E"/>
    <w:rsid w:val="0007468E"/>
    <w:rsid w:val="00074752"/>
    <w:rsid w:val="000749A8"/>
    <w:rsid w:val="00074D73"/>
    <w:rsid w:val="00074DD8"/>
    <w:rsid w:val="000750AD"/>
    <w:rsid w:val="00075305"/>
    <w:rsid w:val="00075765"/>
    <w:rsid w:val="00075778"/>
    <w:rsid w:val="0007590D"/>
    <w:rsid w:val="0007592F"/>
    <w:rsid w:val="000761D2"/>
    <w:rsid w:val="0007657A"/>
    <w:rsid w:val="0007678B"/>
    <w:rsid w:val="0007683A"/>
    <w:rsid w:val="00076847"/>
    <w:rsid w:val="00076CC2"/>
    <w:rsid w:val="00076CD4"/>
    <w:rsid w:val="00076EF9"/>
    <w:rsid w:val="00077246"/>
    <w:rsid w:val="000773E9"/>
    <w:rsid w:val="000774D6"/>
    <w:rsid w:val="00077BDD"/>
    <w:rsid w:val="00077BFA"/>
    <w:rsid w:val="00077CFA"/>
    <w:rsid w:val="000800A1"/>
    <w:rsid w:val="00080672"/>
    <w:rsid w:val="00080680"/>
    <w:rsid w:val="00080A53"/>
    <w:rsid w:val="00080E6B"/>
    <w:rsid w:val="00081110"/>
    <w:rsid w:val="0008118A"/>
    <w:rsid w:val="00081349"/>
    <w:rsid w:val="000813CB"/>
    <w:rsid w:val="00081425"/>
    <w:rsid w:val="0008173F"/>
    <w:rsid w:val="000817AA"/>
    <w:rsid w:val="0008197A"/>
    <w:rsid w:val="00081BEB"/>
    <w:rsid w:val="00082180"/>
    <w:rsid w:val="000823F2"/>
    <w:rsid w:val="00082494"/>
    <w:rsid w:val="00082D97"/>
    <w:rsid w:val="00082ECC"/>
    <w:rsid w:val="00082FEE"/>
    <w:rsid w:val="000830CF"/>
    <w:rsid w:val="0008318E"/>
    <w:rsid w:val="000831AE"/>
    <w:rsid w:val="0008331C"/>
    <w:rsid w:val="000837B2"/>
    <w:rsid w:val="00083A34"/>
    <w:rsid w:val="00083A52"/>
    <w:rsid w:val="00083D27"/>
    <w:rsid w:val="00083FF3"/>
    <w:rsid w:val="0008406A"/>
    <w:rsid w:val="000840F0"/>
    <w:rsid w:val="00084350"/>
    <w:rsid w:val="00084361"/>
    <w:rsid w:val="00084473"/>
    <w:rsid w:val="00084609"/>
    <w:rsid w:val="0008480E"/>
    <w:rsid w:val="000848DA"/>
    <w:rsid w:val="00084A4D"/>
    <w:rsid w:val="0008532D"/>
    <w:rsid w:val="00085508"/>
    <w:rsid w:val="00085526"/>
    <w:rsid w:val="000866AB"/>
    <w:rsid w:val="000866D0"/>
    <w:rsid w:val="00086918"/>
    <w:rsid w:val="00086AB7"/>
    <w:rsid w:val="00086D58"/>
    <w:rsid w:val="00086F51"/>
    <w:rsid w:val="000872C4"/>
    <w:rsid w:val="000876FA"/>
    <w:rsid w:val="00087725"/>
    <w:rsid w:val="00087877"/>
    <w:rsid w:val="00087EB9"/>
    <w:rsid w:val="000902AB"/>
    <w:rsid w:val="00090527"/>
    <w:rsid w:val="00090790"/>
    <w:rsid w:val="000908BE"/>
    <w:rsid w:val="00090908"/>
    <w:rsid w:val="00090941"/>
    <w:rsid w:val="00090B35"/>
    <w:rsid w:val="00090BCB"/>
    <w:rsid w:val="000910E1"/>
    <w:rsid w:val="0009112E"/>
    <w:rsid w:val="00091721"/>
    <w:rsid w:val="000918C2"/>
    <w:rsid w:val="00091C2D"/>
    <w:rsid w:val="00091E97"/>
    <w:rsid w:val="00091F37"/>
    <w:rsid w:val="00092077"/>
    <w:rsid w:val="000921D9"/>
    <w:rsid w:val="00092347"/>
    <w:rsid w:val="00092661"/>
    <w:rsid w:val="000927A3"/>
    <w:rsid w:val="00092B30"/>
    <w:rsid w:val="00092DDF"/>
    <w:rsid w:val="000930BE"/>
    <w:rsid w:val="0009327E"/>
    <w:rsid w:val="000933F9"/>
    <w:rsid w:val="000934E5"/>
    <w:rsid w:val="00093585"/>
    <w:rsid w:val="0009385D"/>
    <w:rsid w:val="00093D86"/>
    <w:rsid w:val="000940CB"/>
    <w:rsid w:val="000943CE"/>
    <w:rsid w:val="00094623"/>
    <w:rsid w:val="00094910"/>
    <w:rsid w:val="00094A84"/>
    <w:rsid w:val="00094D7C"/>
    <w:rsid w:val="00094F83"/>
    <w:rsid w:val="000954CA"/>
    <w:rsid w:val="000954D3"/>
    <w:rsid w:val="00095612"/>
    <w:rsid w:val="00095BC4"/>
    <w:rsid w:val="00095C2D"/>
    <w:rsid w:val="00095D27"/>
    <w:rsid w:val="00095FF8"/>
    <w:rsid w:val="000960D1"/>
    <w:rsid w:val="0009618D"/>
    <w:rsid w:val="000962A5"/>
    <w:rsid w:val="0009646F"/>
    <w:rsid w:val="00096575"/>
    <w:rsid w:val="000966C2"/>
    <w:rsid w:val="000966CA"/>
    <w:rsid w:val="00096806"/>
    <w:rsid w:val="00096817"/>
    <w:rsid w:val="00096891"/>
    <w:rsid w:val="0009697D"/>
    <w:rsid w:val="00096C4E"/>
    <w:rsid w:val="000979E0"/>
    <w:rsid w:val="00097D09"/>
    <w:rsid w:val="00097E70"/>
    <w:rsid w:val="00097FF6"/>
    <w:rsid w:val="000A0641"/>
    <w:rsid w:val="000A09CA"/>
    <w:rsid w:val="000A09E5"/>
    <w:rsid w:val="000A0BC5"/>
    <w:rsid w:val="000A0C1A"/>
    <w:rsid w:val="000A0E73"/>
    <w:rsid w:val="000A1D35"/>
    <w:rsid w:val="000A2067"/>
    <w:rsid w:val="000A2655"/>
    <w:rsid w:val="000A290A"/>
    <w:rsid w:val="000A2A09"/>
    <w:rsid w:val="000A3418"/>
    <w:rsid w:val="000A356C"/>
    <w:rsid w:val="000A3A3B"/>
    <w:rsid w:val="000A3CBF"/>
    <w:rsid w:val="000A40CD"/>
    <w:rsid w:val="000A40EF"/>
    <w:rsid w:val="000A424B"/>
    <w:rsid w:val="000A447C"/>
    <w:rsid w:val="000A4768"/>
    <w:rsid w:val="000A477D"/>
    <w:rsid w:val="000A4BB7"/>
    <w:rsid w:val="000A4DB7"/>
    <w:rsid w:val="000A4E65"/>
    <w:rsid w:val="000A5012"/>
    <w:rsid w:val="000A509A"/>
    <w:rsid w:val="000A58A1"/>
    <w:rsid w:val="000A5B35"/>
    <w:rsid w:val="000A5D7B"/>
    <w:rsid w:val="000A5FB2"/>
    <w:rsid w:val="000A615A"/>
    <w:rsid w:val="000A64AE"/>
    <w:rsid w:val="000A680F"/>
    <w:rsid w:val="000A68D8"/>
    <w:rsid w:val="000A6A72"/>
    <w:rsid w:val="000A6D27"/>
    <w:rsid w:val="000A6D3B"/>
    <w:rsid w:val="000A7881"/>
    <w:rsid w:val="000A7A0F"/>
    <w:rsid w:val="000A7B4A"/>
    <w:rsid w:val="000A7FEB"/>
    <w:rsid w:val="000B0221"/>
    <w:rsid w:val="000B043E"/>
    <w:rsid w:val="000B065A"/>
    <w:rsid w:val="000B0919"/>
    <w:rsid w:val="000B0B2D"/>
    <w:rsid w:val="000B0F50"/>
    <w:rsid w:val="000B116A"/>
    <w:rsid w:val="000B1463"/>
    <w:rsid w:val="000B16C6"/>
    <w:rsid w:val="000B1B93"/>
    <w:rsid w:val="000B1C9C"/>
    <w:rsid w:val="000B1FDE"/>
    <w:rsid w:val="000B20E5"/>
    <w:rsid w:val="000B217C"/>
    <w:rsid w:val="000B24AF"/>
    <w:rsid w:val="000B2CE7"/>
    <w:rsid w:val="000B2D57"/>
    <w:rsid w:val="000B3334"/>
    <w:rsid w:val="000B35D8"/>
    <w:rsid w:val="000B36EE"/>
    <w:rsid w:val="000B3728"/>
    <w:rsid w:val="000B3801"/>
    <w:rsid w:val="000B3829"/>
    <w:rsid w:val="000B3AE8"/>
    <w:rsid w:val="000B3B8C"/>
    <w:rsid w:val="000B3EAA"/>
    <w:rsid w:val="000B3F2C"/>
    <w:rsid w:val="000B455F"/>
    <w:rsid w:val="000B458A"/>
    <w:rsid w:val="000B48C8"/>
    <w:rsid w:val="000B4AEB"/>
    <w:rsid w:val="000B4BCD"/>
    <w:rsid w:val="000B4C99"/>
    <w:rsid w:val="000B4FAD"/>
    <w:rsid w:val="000B4FDC"/>
    <w:rsid w:val="000B5000"/>
    <w:rsid w:val="000B5A8E"/>
    <w:rsid w:val="000B5B8C"/>
    <w:rsid w:val="000B5BF6"/>
    <w:rsid w:val="000B5F2B"/>
    <w:rsid w:val="000B60B7"/>
    <w:rsid w:val="000B6208"/>
    <w:rsid w:val="000B63D0"/>
    <w:rsid w:val="000B66C1"/>
    <w:rsid w:val="000B69C8"/>
    <w:rsid w:val="000B6A54"/>
    <w:rsid w:val="000B702C"/>
    <w:rsid w:val="000B705A"/>
    <w:rsid w:val="000B724B"/>
    <w:rsid w:val="000B739C"/>
    <w:rsid w:val="000B7537"/>
    <w:rsid w:val="000B7B84"/>
    <w:rsid w:val="000B7B97"/>
    <w:rsid w:val="000B7D46"/>
    <w:rsid w:val="000C0358"/>
    <w:rsid w:val="000C03FC"/>
    <w:rsid w:val="000C0634"/>
    <w:rsid w:val="000C06AB"/>
    <w:rsid w:val="000C09F2"/>
    <w:rsid w:val="000C0B07"/>
    <w:rsid w:val="000C0C96"/>
    <w:rsid w:val="000C12B8"/>
    <w:rsid w:val="000C130D"/>
    <w:rsid w:val="000C14CE"/>
    <w:rsid w:val="000C1537"/>
    <w:rsid w:val="000C15EC"/>
    <w:rsid w:val="000C16DC"/>
    <w:rsid w:val="000C17E6"/>
    <w:rsid w:val="000C186A"/>
    <w:rsid w:val="000C21D3"/>
    <w:rsid w:val="000C21D8"/>
    <w:rsid w:val="000C224F"/>
    <w:rsid w:val="000C2292"/>
    <w:rsid w:val="000C23B4"/>
    <w:rsid w:val="000C2638"/>
    <w:rsid w:val="000C277B"/>
    <w:rsid w:val="000C2965"/>
    <w:rsid w:val="000C2CEA"/>
    <w:rsid w:val="000C2E3A"/>
    <w:rsid w:val="000C3416"/>
    <w:rsid w:val="000C375D"/>
    <w:rsid w:val="000C3A73"/>
    <w:rsid w:val="000C3C95"/>
    <w:rsid w:val="000C4ABE"/>
    <w:rsid w:val="000C4E69"/>
    <w:rsid w:val="000C5A8B"/>
    <w:rsid w:val="000C6263"/>
    <w:rsid w:val="000C6304"/>
    <w:rsid w:val="000C645A"/>
    <w:rsid w:val="000C6650"/>
    <w:rsid w:val="000C6BE7"/>
    <w:rsid w:val="000C6F00"/>
    <w:rsid w:val="000C70DC"/>
    <w:rsid w:val="000C7237"/>
    <w:rsid w:val="000C72B3"/>
    <w:rsid w:val="000C737A"/>
    <w:rsid w:val="000C75FE"/>
    <w:rsid w:val="000C7781"/>
    <w:rsid w:val="000C7A74"/>
    <w:rsid w:val="000C7D67"/>
    <w:rsid w:val="000C7E58"/>
    <w:rsid w:val="000C7F57"/>
    <w:rsid w:val="000D03F8"/>
    <w:rsid w:val="000D08C0"/>
    <w:rsid w:val="000D0C92"/>
    <w:rsid w:val="000D0D47"/>
    <w:rsid w:val="000D0DA5"/>
    <w:rsid w:val="000D10A8"/>
    <w:rsid w:val="000D198C"/>
    <w:rsid w:val="000D1A9D"/>
    <w:rsid w:val="000D1B3F"/>
    <w:rsid w:val="000D1C5F"/>
    <w:rsid w:val="000D1DA9"/>
    <w:rsid w:val="000D2647"/>
    <w:rsid w:val="000D26E6"/>
    <w:rsid w:val="000D2C88"/>
    <w:rsid w:val="000D308D"/>
    <w:rsid w:val="000D30B3"/>
    <w:rsid w:val="000D3218"/>
    <w:rsid w:val="000D3454"/>
    <w:rsid w:val="000D3A06"/>
    <w:rsid w:val="000D3BD9"/>
    <w:rsid w:val="000D3CAD"/>
    <w:rsid w:val="000D3D1D"/>
    <w:rsid w:val="000D3EEB"/>
    <w:rsid w:val="000D4016"/>
    <w:rsid w:val="000D52EF"/>
    <w:rsid w:val="000D534B"/>
    <w:rsid w:val="000D53BE"/>
    <w:rsid w:val="000D5538"/>
    <w:rsid w:val="000D5639"/>
    <w:rsid w:val="000D56CD"/>
    <w:rsid w:val="000D5736"/>
    <w:rsid w:val="000D57AA"/>
    <w:rsid w:val="000D581A"/>
    <w:rsid w:val="000D58A7"/>
    <w:rsid w:val="000D5901"/>
    <w:rsid w:val="000D5915"/>
    <w:rsid w:val="000D5A05"/>
    <w:rsid w:val="000D5DB5"/>
    <w:rsid w:val="000D5F7A"/>
    <w:rsid w:val="000D6094"/>
    <w:rsid w:val="000D6295"/>
    <w:rsid w:val="000D63B7"/>
    <w:rsid w:val="000D6505"/>
    <w:rsid w:val="000D6563"/>
    <w:rsid w:val="000D65D7"/>
    <w:rsid w:val="000D6B3A"/>
    <w:rsid w:val="000D6D77"/>
    <w:rsid w:val="000D6DCE"/>
    <w:rsid w:val="000D6FD2"/>
    <w:rsid w:val="000D77A5"/>
    <w:rsid w:val="000E03E8"/>
    <w:rsid w:val="000E0BF2"/>
    <w:rsid w:val="000E0DB5"/>
    <w:rsid w:val="000E0FCB"/>
    <w:rsid w:val="000E0FF5"/>
    <w:rsid w:val="000E10B5"/>
    <w:rsid w:val="000E11B9"/>
    <w:rsid w:val="000E1268"/>
    <w:rsid w:val="000E136F"/>
    <w:rsid w:val="000E1459"/>
    <w:rsid w:val="000E15EB"/>
    <w:rsid w:val="000E175E"/>
    <w:rsid w:val="000E17A4"/>
    <w:rsid w:val="000E1832"/>
    <w:rsid w:val="000E1895"/>
    <w:rsid w:val="000E1A6E"/>
    <w:rsid w:val="000E2382"/>
    <w:rsid w:val="000E2508"/>
    <w:rsid w:val="000E2582"/>
    <w:rsid w:val="000E2A33"/>
    <w:rsid w:val="000E2B2B"/>
    <w:rsid w:val="000E2CE4"/>
    <w:rsid w:val="000E2F22"/>
    <w:rsid w:val="000E31C7"/>
    <w:rsid w:val="000E3233"/>
    <w:rsid w:val="000E3541"/>
    <w:rsid w:val="000E35AA"/>
    <w:rsid w:val="000E3803"/>
    <w:rsid w:val="000E39BA"/>
    <w:rsid w:val="000E3A60"/>
    <w:rsid w:val="000E3D47"/>
    <w:rsid w:val="000E3E3A"/>
    <w:rsid w:val="000E42BB"/>
    <w:rsid w:val="000E42DD"/>
    <w:rsid w:val="000E42FC"/>
    <w:rsid w:val="000E4510"/>
    <w:rsid w:val="000E4525"/>
    <w:rsid w:val="000E4A60"/>
    <w:rsid w:val="000E52C4"/>
    <w:rsid w:val="000E53F5"/>
    <w:rsid w:val="000E5409"/>
    <w:rsid w:val="000E5523"/>
    <w:rsid w:val="000E58A6"/>
    <w:rsid w:val="000E5CE1"/>
    <w:rsid w:val="000E662E"/>
    <w:rsid w:val="000E6979"/>
    <w:rsid w:val="000E6BC8"/>
    <w:rsid w:val="000E6F70"/>
    <w:rsid w:val="000E72B1"/>
    <w:rsid w:val="000E72B3"/>
    <w:rsid w:val="000E7D0E"/>
    <w:rsid w:val="000E7D84"/>
    <w:rsid w:val="000E7EC5"/>
    <w:rsid w:val="000F015D"/>
    <w:rsid w:val="000F01EA"/>
    <w:rsid w:val="000F04B8"/>
    <w:rsid w:val="000F059A"/>
    <w:rsid w:val="000F05CC"/>
    <w:rsid w:val="000F066C"/>
    <w:rsid w:val="000F0CEC"/>
    <w:rsid w:val="000F133F"/>
    <w:rsid w:val="000F190D"/>
    <w:rsid w:val="000F1C7D"/>
    <w:rsid w:val="000F1E50"/>
    <w:rsid w:val="000F210D"/>
    <w:rsid w:val="000F212D"/>
    <w:rsid w:val="000F27A3"/>
    <w:rsid w:val="000F323E"/>
    <w:rsid w:val="000F32DD"/>
    <w:rsid w:val="000F3333"/>
    <w:rsid w:val="000F3481"/>
    <w:rsid w:val="000F3549"/>
    <w:rsid w:val="000F38A0"/>
    <w:rsid w:val="000F3BF8"/>
    <w:rsid w:val="000F3CF5"/>
    <w:rsid w:val="000F3E29"/>
    <w:rsid w:val="000F3FE2"/>
    <w:rsid w:val="000F4865"/>
    <w:rsid w:val="000F4A96"/>
    <w:rsid w:val="000F4CAB"/>
    <w:rsid w:val="000F4F00"/>
    <w:rsid w:val="000F579F"/>
    <w:rsid w:val="000F5C66"/>
    <w:rsid w:val="000F5E24"/>
    <w:rsid w:val="000F61FB"/>
    <w:rsid w:val="000F6261"/>
    <w:rsid w:val="000F6275"/>
    <w:rsid w:val="000F6574"/>
    <w:rsid w:val="000F67D2"/>
    <w:rsid w:val="000F67F6"/>
    <w:rsid w:val="000F6918"/>
    <w:rsid w:val="000F6E6D"/>
    <w:rsid w:val="000F728A"/>
    <w:rsid w:val="000F730E"/>
    <w:rsid w:val="000F7536"/>
    <w:rsid w:val="000F782D"/>
    <w:rsid w:val="000F797E"/>
    <w:rsid w:val="000F79A5"/>
    <w:rsid w:val="000F7BC2"/>
    <w:rsid w:val="000F7E59"/>
    <w:rsid w:val="00100083"/>
    <w:rsid w:val="00100124"/>
    <w:rsid w:val="0010045A"/>
    <w:rsid w:val="001004D3"/>
    <w:rsid w:val="001005F8"/>
    <w:rsid w:val="00100685"/>
    <w:rsid w:val="00100749"/>
    <w:rsid w:val="001007F4"/>
    <w:rsid w:val="001009B0"/>
    <w:rsid w:val="00100DC7"/>
    <w:rsid w:val="0010111E"/>
    <w:rsid w:val="00101752"/>
    <w:rsid w:val="00101802"/>
    <w:rsid w:val="001018EC"/>
    <w:rsid w:val="00101A93"/>
    <w:rsid w:val="00101AFF"/>
    <w:rsid w:val="00101D0D"/>
    <w:rsid w:val="00101DD5"/>
    <w:rsid w:val="0010204F"/>
    <w:rsid w:val="001020FA"/>
    <w:rsid w:val="0010222A"/>
    <w:rsid w:val="001026B4"/>
    <w:rsid w:val="0010277E"/>
    <w:rsid w:val="001029B3"/>
    <w:rsid w:val="00102A42"/>
    <w:rsid w:val="00102CA7"/>
    <w:rsid w:val="00102E26"/>
    <w:rsid w:val="00102FD8"/>
    <w:rsid w:val="00103310"/>
    <w:rsid w:val="00103624"/>
    <w:rsid w:val="00103B8F"/>
    <w:rsid w:val="00103DCA"/>
    <w:rsid w:val="001047DB"/>
    <w:rsid w:val="001048B3"/>
    <w:rsid w:val="00104903"/>
    <w:rsid w:val="00104D7C"/>
    <w:rsid w:val="00104DF9"/>
    <w:rsid w:val="00104E5C"/>
    <w:rsid w:val="00104F2E"/>
    <w:rsid w:val="00105018"/>
    <w:rsid w:val="00105046"/>
    <w:rsid w:val="001053E3"/>
    <w:rsid w:val="0010563F"/>
    <w:rsid w:val="00105723"/>
    <w:rsid w:val="001057FC"/>
    <w:rsid w:val="00105905"/>
    <w:rsid w:val="00105C42"/>
    <w:rsid w:val="00106476"/>
    <w:rsid w:val="00106692"/>
    <w:rsid w:val="001068C5"/>
    <w:rsid w:val="0010695C"/>
    <w:rsid w:val="00106D09"/>
    <w:rsid w:val="00106E56"/>
    <w:rsid w:val="00107742"/>
    <w:rsid w:val="001077F4"/>
    <w:rsid w:val="00107933"/>
    <w:rsid w:val="00107E82"/>
    <w:rsid w:val="00107F34"/>
    <w:rsid w:val="00107F79"/>
    <w:rsid w:val="00110389"/>
    <w:rsid w:val="0011053B"/>
    <w:rsid w:val="00110693"/>
    <w:rsid w:val="00110972"/>
    <w:rsid w:val="00110C99"/>
    <w:rsid w:val="00110DE5"/>
    <w:rsid w:val="00111101"/>
    <w:rsid w:val="00111409"/>
    <w:rsid w:val="0011154B"/>
    <w:rsid w:val="00111EAE"/>
    <w:rsid w:val="0011215B"/>
    <w:rsid w:val="001121C5"/>
    <w:rsid w:val="001124A7"/>
    <w:rsid w:val="001124DE"/>
    <w:rsid w:val="00112A0D"/>
    <w:rsid w:val="00112B1B"/>
    <w:rsid w:val="00112D6D"/>
    <w:rsid w:val="001130AE"/>
    <w:rsid w:val="00113163"/>
    <w:rsid w:val="0011317A"/>
    <w:rsid w:val="001132CF"/>
    <w:rsid w:val="001133FC"/>
    <w:rsid w:val="00113409"/>
    <w:rsid w:val="001137B5"/>
    <w:rsid w:val="00113A30"/>
    <w:rsid w:val="00113DB8"/>
    <w:rsid w:val="00113F13"/>
    <w:rsid w:val="00114411"/>
    <w:rsid w:val="00114532"/>
    <w:rsid w:val="001145C8"/>
    <w:rsid w:val="00114696"/>
    <w:rsid w:val="0011483E"/>
    <w:rsid w:val="0011489A"/>
    <w:rsid w:val="001148FC"/>
    <w:rsid w:val="00114A53"/>
    <w:rsid w:val="00114CEF"/>
    <w:rsid w:val="001150C1"/>
    <w:rsid w:val="00115F3E"/>
    <w:rsid w:val="0011673A"/>
    <w:rsid w:val="001168D8"/>
    <w:rsid w:val="00116B23"/>
    <w:rsid w:val="00116B86"/>
    <w:rsid w:val="00116BBF"/>
    <w:rsid w:val="00117395"/>
    <w:rsid w:val="0011758A"/>
    <w:rsid w:val="00117600"/>
    <w:rsid w:val="00117653"/>
    <w:rsid w:val="0011771C"/>
    <w:rsid w:val="00117976"/>
    <w:rsid w:val="00117AA1"/>
    <w:rsid w:val="00117C8A"/>
    <w:rsid w:val="00117E25"/>
    <w:rsid w:val="00120165"/>
    <w:rsid w:val="0012084C"/>
    <w:rsid w:val="00120AFB"/>
    <w:rsid w:val="00121BAA"/>
    <w:rsid w:val="00121E75"/>
    <w:rsid w:val="001223DF"/>
    <w:rsid w:val="001225F8"/>
    <w:rsid w:val="00122747"/>
    <w:rsid w:val="00122845"/>
    <w:rsid w:val="00122DC9"/>
    <w:rsid w:val="00122FE3"/>
    <w:rsid w:val="001231F3"/>
    <w:rsid w:val="001233B4"/>
    <w:rsid w:val="001236EF"/>
    <w:rsid w:val="001238AB"/>
    <w:rsid w:val="00123C50"/>
    <w:rsid w:val="00123F52"/>
    <w:rsid w:val="0012417F"/>
    <w:rsid w:val="0012438B"/>
    <w:rsid w:val="001243A6"/>
    <w:rsid w:val="00124654"/>
    <w:rsid w:val="001248F9"/>
    <w:rsid w:val="001249A8"/>
    <w:rsid w:val="00124AEA"/>
    <w:rsid w:val="00124B6C"/>
    <w:rsid w:val="00124B9B"/>
    <w:rsid w:val="00124E44"/>
    <w:rsid w:val="001253AC"/>
    <w:rsid w:val="001253DF"/>
    <w:rsid w:val="0012572E"/>
    <w:rsid w:val="001259C3"/>
    <w:rsid w:val="00125D5C"/>
    <w:rsid w:val="00125EA8"/>
    <w:rsid w:val="00125EC1"/>
    <w:rsid w:val="00125EE8"/>
    <w:rsid w:val="00125FDA"/>
    <w:rsid w:val="001260C7"/>
    <w:rsid w:val="001262B0"/>
    <w:rsid w:val="00126B8B"/>
    <w:rsid w:val="00126C42"/>
    <w:rsid w:val="00126C47"/>
    <w:rsid w:val="00127263"/>
    <w:rsid w:val="001278FC"/>
    <w:rsid w:val="00127C82"/>
    <w:rsid w:val="00127CD1"/>
    <w:rsid w:val="001304D0"/>
    <w:rsid w:val="001307C2"/>
    <w:rsid w:val="00130AAD"/>
    <w:rsid w:val="00130B2B"/>
    <w:rsid w:val="00130DAC"/>
    <w:rsid w:val="0013107E"/>
    <w:rsid w:val="0013149A"/>
    <w:rsid w:val="00131860"/>
    <w:rsid w:val="001318AE"/>
    <w:rsid w:val="001318D9"/>
    <w:rsid w:val="00131982"/>
    <w:rsid w:val="00131F1E"/>
    <w:rsid w:val="001323ED"/>
    <w:rsid w:val="001326E4"/>
    <w:rsid w:val="00132996"/>
    <w:rsid w:val="001329E3"/>
    <w:rsid w:val="00132C2D"/>
    <w:rsid w:val="00132E0C"/>
    <w:rsid w:val="00132F36"/>
    <w:rsid w:val="00132FA0"/>
    <w:rsid w:val="001333FE"/>
    <w:rsid w:val="001334C3"/>
    <w:rsid w:val="00133CF7"/>
    <w:rsid w:val="0013433A"/>
    <w:rsid w:val="001347F6"/>
    <w:rsid w:val="00134925"/>
    <w:rsid w:val="001351DE"/>
    <w:rsid w:val="00135209"/>
    <w:rsid w:val="00135296"/>
    <w:rsid w:val="00135354"/>
    <w:rsid w:val="0013555D"/>
    <w:rsid w:val="001356E3"/>
    <w:rsid w:val="0013578D"/>
    <w:rsid w:val="00135A91"/>
    <w:rsid w:val="00135CD2"/>
    <w:rsid w:val="00135E9C"/>
    <w:rsid w:val="00135EB1"/>
    <w:rsid w:val="00135EFC"/>
    <w:rsid w:val="00135F96"/>
    <w:rsid w:val="001360B0"/>
    <w:rsid w:val="00136259"/>
    <w:rsid w:val="001362CF"/>
    <w:rsid w:val="00136555"/>
    <w:rsid w:val="001365E8"/>
    <w:rsid w:val="00136728"/>
    <w:rsid w:val="001368CB"/>
    <w:rsid w:val="00136DCB"/>
    <w:rsid w:val="00136F8A"/>
    <w:rsid w:val="0013731E"/>
    <w:rsid w:val="0013734F"/>
    <w:rsid w:val="001374B8"/>
    <w:rsid w:val="0013750D"/>
    <w:rsid w:val="00137562"/>
    <w:rsid w:val="0013757D"/>
    <w:rsid w:val="00137666"/>
    <w:rsid w:val="001378AB"/>
    <w:rsid w:val="00137975"/>
    <w:rsid w:val="00137B00"/>
    <w:rsid w:val="00137E8F"/>
    <w:rsid w:val="001401C7"/>
    <w:rsid w:val="0014040F"/>
    <w:rsid w:val="0014070D"/>
    <w:rsid w:val="00140728"/>
    <w:rsid w:val="00140817"/>
    <w:rsid w:val="00140A2A"/>
    <w:rsid w:val="00140A65"/>
    <w:rsid w:val="00140A72"/>
    <w:rsid w:val="00140D8C"/>
    <w:rsid w:val="00140DD1"/>
    <w:rsid w:val="00140FB1"/>
    <w:rsid w:val="001419BE"/>
    <w:rsid w:val="00141C59"/>
    <w:rsid w:val="00141F50"/>
    <w:rsid w:val="00142323"/>
    <w:rsid w:val="0014233B"/>
    <w:rsid w:val="0014243D"/>
    <w:rsid w:val="00142866"/>
    <w:rsid w:val="00142B7F"/>
    <w:rsid w:val="00142E05"/>
    <w:rsid w:val="00142E2C"/>
    <w:rsid w:val="00142EB4"/>
    <w:rsid w:val="00142EF9"/>
    <w:rsid w:val="001433E9"/>
    <w:rsid w:val="00143503"/>
    <w:rsid w:val="001435BD"/>
    <w:rsid w:val="00143676"/>
    <w:rsid w:val="00143928"/>
    <w:rsid w:val="00143D30"/>
    <w:rsid w:val="00143DEE"/>
    <w:rsid w:val="0014403D"/>
    <w:rsid w:val="001440CC"/>
    <w:rsid w:val="00144512"/>
    <w:rsid w:val="0014509E"/>
    <w:rsid w:val="00145156"/>
    <w:rsid w:val="00145175"/>
    <w:rsid w:val="001452C6"/>
    <w:rsid w:val="0014549A"/>
    <w:rsid w:val="001454C6"/>
    <w:rsid w:val="00145BDE"/>
    <w:rsid w:val="00145BEB"/>
    <w:rsid w:val="00145C9C"/>
    <w:rsid w:val="00145DF6"/>
    <w:rsid w:val="00146307"/>
    <w:rsid w:val="00146577"/>
    <w:rsid w:val="00146BB2"/>
    <w:rsid w:val="00146DE0"/>
    <w:rsid w:val="0014727D"/>
    <w:rsid w:val="00147447"/>
    <w:rsid w:val="00147669"/>
    <w:rsid w:val="0014767A"/>
    <w:rsid w:val="00147A94"/>
    <w:rsid w:val="00147E7D"/>
    <w:rsid w:val="00147EFB"/>
    <w:rsid w:val="00147FC7"/>
    <w:rsid w:val="001502D4"/>
    <w:rsid w:val="00150787"/>
    <w:rsid w:val="00150815"/>
    <w:rsid w:val="00150C54"/>
    <w:rsid w:val="00151071"/>
    <w:rsid w:val="00151107"/>
    <w:rsid w:val="00151127"/>
    <w:rsid w:val="00151599"/>
    <w:rsid w:val="00151863"/>
    <w:rsid w:val="00151A6A"/>
    <w:rsid w:val="00151F65"/>
    <w:rsid w:val="00151FBB"/>
    <w:rsid w:val="001522A1"/>
    <w:rsid w:val="00152542"/>
    <w:rsid w:val="001528A2"/>
    <w:rsid w:val="00152C30"/>
    <w:rsid w:val="00153785"/>
    <w:rsid w:val="00153A24"/>
    <w:rsid w:val="00153D24"/>
    <w:rsid w:val="00153D49"/>
    <w:rsid w:val="00153E22"/>
    <w:rsid w:val="00153E36"/>
    <w:rsid w:val="00154860"/>
    <w:rsid w:val="001548CE"/>
    <w:rsid w:val="001549E9"/>
    <w:rsid w:val="00154ABA"/>
    <w:rsid w:val="00154F51"/>
    <w:rsid w:val="00155247"/>
    <w:rsid w:val="00155C8A"/>
    <w:rsid w:val="001561A2"/>
    <w:rsid w:val="001562BD"/>
    <w:rsid w:val="00156AB7"/>
    <w:rsid w:val="00156B16"/>
    <w:rsid w:val="00156F4A"/>
    <w:rsid w:val="0015762A"/>
    <w:rsid w:val="0015781F"/>
    <w:rsid w:val="00157931"/>
    <w:rsid w:val="00160084"/>
    <w:rsid w:val="001605BF"/>
    <w:rsid w:val="001609B4"/>
    <w:rsid w:val="001609CD"/>
    <w:rsid w:val="00160AEA"/>
    <w:rsid w:val="00161017"/>
    <w:rsid w:val="00161279"/>
    <w:rsid w:val="00161331"/>
    <w:rsid w:val="001617B7"/>
    <w:rsid w:val="00161982"/>
    <w:rsid w:val="001619AD"/>
    <w:rsid w:val="001619E5"/>
    <w:rsid w:val="00161BB2"/>
    <w:rsid w:val="00161F6D"/>
    <w:rsid w:val="00161FEB"/>
    <w:rsid w:val="0016222F"/>
    <w:rsid w:val="0016233D"/>
    <w:rsid w:val="0016260A"/>
    <w:rsid w:val="001627A6"/>
    <w:rsid w:val="00162872"/>
    <w:rsid w:val="00162993"/>
    <w:rsid w:val="00162C94"/>
    <w:rsid w:val="00162CF4"/>
    <w:rsid w:val="0016335E"/>
    <w:rsid w:val="001635A6"/>
    <w:rsid w:val="001638AE"/>
    <w:rsid w:val="00163B7F"/>
    <w:rsid w:val="00164116"/>
    <w:rsid w:val="0016453F"/>
    <w:rsid w:val="001649F5"/>
    <w:rsid w:val="00164B3A"/>
    <w:rsid w:val="00164EF9"/>
    <w:rsid w:val="00165077"/>
    <w:rsid w:val="00165A17"/>
    <w:rsid w:val="00165AFC"/>
    <w:rsid w:val="00165D13"/>
    <w:rsid w:val="00165DE5"/>
    <w:rsid w:val="0016633E"/>
    <w:rsid w:val="0016671C"/>
    <w:rsid w:val="00166975"/>
    <w:rsid w:val="00166A98"/>
    <w:rsid w:val="00166AF6"/>
    <w:rsid w:val="0016701D"/>
    <w:rsid w:val="00167066"/>
    <w:rsid w:val="0016710A"/>
    <w:rsid w:val="001672F4"/>
    <w:rsid w:val="00167465"/>
    <w:rsid w:val="0016768C"/>
    <w:rsid w:val="001677EC"/>
    <w:rsid w:val="00167971"/>
    <w:rsid w:val="00167C01"/>
    <w:rsid w:val="00167C2E"/>
    <w:rsid w:val="00167D2E"/>
    <w:rsid w:val="00167E15"/>
    <w:rsid w:val="00167E31"/>
    <w:rsid w:val="0017009C"/>
    <w:rsid w:val="00170742"/>
    <w:rsid w:val="001707C0"/>
    <w:rsid w:val="001710BC"/>
    <w:rsid w:val="0017126F"/>
    <w:rsid w:val="0017166E"/>
    <w:rsid w:val="00172215"/>
    <w:rsid w:val="001722BB"/>
    <w:rsid w:val="0017247D"/>
    <w:rsid w:val="001724F2"/>
    <w:rsid w:val="00172604"/>
    <w:rsid w:val="00172876"/>
    <w:rsid w:val="00172AEB"/>
    <w:rsid w:val="00172B36"/>
    <w:rsid w:val="00172BA4"/>
    <w:rsid w:val="00173319"/>
    <w:rsid w:val="001733E9"/>
    <w:rsid w:val="0017384E"/>
    <w:rsid w:val="00173980"/>
    <w:rsid w:val="00173B8F"/>
    <w:rsid w:val="00173BC2"/>
    <w:rsid w:val="00173CDE"/>
    <w:rsid w:val="00174003"/>
    <w:rsid w:val="00174B09"/>
    <w:rsid w:val="001750DA"/>
    <w:rsid w:val="0017515E"/>
    <w:rsid w:val="0017518E"/>
    <w:rsid w:val="00175269"/>
    <w:rsid w:val="0017538C"/>
    <w:rsid w:val="00175701"/>
    <w:rsid w:val="00175871"/>
    <w:rsid w:val="001758BB"/>
    <w:rsid w:val="001759BB"/>
    <w:rsid w:val="00175DD3"/>
    <w:rsid w:val="0017666B"/>
    <w:rsid w:val="00176B40"/>
    <w:rsid w:val="00176BEC"/>
    <w:rsid w:val="001770BE"/>
    <w:rsid w:val="0017729A"/>
    <w:rsid w:val="00177690"/>
    <w:rsid w:val="0017773F"/>
    <w:rsid w:val="0017779B"/>
    <w:rsid w:val="001777B3"/>
    <w:rsid w:val="001777EA"/>
    <w:rsid w:val="001778FA"/>
    <w:rsid w:val="0017796D"/>
    <w:rsid w:val="00177ADB"/>
    <w:rsid w:val="0018024F"/>
    <w:rsid w:val="00180899"/>
    <w:rsid w:val="00181155"/>
    <w:rsid w:val="001815BB"/>
    <w:rsid w:val="00181D88"/>
    <w:rsid w:val="00181E69"/>
    <w:rsid w:val="00182101"/>
    <w:rsid w:val="00182731"/>
    <w:rsid w:val="001828BD"/>
    <w:rsid w:val="00182A3F"/>
    <w:rsid w:val="00182E90"/>
    <w:rsid w:val="00182EB7"/>
    <w:rsid w:val="00183214"/>
    <w:rsid w:val="001833F1"/>
    <w:rsid w:val="00183628"/>
    <w:rsid w:val="00183B2F"/>
    <w:rsid w:val="0018403C"/>
    <w:rsid w:val="00184058"/>
    <w:rsid w:val="001846D0"/>
    <w:rsid w:val="00184B85"/>
    <w:rsid w:val="00184BBB"/>
    <w:rsid w:val="00184CFD"/>
    <w:rsid w:val="00184E57"/>
    <w:rsid w:val="00184F37"/>
    <w:rsid w:val="00184F39"/>
    <w:rsid w:val="00185016"/>
    <w:rsid w:val="00185548"/>
    <w:rsid w:val="00185568"/>
    <w:rsid w:val="001858CC"/>
    <w:rsid w:val="00185E5B"/>
    <w:rsid w:val="00186504"/>
    <w:rsid w:val="0018650B"/>
    <w:rsid w:val="0018652F"/>
    <w:rsid w:val="001866F0"/>
    <w:rsid w:val="0018675D"/>
    <w:rsid w:val="001869BC"/>
    <w:rsid w:val="00186C10"/>
    <w:rsid w:val="00186CED"/>
    <w:rsid w:val="00186D79"/>
    <w:rsid w:val="00187241"/>
    <w:rsid w:val="001872D4"/>
    <w:rsid w:val="001875C5"/>
    <w:rsid w:val="00187621"/>
    <w:rsid w:val="0019019A"/>
    <w:rsid w:val="001902E0"/>
    <w:rsid w:val="00190804"/>
    <w:rsid w:val="001908B5"/>
    <w:rsid w:val="00190B20"/>
    <w:rsid w:val="00190DFD"/>
    <w:rsid w:val="001910CE"/>
    <w:rsid w:val="00191321"/>
    <w:rsid w:val="0019165E"/>
    <w:rsid w:val="001916C9"/>
    <w:rsid w:val="00191AC9"/>
    <w:rsid w:val="00191C3A"/>
    <w:rsid w:val="00191E13"/>
    <w:rsid w:val="00192118"/>
    <w:rsid w:val="00192333"/>
    <w:rsid w:val="0019286B"/>
    <w:rsid w:val="001928B6"/>
    <w:rsid w:val="00192AD0"/>
    <w:rsid w:val="00193C78"/>
    <w:rsid w:val="00194203"/>
    <w:rsid w:val="00194212"/>
    <w:rsid w:val="00194418"/>
    <w:rsid w:val="001947A5"/>
    <w:rsid w:val="00194C1C"/>
    <w:rsid w:val="001950AB"/>
    <w:rsid w:val="001950B2"/>
    <w:rsid w:val="001956B3"/>
    <w:rsid w:val="00195759"/>
    <w:rsid w:val="00195BFB"/>
    <w:rsid w:val="00195D6A"/>
    <w:rsid w:val="00196182"/>
    <w:rsid w:val="001966FA"/>
    <w:rsid w:val="0019679C"/>
    <w:rsid w:val="00196995"/>
    <w:rsid w:val="00196E53"/>
    <w:rsid w:val="001970F5"/>
    <w:rsid w:val="00197471"/>
    <w:rsid w:val="001974AB"/>
    <w:rsid w:val="00197548"/>
    <w:rsid w:val="0019761A"/>
    <w:rsid w:val="001979BD"/>
    <w:rsid w:val="00197C32"/>
    <w:rsid w:val="00197F75"/>
    <w:rsid w:val="001A04E3"/>
    <w:rsid w:val="001A05DF"/>
    <w:rsid w:val="001A09D9"/>
    <w:rsid w:val="001A0A47"/>
    <w:rsid w:val="001A0CCA"/>
    <w:rsid w:val="001A0FBC"/>
    <w:rsid w:val="001A11DA"/>
    <w:rsid w:val="001A1213"/>
    <w:rsid w:val="001A1628"/>
    <w:rsid w:val="001A1AA2"/>
    <w:rsid w:val="001A1CB7"/>
    <w:rsid w:val="001A1E46"/>
    <w:rsid w:val="001A2107"/>
    <w:rsid w:val="001A26D9"/>
    <w:rsid w:val="001A2734"/>
    <w:rsid w:val="001A2A11"/>
    <w:rsid w:val="001A2A21"/>
    <w:rsid w:val="001A2AFD"/>
    <w:rsid w:val="001A2B1A"/>
    <w:rsid w:val="001A2D26"/>
    <w:rsid w:val="001A2DA1"/>
    <w:rsid w:val="001A2ED4"/>
    <w:rsid w:val="001A350A"/>
    <w:rsid w:val="001A3628"/>
    <w:rsid w:val="001A3D74"/>
    <w:rsid w:val="001A3E18"/>
    <w:rsid w:val="001A4075"/>
    <w:rsid w:val="001A40C1"/>
    <w:rsid w:val="001A41B6"/>
    <w:rsid w:val="001A446A"/>
    <w:rsid w:val="001A457A"/>
    <w:rsid w:val="001A4DC5"/>
    <w:rsid w:val="001A4EFC"/>
    <w:rsid w:val="001A4FA1"/>
    <w:rsid w:val="001A52EA"/>
    <w:rsid w:val="001A53C3"/>
    <w:rsid w:val="001A54D7"/>
    <w:rsid w:val="001A5985"/>
    <w:rsid w:val="001A5FF8"/>
    <w:rsid w:val="001A629E"/>
    <w:rsid w:val="001A62E2"/>
    <w:rsid w:val="001A63B8"/>
    <w:rsid w:val="001A6423"/>
    <w:rsid w:val="001A665E"/>
    <w:rsid w:val="001A6933"/>
    <w:rsid w:val="001A699E"/>
    <w:rsid w:val="001A6A3F"/>
    <w:rsid w:val="001A6A69"/>
    <w:rsid w:val="001A6CF0"/>
    <w:rsid w:val="001A6E9D"/>
    <w:rsid w:val="001A70A3"/>
    <w:rsid w:val="001A732F"/>
    <w:rsid w:val="001A7774"/>
    <w:rsid w:val="001A78B6"/>
    <w:rsid w:val="001A7B32"/>
    <w:rsid w:val="001B0015"/>
    <w:rsid w:val="001B0521"/>
    <w:rsid w:val="001B06B4"/>
    <w:rsid w:val="001B07CE"/>
    <w:rsid w:val="001B08B0"/>
    <w:rsid w:val="001B0EA5"/>
    <w:rsid w:val="001B104C"/>
    <w:rsid w:val="001B11A6"/>
    <w:rsid w:val="001B12A5"/>
    <w:rsid w:val="001B1A2C"/>
    <w:rsid w:val="001B1AEF"/>
    <w:rsid w:val="001B1BFB"/>
    <w:rsid w:val="001B21CE"/>
    <w:rsid w:val="001B228A"/>
    <w:rsid w:val="001B2360"/>
    <w:rsid w:val="001B247D"/>
    <w:rsid w:val="001B2495"/>
    <w:rsid w:val="001B24D4"/>
    <w:rsid w:val="001B2629"/>
    <w:rsid w:val="001B26EC"/>
    <w:rsid w:val="001B2708"/>
    <w:rsid w:val="001B2983"/>
    <w:rsid w:val="001B2F20"/>
    <w:rsid w:val="001B324F"/>
    <w:rsid w:val="001B3356"/>
    <w:rsid w:val="001B3556"/>
    <w:rsid w:val="001B3720"/>
    <w:rsid w:val="001B39CB"/>
    <w:rsid w:val="001B3D93"/>
    <w:rsid w:val="001B3E3F"/>
    <w:rsid w:val="001B3E77"/>
    <w:rsid w:val="001B4460"/>
    <w:rsid w:val="001B469F"/>
    <w:rsid w:val="001B4882"/>
    <w:rsid w:val="001B48C0"/>
    <w:rsid w:val="001B492C"/>
    <w:rsid w:val="001B4A17"/>
    <w:rsid w:val="001B5CAC"/>
    <w:rsid w:val="001B5CB5"/>
    <w:rsid w:val="001B5F1B"/>
    <w:rsid w:val="001B5F3F"/>
    <w:rsid w:val="001B5FE0"/>
    <w:rsid w:val="001B60A4"/>
    <w:rsid w:val="001B60FE"/>
    <w:rsid w:val="001B64E9"/>
    <w:rsid w:val="001B6CC5"/>
    <w:rsid w:val="001B6F7C"/>
    <w:rsid w:val="001B6FF0"/>
    <w:rsid w:val="001B71A4"/>
    <w:rsid w:val="001B734B"/>
    <w:rsid w:val="001B76FA"/>
    <w:rsid w:val="001B78D5"/>
    <w:rsid w:val="001B7B81"/>
    <w:rsid w:val="001B7FF7"/>
    <w:rsid w:val="001C01EC"/>
    <w:rsid w:val="001C0867"/>
    <w:rsid w:val="001C0A1C"/>
    <w:rsid w:val="001C0FA3"/>
    <w:rsid w:val="001C10FB"/>
    <w:rsid w:val="001C1265"/>
    <w:rsid w:val="001C12D0"/>
    <w:rsid w:val="001C16A8"/>
    <w:rsid w:val="001C1B9B"/>
    <w:rsid w:val="001C1BC1"/>
    <w:rsid w:val="001C1CE9"/>
    <w:rsid w:val="001C1DEC"/>
    <w:rsid w:val="001C1F48"/>
    <w:rsid w:val="001C1FF2"/>
    <w:rsid w:val="001C206E"/>
    <w:rsid w:val="001C215A"/>
    <w:rsid w:val="001C22BB"/>
    <w:rsid w:val="001C236D"/>
    <w:rsid w:val="001C25A9"/>
    <w:rsid w:val="001C26BB"/>
    <w:rsid w:val="001C27D4"/>
    <w:rsid w:val="001C2BCE"/>
    <w:rsid w:val="001C2CAF"/>
    <w:rsid w:val="001C2D4E"/>
    <w:rsid w:val="001C2E93"/>
    <w:rsid w:val="001C3912"/>
    <w:rsid w:val="001C3AED"/>
    <w:rsid w:val="001C41CE"/>
    <w:rsid w:val="001C428D"/>
    <w:rsid w:val="001C44A6"/>
    <w:rsid w:val="001C4BE2"/>
    <w:rsid w:val="001C4F0C"/>
    <w:rsid w:val="001C4FF9"/>
    <w:rsid w:val="001C5632"/>
    <w:rsid w:val="001C5EB6"/>
    <w:rsid w:val="001C5FA3"/>
    <w:rsid w:val="001C601B"/>
    <w:rsid w:val="001C61C5"/>
    <w:rsid w:val="001C61EC"/>
    <w:rsid w:val="001C63E5"/>
    <w:rsid w:val="001C66EF"/>
    <w:rsid w:val="001C6846"/>
    <w:rsid w:val="001C6BB1"/>
    <w:rsid w:val="001C6C61"/>
    <w:rsid w:val="001C6E16"/>
    <w:rsid w:val="001C6E32"/>
    <w:rsid w:val="001C7209"/>
    <w:rsid w:val="001C7332"/>
    <w:rsid w:val="001C762D"/>
    <w:rsid w:val="001C7736"/>
    <w:rsid w:val="001C7852"/>
    <w:rsid w:val="001C7BF4"/>
    <w:rsid w:val="001C7F0D"/>
    <w:rsid w:val="001D025C"/>
    <w:rsid w:val="001D03FF"/>
    <w:rsid w:val="001D060E"/>
    <w:rsid w:val="001D0747"/>
    <w:rsid w:val="001D0CFB"/>
    <w:rsid w:val="001D0DE0"/>
    <w:rsid w:val="001D0E83"/>
    <w:rsid w:val="001D1303"/>
    <w:rsid w:val="001D156E"/>
    <w:rsid w:val="001D1A74"/>
    <w:rsid w:val="001D1E79"/>
    <w:rsid w:val="001D1EE6"/>
    <w:rsid w:val="001D1FB7"/>
    <w:rsid w:val="001D261E"/>
    <w:rsid w:val="001D279C"/>
    <w:rsid w:val="001D2AB2"/>
    <w:rsid w:val="001D2B45"/>
    <w:rsid w:val="001D2BD1"/>
    <w:rsid w:val="001D3675"/>
    <w:rsid w:val="001D37BA"/>
    <w:rsid w:val="001D3876"/>
    <w:rsid w:val="001D3892"/>
    <w:rsid w:val="001D3BCA"/>
    <w:rsid w:val="001D3C3C"/>
    <w:rsid w:val="001D3D34"/>
    <w:rsid w:val="001D3E63"/>
    <w:rsid w:val="001D4049"/>
    <w:rsid w:val="001D4200"/>
    <w:rsid w:val="001D439B"/>
    <w:rsid w:val="001D4B9B"/>
    <w:rsid w:val="001D4CA9"/>
    <w:rsid w:val="001D4CEA"/>
    <w:rsid w:val="001D5BEE"/>
    <w:rsid w:val="001D5DF6"/>
    <w:rsid w:val="001D6688"/>
    <w:rsid w:val="001D6773"/>
    <w:rsid w:val="001D68EF"/>
    <w:rsid w:val="001D69DE"/>
    <w:rsid w:val="001D6A77"/>
    <w:rsid w:val="001D6C13"/>
    <w:rsid w:val="001D6F9E"/>
    <w:rsid w:val="001D7586"/>
    <w:rsid w:val="001E001D"/>
    <w:rsid w:val="001E00EF"/>
    <w:rsid w:val="001E014E"/>
    <w:rsid w:val="001E0524"/>
    <w:rsid w:val="001E0540"/>
    <w:rsid w:val="001E081F"/>
    <w:rsid w:val="001E0D78"/>
    <w:rsid w:val="001E0DCA"/>
    <w:rsid w:val="001E113B"/>
    <w:rsid w:val="001E1884"/>
    <w:rsid w:val="001E1B6A"/>
    <w:rsid w:val="001E2024"/>
    <w:rsid w:val="001E21B5"/>
    <w:rsid w:val="001E23CA"/>
    <w:rsid w:val="001E2D63"/>
    <w:rsid w:val="001E2EF4"/>
    <w:rsid w:val="001E3364"/>
    <w:rsid w:val="001E34C2"/>
    <w:rsid w:val="001E35CA"/>
    <w:rsid w:val="001E3C75"/>
    <w:rsid w:val="001E418B"/>
    <w:rsid w:val="001E42EB"/>
    <w:rsid w:val="001E438F"/>
    <w:rsid w:val="001E43DB"/>
    <w:rsid w:val="001E4688"/>
    <w:rsid w:val="001E4A43"/>
    <w:rsid w:val="001E4BB0"/>
    <w:rsid w:val="001E4C02"/>
    <w:rsid w:val="001E4C40"/>
    <w:rsid w:val="001E533B"/>
    <w:rsid w:val="001E581B"/>
    <w:rsid w:val="001E59A1"/>
    <w:rsid w:val="001E59CE"/>
    <w:rsid w:val="001E5C5E"/>
    <w:rsid w:val="001E5CB9"/>
    <w:rsid w:val="001E60C8"/>
    <w:rsid w:val="001E60CF"/>
    <w:rsid w:val="001E60DE"/>
    <w:rsid w:val="001E613D"/>
    <w:rsid w:val="001E6289"/>
    <w:rsid w:val="001E635F"/>
    <w:rsid w:val="001E6460"/>
    <w:rsid w:val="001E6D92"/>
    <w:rsid w:val="001E6DBD"/>
    <w:rsid w:val="001E72A8"/>
    <w:rsid w:val="001E75B8"/>
    <w:rsid w:val="001E793A"/>
    <w:rsid w:val="001E799A"/>
    <w:rsid w:val="001E799E"/>
    <w:rsid w:val="001E7CA8"/>
    <w:rsid w:val="001E7E9E"/>
    <w:rsid w:val="001F02AD"/>
    <w:rsid w:val="001F0594"/>
    <w:rsid w:val="001F07D7"/>
    <w:rsid w:val="001F0912"/>
    <w:rsid w:val="001F098B"/>
    <w:rsid w:val="001F0A35"/>
    <w:rsid w:val="001F0AB7"/>
    <w:rsid w:val="001F0BB3"/>
    <w:rsid w:val="001F1950"/>
    <w:rsid w:val="001F1D96"/>
    <w:rsid w:val="001F2334"/>
    <w:rsid w:val="001F2403"/>
    <w:rsid w:val="001F25FE"/>
    <w:rsid w:val="001F283D"/>
    <w:rsid w:val="001F2904"/>
    <w:rsid w:val="001F2BD8"/>
    <w:rsid w:val="001F2BE6"/>
    <w:rsid w:val="001F3039"/>
    <w:rsid w:val="001F3255"/>
    <w:rsid w:val="001F331F"/>
    <w:rsid w:val="001F3C12"/>
    <w:rsid w:val="001F3FCF"/>
    <w:rsid w:val="001F42BC"/>
    <w:rsid w:val="001F42FC"/>
    <w:rsid w:val="001F43B4"/>
    <w:rsid w:val="001F46EC"/>
    <w:rsid w:val="001F4744"/>
    <w:rsid w:val="001F48E2"/>
    <w:rsid w:val="001F4913"/>
    <w:rsid w:val="001F4BFB"/>
    <w:rsid w:val="001F4C5C"/>
    <w:rsid w:val="001F4CAE"/>
    <w:rsid w:val="001F4DB5"/>
    <w:rsid w:val="001F5048"/>
    <w:rsid w:val="001F5318"/>
    <w:rsid w:val="001F5537"/>
    <w:rsid w:val="001F582A"/>
    <w:rsid w:val="001F5854"/>
    <w:rsid w:val="001F59C0"/>
    <w:rsid w:val="001F5B96"/>
    <w:rsid w:val="001F6377"/>
    <w:rsid w:val="001F644C"/>
    <w:rsid w:val="001F65F8"/>
    <w:rsid w:val="001F68DE"/>
    <w:rsid w:val="001F6FA6"/>
    <w:rsid w:val="001F72A6"/>
    <w:rsid w:val="001F74A0"/>
    <w:rsid w:val="001F7A39"/>
    <w:rsid w:val="001F7B66"/>
    <w:rsid w:val="001F7FE3"/>
    <w:rsid w:val="00200267"/>
    <w:rsid w:val="00200477"/>
    <w:rsid w:val="00200862"/>
    <w:rsid w:val="0020087E"/>
    <w:rsid w:val="002008DC"/>
    <w:rsid w:val="002009C2"/>
    <w:rsid w:val="00200B6E"/>
    <w:rsid w:val="00200B91"/>
    <w:rsid w:val="00200EF4"/>
    <w:rsid w:val="002012E2"/>
    <w:rsid w:val="002015B5"/>
    <w:rsid w:val="002015B9"/>
    <w:rsid w:val="002016CD"/>
    <w:rsid w:val="00201C67"/>
    <w:rsid w:val="00201D8A"/>
    <w:rsid w:val="00201EAC"/>
    <w:rsid w:val="002026E8"/>
    <w:rsid w:val="0020279B"/>
    <w:rsid w:val="0020298B"/>
    <w:rsid w:val="00202C7B"/>
    <w:rsid w:val="00202D59"/>
    <w:rsid w:val="00202F49"/>
    <w:rsid w:val="00202F72"/>
    <w:rsid w:val="00203292"/>
    <w:rsid w:val="002033C1"/>
    <w:rsid w:val="00203460"/>
    <w:rsid w:val="002039D1"/>
    <w:rsid w:val="00203ACC"/>
    <w:rsid w:val="00203D8A"/>
    <w:rsid w:val="00203EA0"/>
    <w:rsid w:val="00204024"/>
    <w:rsid w:val="0020404A"/>
    <w:rsid w:val="00204051"/>
    <w:rsid w:val="00204241"/>
    <w:rsid w:val="002043CC"/>
    <w:rsid w:val="00204645"/>
    <w:rsid w:val="002047AE"/>
    <w:rsid w:val="00204C55"/>
    <w:rsid w:val="00204F59"/>
    <w:rsid w:val="00205508"/>
    <w:rsid w:val="002055F7"/>
    <w:rsid w:val="002056D0"/>
    <w:rsid w:val="00205815"/>
    <w:rsid w:val="00205D08"/>
    <w:rsid w:val="002064C8"/>
    <w:rsid w:val="00206555"/>
    <w:rsid w:val="002067B8"/>
    <w:rsid w:val="00206AFA"/>
    <w:rsid w:val="00206F10"/>
    <w:rsid w:val="0020727D"/>
    <w:rsid w:val="0020729C"/>
    <w:rsid w:val="002074ED"/>
    <w:rsid w:val="0020761D"/>
    <w:rsid w:val="002078D1"/>
    <w:rsid w:val="00207E7E"/>
    <w:rsid w:val="00207ED6"/>
    <w:rsid w:val="002100D6"/>
    <w:rsid w:val="00210466"/>
    <w:rsid w:val="0021068B"/>
    <w:rsid w:val="00210F9D"/>
    <w:rsid w:val="002111E1"/>
    <w:rsid w:val="0021144E"/>
    <w:rsid w:val="00211664"/>
    <w:rsid w:val="00211E35"/>
    <w:rsid w:val="00211ED0"/>
    <w:rsid w:val="002124DB"/>
    <w:rsid w:val="00212B27"/>
    <w:rsid w:val="00213515"/>
    <w:rsid w:val="0021390A"/>
    <w:rsid w:val="00213FC4"/>
    <w:rsid w:val="00214811"/>
    <w:rsid w:val="00214E62"/>
    <w:rsid w:val="002151FD"/>
    <w:rsid w:val="00215239"/>
    <w:rsid w:val="00215B85"/>
    <w:rsid w:val="00215BAB"/>
    <w:rsid w:val="00216063"/>
    <w:rsid w:val="00216475"/>
    <w:rsid w:val="00216792"/>
    <w:rsid w:val="00216C84"/>
    <w:rsid w:val="00216CCF"/>
    <w:rsid w:val="00216EAA"/>
    <w:rsid w:val="002171A7"/>
    <w:rsid w:val="002172B2"/>
    <w:rsid w:val="00217619"/>
    <w:rsid w:val="00217B98"/>
    <w:rsid w:val="00217C9D"/>
    <w:rsid w:val="00217F38"/>
    <w:rsid w:val="00220023"/>
    <w:rsid w:val="002206EC"/>
    <w:rsid w:val="0022085D"/>
    <w:rsid w:val="00220E3D"/>
    <w:rsid w:val="0022116E"/>
    <w:rsid w:val="0022150D"/>
    <w:rsid w:val="00221A04"/>
    <w:rsid w:val="00221A0F"/>
    <w:rsid w:val="00221AE0"/>
    <w:rsid w:val="00221CC7"/>
    <w:rsid w:val="00221E3A"/>
    <w:rsid w:val="00221FDB"/>
    <w:rsid w:val="00222173"/>
    <w:rsid w:val="002226BF"/>
    <w:rsid w:val="002226DC"/>
    <w:rsid w:val="002228B8"/>
    <w:rsid w:val="00222BDF"/>
    <w:rsid w:val="00222DA6"/>
    <w:rsid w:val="002231A5"/>
    <w:rsid w:val="0022323E"/>
    <w:rsid w:val="002232D3"/>
    <w:rsid w:val="0022338D"/>
    <w:rsid w:val="0022343F"/>
    <w:rsid w:val="0022349F"/>
    <w:rsid w:val="0022353A"/>
    <w:rsid w:val="002236DE"/>
    <w:rsid w:val="002238DD"/>
    <w:rsid w:val="00223A2B"/>
    <w:rsid w:val="00223E7E"/>
    <w:rsid w:val="002240FA"/>
    <w:rsid w:val="00224418"/>
    <w:rsid w:val="00224727"/>
    <w:rsid w:val="002247FD"/>
    <w:rsid w:val="002249CD"/>
    <w:rsid w:val="00224A20"/>
    <w:rsid w:val="00224D8C"/>
    <w:rsid w:val="00225058"/>
    <w:rsid w:val="002255FC"/>
    <w:rsid w:val="002257A2"/>
    <w:rsid w:val="00225CAC"/>
    <w:rsid w:val="00225F7A"/>
    <w:rsid w:val="002262D3"/>
    <w:rsid w:val="002263E7"/>
    <w:rsid w:val="002267D9"/>
    <w:rsid w:val="002272D9"/>
    <w:rsid w:val="00227354"/>
    <w:rsid w:val="002274F9"/>
    <w:rsid w:val="00227769"/>
    <w:rsid w:val="00227FA1"/>
    <w:rsid w:val="00230018"/>
    <w:rsid w:val="00230062"/>
    <w:rsid w:val="00230246"/>
    <w:rsid w:val="002303EF"/>
    <w:rsid w:val="0023080C"/>
    <w:rsid w:val="00230988"/>
    <w:rsid w:val="002309E2"/>
    <w:rsid w:val="00230CBE"/>
    <w:rsid w:val="00230D2A"/>
    <w:rsid w:val="00230F23"/>
    <w:rsid w:val="002310F8"/>
    <w:rsid w:val="0023116A"/>
    <w:rsid w:val="002311A1"/>
    <w:rsid w:val="0023129F"/>
    <w:rsid w:val="002312B2"/>
    <w:rsid w:val="002316EB"/>
    <w:rsid w:val="002317FD"/>
    <w:rsid w:val="00231AF4"/>
    <w:rsid w:val="00231D6C"/>
    <w:rsid w:val="00231E65"/>
    <w:rsid w:val="00232243"/>
    <w:rsid w:val="00232555"/>
    <w:rsid w:val="0023265E"/>
    <w:rsid w:val="002326DB"/>
    <w:rsid w:val="00232972"/>
    <w:rsid w:val="002329FC"/>
    <w:rsid w:val="00232E5C"/>
    <w:rsid w:val="00233033"/>
    <w:rsid w:val="00233149"/>
    <w:rsid w:val="002335E6"/>
    <w:rsid w:val="002335E9"/>
    <w:rsid w:val="00233C6B"/>
    <w:rsid w:val="00233F70"/>
    <w:rsid w:val="002341A4"/>
    <w:rsid w:val="002343DD"/>
    <w:rsid w:val="00234BE4"/>
    <w:rsid w:val="002352E3"/>
    <w:rsid w:val="0023536A"/>
    <w:rsid w:val="0023552E"/>
    <w:rsid w:val="00235AEC"/>
    <w:rsid w:val="00235B0F"/>
    <w:rsid w:val="00235EE5"/>
    <w:rsid w:val="002360B0"/>
    <w:rsid w:val="00236544"/>
    <w:rsid w:val="00236578"/>
    <w:rsid w:val="002366D2"/>
    <w:rsid w:val="002366DE"/>
    <w:rsid w:val="00236778"/>
    <w:rsid w:val="002368A3"/>
    <w:rsid w:val="002369DD"/>
    <w:rsid w:val="00236E74"/>
    <w:rsid w:val="00237013"/>
    <w:rsid w:val="002373B4"/>
    <w:rsid w:val="00237697"/>
    <w:rsid w:val="002379D2"/>
    <w:rsid w:val="002400F5"/>
    <w:rsid w:val="002405DD"/>
    <w:rsid w:val="002407D6"/>
    <w:rsid w:val="00240880"/>
    <w:rsid w:val="00240B40"/>
    <w:rsid w:val="00240B43"/>
    <w:rsid w:val="00240F1C"/>
    <w:rsid w:val="00240F30"/>
    <w:rsid w:val="002414CB"/>
    <w:rsid w:val="00241624"/>
    <w:rsid w:val="0024189C"/>
    <w:rsid w:val="00241925"/>
    <w:rsid w:val="00241D9E"/>
    <w:rsid w:val="00242357"/>
    <w:rsid w:val="002425B0"/>
    <w:rsid w:val="00242DD0"/>
    <w:rsid w:val="00242EB4"/>
    <w:rsid w:val="002430DF"/>
    <w:rsid w:val="00243AE4"/>
    <w:rsid w:val="00243CA2"/>
    <w:rsid w:val="00243F66"/>
    <w:rsid w:val="00243FC8"/>
    <w:rsid w:val="00244262"/>
    <w:rsid w:val="002447F1"/>
    <w:rsid w:val="00244C44"/>
    <w:rsid w:val="002451F8"/>
    <w:rsid w:val="0024558C"/>
    <w:rsid w:val="00245668"/>
    <w:rsid w:val="0024581F"/>
    <w:rsid w:val="00245A0B"/>
    <w:rsid w:val="00245BE8"/>
    <w:rsid w:val="00245C1D"/>
    <w:rsid w:val="00245D40"/>
    <w:rsid w:val="00245DE6"/>
    <w:rsid w:val="00245EB4"/>
    <w:rsid w:val="0024600F"/>
    <w:rsid w:val="002464A1"/>
    <w:rsid w:val="0024650A"/>
    <w:rsid w:val="00246665"/>
    <w:rsid w:val="00246842"/>
    <w:rsid w:val="00246934"/>
    <w:rsid w:val="00246AF3"/>
    <w:rsid w:val="00246F49"/>
    <w:rsid w:val="002472EC"/>
    <w:rsid w:val="0024753E"/>
    <w:rsid w:val="00247935"/>
    <w:rsid w:val="00250472"/>
    <w:rsid w:val="002505AB"/>
    <w:rsid w:val="002506F4"/>
    <w:rsid w:val="00250891"/>
    <w:rsid w:val="0025097F"/>
    <w:rsid w:val="00250A27"/>
    <w:rsid w:val="00250E20"/>
    <w:rsid w:val="00250EE2"/>
    <w:rsid w:val="00250EF8"/>
    <w:rsid w:val="00251241"/>
    <w:rsid w:val="002512BA"/>
    <w:rsid w:val="002515A0"/>
    <w:rsid w:val="0025187F"/>
    <w:rsid w:val="002518EA"/>
    <w:rsid w:val="00251913"/>
    <w:rsid w:val="002519C5"/>
    <w:rsid w:val="002523D4"/>
    <w:rsid w:val="00252510"/>
    <w:rsid w:val="002525C5"/>
    <w:rsid w:val="0025284B"/>
    <w:rsid w:val="002528E7"/>
    <w:rsid w:val="00252976"/>
    <w:rsid w:val="00253193"/>
    <w:rsid w:val="00253382"/>
    <w:rsid w:val="00253AAB"/>
    <w:rsid w:val="00253C2C"/>
    <w:rsid w:val="00253F65"/>
    <w:rsid w:val="002544D8"/>
    <w:rsid w:val="00254A4A"/>
    <w:rsid w:val="00254C33"/>
    <w:rsid w:val="00254DCA"/>
    <w:rsid w:val="00254E0E"/>
    <w:rsid w:val="00255325"/>
    <w:rsid w:val="00255358"/>
    <w:rsid w:val="002555C8"/>
    <w:rsid w:val="0025560D"/>
    <w:rsid w:val="002556A0"/>
    <w:rsid w:val="002556CA"/>
    <w:rsid w:val="002556F1"/>
    <w:rsid w:val="00255D98"/>
    <w:rsid w:val="00255E2A"/>
    <w:rsid w:val="00255E54"/>
    <w:rsid w:val="002561F0"/>
    <w:rsid w:val="00256385"/>
    <w:rsid w:val="00256404"/>
    <w:rsid w:val="00256998"/>
    <w:rsid w:val="00256C9A"/>
    <w:rsid w:val="002573F2"/>
    <w:rsid w:val="00257406"/>
    <w:rsid w:val="002575EF"/>
    <w:rsid w:val="0025766E"/>
    <w:rsid w:val="00257C27"/>
    <w:rsid w:val="00257CF2"/>
    <w:rsid w:val="00257D46"/>
    <w:rsid w:val="00260091"/>
    <w:rsid w:val="0026050E"/>
    <w:rsid w:val="002606FF"/>
    <w:rsid w:val="002607BF"/>
    <w:rsid w:val="0026090E"/>
    <w:rsid w:val="00260B17"/>
    <w:rsid w:val="00260D5F"/>
    <w:rsid w:val="002615E1"/>
    <w:rsid w:val="002616E5"/>
    <w:rsid w:val="00261B00"/>
    <w:rsid w:val="00261B8A"/>
    <w:rsid w:val="00261DAB"/>
    <w:rsid w:val="00262068"/>
    <w:rsid w:val="002621F8"/>
    <w:rsid w:val="002623F3"/>
    <w:rsid w:val="002624DF"/>
    <w:rsid w:val="002624EA"/>
    <w:rsid w:val="00262580"/>
    <w:rsid w:val="002632C1"/>
    <w:rsid w:val="00263313"/>
    <w:rsid w:val="00263397"/>
    <w:rsid w:val="00263450"/>
    <w:rsid w:val="002634BC"/>
    <w:rsid w:val="002636AE"/>
    <w:rsid w:val="002638BF"/>
    <w:rsid w:val="00263A87"/>
    <w:rsid w:val="00263C43"/>
    <w:rsid w:val="00263D36"/>
    <w:rsid w:val="00263E11"/>
    <w:rsid w:val="00264216"/>
    <w:rsid w:val="0026431B"/>
    <w:rsid w:val="00264BE0"/>
    <w:rsid w:val="00264C7B"/>
    <w:rsid w:val="00264F2D"/>
    <w:rsid w:val="002652C4"/>
    <w:rsid w:val="00265504"/>
    <w:rsid w:val="00265520"/>
    <w:rsid w:val="002656CD"/>
    <w:rsid w:val="0026582D"/>
    <w:rsid w:val="00265837"/>
    <w:rsid w:val="002659EF"/>
    <w:rsid w:val="00265A2F"/>
    <w:rsid w:val="00265B5B"/>
    <w:rsid w:val="00265DDE"/>
    <w:rsid w:val="00265F15"/>
    <w:rsid w:val="00265F98"/>
    <w:rsid w:val="002661CE"/>
    <w:rsid w:val="00266531"/>
    <w:rsid w:val="002666A2"/>
    <w:rsid w:val="0026693C"/>
    <w:rsid w:val="00266997"/>
    <w:rsid w:val="00266BC4"/>
    <w:rsid w:val="002674FD"/>
    <w:rsid w:val="00267506"/>
    <w:rsid w:val="002675A2"/>
    <w:rsid w:val="00267C81"/>
    <w:rsid w:val="00270258"/>
    <w:rsid w:val="0027071E"/>
    <w:rsid w:val="00270C6B"/>
    <w:rsid w:val="00270E49"/>
    <w:rsid w:val="00270F1C"/>
    <w:rsid w:val="00271014"/>
    <w:rsid w:val="00271061"/>
    <w:rsid w:val="00271424"/>
    <w:rsid w:val="002717A6"/>
    <w:rsid w:val="00271CEE"/>
    <w:rsid w:val="00271F23"/>
    <w:rsid w:val="0027211F"/>
    <w:rsid w:val="0027217A"/>
    <w:rsid w:val="00272A38"/>
    <w:rsid w:val="00272B41"/>
    <w:rsid w:val="00272D3C"/>
    <w:rsid w:val="00272FB8"/>
    <w:rsid w:val="002737CF"/>
    <w:rsid w:val="00273A86"/>
    <w:rsid w:val="00273C99"/>
    <w:rsid w:val="00274109"/>
    <w:rsid w:val="00274412"/>
    <w:rsid w:val="00274C4A"/>
    <w:rsid w:val="00274FDD"/>
    <w:rsid w:val="002752C8"/>
    <w:rsid w:val="00275544"/>
    <w:rsid w:val="002756F2"/>
    <w:rsid w:val="00275CE3"/>
    <w:rsid w:val="00275DF3"/>
    <w:rsid w:val="00275E19"/>
    <w:rsid w:val="00275F9D"/>
    <w:rsid w:val="0027671C"/>
    <w:rsid w:val="0027678B"/>
    <w:rsid w:val="002768FB"/>
    <w:rsid w:val="00276990"/>
    <w:rsid w:val="00276C56"/>
    <w:rsid w:val="00276C5D"/>
    <w:rsid w:val="002770C7"/>
    <w:rsid w:val="002774E6"/>
    <w:rsid w:val="00277E12"/>
    <w:rsid w:val="00277E16"/>
    <w:rsid w:val="00277E65"/>
    <w:rsid w:val="0028003A"/>
    <w:rsid w:val="0028016F"/>
    <w:rsid w:val="00280220"/>
    <w:rsid w:val="00280248"/>
    <w:rsid w:val="0028071E"/>
    <w:rsid w:val="002807D6"/>
    <w:rsid w:val="00280971"/>
    <w:rsid w:val="00281397"/>
    <w:rsid w:val="00281E07"/>
    <w:rsid w:val="00282485"/>
    <w:rsid w:val="00282C54"/>
    <w:rsid w:val="00282C72"/>
    <w:rsid w:val="00282D5B"/>
    <w:rsid w:val="00282F38"/>
    <w:rsid w:val="00283257"/>
    <w:rsid w:val="002836E7"/>
    <w:rsid w:val="002836F5"/>
    <w:rsid w:val="002837F0"/>
    <w:rsid w:val="002838C3"/>
    <w:rsid w:val="00283D7F"/>
    <w:rsid w:val="00283EB3"/>
    <w:rsid w:val="0028466A"/>
    <w:rsid w:val="002846FD"/>
    <w:rsid w:val="00284774"/>
    <w:rsid w:val="00284838"/>
    <w:rsid w:val="00284A22"/>
    <w:rsid w:val="00284C58"/>
    <w:rsid w:val="00284E90"/>
    <w:rsid w:val="00285519"/>
    <w:rsid w:val="002858AB"/>
    <w:rsid w:val="00285C0A"/>
    <w:rsid w:val="00285CF6"/>
    <w:rsid w:val="00285E78"/>
    <w:rsid w:val="00285ED8"/>
    <w:rsid w:val="00286514"/>
    <w:rsid w:val="0028657E"/>
    <w:rsid w:val="0028673E"/>
    <w:rsid w:val="00286AA7"/>
    <w:rsid w:val="00286F4C"/>
    <w:rsid w:val="00287466"/>
    <w:rsid w:val="002874B2"/>
    <w:rsid w:val="00287AB1"/>
    <w:rsid w:val="00287AF7"/>
    <w:rsid w:val="00287B06"/>
    <w:rsid w:val="002906F1"/>
    <w:rsid w:val="00290A2D"/>
    <w:rsid w:val="00290A48"/>
    <w:rsid w:val="00291012"/>
    <w:rsid w:val="00291241"/>
    <w:rsid w:val="00291555"/>
    <w:rsid w:val="00291B9F"/>
    <w:rsid w:val="00291DA0"/>
    <w:rsid w:val="00292093"/>
    <w:rsid w:val="00292145"/>
    <w:rsid w:val="0029234A"/>
    <w:rsid w:val="00292B2A"/>
    <w:rsid w:val="002935B7"/>
    <w:rsid w:val="0029368A"/>
    <w:rsid w:val="002937F9"/>
    <w:rsid w:val="00293C4D"/>
    <w:rsid w:val="00293EDF"/>
    <w:rsid w:val="00294099"/>
    <w:rsid w:val="002940B0"/>
    <w:rsid w:val="002941D0"/>
    <w:rsid w:val="0029447D"/>
    <w:rsid w:val="002946B9"/>
    <w:rsid w:val="00294802"/>
    <w:rsid w:val="00294B5C"/>
    <w:rsid w:val="00294CC5"/>
    <w:rsid w:val="00294D27"/>
    <w:rsid w:val="002952DF"/>
    <w:rsid w:val="00295413"/>
    <w:rsid w:val="002954EC"/>
    <w:rsid w:val="00295502"/>
    <w:rsid w:val="00295840"/>
    <w:rsid w:val="00295A0C"/>
    <w:rsid w:val="002964BB"/>
    <w:rsid w:val="00296502"/>
    <w:rsid w:val="00296543"/>
    <w:rsid w:val="002968DB"/>
    <w:rsid w:val="00297D9E"/>
    <w:rsid w:val="00297F33"/>
    <w:rsid w:val="002A007D"/>
    <w:rsid w:val="002A0084"/>
    <w:rsid w:val="002A0166"/>
    <w:rsid w:val="002A0346"/>
    <w:rsid w:val="002A036D"/>
    <w:rsid w:val="002A082D"/>
    <w:rsid w:val="002A0BCA"/>
    <w:rsid w:val="002A0BDB"/>
    <w:rsid w:val="002A0CB2"/>
    <w:rsid w:val="002A0EE7"/>
    <w:rsid w:val="002A11ED"/>
    <w:rsid w:val="002A13B9"/>
    <w:rsid w:val="002A15B1"/>
    <w:rsid w:val="002A1943"/>
    <w:rsid w:val="002A1F54"/>
    <w:rsid w:val="002A1F7B"/>
    <w:rsid w:val="002A21BE"/>
    <w:rsid w:val="002A2952"/>
    <w:rsid w:val="002A2C28"/>
    <w:rsid w:val="002A2E36"/>
    <w:rsid w:val="002A2FF0"/>
    <w:rsid w:val="002A3071"/>
    <w:rsid w:val="002A30D0"/>
    <w:rsid w:val="002A30ED"/>
    <w:rsid w:val="002A338F"/>
    <w:rsid w:val="002A34E6"/>
    <w:rsid w:val="002A365B"/>
    <w:rsid w:val="002A36B0"/>
    <w:rsid w:val="002A3852"/>
    <w:rsid w:val="002A3AA2"/>
    <w:rsid w:val="002A3B38"/>
    <w:rsid w:val="002A3B53"/>
    <w:rsid w:val="002A3BCF"/>
    <w:rsid w:val="002A3DA9"/>
    <w:rsid w:val="002A41A9"/>
    <w:rsid w:val="002A42FD"/>
    <w:rsid w:val="002A4341"/>
    <w:rsid w:val="002A4545"/>
    <w:rsid w:val="002A45BC"/>
    <w:rsid w:val="002A46B6"/>
    <w:rsid w:val="002A4CCB"/>
    <w:rsid w:val="002A5519"/>
    <w:rsid w:val="002A5AE9"/>
    <w:rsid w:val="002A5E21"/>
    <w:rsid w:val="002A626A"/>
    <w:rsid w:val="002A6542"/>
    <w:rsid w:val="002A65EC"/>
    <w:rsid w:val="002A669B"/>
    <w:rsid w:val="002A6B48"/>
    <w:rsid w:val="002A6BF4"/>
    <w:rsid w:val="002A6BFF"/>
    <w:rsid w:val="002A6C14"/>
    <w:rsid w:val="002A6D67"/>
    <w:rsid w:val="002A6DAE"/>
    <w:rsid w:val="002A6F3B"/>
    <w:rsid w:val="002A7A85"/>
    <w:rsid w:val="002B035A"/>
    <w:rsid w:val="002B03BB"/>
    <w:rsid w:val="002B09FE"/>
    <w:rsid w:val="002B0FF2"/>
    <w:rsid w:val="002B104B"/>
    <w:rsid w:val="002B11C8"/>
    <w:rsid w:val="002B1206"/>
    <w:rsid w:val="002B1A23"/>
    <w:rsid w:val="002B1AB7"/>
    <w:rsid w:val="002B1B24"/>
    <w:rsid w:val="002B1D09"/>
    <w:rsid w:val="002B1E86"/>
    <w:rsid w:val="002B1E8D"/>
    <w:rsid w:val="002B1F0A"/>
    <w:rsid w:val="002B22B4"/>
    <w:rsid w:val="002B235D"/>
    <w:rsid w:val="002B2469"/>
    <w:rsid w:val="002B29AD"/>
    <w:rsid w:val="002B2AC3"/>
    <w:rsid w:val="002B2E3D"/>
    <w:rsid w:val="002B2E84"/>
    <w:rsid w:val="002B2E9D"/>
    <w:rsid w:val="002B30B9"/>
    <w:rsid w:val="002B30FC"/>
    <w:rsid w:val="002B3271"/>
    <w:rsid w:val="002B3808"/>
    <w:rsid w:val="002B383D"/>
    <w:rsid w:val="002B3B4A"/>
    <w:rsid w:val="002B41F8"/>
    <w:rsid w:val="002B4273"/>
    <w:rsid w:val="002B4471"/>
    <w:rsid w:val="002B4720"/>
    <w:rsid w:val="002B4A86"/>
    <w:rsid w:val="002B4DD7"/>
    <w:rsid w:val="002B5027"/>
    <w:rsid w:val="002B504B"/>
    <w:rsid w:val="002B58DF"/>
    <w:rsid w:val="002B5C9D"/>
    <w:rsid w:val="002B6978"/>
    <w:rsid w:val="002B6A03"/>
    <w:rsid w:val="002B6F10"/>
    <w:rsid w:val="002B75B8"/>
    <w:rsid w:val="002B768B"/>
    <w:rsid w:val="002B7A48"/>
    <w:rsid w:val="002B7B42"/>
    <w:rsid w:val="002C007D"/>
    <w:rsid w:val="002C039D"/>
    <w:rsid w:val="002C06AE"/>
    <w:rsid w:val="002C0C93"/>
    <w:rsid w:val="002C0E8F"/>
    <w:rsid w:val="002C0F72"/>
    <w:rsid w:val="002C1466"/>
    <w:rsid w:val="002C18CA"/>
    <w:rsid w:val="002C1FF8"/>
    <w:rsid w:val="002C21A5"/>
    <w:rsid w:val="002C21DA"/>
    <w:rsid w:val="002C23B0"/>
    <w:rsid w:val="002C23DB"/>
    <w:rsid w:val="002C26E7"/>
    <w:rsid w:val="002C27E8"/>
    <w:rsid w:val="002C2EDF"/>
    <w:rsid w:val="002C30BB"/>
    <w:rsid w:val="002C3523"/>
    <w:rsid w:val="002C3544"/>
    <w:rsid w:val="002C36E3"/>
    <w:rsid w:val="002C3A14"/>
    <w:rsid w:val="002C3C65"/>
    <w:rsid w:val="002C3D36"/>
    <w:rsid w:val="002C3E45"/>
    <w:rsid w:val="002C4147"/>
    <w:rsid w:val="002C4165"/>
    <w:rsid w:val="002C423A"/>
    <w:rsid w:val="002C4434"/>
    <w:rsid w:val="002C4713"/>
    <w:rsid w:val="002C4BF1"/>
    <w:rsid w:val="002C4CB3"/>
    <w:rsid w:val="002C52E3"/>
    <w:rsid w:val="002C5308"/>
    <w:rsid w:val="002C53B3"/>
    <w:rsid w:val="002C54D9"/>
    <w:rsid w:val="002C55F0"/>
    <w:rsid w:val="002C5E5D"/>
    <w:rsid w:val="002C610D"/>
    <w:rsid w:val="002C61F8"/>
    <w:rsid w:val="002C651B"/>
    <w:rsid w:val="002C6782"/>
    <w:rsid w:val="002C68F9"/>
    <w:rsid w:val="002C690D"/>
    <w:rsid w:val="002C6B11"/>
    <w:rsid w:val="002C6F5C"/>
    <w:rsid w:val="002C72BA"/>
    <w:rsid w:val="002C72C2"/>
    <w:rsid w:val="002C734F"/>
    <w:rsid w:val="002C76C4"/>
    <w:rsid w:val="002C7888"/>
    <w:rsid w:val="002D01FD"/>
    <w:rsid w:val="002D02A4"/>
    <w:rsid w:val="002D03E4"/>
    <w:rsid w:val="002D05A3"/>
    <w:rsid w:val="002D08AB"/>
    <w:rsid w:val="002D09CC"/>
    <w:rsid w:val="002D0AC5"/>
    <w:rsid w:val="002D0B1D"/>
    <w:rsid w:val="002D0B86"/>
    <w:rsid w:val="002D0CE4"/>
    <w:rsid w:val="002D0F36"/>
    <w:rsid w:val="002D11D3"/>
    <w:rsid w:val="002D12C6"/>
    <w:rsid w:val="002D1900"/>
    <w:rsid w:val="002D1CAC"/>
    <w:rsid w:val="002D21EA"/>
    <w:rsid w:val="002D2514"/>
    <w:rsid w:val="002D2730"/>
    <w:rsid w:val="002D2871"/>
    <w:rsid w:val="002D28E8"/>
    <w:rsid w:val="002D2CD6"/>
    <w:rsid w:val="002D34B8"/>
    <w:rsid w:val="002D36FB"/>
    <w:rsid w:val="002D3743"/>
    <w:rsid w:val="002D3C30"/>
    <w:rsid w:val="002D3D9A"/>
    <w:rsid w:val="002D40C2"/>
    <w:rsid w:val="002D41E0"/>
    <w:rsid w:val="002D454A"/>
    <w:rsid w:val="002D4A69"/>
    <w:rsid w:val="002D4EE4"/>
    <w:rsid w:val="002D528C"/>
    <w:rsid w:val="002D53A6"/>
    <w:rsid w:val="002D548A"/>
    <w:rsid w:val="002D5507"/>
    <w:rsid w:val="002D551B"/>
    <w:rsid w:val="002D5549"/>
    <w:rsid w:val="002D5719"/>
    <w:rsid w:val="002D5EC1"/>
    <w:rsid w:val="002D622E"/>
    <w:rsid w:val="002D63AD"/>
    <w:rsid w:val="002D648C"/>
    <w:rsid w:val="002D671B"/>
    <w:rsid w:val="002D6800"/>
    <w:rsid w:val="002D69CE"/>
    <w:rsid w:val="002D6B57"/>
    <w:rsid w:val="002D6BBC"/>
    <w:rsid w:val="002D6C30"/>
    <w:rsid w:val="002D6E80"/>
    <w:rsid w:val="002D76FC"/>
    <w:rsid w:val="002D7C86"/>
    <w:rsid w:val="002E00A7"/>
    <w:rsid w:val="002E03F5"/>
    <w:rsid w:val="002E099B"/>
    <w:rsid w:val="002E0D39"/>
    <w:rsid w:val="002E0F3C"/>
    <w:rsid w:val="002E0F65"/>
    <w:rsid w:val="002E10CB"/>
    <w:rsid w:val="002E1179"/>
    <w:rsid w:val="002E124A"/>
    <w:rsid w:val="002E135D"/>
    <w:rsid w:val="002E17E5"/>
    <w:rsid w:val="002E1BC3"/>
    <w:rsid w:val="002E1D8C"/>
    <w:rsid w:val="002E20B6"/>
    <w:rsid w:val="002E20E9"/>
    <w:rsid w:val="002E2279"/>
    <w:rsid w:val="002E234E"/>
    <w:rsid w:val="002E24DD"/>
    <w:rsid w:val="002E2D3A"/>
    <w:rsid w:val="002E2E9C"/>
    <w:rsid w:val="002E2EE5"/>
    <w:rsid w:val="002E322D"/>
    <w:rsid w:val="002E334A"/>
    <w:rsid w:val="002E33B4"/>
    <w:rsid w:val="002E3453"/>
    <w:rsid w:val="002E3A22"/>
    <w:rsid w:val="002E3B6F"/>
    <w:rsid w:val="002E3C01"/>
    <w:rsid w:val="002E3CE6"/>
    <w:rsid w:val="002E42C3"/>
    <w:rsid w:val="002E45E9"/>
    <w:rsid w:val="002E46C5"/>
    <w:rsid w:val="002E4AEC"/>
    <w:rsid w:val="002E4FA9"/>
    <w:rsid w:val="002E54DD"/>
    <w:rsid w:val="002E5B85"/>
    <w:rsid w:val="002E5DDB"/>
    <w:rsid w:val="002E6199"/>
    <w:rsid w:val="002E635E"/>
    <w:rsid w:val="002E6627"/>
    <w:rsid w:val="002E6792"/>
    <w:rsid w:val="002E6C4D"/>
    <w:rsid w:val="002E7010"/>
    <w:rsid w:val="002E717E"/>
    <w:rsid w:val="002E7435"/>
    <w:rsid w:val="002E754D"/>
    <w:rsid w:val="002E7656"/>
    <w:rsid w:val="002E7B23"/>
    <w:rsid w:val="002E7DB0"/>
    <w:rsid w:val="002E7EE7"/>
    <w:rsid w:val="002E7FDC"/>
    <w:rsid w:val="002F059F"/>
    <w:rsid w:val="002F0622"/>
    <w:rsid w:val="002F08A8"/>
    <w:rsid w:val="002F094C"/>
    <w:rsid w:val="002F0AB2"/>
    <w:rsid w:val="002F0AF6"/>
    <w:rsid w:val="002F0DFB"/>
    <w:rsid w:val="002F0FC5"/>
    <w:rsid w:val="002F133B"/>
    <w:rsid w:val="002F18F0"/>
    <w:rsid w:val="002F1A9F"/>
    <w:rsid w:val="002F1BEC"/>
    <w:rsid w:val="002F1D2F"/>
    <w:rsid w:val="002F2290"/>
    <w:rsid w:val="002F2423"/>
    <w:rsid w:val="002F26F6"/>
    <w:rsid w:val="002F27E0"/>
    <w:rsid w:val="002F2B61"/>
    <w:rsid w:val="002F32E3"/>
    <w:rsid w:val="002F337B"/>
    <w:rsid w:val="002F3439"/>
    <w:rsid w:val="002F3754"/>
    <w:rsid w:val="002F392A"/>
    <w:rsid w:val="002F47E7"/>
    <w:rsid w:val="002F47EE"/>
    <w:rsid w:val="002F48EF"/>
    <w:rsid w:val="002F49B3"/>
    <w:rsid w:val="002F4A22"/>
    <w:rsid w:val="002F4DDF"/>
    <w:rsid w:val="002F5065"/>
    <w:rsid w:val="002F5954"/>
    <w:rsid w:val="002F59F1"/>
    <w:rsid w:val="002F5A23"/>
    <w:rsid w:val="002F5C74"/>
    <w:rsid w:val="002F5EE0"/>
    <w:rsid w:val="002F6322"/>
    <w:rsid w:val="002F632E"/>
    <w:rsid w:val="002F674B"/>
    <w:rsid w:val="002F67B4"/>
    <w:rsid w:val="002F6A83"/>
    <w:rsid w:val="002F6F07"/>
    <w:rsid w:val="002F71DC"/>
    <w:rsid w:val="002F7B68"/>
    <w:rsid w:val="002F7BB4"/>
    <w:rsid w:val="002F7E16"/>
    <w:rsid w:val="00300193"/>
    <w:rsid w:val="003001B5"/>
    <w:rsid w:val="003003F9"/>
    <w:rsid w:val="00300664"/>
    <w:rsid w:val="003009A1"/>
    <w:rsid w:val="00301217"/>
    <w:rsid w:val="003015E4"/>
    <w:rsid w:val="00301673"/>
    <w:rsid w:val="003016B6"/>
    <w:rsid w:val="003018BD"/>
    <w:rsid w:val="00301A43"/>
    <w:rsid w:val="00301A8B"/>
    <w:rsid w:val="00301B18"/>
    <w:rsid w:val="00301DD7"/>
    <w:rsid w:val="00301E50"/>
    <w:rsid w:val="0030212C"/>
    <w:rsid w:val="003023A7"/>
    <w:rsid w:val="003023FF"/>
    <w:rsid w:val="00302F05"/>
    <w:rsid w:val="0030316C"/>
    <w:rsid w:val="003031BE"/>
    <w:rsid w:val="003032BF"/>
    <w:rsid w:val="00303B18"/>
    <w:rsid w:val="00304301"/>
    <w:rsid w:val="003043A2"/>
    <w:rsid w:val="0030466D"/>
    <w:rsid w:val="0030478F"/>
    <w:rsid w:val="003047A7"/>
    <w:rsid w:val="003049CC"/>
    <w:rsid w:val="00304AAB"/>
    <w:rsid w:val="00304B2F"/>
    <w:rsid w:val="00305004"/>
    <w:rsid w:val="0030547D"/>
    <w:rsid w:val="00305887"/>
    <w:rsid w:val="00305D6B"/>
    <w:rsid w:val="003060B8"/>
    <w:rsid w:val="003062E8"/>
    <w:rsid w:val="0030630B"/>
    <w:rsid w:val="00306589"/>
    <w:rsid w:val="003065D9"/>
    <w:rsid w:val="00306620"/>
    <w:rsid w:val="00306645"/>
    <w:rsid w:val="0030664A"/>
    <w:rsid w:val="003066CD"/>
    <w:rsid w:val="0030711E"/>
    <w:rsid w:val="00307765"/>
    <w:rsid w:val="00307824"/>
    <w:rsid w:val="00307EB1"/>
    <w:rsid w:val="00310425"/>
    <w:rsid w:val="003106F1"/>
    <w:rsid w:val="003107F5"/>
    <w:rsid w:val="0031089C"/>
    <w:rsid w:val="00310B25"/>
    <w:rsid w:val="00311074"/>
    <w:rsid w:val="0031119C"/>
    <w:rsid w:val="003114CC"/>
    <w:rsid w:val="00311593"/>
    <w:rsid w:val="00311616"/>
    <w:rsid w:val="00311B53"/>
    <w:rsid w:val="00311B7B"/>
    <w:rsid w:val="00311BBC"/>
    <w:rsid w:val="00311EBA"/>
    <w:rsid w:val="00311EBD"/>
    <w:rsid w:val="00311EC8"/>
    <w:rsid w:val="00311EFF"/>
    <w:rsid w:val="0031231D"/>
    <w:rsid w:val="00312B50"/>
    <w:rsid w:val="00312D38"/>
    <w:rsid w:val="00312E18"/>
    <w:rsid w:val="00313E8F"/>
    <w:rsid w:val="00314008"/>
    <w:rsid w:val="00314351"/>
    <w:rsid w:val="003143AC"/>
    <w:rsid w:val="00314796"/>
    <w:rsid w:val="00314879"/>
    <w:rsid w:val="00314CD3"/>
    <w:rsid w:val="00315443"/>
    <w:rsid w:val="00315488"/>
    <w:rsid w:val="003155A7"/>
    <w:rsid w:val="00315AD7"/>
    <w:rsid w:val="00315E90"/>
    <w:rsid w:val="0031650B"/>
    <w:rsid w:val="0031694E"/>
    <w:rsid w:val="00316FEC"/>
    <w:rsid w:val="00317147"/>
    <w:rsid w:val="0031715B"/>
    <w:rsid w:val="0031731B"/>
    <w:rsid w:val="003173D4"/>
    <w:rsid w:val="0031749E"/>
    <w:rsid w:val="00317936"/>
    <w:rsid w:val="00317E44"/>
    <w:rsid w:val="00317E50"/>
    <w:rsid w:val="00320500"/>
    <w:rsid w:val="00320531"/>
    <w:rsid w:val="00320837"/>
    <w:rsid w:val="00320851"/>
    <w:rsid w:val="003210FE"/>
    <w:rsid w:val="003216EE"/>
    <w:rsid w:val="00321863"/>
    <w:rsid w:val="00321C28"/>
    <w:rsid w:val="00321F08"/>
    <w:rsid w:val="003220FA"/>
    <w:rsid w:val="003222FA"/>
    <w:rsid w:val="00322340"/>
    <w:rsid w:val="00322663"/>
    <w:rsid w:val="00322CAB"/>
    <w:rsid w:val="00322CD6"/>
    <w:rsid w:val="00322FDD"/>
    <w:rsid w:val="003230C7"/>
    <w:rsid w:val="003231A3"/>
    <w:rsid w:val="003231FB"/>
    <w:rsid w:val="003233E5"/>
    <w:rsid w:val="00323707"/>
    <w:rsid w:val="00323C85"/>
    <w:rsid w:val="00323CD3"/>
    <w:rsid w:val="00323F60"/>
    <w:rsid w:val="00323F62"/>
    <w:rsid w:val="00324251"/>
    <w:rsid w:val="003242CB"/>
    <w:rsid w:val="0032460E"/>
    <w:rsid w:val="00324749"/>
    <w:rsid w:val="003249A0"/>
    <w:rsid w:val="00324CDC"/>
    <w:rsid w:val="003251F7"/>
    <w:rsid w:val="00325AB2"/>
    <w:rsid w:val="00325B38"/>
    <w:rsid w:val="00325E86"/>
    <w:rsid w:val="00325F9C"/>
    <w:rsid w:val="00326367"/>
    <w:rsid w:val="003266B0"/>
    <w:rsid w:val="00326C29"/>
    <w:rsid w:val="00326D5B"/>
    <w:rsid w:val="00326EBE"/>
    <w:rsid w:val="0032766A"/>
    <w:rsid w:val="00327AB1"/>
    <w:rsid w:val="00327C21"/>
    <w:rsid w:val="00330228"/>
    <w:rsid w:val="00330623"/>
    <w:rsid w:val="00330855"/>
    <w:rsid w:val="00330A5B"/>
    <w:rsid w:val="00330B2D"/>
    <w:rsid w:val="00330BD1"/>
    <w:rsid w:val="00331250"/>
    <w:rsid w:val="003319CA"/>
    <w:rsid w:val="00331CB9"/>
    <w:rsid w:val="00331E6E"/>
    <w:rsid w:val="00332431"/>
    <w:rsid w:val="003331E5"/>
    <w:rsid w:val="00333343"/>
    <w:rsid w:val="00333540"/>
    <w:rsid w:val="00333559"/>
    <w:rsid w:val="003335EB"/>
    <w:rsid w:val="0033388C"/>
    <w:rsid w:val="00333A0B"/>
    <w:rsid w:val="00333A33"/>
    <w:rsid w:val="00333A35"/>
    <w:rsid w:val="00333ACE"/>
    <w:rsid w:val="00333B2F"/>
    <w:rsid w:val="00333BA8"/>
    <w:rsid w:val="00333F8E"/>
    <w:rsid w:val="00334033"/>
    <w:rsid w:val="00334462"/>
    <w:rsid w:val="00334677"/>
    <w:rsid w:val="003346E2"/>
    <w:rsid w:val="0033476F"/>
    <w:rsid w:val="00334830"/>
    <w:rsid w:val="00334971"/>
    <w:rsid w:val="00334A9F"/>
    <w:rsid w:val="00334F02"/>
    <w:rsid w:val="00334F10"/>
    <w:rsid w:val="0033534A"/>
    <w:rsid w:val="003359B6"/>
    <w:rsid w:val="00335A23"/>
    <w:rsid w:val="00335A68"/>
    <w:rsid w:val="00335A84"/>
    <w:rsid w:val="00335AE4"/>
    <w:rsid w:val="00335B75"/>
    <w:rsid w:val="00335DAB"/>
    <w:rsid w:val="003364CA"/>
    <w:rsid w:val="003374FA"/>
    <w:rsid w:val="003375FE"/>
    <w:rsid w:val="00337751"/>
    <w:rsid w:val="00337824"/>
    <w:rsid w:val="00337944"/>
    <w:rsid w:val="00337A91"/>
    <w:rsid w:val="00337FDA"/>
    <w:rsid w:val="00340080"/>
    <w:rsid w:val="003401FB"/>
    <w:rsid w:val="0034067B"/>
    <w:rsid w:val="0034081E"/>
    <w:rsid w:val="003409CE"/>
    <w:rsid w:val="00340ACF"/>
    <w:rsid w:val="00340CDF"/>
    <w:rsid w:val="00340D30"/>
    <w:rsid w:val="00340E12"/>
    <w:rsid w:val="00341063"/>
    <w:rsid w:val="0034108B"/>
    <w:rsid w:val="0034142E"/>
    <w:rsid w:val="00341897"/>
    <w:rsid w:val="003418FE"/>
    <w:rsid w:val="00341DCC"/>
    <w:rsid w:val="00341E12"/>
    <w:rsid w:val="0034224B"/>
    <w:rsid w:val="00342584"/>
    <w:rsid w:val="003425A6"/>
    <w:rsid w:val="003425B1"/>
    <w:rsid w:val="00342C94"/>
    <w:rsid w:val="00342F9A"/>
    <w:rsid w:val="00342FEB"/>
    <w:rsid w:val="0034310E"/>
    <w:rsid w:val="003431A1"/>
    <w:rsid w:val="0034350F"/>
    <w:rsid w:val="003435F3"/>
    <w:rsid w:val="0034367F"/>
    <w:rsid w:val="00343683"/>
    <w:rsid w:val="00343747"/>
    <w:rsid w:val="00343A21"/>
    <w:rsid w:val="0034402E"/>
    <w:rsid w:val="00344061"/>
    <w:rsid w:val="00344104"/>
    <w:rsid w:val="0034441D"/>
    <w:rsid w:val="003444F3"/>
    <w:rsid w:val="00344734"/>
    <w:rsid w:val="00344851"/>
    <w:rsid w:val="003448DD"/>
    <w:rsid w:val="003450DD"/>
    <w:rsid w:val="00345597"/>
    <w:rsid w:val="003456EB"/>
    <w:rsid w:val="00345B54"/>
    <w:rsid w:val="00345B84"/>
    <w:rsid w:val="00345C69"/>
    <w:rsid w:val="00345D6D"/>
    <w:rsid w:val="00345D77"/>
    <w:rsid w:val="00345E3A"/>
    <w:rsid w:val="00345E5F"/>
    <w:rsid w:val="00346176"/>
    <w:rsid w:val="00346265"/>
    <w:rsid w:val="00346350"/>
    <w:rsid w:val="003465EE"/>
    <w:rsid w:val="00346757"/>
    <w:rsid w:val="0034688A"/>
    <w:rsid w:val="003469D9"/>
    <w:rsid w:val="00346CB7"/>
    <w:rsid w:val="003475D6"/>
    <w:rsid w:val="00347714"/>
    <w:rsid w:val="003477A7"/>
    <w:rsid w:val="00347C24"/>
    <w:rsid w:val="00347D0D"/>
    <w:rsid w:val="00347E94"/>
    <w:rsid w:val="00350231"/>
    <w:rsid w:val="00350631"/>
    <w:rsid w:val="00350770"/>
    <w:rsid w:val="003508BD"/>
    <w:rsid w:val="00350B1C"/>
    <w:rsid w:val="00350DA5"/>
    <w:rsid w:val="00350DB7"/>
    <w:rsid w:val="00350E1C"/>
    <w:rsid w:val="00350E25"/>
    <w:rsid w:val="00351028"/>
    <w:rsid w:val="0035118B"/>
    <w:rsid w:val="0035121D"/>
    <w:rsid w:val="00351624"/>
    <w:rsid w:val="00351E14"/>
    <w:rsid w:val="00351EC1"/>
    <w:rsid w:val="00352579"/>
    <w:rsid w:val="00352657"/>
    <w:rsid w:val="00352A03"/>
    <w:rsid w:val="00352A37"/>
    <w:rsid w:val="00352C98"/>
    <w:rsid w:val="00352F48"/>
    <w:rsid w:val="00353229"/>
    <w:rsid w:val="00353380"/>
    <w:rsid w:val="003533B5"/>
    <w:rsid w:val="003536A1"/>
    <w:rsid w:val="00353ABA"/>
    <w:rsid w:val="003542FF"/>
    <w:rsid w:val="00354530"/>
    <w:rsid w:val="00354A06"/>
    <w:rsid w:val="00354E2A"/>
    <w:rsid w:val="00354E84"/>
    <w:rsid w:val="00354F22"/>
    <w:rsid w:val="003553C5"/>
    <w:rsid w:val="003558DE"/>
    <w:rsid w:val="00355978"/>
    <w:rsid w:val="00355B81"/>
    <w:rsid w:val="00355EF8"/>
    <w:rsid w:val="00355F1A"/>
    <w:rsid w:val="00355FFB"/>
    <w:rsid w:val="00356162"/>
    <w:rsid w:val="003566A2"/>
    <w:rsid w:val="00356770"/>
    <w:rsid w:val="00356798"/>
    <w:rsid w:val="003568C9"/>
    <w:rsid w:val="00356B04"/>
    <w:rsid w:val="00356FD6"/>
    <w:rsid w:val="003576A9"/>
    <w:rsid w:val="0036068C"/>
    <w:rsid w:val="003606AC"/>
    <w:rsid w:val="00360D6E"/>
    <w:rsid w:val="00360E91"/>
    <w:rsid w:val="00361001"/>
    <w:rsid w:val="003612D7"/>
    <w:rsid w:val="003612F4"/>
    <w:rsid w:val="00361339"/>
    <w:rsid w:val="00361454"/>
    <w:rsid w:val="00361F97"/>
    <w:rsid w:val="00362117"/>
    <w:rsid w:val="0036243F"/>
    <w:rsid w:val="00362704"/>
    <w:rsid w:val="0036274F"/>
    <w:rsid w:val="00362774"/>
    <w:rsid w:val="003627E2"/>
    <w:rsid w:val="003629B7"/>
    <w:rsid w:val="00362B0D"/>
    <w:rsid w:val="00362BB2"/>
    <w:rsid w:val="0036357C"/>
    <w:rsid w:val="00363630"/>
    <w:rsid w:val="00363B6C"/>
    <w:rsid w:val="00363C63"/>
    <w:rsid w:val="003643D8"/>
    <w:rsid w:val="003645B1"/>
    <w:rsid w:val="0036475C"/>
    <w:rsid w:val="00364F17"/>
    <w:rsid w:val="00365300"/>
    <w:rsid w:val="0036556A"/>
    <w:rsid w:val="00365DB6"/>
    <w:rsid w:val="00366323"/>
    <w:rsid w:val="0036647C"/>
    <w:rsid w:val="003664BC"/>
    <w:rsid w:val="003666CD"/>
    <w:rsid w:val="003669FD"/>
    <w:rsid w:val="00366A1D"/>
    <w:rsid w:val="00366AB5"/>
    <w:rsid w:val="00366D70"/>
    <w:rsid w:val="00366E22"/>
    <w:rsid w:val="00366ECE"/>
    <w:rsid w:val="00367128"/>
    <w:rsid w:val="00367206"/>
    <w:rsid w:val="00367C43"/>
    <w:rsid w:val="0037034E"/>
    <w:rsid w:val="0037064B"/>
    <w:rsid w:val="00370851"/>
    <w:rsid w:val="00370C3E"/>
    <w:rsid w:val="00370CC4"/>
    <w:rsid w:val="00370E44"/>
    <w:rsid w:val="00371271"/>
    <w:rsid w:val="003713AE"/>
    <w:rsid w:val="00371654"/>
    <w:rsid w:val="00371745"/>
    <w:rsid w:val="003717CE"/>
    <w:rsid w:val="00371905"/>
    <w:rsid w:val="00372B6F"/>
    <w:rsid w:val="003732A1"/>
    <w:rsid w:val="0037338F"/>
    <w:rsid w:val="003733FB"/>
    <w:rsid w:val="00373432"/>
    <w:rsid w:val="0037350E"/>
    <w:rsid w:val="0037371C"/>
    <w:rsid w:val="00373E6E"/>
    <w:rsid w:val="003740D5"/>
    <w:rsid w:val="003742AE"/>
    <w:rsid w:val="00374356"/>
    <w:rsid w:val="00374545"/>
    <w:rsid w:val="003745CA"/>
    <w:rsid w:val="003749DF"/>
    <w:rsid w:val="00374FBD"/>
    <w:rsid w:val="00375077"/>
    <w:rsid w:val="003751DA"/>
    <w:rsid w:val="003758F3"/>
    <w:rsid w:val="00375B0B"/>
    <w:rsid w:val="00375B37"/>
    <w:rsid w:val="0037615C"/>
    <w:rsid w:val="003766E2"/>
    <w:rsid w:val="00376849"/>
    <w:rsid w:val="003768D1"/>
    <w:rsid w:val="003769B9"/>
    <w:rsid w:val="00376CED"/>
    <w:rsid w:val="00376EA8"/>
    <w:rsid w:val="00376EDF"/>
    <w:rsid w:val="00376FFB"/>
    <w:rsid w:val="0037729B"/>
    <w:rsid w:val="00377CC0"/>
    <w:rsid w:val="00377CCC"/>
    <w:rsid w:val="00380495"/>
    <w:rsid w:val="003804AF"/>
    <w:rsid w:val="00380635"/>
    <w:rsid w:val="0038067E"/>
    <w:rsid w:val="003808CD"/>
    <w:rsid w:val="00380AD9"/>
    <w:rsid w:val="00380CAE"/>
    <w:rsid w:val="003813DB"/>
    <w:rsid w:val="0038141E"/>
    <w:rsid w:val="003816B8"/>
    <w:rsid w:val="00381936"/>
    <w:rsid w:val="0038213E"/>
    <w:rsid w:val="00382987"/>
    <w:rsid w:val="00382C1D"/>
    <w:rsid w:val="00382CD2"/>
    <w:rsid w:val="00382DDA"/>
    <w:rsid w:val="00383586"/>
    <w:rsid w:val="003835FC"/>
    <w:rsid w:val="003837A5"/>
    <w:rsid w:val="00383842"/>
    <w:rsid w:val="003839BE"/>
    <w:rsid w:val="00383CD1"/>
    <w:rsid w:val="00383DE3"/>
    <w:rsid w:val="00383EC8"/>
    <w:rsid w:val="003847FE"/>
    <w:rsid w:val="00384B07"/>
    <w:rsid w:val="00384E6E"/>
    <w:rsid w:val="00384EC0"/>
    <w:rsid w:val="00385523"/>
    <w:rsid w:val="00385C15"/>
    <w:rsid w:val="003861E2"/>
    <w:rsid w:val="003863CA"/>
    <w:rsid w:val="0038675A"/>
    <w:rsid w:val="00386A6E"/>
    <w:rsid w:val="00386C44"/>
    <w:rsid w:val="00386CD3"/>
    <w:rsid w:val="00386E6E"/>
    <w:rsid w:val="00386EC9"/>
    <w:rsid w:val="00387138"/>
    <w:rsid w:val="003874D2"/>
    <w:rsid w:val="0038754B"/>
    <w:rsid w:val="00387587"/>
    <w:rsid w:val="003879F8"/>
    <w:rsid w:val="00387A93"/>
    <w:rsid w:val="00387CD0"/>
    <w:rsid w:val="00387EAD"/>
    <w:rsid w:val="0039015F"/>
    <w:rsid w:val="00390F25"/>
    <w:rsid w:val="00391114"/>
    <w:rsid w:val="003918A0"/>
    <w:rsid w:val="003919CB"/>
    <w:rsid w:val="00391A25"/>
    <w:rsid w:val="00391D85"/>
    <w:rsid w:val="00391DD0"/>
    <w:rsid w:val="00391FB9"/>
    <w:rsid w:val="00392312"/>
    <w:rsid w:val="003923B4"/>
    <w:rsid w:val="00392585"/>
    <w:rsid w:val="00392623"/>
    <w:rsid w:val="003926B1"/>
    <w:rsid w:val="003926DD"/>
    <w:rsid w:val="003926F6"/>
    <w:rsid w:val="00392F86"/>
    <w:rsid w:val="00392FCF"/>
    <w:rsid w:val="0039327D"/>
    <w:rsid w:val="00393387"/>
    <w:rsid w:val="0039358B"/>
    <w:rsid w:val="00393723"/>
    <w:rsid w:val="00393C2C"/>
    <w:rsid w:val="00393C41"/>
    <w:rsid w:val="00393C9E"/>
    <w:rsid w:val="00394196"/>
    <w:rsid w:val="0039422E"/>
    <w:rsid w:val="003943CD"/>
    <w:rsid w:val="00394543"/>
    <w:rsid w:val="0039464B"/>
    <w:rsid w:val="003947D9"/>
    <w:rsid w:val="003949FE"/>
    <w:rsid w:val="00395226"/>
    <w:rsid w:val="003957B8"/>
    <w:rsid w:val="00395D5B"/>
    <w:rsid w:val="00395FD9"/>
    <w:rsid w:val="00396051"/>
    <w:rsid w:val="0039607E"/>
    <w:rsid w:val="003963CC"/>
    <w:rsid w:val="00397296"/>
    <w:rsid w:val="0039743D"/>
    <w:rsid w:val="003A06B9"/>
    <w:rsid w:val="003A07B0"/>
    <w:rsid w:val="003A0898"/>
    <w:rsid w:val="003A1114"/>
    <w:rsid w:val="003A1A78"/>
    <w:rsid w:val="003A1D6F"/>
    <w:rsid w:val="003A1F3F"/>
    <w:rsid w:val="003A211B"/>
    <w:rsid w:val="003A2150"/>
    <w:rsid w:val="003A2512"/>
    <w:rsid w:val="003A2D90"/>
    <w:rsid w:val="003A2E3A"/>
    <w:rsid w:val="003A3482"/>
    <w:rsid w:val="003A36CC"/>
    <w:rsid w:val="003A37D0"/>
    <w:rsid w:val="003A3898"/>
    <w:rsid w:val="003A3970"/>
    <w:rsid w:val="003A3F0B"/>
    <w:rsid w:val="003A3F8E"/>
    <w:rsid w:val="003A4081"/>
    <w:rsid w:val="003A4174"/>
    <w:rsid w:val="003A46FA"/>
    <w:rsid w:val="003A4DDE"/>
    <w:rsid w:val="003A4DED"/>
    <w:rsid w:val="003A5307"/>
    <w:rsid w:val="003A545F"/>
    <w:rsid w:val="003A55E3"/>
    <w:rsid w:val="003A5841"/>
    <w:rsid w:val="003A5E4D"/>
    <w:rsid w:val="003A5F1A"/>
    <w:rsid w:val="003A6229"/>
    <w:rsid w:val="003A622A"/>
    <w:rsid w:val="003A6385"/>
    <w:rsid w:val="003A694A"/>
    <w:rsid w:val="003A6DF9"/>
    <w:rsid w:val="003A6E11"/>
    <w:rsid w:val="003A7502"/>
    <w:rsid w:val="003A78ED"/>
    <w:rsid w:val="003A7A17"/>
    <w:rsid w:val="003A7D61"/>
    <w:rsid w:val="003A7E23"/>
    <w:rsid w:val="003A7F60"/>
    <w:rsid w:val="003B008D"/>
    <w:rsid w:val="003B01D4"/>
    <w:rsid w:val="003B048D"/>
    <w:rsid w:val="003B05BC"/>
    <w:rsid w:val="003B0696"/>
    <w:rsid w:val="003B07CB"/>
    <w:rsid w:val="003B0913"/>
    <w:rsid w:val="003B09FF"/>
    <w:rsid w:val="003B11D4"/>
    <w:rsid w:val="003B1399"/>
    <w:rsid w:val="003B1582"/>
    <w:rsid w:val="003B196E"/>
    <w:rsid w:val="003B1A21"/>
    <w:rsid w:val="003B1AEB"/>
    <w:rsid w:val="003B2676"/>
    <w:rsid w:val="003B28B2"/>
    <w:rsid w:val="003B2A4A"/>
    <w:rsid w:val="003B2AF8"/>
    <w:rsid w:val="003B2E18"/>
    <w:rsid w:val="003B30F1"/>
    <w:rsid w:val="003B32B7"/>
    <w:rsid w:val="003B3CB8"/>
    <w:rsid w:val="003B3D45"/>
    <w:rsid w:val="003B41A9"/>
    <w:rsid w:val="003B4280"/>
    <w:rsid w:val="003B44D0"/>
    <w:rsid w:val="003B4B6F"/>
    <w:rsid w:val="003B4BAB"/>
    <w:rsid w:val="003B4E27"/>
    <w:rsid w:val="003B4F2D"/>
    <w:rsid w:val="003B5057"/>
    <w:rsid w:val="003B531F"/>
    <w:rsid w:val="003B5407"/>
    <w:rsid w:val="003B5825"/>
    <w:rsid w:val="003B5A2E"/>
    <w:rsid w:val="003B60CA"/>
    <w:rsid w:val="003B613B"/>
    <w:rsid w:val="003B61CC"/>
    <w:rsid w:val="003B6283"/>
    <w:rsid w:val="003B6A55"/>
    <w:rsid w:val="003B6AA3"/>
    <w:rsid w:val="003B6B44"/>
    <w:rsid w:val="003B7038"/>
    <w:rsid w:val="003B706A"/>
    <w:rsid w:val="003B7612"/>
    <w:rsid w:val="003B7F0B"/>
    <w:rsid w:val="003C011F"/>
    <w:rsid w:val="003C019A"/>
    <w:rsid w:val="003C04F7"/>
    <w:rsid w:val="003C0970"/>
    <w:rsid w:val="003C0CF6"/>
    <w:rsid w:val="003C1352"/>
    <w:rsid w:val="003C1522"/>
    <w:rsid w:val="003C17B1"/>
    <w:rsid w:val="003C19EC"/>
    <w:rsid w:val="003C1AA1"/>
    <w:rsid w:val="003C1AE3"/>
    <w:rsid w:val="003C1D8E"/>
    <w:rsid w:val="003C1D97"/>
    <w:rsid w:val="003C25AE"/>
    <w:rsid w:val="003C26DC"/>
    <w:rsid w:val="003C271D"/>
    <w:rsid w:val="003C28A1"/>
    <w:rsid w:val="003C29A2"/>
    <w:rsid w:val="003C2CEA"/>
    <w:rsid w:val="003C2FA3"/>
    <w:rsid w:val="003C30D7"/>
    <w:rsid w:val="003C3360"/>
    <w:rsid w:val="003C39E8"/>
    <w:rsid w:val="003C3F32"/>
    <w:rsid w:val="003C4287"/>
    <w:rsid w:val="003C44B0"/>
    <w:rsid w:val="003C4630"/>
    <w:rsid w:val="003C48C2"/>
    <w:rsid w:val="003C4FAC"/>
    <w:rsid w:val="003C5034"/>
    <w:rsid w:val="003C518B"/>
    <w:rsid w:val="003C5571"/>
    <w:rsid w:val="003C56C2"/>
    <w:rsid w:val="003C5C04"/>
    <w:rsid w:val="003C5DE1"/>
    <w:rsid w:val="003C5F5E"/>
    <w:rsid w:val="003C638C"/>
    <w:rsid w:val="003C65D1"/>
    <w:rsid w:val="003C6607"/>
    <w:rsid w:val="003C6656"/>
    <w:rsid w:val="003C6A38"/>
    <w:rsid w:val="003C6B8F"/>
    <w:rsid w:val="003C6CE9"/>
    <w:rsid w:val="003C6D65"/>
    <w:rsid w:val="003C6EAA"/>
    <w:rsid w:val="003C6FD3"/>
    <w:rsid w:val="003C7212"/>
    <w:rsid w:val="003C764E"/>
    <w:rsid w:val="003C7992"/>
    <w:rsid w:val="003C7DFC"/>
    <w:rsid w:val="003C7F37"/>
    <w:rsid w:val="003D0572"/>
    <w:rsid w:val="003D0579"/>
    <w:rsid w:val="003D0660"/>
    <w:rsid w:val="003D0663"/>
    <w:rsid w:val="003D09BA"/>
    <w:rsid w:val="003D1143"/>
    <w:rsid w:val="003D172D"/>
    <w:rsid w:val="003D1A2F"/>
    <w:rsid w:val="003D1CE1"/>
    <w:rsid w:val="003D1D0D"/>
    <w:rsid w:val="003D263A"/>
    <w:rsid w:val="003D306A"/>
    <w:rsid w:val="003D3084"/>
    <w:rsid w:val="003D31A8"/>
    <w:rsid w:val="003D31AA"/>
    <w:rsid w:val="003D32C9"/>
    <w:rsid w:val="003D3473"/>
    <w:rsid w:val="003D348B"/>
    <w:rsid w:val="003D36C8"/>
    <w:rsid w:val="003D3A4F"/>
    <w:rsid w:val="003D3BE0"/>
    <w:rsid w:val="003D3C9D"/>
    <w:rsid w:val="003D3D73"/>
    <w:rsid w:val="003D3DEC"/>
    <w:rsid w:val="003D3E15"/>
    <w:rsid w:val="003D4020"/>
    <w:rsid w:val="003D4211"/>
    <w:rsid w:val="003D4361"/>
    <w:rsid w:val="003D4EBC"/>
    <w:rsid w:val="003D4F54"/>
    <w:rsid w:val="003D5017"/>
    <w:rsid w:val="003D524C"/>
    <w:rsid w:val="003D5285"/>
    <w:rsid w:val="003D53DA"/>
    <w:rsid w:val="003D564B"/>
    <w:rsid w:val="003D5BD6"/>
    <w:rsid w:val="003D5C52"/>
    <w:rsid w:val="003D5EBD"/>
    <w:rsid w:val="003D65F4"/>
    <w:rsid w:val="003D6765"/>
    <w:rsid w:val="003D6A85"/>
    <w:rsid w:val="003D6C51"/>
    <w:rsid w:val="003D6DAA"/>
    <w:rsid w:val="003D7121"/>
    <w:rsid w:val="003D7234"/>
    <w:rsid w:val="003D7A18"/>
    <w:rsid w:val="003D7A6D"/>
    <w:rsid w:val="003D7DFC"/>
    <w:rsid w:val="003D7E79"/>
    <w:rsid w:val="003E0214"/>
    <w:rsid w:val="003E03FE"/>
    <w:rsid w:val="003E043D"/>
    <w:rsid w:val="003E0693"/>
    <w:rsid w:val="003E0A75"/>
    <w:rsid w:val="003E0E4C"/>
    <w:rsid w:val="003E0F0F"/>
    <w:rsid w:val="003E1025"/>
    <w:rsid w:val="003E13B7"/>
    <w:rsid w:val="003E16B9"/>
    <w:rsid w:val="003E1928"/>
    <w:rsid w:val="003E1A2D"/>
    <w:rsid w:val="003E1F69"/>
    <w:rsid w:val="003E208D"/>
    <w:rsid w:val="003E2448"/>
    <w:rsid w:val="003E25D3"/>
    <w:rsid w:val="003E2A61"/>
    <w:rsid w:val="003E2B4D"/>
    <w:rsid w:val="003E2BCB"/>
    <w:rsid w:val="003E2BFF"/>
    <w:rsid w:val="003E2E2A"/>
    <w:rsid w:val="003E2E61"/>
    <w:rsid w:val="003E2E6E"/>
    <w:rsid w:val="003E2F96"/>
    <w:rsid w:val="003E3092"/>
    <w:rsid w:val="003E328E"/>
    <w:rsid w:val="003E32E5"/>
    <w:rsid w:val="003E346C"/>
    <w:rsid w:val="003E35B3"/>
    <w:rsid w:val="003E3806"/>
    <w:rsid w:val="003E3844"/>
    <w:rsid w:val="003E3BC6"/>
    <w:rsid w:val="003E3E2A"/>
    <w:rsid w:val="003E3F57"/>
    <w:rsid w:val="003E3F75"/>
    <w:rsid w:val="003E400C"/>
    <w:rsid w:val="003E40AF"/>
    <w:rsid w:val="003E40F6"/>
    <w:rsid w:val="003E457F"/>
    <w:rsid w:val="003E465F"/>
    <w:rsid w:val="003E4687"/>
    <w:rsid w:val="003E4F27"/>
    <w:rsid w:val="003E4F86"/>
    <w:rsid w:val="003E4FDF"/>
    <w:rsid w:val="003E52E4"/>
    <w:rsid w:val="003E53A4"/>
    <w:rsid w:val="003E549B"/>
    <w:rsid w:val="003E5502"/>
    <w:rsid w:val="003E579D"/>
    <w:rsid w:val="003E5CB6"/>
    <w:rsid w:val="003E600C"/>
    <w:rsid w:val="003E6091"/>
    <w:rsid w:val="003E6094"/>
    <w:rsid w:val="003E6181"/>
    <w:rsid w:val="003E6673"/>
    <w:rsid w:val="003E6918"/>
    <w:rsid w:val="003E6E5C"/>
    <w:rsid w:val="003E7077"/>
    <w:rsid w:val="003E70ED"/>
    <w:rsid w:val="003E71C6"/>
    <w:rsid w:val="003E7289"/>
    <w:rsid w:val="003E7409"/>
    <w:rsid w:val="003E7509"/>
    <w:rsid w:val="003E750E"/>
    <w:rsid w:val="003E7515"/>
    <w:rsid w:val="003E7557"/>
    <w:rsid w:val="003E755B"/>
    <w:rsid w:val="003E7795"/>
    <w:rsid w:val="003E7B7C"/>
    <w:rsid w:val="003E7D5B"/>
    <w:rsid w:val="003E7DD3"/>
    <w:rsid w:val="003F0060"/>
    <w:rsid w:val="003F0464"/>
    <w:rsid w:val="003F0793"/>
    <w:rsid w:val="003F0840"/>
    <w:rsid w:val="003F0944"/>
    <w:rsid w:val="003F0A08"/>
    <w:rsid w:val="003F0B53"/>
    <w:rsid w:val="003F10F5"/>
    <w:rsid w:val="003F1264"/>
    <w:rsid w:val="003F14C1"/>
    <w:rsid w:val="003F17E0"/>
    <w:rsid w:val="003F188C"/>
    <w:rsid w:val="003F190D"/>
    <w:rsid w:val="003F1B77"/>
    <w:rsid w:val="003F1C25"/>
    <w:rsid w:val="003F2127"/>
    <w:rsid w:val="003F22E1"/>
    <w:rsid w:val="003F2A27"/>
    <w:rsid w:val="003F2CA5"/>
    <w:rsid w:val="003F2DF0"/>
    <w:rsid w:val="003F2EE1"/>
    <w:rsid w:val="003F2F37"/>
    <w:rsid w:val="003F301A"/>
    <w:rsid w:val="003F3366"/>
    <w:rsid w:val="003F3583"/>
    <w:rsid w:val="003F3BFF"/>
    <w:rsid w:val="003F3CB2"/>
    <w:rsid w:val="003F3E6C"/>
    <w:rsid w:val="003F4018"/>
    <w:rsid w:val="003F4027"/>
    <w:rsid w:val="003F40DC"/>
    <w:rsid w:val="003F4143"/>
    <w:rsid w:val="003F4178"/>
    <w:rsid w:val="003F4271"/>
    <w:rsid w:val="003F4726"/>
    <w:rsid w:val="003F4A12"/>
    <w:rsid w:val="003F4FC8"/>
    <w:rsid w:val="003F52CF"/>
    <w:rsid w:val="003F52EC"/>
    <w:rsid w:val="003F530C"/>
    <w:rsid w:val="003F54D6"/>
    <w:rsid w:val="003F5B6E"/>
    <w:rsid w:val="003F5D47"/>
    <w:rsid w:val="003F5DBB"/>
    <w:rsid w:val="003F5FB2"/>
    <w:rsid w:val="003F666A"/>
    <w:rsid w:val="003F6826"/>
    <w:rsid w:val="003F6C6A"/>
    <w:rsid w:val="003F6CA2"/>
    <w:rsid w:val="003F6F8C"/>
    <w:rsid w:val="003F7282"/>
    <w:rsid w:val="003F7819"/>
    <w:rsid w:val="003F7A31"/>
    <w:rsid w:val="003F7CD1"/>
    <w:rsid w:val="003F7CE1"/>
    <w:rsid w:val="00400628"/>
    <w:rsid w:val="0040069E"/>
    <w:rsid w:val="00400912"/>
    <w:rsid w:val="004009FE"/>
    <w:rsid w:val="00400DE8"/>
    <w:rsid w:val="00400E94"/>
    <w:rsid w:val="00401149"/>
    <w:rsid w:val="004011C3"/>
    <w:rsid w:val="004013AE"/>
    <w:rsid w:val="004015AB"/>
    <w:rsid w:val="0040179B"/>
    <w:rsid w:val="00401A6F"/>
    <w:rsid w:val="00401C23"/>
    <w:rsid w:val="00401CEF"/>
    <w:rsid w:val="00401EFD"/>
    <w:rsid w:val="00401F9F"/>
    <w:rsid w:val="00402551"/>
    <w:rsid w:val="004027C0"/>
    <w:rsid w:val="004028AE"/>
    <w:rsid w:val="004028F1"/>
    <w:rsid w:val="00402ED1"/>
    <w:rsid w:val="00403177"/>
    <w:rsid w:val="004033C5"/>
    <w:rsid w:val="0040365B"/>
    <w:rsid w:val="0040366E"/>
    <w:rsid w:val="0040375C"/>
    <w:rsid w:val="00403899"/>
    <w:rsid w:val="004038C5"/>
    <w:rsid w:val="00403A5C"/>
    <w:rsid w:val="00403A81"/>
    <w:rsid w:val="00403B6D"/>
    <w:rsid w:val="00403DBB"/>
    <w:rsid w:val="00403F20"/>
    <w:rsid w:val="00404306"/>
    <w:rsid w:val="004043CC"/>
    <w:rsid w:val="004043E6"/>
    <w:rsid w:val="00404B63"/>
    <w:rsid w:val="00404E00"/>
    <w:rsid w:val="00404EA6"/>
    <w:rsid w:val="00404EF5"/>
    <w:rsid w:val="004053AA"/>
    <w:rsid w:val="0040564C"/>
    <w:rsid w:val="004059F0"/>
    <w:rsid w:val="00405D4C"/>
    <w:rsid w:val="004060B6"/>
    <w:rsid w:val="00406469"/>
    <w:rsid w:val="0040657F"/>
    <w:rsid w:val="00406911"/>
    <w:rsid w:val="004069FA"/>
    <w:rsid w:val="00406AAA"/>
    <w:rsid w:val="00406E64"/>
    <w:rsid w:val="004073A4"/>
    <w:rsid w:val="004074CE"/>
    <w:rsid w:val="00407677"/>
    <w:rsid w:val="004077A0"/>
    <w:rsid w:val="004103DB"/>
    <w:rsid w:val="004104F2"/>
    <w:rsid w:val="004108B8"/>
    <w:rsid w:val="00410C6F"/>
    <w:rsid w:val="00411169"/>
    <w:rsid w:val="004111E0"/>
    <w:rsid w:val="00411296"/>
    <w:rsid w:val="004112ED"/>
    <w:rsid w:val="00411533"/>
    <w:rsid w:val="00411796"/>
    <w:rsid w:val="0041184B"/>
    <w:rsid w:val="004119D8"/>
    <w:rsid w:val="004121AF"/>
    <w:rsid w:val="00412209"/>
    <w:rsid w:val="0041224E"/>
    <w:rsid w:val="004126BE"/>
    <w:rsid w:val="0041278E"/>
    <w:rsid w:val="00412AC6"/>
    <w:rsid w:val="00412CB9"/>
    <w:rsid w:val="00412D4F"/>
    <w:rsid w:val="00412E78"/>
    <w:rsid w:val="00412E89"/>
    <w:rsid w:val="004130E6"/>
    <w:rsid w:val="00413220"/>
    <w:rsid w:val="004133B5"/>
    <w:rsid w:val="00413571"/>
    <w:rsid w:val="004137D2"/>
    <w:rsid w:val="0041380A"/>
    <w:rsid w:val="004139B1"/>
    <w:rsid w:val="00413B4A"/>
    <w:rsid w:val="00413B83"/>
    <w:rsid w:val="00413DB8"/>
    <w:rsid w:val="00413EC2"/>
    <w:rsid w:val="0041456C"/>
    <w:rsid w:val="0041513C"/>
    <w:rsid w:val="0041518C"/>
    <w:rsid w:val="004151CF"/>
    <w:rsid w:val="0041596C"/>
    <w:rsid w:val="00416169"/>
    <w:rsid w:val="0041622E"/>
    <w:rsid w:val="0041640D"/>
    <w:rsid w:val="0041649F"/>
    <w:rsid w:val="00416546"/>
    <w:rsid w:val="004165E0"/>
    <w:rsid w:val="0041666F"/>
    <w:rsid w:val="0041671B"/>
    <w:rsid w:val="00416779"/>
    <w:rsid w:val="004167A1"/>
    <w:rsid w:val="0041680A"/>
    <w:rsid w:val="004168F0"/>
    <w:rsid w:val="00416CE8"/>
    <w:rsid w:val="004170BA"/>
    <w:rsid w:val="004171E7"/>
    <w:rsid w:val="004173C2"/>
    <w:rsid w:val="00417BE0"/>
    <w:rsid w:val="00417C01"/>
    <w:rsid w:val="00417C44"/>
    <w:rsid w:val="00417F99"/>
    <w:rsid w:val="00420B31"/>
    <w:rsid w:val="00420BB1"/>
    <w:rsid w:val="00420EA8"/>
    <w:rsid w:val="004210AE"/>
    <w:rsid w:val="004214DF"/>
    <w:rsid w:val="004214F1"/>
    <w:rsid w:val="004216A7"/>
    <w:rsid w:val="004216DB"/>
    <w:rsid w:val="00421A59"/>
    <w:rsid w:val="00421B50"/>
    <w:rsid w:val="00421BB7"/>
    <w:rsid w:val="00421D82"/>
    <w:rsid w:val="00421E71"/>
    <w:rsid w:val="00421E93"/>
    <w:rsid w:val="004228E1"/>
    <w:rsid w:val="00422D26"/>
    <w:rsid w:val="00423225"/>
    <w:rsid w:val="00423CF6"/>
    <w:rsid w:val="00423D65"/>
    <w:rsid w:val="00423E21"/>
    <w:rsid w:val="00424119"/>
    <w:rsid w:val="00424426"/>
    <w:rsid w:val="004251EA"/>
    <w:rsid w:val="004252EB"/>
    <w:rsid w:val="004254E2"/>
    <w:rsid w:val="0042571B"/>
    <w:rsid w:val="00425A08"/>
    <w:rsid w:val="00425B2D"/>
    <w:rsid w:val="00425B5E"/>
    <w:rsid w:val="00425CD7"/>
    <w:rsid w:val="0042648D"/>
    <w:rsid w:val="0042654E"/>
    <w:rsid w:val="004266F0"/>
    <w:rsid w:val="00426736"/>
    <w:rsid w:val="00426799"/>
    <w:rsid w:val="00426A60"/>
    <w:rsid w:val="00426E31"/>
    <w:rsid w:val="00426E4E"/>
    <w:rsid w:val="00426EEA"/>
    <w:rsid w:val="00426F3E"/>
    <w:rsid w:val="0042709D"/>
    <w:rsid w:val="00427840"/>
    <w:rsid w:val="00427846"/>
    <w:rsid w:val="00427B56"/>
    <w:rsid w:val="0043016B"/>
    <w:rsid w:val="004309FD"/>
    <w:rsid w:val="00430B74"/>
    <w:rsid w:val="00430DF0"/>
    <w:rsid w:val="0043132B"/>
    <w:rsid w:val="00431992"/>
    <w:rsid w:val="00431A1E"/>
    <w:rsid w:val="00431C87"/>
    <w:rsid w:val="00431D44"/>
    <w:rsid w:val="00431D56"/>
    <w:rsid w:val="00432067"/>
    <w:rsid w:val="004320CC"/>
    <w:rsid w:val="00432122"/>
    <w:rsid w:val="0043268A"/>
    <w:rsid w:val="004326AA"/>
    <w:rsid w:val="004327DC"/>
    <w:rsid w:val="00432C66"/>
    <w:rsid w:val="00432F84"/>
    <w:rsid w:val="00433022"/>
    <w:rsid w:val="0043308F"/>
    <w:rsid w:val="00433298"/>
    <w:rsid w:val="00433456"/>
    <w:rsid w:val="00433556"/>
    <w:rsid w:val="00433630"/>
    <w:rsid w:val="0043377A"/>
    <w:rsid w:val="004338E1"/>
    <w:rsid w:val="00433E6A"/>
    <w:rsid w:val="00434287"/>
    <w:rsid w:val="00434319"/>
    <w:rsid w:val="00434394"/>
    <w:rsid w:val="00434718"/>
    <w:rsid w:val="0043496B"/>
    <w:rsid w:val="004349A4"/>
    <w:rsid w:val="00434B3C"/>
    <w:rsid w:val="00434CD9"/>
    <w:rsid w:val="00435332"/>
    <w:rsid w:val="0043535D"/>
    <w:rsid w:val="004355E7"/>
    <w:rsid w:val="00435FC5"/>
    <w:rsid w:val="00436413"/>
    <w:rsid w:val="00436979"/>
    <w:rsid w:val="00436AB5"/>
    <w:rsid w:val="00436B9E"/>
    <w:rsid w:val="00436D8E"/>
    <w:rsid w:val="00436EE5"/>
    <w:rsid w:val="004371C4"/>
    <w:rsid w:val="00437948"/>
    <w:rsid w:val="00437A5C"/>
    <w:rsid w:val="00437AD1"/>
    <w:rsid w:val="00437B11"/>
    <w:rsid w:val="00437F93"/>
    <w:rsid w:val="00437FB2"/>
    <w:rsid w:val="004400D0"/>
    <w:rsid w:val="004401D1"/>
    <w:rsid w:val="00440757"/>
    <w:rsid w:val="0044078B"/>
    <w:rsid w:val="00440B50"/>
    <w:rsid w:val="00440C62"/>
    <w:rsid w:val="00440D8C"/>
    <w:rsid w:val="00441053"/>
    <w:rsid w:val="00441087"/>
    <w:rsid w:val="004413E3"/>
    <w:rsid w:val="00441C87"/>
    <w:rsid w:val="00441FBA"/>
    <w:rsid w:val="00442034"/>
    <w:rsid w:val="004421EE"/>
    <w:rsid w:val="004422EF"/>
    <w:rsid w:val="00442306"/>
    <w:rsid w:val="004427B1"/>
    <w:rsid w:val="00442DFA"/>
    <w:rsid w:val="00443692"/>
    <w:rsid w:val="004439B4"/>
    <w:rsid w:val="004439CF"/>
    <w:rsid w:val="00443B27"/>
    <w:rsid w:val="00443DD0"/>
    <w:rsid w:val="00443EC3"/>
    <w:rsid w:val="00443F5B"/>
    <w:rsid w:val="004441B1"/>
    <w:rsid w:val="00444383"/>
    <w:rsid w:val="0044480F"/>
    <w:rsid w:val="00444903"/>
    <w:rsid w:val="0044490D"/>
    <w:rsid w:val="00444AD1"/>
    <w:rsid w:val="00444AD2"/>
    <w:rsid w:val="00444B03"/>
    <w:rsid w:val="00444B9F"/>
    <w:rsid w:val="00444C4F"/>
    <w:rsid w:val="00444EC9"/>
    <w:rsid w:val="004451D3"/>
    <w:rsid w:val="00445969"/>
    <w:rsid w:val="00445D4C"/>
    <w:rsid w:val="004460F5"/>
    <w:rsid w:val="00446262"/>
    <w:rsid w:val="004463D9"/>
    <w:rsid w:val="00446C2F"/>
    <w:rsid w:val="00446E25"/>
    <w:rsid w:val="00447082"/>
    <w:rsid w:val="00447237"/>
    <w:rsid w:val="004474F0"/>
    <w:rsid w:val="00447575"/>
    <w:rsid w:val="00447774"/>
    <w:rsid w:val="00447912"/>
    <w:rsid w:val="00447A1C"/>
    <w:rsid w:val="00450206"/>
    <w:rsid w:val="00450444"/>
    <w:rsid w:val="00450667"/>
    <w:rsid w:val="00450724"/>
    <w:rsid w:val="004509E2"/>
    <w:rsid w:val="00450C4D"/>
    <w:rsid w:val="00450F3B"/>
    <w:rsid w:val="004511DE"/>
    <w:rsid w:val="004512ED"/>
    <w:rsid w:val="00451D63"/>
    <w:rsid w:val="00451D83"/>
    <w:rsid w:val="00452521"/>
    <w:rsid w:val="004528CE"/>
    <w:rsid w:val="00452D6A"/>
    <w:rsid w:val="00452FE3"/>
    <w:rsid w:val="00452FE8"/>
    <w:rsid w:val="00453AFD"/>
    <w:rsid w:val="004542E1"/>
    <w:rsid w:val="004542E2"/>
    <w:rsid w:val="004543BF"/>
    <w:rsid w:val="00454E47"/>
    <w:rsid w:val="00454F0C"/>
    <w:rsid w:val="004554BD"/>
    <w:rsid w:val="00455501"/>
    <w:rsid w:val="00455514"/>
    <w:rsid w:val="00455C16"/>
    <w:rsid w:val="00455DD7"/>
    <w:rsid w:val="004560DE"/>
    <w:rsid w:val="004562A0"/>
    <w:rsid w:val="004567D9"/>
    <w:rsid w:val="00456A53"/>
    <w:rsid w:val="00456D8A"/>
    <w:rsid w:val="0045703A"/>
    <w:rsid w:val="004571E0"/>
    <w:rsid w:val="0045720A"/>
    <w:rsid w:val="00457460"/>
    <w:rsid w:val="0045754E"/>
    <w:rsid w:val="00457638"/>
    <w:rsid w:val="00457A88"/>
    <w:rsid w:val="00457CA4"/>
    <w:rsid w:val="00457D41"/>
    <w:rsid w:val="00457DAA"/>
    <w:rsid w:val="004601B3"/>
    <w:rsid w:val="004609C9"/>
    <w:rsid w:val="00460A44"/>
    <w:rsid w:val="00460D21"/>
    <w:rsid w:val="00460DB4"/>
    <w:rsid w:val="00460F27"/>
    <w:rsid w:val="0046110F"/>
    <w:rsid w:val="00461615"/>
    <w:rsid w:val="0046161E"/>
    <w:rsid w:val="0046180E"/>
    <w:rsid w:val="00461AA7"/>
    <w:rsid w:val="00462071"/>
    <w:rsid w:val="00462356"/>
    <w:rsid w:val="0046260E"/>
    <w:rsid w:val="004628F8"/>
    <w:rsid w:val="00462B2C"/>
    <w:rsid w:val="00462F59"/>
    <w:rsid w:val="004631D0"/>
    <w:rsid w:val="00463422"/>
    <w:rsid w:val="00463528"/>
    <w:rsid w:val="0046361A"/>
    <w:rsid w:val="004640B8"/>
    <w:rsid w:val="0046484E"/>
    <w:rsid w:val="00464E66"/>
    <w:rsid w:val="00464E68"/>
    <w:rsid w:val="00464FFE"/>
    <w:rsid w:val="00465503"/>
    <w:rsid w:val="00465604"/>
    <w:rsid w:val="00465A18"/>
    <w:rsid w:val="00465BF7"/>
    <w:rsid w:val="00465C70"/>
    <w:rsid w:val="00466446"/>
    <w:rsid w:val="004667FF"/>
    <w:rsid w:val="00466A21"/>
    <w:rsid w:val="00466ED4"/>
    <w:rsid w:val="00467C36"/>
    <w:rsid w:val="00467E22"/>
    <w:rsid w:val="00467E53"/>
    <w:rsid w:val="00470221"/>
    <w:rsid w:val="00470690"/>
    <w:rsid w:val="004707BC"/>
    <w:rsid w:val="00470A6B"/>
    <w:rsid w:val="00470A9F"/>
    <w:rsid w:val="00470AFC"/>
    <w:rsid w:val="00470B3D"/>
    <w:rsid w:val="00470C70"/>
    <w:rsid w:val="00470D45"/>
    <w:rsid w:val="00470EE1"/>
    <w:rsid w:val="00471098"/>
    <w:rsid w:val="0047163A"/>
    <w:rsid w:val="00471904"/>
    <w:rsid w:val="00471A04"/>
    <w:rsid w:val="00471B01"/>
    <w:rsid w:val="00471D83"/>
    <w:rsid w:val="00471F73"/>
    <w:rsid w:val="00472673"/>
    <w:rsid w:val="004726FA"/>
    <w:rsid w:val="00472DC2"/>
    <w:rsid w:val="00473313"/>
    <w:rsid w:val="004733FF"/>
    <w:rsid w:val="004736FC"/>
    <w:rsid w:val="004738A6"/>
    <w:rsid w:val="004738E0"/>
    <w:rsid w:val="00473BFE"/>
    <w:rsid w:val="00473C58"/>
    <w:rsid w:val="00473F3E"/>
    <w:rsid w:val="004744D7"/>
    <w:rsid w:val="004751F5"/>
    <w:rsid w:val="0047533D"/>
    <w:rsid w:val="00475459"/>
    <w:rsid w:val="00475AF4"/>
    <w:rsid w:val="00475ED9"/>
    <w:rsid w:val="00476165"/>
    <w:rsid w:val="0047620C"/>
    <w:rsid w:val="00476339"/>
    <w:rsid w:val="004765EE"/>
    <w:rsid w:val="00476AC5"/>
    <w:rsid w:val="00476B37"/>
    <w:rsid w:val="00476BC4"/>
    <w:rsid w:val="00476D31"/>
    <w:rsid w:val="00476F9C"/>
    <w:rsid w:val="0047707A"/>
    <w:rsid w:val="00477129"/>
    <w:rsid w:val="004771A3"/>
    <w:rsid w:val="004777EC"/>
    <w:rsid w:val="004778B3"/>
    <w:rsid w:val="00477986"/>
    <w:rsid w:val="00477B8F"/>
    <w:rsid w:val="00477F15"/>
    <w:rsid w:val="0048009A"/>
    <w:rsid w:val="004800F3"/>
    <w:rsid w:val="004803B6"/>
    <w:rsid w:val="004807C5"/>
    <w:rsid w:val="00480942"/>
    <w:rsid w:val="00480D32"/>
    <w:rsid w:val="00480DEF"/>
    <w:rsid w:val="004811C5"/>
    <w:rsid w:val="00481294"/>
    <w:rsid w:val="004815BB"/>
    <w:rsid w:val="00481BB1"/>
    <w:rsid w:val="00481C3C"/>
    <w:rsid w:val="00482117"/>
    <w:rsid w:val="00482490"/>
    <w:rsid w:val="004827D9"/>
    <w:rsid w:val="004829BB"/>
    <w:rsid w:val="00482AFE"/>
    <w:rsid w:val="00482D2E"/>
    <w:rsid w:val="00482D61"/>
    <w:rsid w:val="00482DEA"/>
    <w:rsid w:val="00482EAE"/>
    <w:rsid w:val="00482F11"/>
    <w:rsid w:val="0048320E"/>
    <w:rsid w:val="004836FB"/>
    <w:rsid w:val="004839FF"/>
    <w:rsid w:val="00483A09"/>
    <w:rsid w:val="00483BB2"/>
    <w:rsid w:val="00483C76"/>
    <w:rsid w:val="00483E2A"/>
    <w:rsid w:val="00483FA7"/>
    <w:rsid w:val="00484D26"/>
    <w:rsid w:val="004850FC"/>
    <w:rsid w:val="00485782"/>
    <w:rsid w:val="00485916"/>
    <w:rsid w:val="00485B33"/>
    <w:rsid w:val="00485D35"/>
    <w:rsid w:val="00486719"/>
    <w:rsid w:val="00486B9D"/>
    <w:rsid w:val="00486D07"/>
    <w:rsid w:val="00486E76"/>
    <w:rsid w:val="0048791E"/>
    <w:rsid w:val="00487A24"/>
    <w:rsid w:val="00487BB8"/>
    <w:rsid w:val="00487BFE"/>
    <w:rsid w:val="00487D1B"/>
    <w:rsid w:val="00487D4D"/>
    <w:rsid w:val="00490207"/>
    <w:rsid w:val="0049046F"/>
    <w:rsid w:val="00490629"/>
    <w:rsid w:val="004906F9"/>
    <w:rsid w:val="0049072E"/>
    <w:rsid w:val="00490931"/>
    <w:rsid w:val="00490A2E"/>
    <w:rsid w:val="0049114E"/>
    <w:rsid w:val="004911B9"/>
    <w:rsid w:val="0049130D"/>
    <w:rsid w:val="0049132C"/>
    <w:rsid w:val="00491488"/>
    <w:rsid w:val="00491586"/>
    <w:rsid w:val="004915F4"/>
    <w:rsid w:val="0049161F"/>
    <w:rsid w:val="00491688"/>
    <w:rsid w:val="00491A94"/>
    <w:rsid w:val="0049204B"/>
    <w:rsid w:val="00492268"/>
    <w:rsid w:val="004922A0"/>
    <w:rsid w:val="004925DF"/>
    <w:rsid w:val="0049260F"/>
    <w:rsid w:val="00492665"/>
    <w:rsid w:val="00492DBE"/>
    <w:rsid w:val="00493087"/>
    <w:rsid w:val="00493322"/>
    <w:rsid w:val="004933C9"/>
    <w:rsid w:val="0049349E"/>
    <w:rsid w:val="004934B2"/>
    <w:rsid w:val="00493765"/>
    <w:rsid w:val="00493881"/>
    <w:rsid w:val="00493A18"/>
    <w:rsid w:val="00494016"/>
    <w:rsid w:val="00494882"/>
    <w:rsid w:val="004948FB"/>
    <w:rsid w:val="00494A43"/>
    <w:rsid w:val="00494FAB"/>
    <w:rsid w:val="00495A1B"/>
    <w:rsid w:val="00495D41"/>
    <w:rsid w:val="004963E2"/>
    <w:rsid w:val="00496738"/>
    <w:rsid w:val="00496760"/>
    <w:rsid w:val="00496966"/>
    <w:rsid w:val="004969D0"/>
    <w:rsid w:val="004969FA"/>
    <w:rsid w:val="00496CD6"/>
    <w:rsid w:val="00496E44"/>
    <w:rsid w:val="00497391"/>
    <w:rsid w:val="00497AA2"/>
    <w:rsid w:val="00497DBE"/>
    <w:rsid w:val="00497DFF"/>
    <w:rsid w:val="00497F54"/>
    <w:rsid w:val="004A00F7"/>
    <w:rsid w:val="004A0202"/>
    <w:rsid w:val="004A0324"/>
    <w:rsid w:val="004A0354"/>
    <w:rsid w:val="004A0357"/>
    <w:rsid w:val="004A0388"/>
    <w:rsid w:val="004A04B0"/>
    <w:rsid w:val="004A0841"/>
    <w:rsid w:val="004A089B"/>
    <w:rsid w:val="004A0CDE"/>
    <w:rsid w:val="004A0F66"/>
    <w:rsid w:val="004A12BC"/>
    <w:rsid w:val="004A12F3"/>
    <w:rsid w:val="004A14AF"/>
    <w:rsid w:val="004A16BA"/>
    <w:rsid w:val="004A205A"/>
    <w:rsid w:val="004A228E"/>
    <w:rsid w:val="004A233B"/>
    <w:rsid w:val="004A23A6"/>
    <w:rsid w:val="004A25DC"/>
    <w:rsid w:val="004A2B90"/>
    <w:rsid w:val="004A2D29"/>
    <w:rsid w:val="004A30F8"/>
    <w:rsid w:val="004A3120"/>
    <w:rsid w:val="004A3190"/>
    <w:rsid w:val="004A32D9"/>
    <w:rsid w:val="004A34D2"/>
    <w:rsid w:val="004A3C05"/>
    <w:rsid w:val="004A41DF"/>
    <w:rsid w:val="004A4651"/>
    <w:rsid w:val="004A47FF"/>
    <w:rsid w:val="004A48BF"/>
    <w:rsid w:val="004A4BA5"/>
    <w:rsid w:val="004A4F3A"/>
    <w:rsid w:val="004A53C7"/>
    <w:rsid w:val="004A5443"/>
    <w:rsid w:val="004A55BB"/>
    <w:rsid w:val="004A560A"/>
    <w:rsid w:val="004A59E9"/>
    <w:rsid w:val="004A5AE4"/>
    <w:rsid w:val="004A5B80"/>
    <w:rsid w:val="004A61E2"/>
    <w:rsid w:val="004A6972"/>
    <w:rsid w:val="004A69B2"/>
    <w:rsid w:val="004A714A"/>
    <w:rsid w:val="004A740F"/>
    <w:rsid w:val="004A750B"/>
    <w:rsid w:val="004A7890"/>
    <w:rsid w:val="004A78D2"/>
    <w:rsid w:val="004A7AB0"/>
    <w:rsid w:val="004A7DFA"/>
    <w:rsid w:val="004B02DB"/>
    <w:rsid w:val="004B0335"/>
    <w:rsid w:val="004B0431"/>
    <w:rsid w:val="004B06B7"/>
    <w:rsid w:val="004B07D8"/>
    <w:rsid w:val="004B0A1A"/>
    <w:rsid w:val="004B0AF2"/>
    <w:rsid w:val="004B0D6A"/>
    <w:rsid w:val="004B128D"/>
    <w:rsid w:val="004B1568"/>
    <w:rsid w:val="004B1661"/>
    <w:rsid w:val="004B19DD"/>
    <w:rsid w:val="004B19F9"/>
    <w:rsid w:val="004B1A0C"/>
    <w:rsid w:val="004B1E72"/>
    <w:rsid w:val="004B221D"/>
    <w:rsid w:val="004B238F"/>
    <w:rsid w:val="004B2583"/>
    <w:rsid w:val="004B26A1"/>
    <w:rsid w:val="004B2846"/>
    <w:rsid w:val="004B293D"/>
    <w:rsid w:val="004B2C2B"/>
    <w:rsid w:val="004B2DD2"/>
    <w:rsid w:val="004B2ED7"/>
    <w:rsid w:val="004B3174"/>
    <w:rsid w:val="004B33B5"/>
    <w:rsid w:val="004B3453"/>
    <w:rsid w:val="004B35BB"/>
    <w:rsid w:val="004B36CD"/>
    <w:rsid w:val="004B38DD"/>
    <w:rsid w:val="004B3996"/>
    <w:rsid w:val="004B39E3"/>
    <w:rsid w:val="004B4062"/>
    <w:rsid w:val="004B41AE"/>
    <w:rsid w:val="004B43B1"/>
    <w:rsid w:val="004B488A"/>
    <w:rsid w:val="004B4AA2"/>
    <w:rsid w:val="004B4BE4"/>
    <w:rsid w:val="004B4DBF"/>
    <w:rsid w:val="004B4F0C"/>
    <w:rsid w:val="004B4F9D"/>
    <w:rsid w:val="004B5287"/>
    <w:rsid w:val="004B5330"/>
    <w:rsid w:val="004B551E"/>
    <w:rsid w:val="004B590D"/>
    <w:rsid w:val="004B5A77"/>
    <w:rsid w:val="004B5D0B"/>
    <w:rsid w:val="004B5D1E"/>
    <w:rsid w:val="004B5D73"/>
    <w:rsid w:val="004B6150"/>
    <w:rsid w:val="004B6155"/>
    <w:rsid w:val="004B64DC"/>
    <w:rsid w:val="004B66E6"/>
    <w:rsid w:val="004B68DA"/>
    <w:rsid w:val="004B6BB7"/>
    <w:rsid w:val="004B755D"/>
    <w:rsid w:val="004B7588"/>
    <w:rsid w:val="004B75C6"/>
    <w:rsid w:val="004B75CF"/>
    <w:rsid w:val="004B7681"/>
    <w:rsid w:val="004B76FF"/>
    <w:rsid w:val="004B7808"/>
    <w:rsid w:val="004B7846"/>
    <w:rsid w:val="004B790F"/>
    <w:rsid w:val="004B7A17"/>
    <w:rsid w:val="004B7BAD"/>
    <w:rsid w:val="004B7C9B"/>
    <w:rsid w:val="004B7CF2"/>
    <w:rsid w:val="004B7FCA"/>
    <w:rsid w:val="004C00CE"/>
    <w:rsid w:val="004C02D4"/>
    <w:rsid w:val="004C0674"/>
    <w:rsid w:val="004C0E8F"/>
    <w:rsid w:val="004C10C4"/>
    <w:rsid w:val="004C1176"/>
    <w:rsid w:val="004C1457"/>
    <w:rsid w:val="004C146E"/>
    <w:rsid w:val="004C147C"/>
    <w:rsid w:val="004C1489"/>
    <w:rsid w:val="004C14EB"/>
    <w:rsid w:val="004C1912"/>
    <w:rsid w:val="004C1AB2"/>
    <w:rsid w:val="004C2934"/>
    <w:rsid w:val="004C2E63"/>
    <w:rsid w:val="004C3328"/>
    <w:rsid w:val="004C35CD"/>
    <w:rsid w:val="004C3728"/>
    <w:rsid w:val="004C3999"/>
    <w:rsid w:val="004C3A6A"/>
    <w:rsid w:val="004C3C6C"/>
    <w:rsid w:val="004C3CE9"/>
    <w:rsid w:val="004C3E57"/>
    <w:rsid w:val="004C4214"/>
    <w:rsid w:val="004C5015"/>
    <w:rsid w:val="004C51AF"/>
    <w:rsid w:val="004C5230"/>
    <w:rsid w:val="004C530F"/>
    <w:rsid w:val="004C5334"/>
    <w:rsid w:val="004C53E9"/>
    <w:rsid w:val="004C572D"/>
    <w:rsid w:val="004C587E"/>
    <w:rsid w:val="004C589B"/>
    <w:rsid w:val="004C58D6"/>
    <w:rsid w:val="004C5BC0"/>
    <w:rsid w:val="004C5BEA"/>
    <w:rsid w:val="004C5C9A"/>
    <w:rsid w:val="004C5E7E"/>
    <w:rsid w:val="004C5FDD"/>
    <w:rsid w:val="004C66D2"/>
    <w:rsid w:val="004C66D6"/>
    <w:rsid w:val="004C6869"/>
    <w:rsid w:val="004C6AD5"/>
    <w:rsid w:val="004C6F3D"/>
    <w:rsid w:val="004C707E"/>
    <w:rsid w:val="004C71D7"/>
    <w:rsid w:val="004C7268"/>
    <w:rsid w:val="004C7656"/>
    <w:rsid w:val="004C7E1E"/>
    <w:rsid w:val="004C7E34"/>
    <w:rsid w:val="004D02B6"/>
    <w:rsid w:val="004D03F4"/>
    <w:rsid w:val="004D10B3"/>
    <w:rsid w:val="004D1433"/>
    <w:rsid w:val="004D16AE"/>
    <w:rsid w:val="004D19CB"/>
    <w:rsid w:val="004D1A71"/>
    <w:rsid w:val="004D1EA6"/>
    <w:rsid w:val="004D2094"/>
    <w:rsid w:val="004D21AD"/>
    <w:rsid w:val="004D2330"/>
    <w:rsid w:val="004D24AC"/>
    <w:rsid w:val="004D26D6"/>
    <w:rsid w:val="004D277D"/>
    <w:rsid w:val="004D2DFA"/>
    <w:rsid w:val="004D2E14"/>
    <w:rsid w:val="004D2E98"/>
    <w:rsid w:val="004D3058"/>
    <w:rsid w:val="004D369B"/>
    <w:rsid w:val="004D39AC"/>
    <w:rsid w:val="004D3D86"/>
    <w:rsid w:val="004D3E30"/>
    <w:rsid w:val="004D49D0"/>
    <w:rsid w:val="004D4D37"/>
    <w:rsid w:val="004D4E68"/>
    <w:rsid w:val="004D53A8"/>
    <w:rsid w:val="004D53AC"/>
    <w:rsid w:val="004D547A"/>
    <w:rsid w:val="004D59F7"/>
    <w:rsid w:val="004D5BFA"/>
    <w:rsid w:val="004D5E93"/>
    <w:rsid w:val="004D6062"/>
    <w:rsid w:val="004D613F"/>
    <w:rsid w:val="004D6179"/>
    <w:rsid w:val="004D61B3"/>
    <w:rsid w:val="004D6351"/>
    <w:rsid w:val="004D64C1"/>
    <w:rsid w:val="004D70A1"/>
    <w:rsid w:val="004D725B"/>
    <w:rsid w:val="004D7650"/>
    <w:rsid w:val="004D7CBF"/>
    <w:rsid w:val="004E00C5"/>
    <w:rsid w:val="004E0396"/>
    <w:rsid w:val="004E03CD"/>
    <w:rsid w:val="004E0462"/>
    <w:rsid w:val="004E0914"/>
    <w:rsid w:val="004E0B77"/>
    <w:rsid w:val="004E0C24"/>
    <w:rsid w:val="004E0D00"/>
    <w:rsid w:val="004E0D93"/>
    <w:rsid w:val="004E0F2E"/>
    <w:rsid w:val="004E1159"/>
    <w:rsid w:val="004E12E8"/>
    <w:rsid w:val="004E1414"/>
    <w:rsid w:val="004E1997"/>
    <w:rsid w:val="004E1AB4"/>
    <w:rsid w:val="004E1C0B"/>
    <w:rsid w:val="004E1EC0"/>
    <w:rsid w:val="004E1EC6"/>
    <w:rsid w:val="004E2326"/>
    <w:rsid w:val="004E2356"/>
    <w:rsid w:val="004E2757"/>
    <w:rsid w:val="004E2A25"/>
    <w:rsid w:val="004E2A35"/>
    <w:rsid w:val="004E3576"/>
    <w:rsid w:val="004E3C4A"/>
    <w:rsid w:val="004E4409"/>
    <w:rsid w:val="004E4AF3"/>
    <w:rsid w:val="004E4B07"/>
    <w:rsid w:val="004E5521"/>
    <w:rsid w:val="004E586B"/>
    <w:rsid w:val="004E5922"/>
    <w:rsid w:val="004E5D68"/>
    <w:rsid w:val="004E60EA"/>
    <w:rsid w:val="004E65A3"/>
    <w:rsid w:val="004E662B"/>
    <w:rsid w:val="004E663F"/>
    <w:rsid w:val="004E6673"/>
    <w:rsid w:val="004E66F1"/>
    <w:rsid w:val="004E6712"/>
    <w:rsid w:val="004E6974"/>
    <w:rsid w:val="004E69AA"/>
    <w:rsid w:val="004E6D2B"/>
    <w:rsid w:val="004E736F"/>
    <w:rsid w:val="004E7390"/>
    <w:rsid w:val="004E7432"/>
    <w:rsid w:val="004E7678"/>
    <w:rsid w:val="004E79A4"/>
    <w:rsid w:val="004E7FDA"/>
    <w:rsid w:val="004F00A0"/>
    <w:rsid w:val="004F011F"/>
    <w:rsid w:val="004F0483"/>
    <w:rsid w:val="004F092A"/>
    <w:rsid w:val="004F0A23"/>
    <w:rsid w:val="004F0C55"/>
    <w:rsid w:val="004F0ED7"/>
    <w:rsid w:val="004F0EF2"/>
    <w:rsid w:val="004F123B"/>
    <w:rsid w:val="004F1668"/>
    <w:rsid w:val="004F1718"/>
    <w:rsid w:val="004F17BD"/>
    <w:rsid w:val="004F17D0"/>
    <w:rsid w:val="004F1DE3"/>
    <w:rsid w:val="004F203D"/>
    <w:rsid w:val="004F21F3"/>
    <w:rsid w:val="004F2300"/>
    <w:rsid w:val="004F2655"/>
    <w:rsid w:val="004F2F6F"/>
    <w:rsid w:val="004F318D"/>
    <w:rsid w:val="004F3451"/>
    <w:rsid w:val="004F3666"/>
    <w:rsid w:val="004F3B92"/>
    <w:rsid w:val="004F3CD0"/>
    <w:rsid w:val="004F3DC6"/>
    <w:rsid w:val="004F3F4B"/>
    <w:rsid w:val="004F4184"/>
    <w:rsid w:val="004F4245"/>
    <w:rsid w:val="004F445A"/>
    <w:rsid w:val="004F44CD"/>
    <w:rsid w:val="004F4A22"/>
    <w:rsid w:val="004F4A5C"/>
    <w:rsid w:val="004F4AC6"/>
    <w:rsid w:val="004F4AF8"/>
    <w:rsid w:val="004F4C97"/>
    <w:rsid w:val="004F4CC4"/>
    <w:rsid w:val="004F4EE8"/>
    <w:rsid w:val="004F50E5"/>
    <w:rsid w:val="004F5115"/>
    <w:rsid w:val="004F5227"/>
    <w:rsid w:val="004F522A"/>
    <w:rsid w:val="004F537E"/>
    <w:rsid w:val="004F5A7C"/>
    <w:rsid w:val="004F5D8F"/>
    <w:rsid w:val="004F5DD5"/>
    <w:rsid w:val="004F5E04"/>
    <w:rsid w:val="004F5E76"/>
    <w:rsid w:val="004F6304"/>
    <w:rsid w:val="004F63F8"/>
    <w:rsid w:val="004F644D"/>
    <w:rsid w:val="004F6A56"/>
    <w:rsid w:val="004F6A89"/>
    <w:rsid w:val="004F6DC6"/>
    <w:rsid w:val="004F6F85"/>
    <w:rsid w:val="004F72F9"/>
    <w:rsid w:val="004F730B"/>
    <w:rsid w:val="004F7322"/>
    <w:rsid w:val="004F7398"/>
    <w:rsid w:val="004F7BFE"/>
    <w:rsid w:val="004F7E05"/>
    <w:rsid w:val="004F7F5B"/>
    <w:rsid w:val="004F7F65"/>
    <w:rsid w:val="005003C3"/>
    <w:rsid w:val="005004AC"/>
    <w:rsid w:val="005006DE"/>
    <w:rsid w:val="00500B84"/>
    <w:rsid w:val="00500E10"/>
    <w:rsid w:val="00500F2F"/>
    <w:rsid w:val="00500F63"/>
    <w:rsid w:val="00501226"/>
    <w:rsid w:val="0050129C"/>
    <w:rsid w:val="005012EB"/>
    <w:rsid w:val="005016EF"/>
    <w:rsid w:val="005017B0"/>
    <w:rsid w:val="00501803"/>
    <w:rsid w:val="00501AAB"/>
    <w:rsid w:val="00501CBA"/>
    <w:rsid w:val="00501D82"/>
    <w:rsid w:val="00501E07"/>
    <w:rsid w:val="00501F0A"/>
    <w:rsid w:val="00501FCB"/>
    <w:rsid w:val="005024D5"/>
    <w:rsid w:val="005027C1"/>
    <w:rsid w:val="00502ADD"/>
    <w:rsid w:val="00502E2F"/>
    <w:rsid w:val="0050305A"/>
    <w:rsid w:val="00503226"/>
    <w:rsid w:val="00503337"/>
    <w:rsid w:val="00503643"/>
    <w:rsid w:val="00503710"/>
    <w:rsid w:val="005038D1"/>
    <w:rsid w:val="00503C61"/>
    <w:rsid w:val="00503E30"/>
    <w:rsid w:val="00503FB9"/>
    <w:rsid w:val="00504C81"/>
    <w:rsid w:val="00504F86"/>
    <w:rsid w:val="00504FEF"/>
    <w:rsid w:val="0050501D"/>
    <w:rsid w:val="005052DA"/>
    <w:rsid w:val="00505379"/>
    <w:rsid w:val="005054A0"/>
    <w:rsid w:val="005058C3"/>
    <w:rsid w:val="00505A0D"/>
    <w:rsid w:val="00505D43"/>
    <w:rsid w:val="00505DDC"/>
    <w:rsid w:val="00505F7F"/>
    <w:rsid w:val="00506026"/>
    <w:rsid w:val="00506097"/>
    <w:rsid w:val="005060F9"/>
    <w:rsid w:val="005062ED"/>
    <w:rsid w:val="00506439"/>
    <w:rsid w:val="00506581"/>
    <w:rsid w:val="00506861"/>
    <w:rsid w:val="00506BB4"/>
    <w:rsid w:val="00506C53"/>
    <w:rsid w:val="00506ECE"/>
    <w:rsid w:val="00506F16"/>
    <w:rsid w:val="00507356"/>
    <w:rsid w:val="00507515"/>
    <w:rsid w:val="005075EB"/>
    <w:rsid w:val="00507660"/>
    <w:rsid w:val="00507B96"/>
    <w:rsid w:val="00507FD8"/>
    <w:rsid w:val="00510031"/>
    <w:rsid w:val="00510237"/>
    <w:rsid w:val="0051036F"/>
    <w:rsid w:val="005105BD"/>
    <w:rsid w:val="005110F5"/>
    <w:rsid w:val="005116BA"/>
    <w:rsid w:val="005118C9"/>
    <w:rsid w:val="00511B3A"/>
    <w:rsid w:val="00511D76"/>
    <w:rsid w:val="00511DD2"/>
    <w:rsid w:val="00511DDC"/>
    <w:rsid w:val="00511F69"/>
    <w:rsid w:val="005121EB"/>
    <w:rsid w:val="00512208"/>
    <w:rsid w:val="005122BC"/>
    <w:rsid w:val="0051238B"/>
    <w:rsid w:val="005128CA"/>
    <w:rsid w:val="00512C3F"/>
    <w:rsid w:val="00513018"/>
    <w:rsid w:val="00513345"/>
    <w:rsid w:val="005133BE"/>
    <w:rsid w:val="0051354D"/>
    <w:rsid w:val="00513948"/>
    <w:rsid w:val="00513A90"/>
    <w:rsid w:val="00513AA9"/>
    <w:rsid w:val="00513AC4"/>
    <w:rsid w:val="00514384"/>
    <w:rsid w:val="00514A8D"/>
    <w:rsid w:val="00514A9A"/>
    <w:rsid w:val="00514CA9"/>
    <w:rsid w:val="005152A8"/>
    <w:rsid w:val="005158D6"/>
    <w:rsid w:val="00515A07"/>
    <w:rsid w:val="00515B20"/>
    <w:rsid w:val="00515BB6"/>
    <w:rsid w:val="00515BF1"/>
    <w:rsid w:val="005160C6"/>
    <w:rsid w:val="005161EF"/>
    <w:rsid w:val="00516704"/>
    <w:rsid w:val="0051691A"/>
    <w:rsid w:val="00516F24"/>
    <w:rsid w:val="00516FF7"/>
    <w:rsid w:val="0051721B"/>
    <w:rsid w:val="005172CF"/>
    <w:rsid w:val="00517306"/>
    <w:rsid w:val="00517BFF"/>
    <w:rsid w:val="00517F76"/>
    <w:rsid w:val="0052005C"/>
    <w:rsid w:val="00520302"/>
    <w:rsid w:val="00520775"/>
    <w:rsid w:val="00520F7E"/>
    <w:rsid w:val="00521073"/>
    <w:rsid w:val="005211CD"/>
    <w:rsid w:val="005213B3"/>
    <w:rsid w:val="005215AC"/>
    <w:rsid w:val="0052190F"/>
    <w:rsid w:val="005221F0"/>
    <w:rsid w:val="005222AF"/>
    <w:rsid w:val="005222CB"/>
    <w:rsid w:val="00522634"/>
    <w:rsid w:val="00522703"/>
    <w:rsid w:val="00522738"/>
    <w:rsid w:val="0052276B"/>
    <w:rsid w:val="005228C5"/>
    <w:rsid w:val="00522A28"/>
    <w:rsid w:val="00522A9F"/>
    <w:rsid w:val="00522AC2"/>
    <w:rsid w:val="00522BC9"/>
    <w:rsid w:val="00522D8A"/>
    <w:rsid w:val="00522E4A"/>
    <w:rsid w:val="00523161"/>
    <w:rsid w:val="00523369"/>
    <w:rsid w:val="005233F4"/>
    <w:rsid w:val="0052349E"/>
    <w:rsid w:val="00524593"/>
    <w:rsid w:val="00524617"/>
    <w:rsid w:val="00524622"/>
    <w:rsid w:val="00524808"/>
    <w:rsid w:val="005249EE"/>
    <w:rsid w:val="00525144"/>
    <w:rsid w:val="00525371"/>
    <w:rsid w:val="00525E55"/>
    <w:rsid w:val="00526314"/>
    <w:rsid w:val="00526B5E"/>
    <w:rsid w:val="00526DE8"/>
    <w:rsid w:val="00527265"/>
    <w:rsid w:val="005272D2"/>
    <w:rsid w:val="005272EE"/>
    <w:rsid w:val="00527327"/>
    <w:rsid w:val="00527590"/>
    <w:rsid w:val="00527B61"/>
    <w:rsid w:val="0053015C"/>
    <w:rsid w:val="0053027C"/>
    <w:rsid w:val="005309A6"/>
    <w:rsid w:val="00530CA7"/>
    <w:rsid w:val="00530DA1"/>
    <w:rsid w:val="00530EA7"/>
    <w:rsid w:val="005316CF"/>
    <w:rsid w:val="00531850"/>
    <w:rsid w:val="005318BF"/>
    <w:rsid w:val="00531A31"/>
    <w:rsid w:val="00531B5B"/>
    <w:rsid w:val="00531B5E"/>
    <w:rsid w:val="00531F74"/>
    <w:rsid w:val="0053223F"/>
    <w:rsid w:val="00532519"/>
    <w:rsid w:val="00532D31"/>
    <w:rsid w:val="00533242"/>
    <w:rsid w:val="005332AF"/>
    <w:rsid w:val="00533637"/>
    <w:rsid w:val="00533926"/>
    <w:rsid w:val="00533C82"/>
    <w:rsid w:val="00533E02"/>
    <w:rsid w:val="00533E76"/>
    <w:rsid w:val="00533FCF"/>
    <w:rsid w:val="00534A88"/>
    <w:rsid w:val="00534B8D"/>
    <w:rsid w:val="0053501C"/>
    <w:rsid w:val="0053551E"/>
    <w:rsid w:val="0053555E"/>
    <w:rsid w:val="00535742"/>
    <w:rsid w:val="00535792"/>
    <w:rsid w:val="0053590D"/>
    <w:rsid w:val="00535E49"/>
    <w:rsid w:val="00536029"/>
    <w:rsid w:val="0053661E"/>
    <w:rsid w:val="0053697B"/>
    <w:rsid w:val="00536A2A"/>
    <w:rsid w:val="00536BE2"/>
    <w:rsid w:val="00536E19"/>
    <w:rsid w:val="0053749B"/>
    <w:rsid w:val="00537539"/>
    <w:rsid w:val="00537589"/>
    <w:rsid w:val="005375D0"/>
    <w:rsid w:val="00537878"/>
    <w:rsid w:val="00537CAA"/>
    <w:rsid w:val="00537CE0"/>
    <w:rsid w:val="00537D11"/>
    <w:rsid w:val="00540240"/>
    <w:rsid w:val="0054080D"/>
    <w:rsid w:val="00540899"/>
    <w:rsid w:val="00540A33"/>
    <w:rsid w:val="00541619"/>
    <w:rsid w:val="00541779"/>
    <w:rsid w:val="00541B87"/>
    <w:rsid w:val="00541C2B"/>
    <w:rsid w:val="00541D80"/>
    <w:rsid w:val="00541DCE"/>
    <w:rsid w:val="00541E7F"/>
    <w:rsid w:val="00541EF5"/>
    <w:rsid w:val="00541EFD"/>
    <w:rsid w:val="00541FEA"/>
    <w:rsid w:val="00541FFE"/>
    <w:rsid w:val="00542026"/>
    <w:rsid w:val="00542027"/>
    <w:rsid w:val="0054233A"/>
    <w:rsid w:val="00542548"/>
    <w:rsid w:val="005426D2"/>
    <w:rsid w:val="00542880"/>
    <w:rsid w:val="0054290D"/>
    <w:rsid w:val="005429FC"/>
    <w:rsid w:val="00542A4B"/>
    <w:rsid w:val="005434BD"/>
    <w:rsid w:val="0054361E"/>
    <w:rsid w:val="005436DE"/>
    <w:rsid w:val="00543B1C"/>
    <w:rsid w:val="00543BF7"/>
    <w:rsid w:val="00543F95"/>
    <w:rsid w:val="005443BA"/>
    <w:rsid w:val="005443DF"/>
    <w:rsid w:val="005444D8"/>
    <w:rsid w:val="005444E6"/>
    <w:rsid w:val="0054484A"/>
    <w:rsid w:val="00544A1A"/>
    <w:rsid w:val="00544D93"/>
    <w:rsid w:val="0054559A"/>
    <w:rsid w:val="0054597C"/>
    <w:rsid w:val="00545AD3"/>
    <w:rsid w:val="00545B47"/>
    <w:rsid w:val="00546012"/>
    <w:rsid w:val="0054652F"/>
    <w:rsid w:val="0054665B"/>
    <w:rsid w:val="00546AA7"/>
    <w:rsid w:val="0054723B"/>
    <w:rsid w:val="0054752B"/>
    <w:rsid w:val="005475D5"/>
    <w:rsid w:val="00547724"/>
    <w:rsid w:val="00547914"/>
    <w:rsid w:val="00547BBD"/>
    <w:rsid w:val="00547C92"/>
    <w:rsid w:val="00547E3C"/>
    <w:rsid w:val="00547F70"/>
    <w:rsid w:val="00547FEF"/>
    <w:rsid w:val="00550600"/>
    <w:rsid w:val="00550798"/>
    <w:rsid w:val="005507AC"/>
    <w:rsid w:val="00550A3F"/>
    <w:rsid w:val="00550AFF"/>
    <w:rsid w:val="00550BCC"/>
    <w:rsid w:val="00550DBA"/>
    <w:rsid w:val="00550E5A"/>
    <w:rsid w:val="00550F87"/>
    <w:rsid w:val="0055102C"/>
    <w:rsid w:val="0055115A"/>
    <w:rsid w:val="005516C1"/>
    <w:rsid w:val="00551768"/>
    <w:rsid w:val="005518F5"/>
    <w:rsid w:val="00551A7E"/>
    <w:rsid w:val="00551B24"/>
    <w:rsid w:val="00551DCD"/>
    <w:rsid w:val="00551FE9"/>
    <w:rsid w:val="00552163"/>
    <w:rsid w:val="00552256"/>
    <w:rsid w:val="00552281"/>
    <w:rsid w:val="00552439"/>
    <w:rsid w:val="0055246F"/>
    <w:rsid w:val="005525A3"/>
    <w:rsid w:val="0055268F"/>
    <w:rsid w:val="00552720"/>
    <w:rsid w:val="00552A17"/>
    <w:rsid w:val="00552A99"/>
    <w:rsid w:val="00552A9F"/>
    <w:rsid w:val="00552ADC"/>
    <w:rsid w:val="005531C9"/>
    <w:rsid w:val="00553721"/>
    <w:rsid w:val="00553D25"/>
    <w:rsid w:val="005541BD"/>
    <w:rsid w:val="005544FB"/>
    <w:rsid w:val="005547A7"/>
    <w:rsid w:val="005547F6"/>
    <w:rsid w:val="00554C97"/>
    <w:rsid w:val="00555055"/>
    <w:rsid w:val="0055505B"/>
    <w:rsid w:val="005551E5"/>
    <w:rsid w:val="00555781"/>
    <w:rsid w:val="0055595B"/>
    <w:rsid w:val="00555B07"/>
    <w:rsid w:val="00555C30"/>
    <w:rsid w:val="00555E06"/>
    <w:rsid w:val="005569AF"/>
    <w:rsid w:val="00556C2A"/>
    <w:rsid w:val="005572A3"/>
    <w:rsid w:val="005572EA"/>
    <w:rsid w:val="005573EF"/>
    <w:rsid w:val="00557539"/>
    <w:rsid w:val="00557A29"/>
    <w:rsid w:val="00557AC2"/>
    <w:rsid w:val="00557B2F"/>
    <w:rsid w:val="00557F84"/>
    <w:rsid w:val="00560066"/>
    <w:rsid w:val="00560179"/>
    <w:rsid w:val="0056029F"/>
    <w:rsid w:val="0056047A"/>
    <w:rsid w:val="0056065D"/>
    <w:rsid w:val="00560753"/>
    <w:rsid w:val="005607C3"/>
    <w:rsid w:val="00560825"/>
    <w:rsid w:val="00560A9C"/>
    <w:rsid w:val="00560AAA"/>
    <w:rsid w:val="00560C28"/>
    <w:rsid w:val="00561070"/>
    <w:rsid w:val="0056126C"/>
    <w:rsid w:val="00561916"/>
    <w:rsid w:val="00561A44"/>
    <w:rsid w:val="00561CA3"/>
    <w:rsid w:val="00561CD3"/>
    <w:rsid w:val="0056226C"/>
    <w:rsid w:val="0056249B"/>
    <w:rsid w:val="005626E5"/>
    <w:rsid w:val="0056296E"/>
    <w:rsid w:val="00562B3D"/>
    <w:rsid w:val="00562D9F"/>
    <w:rsid w:val="0056305B"/>
    <w:rsid w:val="0056324D"/>
    <w:rsid w:val="00563569"/>
    <w:rsid w:val="00563A75"/>
    <w:rsid w:val="00563BDC"/>
    <w:rsid w:val="00563C27"/>
    <w:rsid w:val="00563E0D"/>
    <w:rsid w:val="00563E7F"/>
    <w:rsid w:val="00563F0B"/>
    <w:rsid w:val="00563F83"/>
    <w:rsid w:val="005646D0"/>
    <w:rsid w:val="00564898"/>
    <w:rsid w:val="0056491D"/>
    <w:rsid w:val="00564985"/>
    <w:rsid w:val="00564D9B"/>
    <w:rsid w:val="00564DFC"/>
    <w:rsid w:val="005656F8"/>
    <w:rsid w:val="00565BA5"/>
    <w:rsid w:val="00565F59"/>
    <w:rsid w:val="00566181"/>
    <w:rsid w:val="00566295"/>
    <w:rsid w:val="00566ADB"/>
    <w:rsid w:val="0056769F"/>
    <w:rsid w:val="005676FB"/>
    <w:rsid w:val="0056774B"/>
    <w:rsid w:val="0056784A"/>
    <w:rsid w:val="00567B18"/>
    <w:rsid w:val="00567BDC"/>
    <w:rsid w:val="00567DB1"/>
    <w:rsid w:val="00567DC1"/>
    <w:rsid w:val="00567EF4"/>
    <w:rsid w:val="00567F0E"/>
    <w:rsid w:val="00570BF7"/>
    <w:rsid w:val="00571031"/>
    <w:rsid w:val="00571174"/>
    <w:rsid w:val="005712BA"/>
    <w:rsid w:val="005715CE"/>
    <w:rsid w:val="005715FF"/>
    <w:rsid w:val="0057222B"/>
    <w:rsid w:val="005725BC"/>
    <w:rsid w:val="00572876"/>
    <w:rsid w:val="0057294D"/>
    <w:rsid w:val="00572DAC"/>
    <w:rsid w:val="00572F2A"/>
    <w:rsid w:val="00572F40"/>
    <w:rsid w:val="00573956"/>
    <w:rsid w:val="00573B9A"/>
    <w:rsid w:val="00573E36"/>
    <w:rsid w:val="00573F5B"/>
    <w:rsid w:val="005743C2"/>
    <w:rsid w:val="0057466B"/>
    <w:rsid w:val="00574978"/>
    <w:rsid w:val="00574E0C"/>
    <w:rsid w:val="00575024"/>
    <w:rsid w:val="005751EE"/>
    <w:rsid w:val="00575372"/>
    <w:rsid w:val="0057543A"/>
    <w:rsid w:val="00575878"/>
    <w:rsid w:val="00575E4C"/>
    <w:rsid w:val="00575F6F"/>
    <w:rsid w:val="00576874"/>
    <w:rsid w:val="00576A0B"/>
    <w:rsid w:val="00576B57"/>
    <w:rsid w:val="005776A3"/>
    <w:rsid w:val="005777C7"/>
    <w:rsid w:val="005778CB"/>
    <w:rsid w:val="005778E2"/>
    <w:rsid w:val="00577975"/>
    <w:rsid w:val="00577B45"/>
    <w:rsid w:val="00577CCF"/>
    <w:rsid w:val="005800E1"/>
    <w:rsid w:val="00580943"/>
    <w:rsid w:val="00580BB9"/>
    <w:rsid w:val="005813C7"/>
    <w:rsid w:val="005815C4"/>
    <w:rsid w:val="005819CC"/>
    <w:rsid w:val="00581B2F"/>
    <w:rsid w:val="00581C8B"/>
    <w:rsid w:val="00581D11"/>
    <w:rsid w:val="00582114"/>
    <w:rsid w:val="00582179"/>
    <w:rsid w:val="00582245"/>
    <w:rsid w:val="005826A1"/>
    <w:rsid w:val="00582C85"/>
    <w:rsid w:val="00582E1C"/>
    <w:rsid w:val="0058314C"/>
    <w:rsid w:val="0058322B"/>
    <w:rsid w:val="00583619"/>
    <w:rsid w:val="0058370F"/>
    <w:rsid w:val="00583A12"/>
    <w:rsid w:val="00583A88"/>
    <w:rsid w:val="00583C86"/>
    <w:rsid w:val="00583E69"/>
    <w:rsid w:val="00583E99"/>
    <w:rsid w:val="00583F18"/>
    <w:rsid w:val="0058427F"/>
    <w:rsid w:val="00584321"/>
    <w:rsid w:val="00584D8D"/>
    <w:rsid w:val="00584E25"/>
    <w:rsid w:val="00584FAA"/>
    <w:rsid w:val="00585643"/>
    <w:rsid w:val="00585798"/>
    <w:rsid w:val="0058595A"/>
    <w:rsid w:val="00585F10"/>
    <w:rsid w:val="005860C8"/>
    <w:rsid w:val="005863AD"/>
    <w:rsid w:val="00586465"/>
    <w:rsid w:val="0058647E"/>
    <w:rsid w:val="005868A2"/>
    <w:rsid w:val="005868C7"/>
    <w:rsid w:val="005869D9"/>
    <w:rsid w:val="00586A36"/>
    <w:rsid w:val="00586C89"/>
    <w:rsid w:val="005871F9"/>
    <w:rsid w:val="0058740B"/>
    <w:rsid w:val="005875A1"/>
    <w:rsid w:val="00587D77"/>
    <w:rsid w:val="00587E87"/>
    <w:rsid w:val="00587FF6"/>
    <w:rsid w:val="0059061D"/>
    <w:rsid w:val="0059074F"/>
    <w:rsid w:val="0059082D"/>
    <w:rsid w:val="00590D33"/>
    <w:rsid w:val="005911FD"/>
    <w:rsid w:val="00591231"/>
    <w:rsid w:val="0059135E"/>
    <w:rsid w:val="0059182E"/>
    <w:rsid w:val="005918EB"/>
    <w:rsid w:val="00591C6F"/>
    <w:rsid w:val="0059205A"/>
    <w:rsid w:val="0059216A"/>
    <w:rsid w:val="00592BF8"/>
    <w:rsid w:val="00592C25"/>
    <w:rsid w:val="00592E75"/>
    <w:rsid w:val="00592FEA"/>
    <w:rsid w:val="0059326D"/>
    <w:rsid w:val="0059326F"/>
    <w:rsid w:val="00593313"/>
    <w:rsid w:val="0059364A"/>
    <w:rsid w:val="005938A6"/>
    <w:rsid w:val="00594864"/>
    <w:rsid w:val="00594A86"/>
    <w:rsid w:val="00594E4E"/>
    <w:rsid w:val="00594F89"/>
    <w:rsid w:val="00594F92"/>
    <w:rsid w:val="00595064"/>
    <w:rsid w:val="005950FD"/>
    <w:rsid w:val="00595688"/>
    <w:rsid w:val="005956A4"/>
    <w:rsid w:val="00595B06"/>
    <w:rsid w:val="00595C86"/>
    <w:rsid w:val="00596347"/>
    <w:rsid w:val="0059657B"/>
    <w:rsid w:val="00596CA4"/>
    <w:rsid w:val="00596DA8"/>
    <w:rsid w:val="00596EA2"/>
    <w:rsid w:val="00597030"/>
    <w:rsid w:val="00597048"/>
    <w:rsid w:val="00597528"/>
    <w:rsid w:val="00597CF9"/>
    <w:rsid w:val="00597E44"/>
    <w:rsid w:val="00597EB4"/>
    <w:rsid w:val="005A01CB"/>
    <w:rsid w:val="005A0354"/>
    <w:rsid w:val="005A0EAC"/>
    <w:rsid w:val="005A1123"/>
    <w:rsid w:val="005A12F1"/>
    <w:rsid w:val="005A1302"/>
    <w:rsid w:val="005A1964"/>
    <w:rsid w:val="005A1C0A"/>
    <w:rsid w:val="005A1C27"/>
    <w:rsid w:val="005A1DBD"/>
    <w:rsid w:val="005A1DEF"/>
    <w:rsid w:val="005A220B"/>
    <w:rsid w:val="005A2286"/>
    <w:rsid w:val="005A23FC"/>
    <w:rsid w:val="005A240C"/>
    <w:rsid w:val="005A24B8"/>
    <w:rsid w:val="005A2533"/>
    <w:rsid w:val="005A25CC"/>
    <w:rsid w:val="005A2877"/>
    <w:rsid w:val="005A2B16"/>
    <w:rsid w:val="005A2BC3"/>
    <w:rsid w:val="005A2D0B"/>
    <w:rsid w:val="005A2E8E"/>
    <w:rsid w:val="005A2F96"/>
    <w:rsid w:val="005A3099"/>
    <w:rsid w:val="005A3214"/>
    <w:rsid w:val="005A3775"/>
    <w:rsid w:val="005A37FF"/>
    <w:rsid w:val="005A40C0"/>
    <w:rsid w:val="005A4222"/>
    <w:rsid w:val="005A43B7"/>
    <w:rsid w:val="005A43D3"/>
    <w:rsid w:val="005A4419"/>
    <w:rsid w:val="005A474D"/>
    <w:rsid w:val="005A4D19"/>
    <w:rsid w:val="005A4E40"/>
    <w:rsid w:val="005A4FA1"/>
    <w:rsid w:val="005A5062"/>
    <w:rsid w:val="005A51A8"/>
    <w:rsid w:val="005A5397"/>
    <w:rsid w:val="005A540C"/>
    <w:rsid w:val="005A5DD1"/>
    <w:rsid w:val="005A5E43"/>
    <w:rsid w:val="005A645F"/>
    <w:rsid w:val="005A68B7"/>
    <w:rsid w:val="005A6953"/>
    <w:rsid w:val="005A69B7"/>
    <w:rsid w:val="005A6D31"/>
    <w:rsid w:val="005A6E34"/>
    <w:rsid w:val="005A702B"/>
    <w:rsid w:val="005A7056"/>
    <w:rsid w:val="005A7155"/>
    <w:rsid w:val="005A718E"/>
    <w:rsid w:val="005A7257"/>
    <w:rsid w:val="005A739E"/>
    <w:rsid w:val="005A73D3"/>
    <w:rsid w:val="005A78C0"/>
    <w:rsid w:val="005A78CA"/>
    <w:rsid w:val="005A7CC2"/>
    <w:rsid w:val="005A7CD1"/>
    <w:rsid w:val="005A7D01"/>
    <w:rsid w:val="005A7F28"/>
    <w:rsid w:val="005A7F5C"/>
    <w:rsid w:val="005B01D9"/>
    <w:rsid w:val="005B03E6"/>
    <w:rsid w:val="005B0A64"/>
    <w:rsid w:val="005B0AFC"/>
    <w:rsid w:val="005B0BBF"/>
    <w:rsid w:val="005B0CA9"/>
    <w:rsid w:val="005B122D"/>
    <w:rsid w:val="005B13B6"/>
    <w:rsid w:val="005B156B"/>
    <w:rsid w:val="005B159A"/>
    <w:rsid w:val="005B1825"/>
    <w:rsid w:val="005B18CD"/>
    <w:rsid w:val="005B213D"/>
    <w:rsid w:val="005B23A0"/>
    <w:rsid w:val="005B3268"/>
    <w:rsid w:val="005B365D"/>
    <w:rsid w:val="005B3D87"/>
    <w:rsid w:val="005B401F"/>
    <w:rsid w:val="005B435C"/>
    <w:rsid w:val="005B45E2"/>
    <w:rsid w:val="005B470A"/>
    <w:rsid w:val="005B470D"/>
    <w:rsid w:val="005B4760"/>
    <w:rsid w:val="005B4A4C"/>
    <w:rsid w:val="005B4AF7"/>
    <w:rsid w:val="005B52B5"/>
    <w:rsid w:val="005B5345"/>
    <w:rsid w:val="005B5922"/>
    <w:rsid w:val="005B5B03"/>
    <w:rsid w:val="005B5B78"/>
    <w:rsid w:val="005B5EB2"/>
    <w:rsid w:val="005B5FC1"/>
    <w:rsid w:val="005B6120"/>
    <w:rsid w:val="005B67C8"/>
    <w:rsid w:val="005B684F"/>
    <w:rsid w:val="005B689E"/>
    <w:rsid w:val="005B69BC"/>
    <w:rsid w:val="005B6D8E"/>
    <w:rsid w:val="005B7054"/>
    <w:rsid w:val="005B70CE"/>
    <w:rsid w:val="005B70E0"/>
    <w:rsid w:val="005B720B"/>
    <w:rsid w:val="005B73A9"/>
    <w:rsid w:val="005B7726"/>
    <w:rsid w:val="005B796A"/>
    <w:rsid w:val="005B796C"/>
    <w:rsid w:val="005B7E0C"/>
    <w:rsid w:val="005B7FD9"/>
    <w:rsid w:val="005C03A1"/>
    <w:rsid w:val="005C0805"/>
    <w:rsid w:val="005C0AF0"/>
    <w:rsid w:val="005C0B45"/>
    <w:rsid w:val="005C0D21"/>
    <w:rsid w:val="005C0D50"/>
    <w:rsid w:val="005C0E24"/>
    <w:rsid w:val="005C0EB8"/>
    <w:rsid w:val="005C1023"/>
    <w:rsid w:val="005C116C"/>
    <w:rsid w:val="005C11A7"/>
    <w:rsid w:val="005C11FF"/>
    <w:rsid w:val="005C1514"/>
    <w:rsid w:val="005C1552"/>
    <w:rsid w:val="005C15A8"/>
    <w:rsid w:val="005C161C"/>
    <w:rsid w:val="005C1C10"/>
    <w:rsid w:val="005C1C48"/>
    <w:rsid w:val="005C2632"/>
    <w:rsid w:val="005C2B95"/>
    <w:rsid w:val="005C2E22"/>
    <w:rsid w:val="005C3042"/>
    <w:rsid w:val="005C33DE"/>
    <w:rsid w:val="005C3632"/>
    <w:rsid w:val="005C3686"/>
    <w:rsid w:val="005C39A0"/>
    <w:rsid w:val="005C3A0D"/>
    <w:rsid w:val="005C3B06"/>
    <w:rsid w:val="005C3CC3"/>
    <w:rsid w:val="005C4077"/>
    <w:rsid w:val="005C430C"/>
    <w:rsid w:val="005C4670"/>
    <w:rsid w:val="005C4C05"/>
    <w:rsid w:val="005C4C22"/>
    <w:rsid w:val="005C4C40"/>
    <w:rsid w:val="005C4CAF"/>
    <w:rsid w:val="005C4DCF"/>
    <w:rsid w:val="005C4E93"/>
    <w:rsid w:val="005C4F56"/>
    <w:rsid w:val="005C5059"/>
    <w:rsid w:val="005C53B3"/>
    <w:rsid w:val="005C5601"/>
    <w:rsid w:val="005C5A43"/>
    <w:rsid w:val="005C5AA4"/>
    <w:rsid w:val="005C5B76"/>
    <w:rsid w:val="005C5E03"/>
    <w:rsid w:val="005C6158"/>
    <w:rsid w:val="005C618F"/>
    <w:rsid w:val="005C6260"/>
    <w:rsid w:val="005C644D"/>
    <w:rsid w:val="005C66CD"/>
    <w:rsid w:val="005C6755"/>
    <w:rsid w:val="005C696E"/>
    <w:rsid w:val="005C6BFD"/>
    <w:rsid w:val="005C6E0C"/>
    <w:rsid w:val="005C6EEA"/>
    <w:rsid w:val="005C6FFC"/>
    <w:rsid w:val="005C72DC"/>
    <w:rsid w:val="005C7658"/>
    <w:rsid w:val="005C79A0"/>
    <w:rsid w:val="005C7A34"/>
    <w:rsid w:val="005C7B44"/>
    <w:rsid w:val="005C7D3B"/>
    <w:rsid w:val="005D0192"/>
    <w:rsid w:val="005D0471"/>
    <w:rsid w:val="005D04C0"/>
    <w:rsid w:val="005D055F"/>
    <w:rsid w:val="005D0A8D"/>
    <w:rsid w:val="005D0ACA"/>
    <w:rsid w:val="005D0C6D"/>
    <w:rsid w:val="005D0E20"/>
    <w:rsid w:val="005D10FB"/>
    <w:rsid w:val="005D125C"/>
    <w:rsid w:val="005D17E6"/>
    <w:rsid w:val="005D1AE6"/>
    <w:rsid w:val="005D1F3D"/>
    <w:rsid w:val="005D1FD1"/>
    <w:rsid w:val="005D1FD4"/>
    <w:rsid w:val="005D23CA"/>
    <w:rsid w:val="005D286B"/>
    <w:rsid w:val="005D288B"/>
    <w:rsid w:val="005D2971"/>
    <w:rsid w:val="005D2EB1"/>
    <w:rsid w:val="005D2EFA"/>
    <w:rsid w:val="005D2F2A"/>
    <w:rsid w:val="005D3174"/>
    <w:rsid w:val="005D3838"/>
    <w:rsid w:val="005D3D05"/>
    <w:rsid w:val="005D3D42"/>
    <w:rsid w:val="005D4035"/>
    <w:rsid w:val="005D41E0"/>
    <w:rsid w:val="005D469B"/>
    <w:rsid w:val="005D5025"/>
    <w:rsid w:val="005D50C9"/>
    <w:rsid w:val="005D556F"/>
    <w:rsid w:val="005D56DF"/>
    <w:rsid w:val="005D58D2"/>
    <w:rsid w:val="005D5C6D"/>
    <w:rsid w:val="005D6018"/>
    <w:rsid w:val="005D61B1"/>
    <w:rsid w:val="005D6232"/>
    <w:rsid w:val="005D6295"/>
    <w:rsid w:val="005D65FE"/>
    <w:rsid w:val="005D6754"/>
    <w:rsid w:val="005D67D4"/>
    <w:rsid w:val="005D6954"/>
    <w:rsid w:val="005D69B4"/>
    <w:rsid w:val="005D6AAC"/>
    <w:rsid w:val="005D6B99"/>
    <w:rsid w:val="005D6EF1"/>
    <w:rsid w:val="005D70DD"/>
    <w:rsid w:val="005D70F8"/>
    <w:rsid w:val="005D7408"/>
    <w:rsid w:val="005D7454"/>
    <w:rsid w:val="005D7488"/>
    <w:rsid w:val="005D774E"/>
    <w:rsid w:val="005D7A1C"/>
    <w:rsid w:val="005D7C9A"/>
    <w:rsid w:val="005D7ECE"/>
    <w:rsid w:val="005D7FA8"/>
    <w:rsid w:val="005E02C7"/>
    <w:rsid w:val="005E0370"/>
    <w:rsid w:val="005E044B"/>
    <w:rsid w:val="005E07BF"/>
    <w:rsid w:val="005E090F"/>
    <w:rsid w:val="005E0ABD"/>
    <w:rsid w:val="005E0F5D"/>
    <w:rsid w:val="005E1151"/>
    <w:rsid w:val="005E1159"/>
    <w:rsid w:val="005E1315"/>
    <w:rsid w:val="005E1322"/>
    <w:rsid w:val="005E1380"/>
    <w:rsid w:val="005E1654"/>
    <w:rsid w:val="005E16B1"/>
    <w:rsid w:val="005E18E1"/>
    <w:rsid w:val="005E1996"/>
    <w:rsid w:val="005E201D"/>
    <w:rsid w:val="005E205B"/>
    <w:rsid w:val="005E22F8"/>
    <w:rsid w:val="005E29A3"/>
    <w:rsid w:val="005E2A2B"/>
    <w:rsid w:val="005E2B7F"/>
    <w:rsid w:val="005E2DA9"/>
    <w:rsid w:val="005E32C4"/>
    <w:rsid w:val="005E334E"/>
    <w:rsid w:val="005E351E"/>
    <w:rsid w:val="005E3E28"/>
    <w:rsid w:val="005E4441"/>
    <w:rsid w:val="005E45B9"/>
    <w:rsid w:val="005E488F"/>
    <w:rsid w:val="005E4B3E"/>
    <w:rsid w:val="005E4CB4"/>
    <w:rsid w:val="005E4E7A"/>
    <w:rsid w:val="005E4EFF"/>
    <w:rsid w:val="005E4FBE"/>
    <w:rsid w:val="005E5008"/>
    <w:rsid w:val="005E52D5"/>
    <w:rsid w:val="005E5881"/>
    <w:rsid w:val="005E59DC"/>
    <w:rsid w:val="005E5F5E"/>
    <w:rsid w:val="005E616A"/>
    <w:rsid w:val="005E62E6"/>
    <w:rsid w:val="005E6460"/>
    <w:rsid w:val="005E655E"/>
    <w:rsid w:val="005E65A5"/>
    <w:rsid w:val="005E67AF"/>
    <w:rsid w:val="005E7345"/>
    <w:rsid w:val="005E73CA"/>
    <w:rsid w:val="005E74FC"/>
    <w:rsid w:val="005E75E5"/>
    <w:rsid w:val="005E76C9"/>
    <w:rsid w:val="005E7CFC"/>
    <w:rsid w:val="005E7F1B"/>
    <w:rsid w:val="005F0423"/>
    <w:rsid w:val="005F059F"/>
    <w:rsid w:val="005F0893"/>
    <w:rsid w:val="005F09F0"/>
    <w:rsid w:val="005F0B7B"/>
    <w:rsid w:val="005F0C42"/>
    <w:rsid w:val="005F0CD5"/>
    <w:rsid w:val="005F1013"/>
    <w:rsid w:val="005F1350"/>
    <w:rsid w:val="005F160D"/>
    <w:rsid w:val="005F2509"/>
    <w:rsid w:val="005F25F7"/>
    <w:rsid w:val="005F2BA8"/>
    <w:rsid w:val="005F2DC0"/>
    <w:rsid w:val="005F33C4"/>
    <w:rsid w:val="005F34E3"/>
    <w:rsid w:val="005F3705"/>
    <w:rsid w:val="005F3BCB"/>
    <w:rsid w:val="005F451F"/>
    <w:rsid w:val="005F4901"/>
    <w:rsid w:val="005F4CBA"/>
    <w:rsid w:val="005F56B7"/>
    <w:rsid w:val="005F598B"/>
    <w:rsid w:val="005F5AE8"/>
    <w:rsid w:val="005F5C7F"/>
    <w:rsid w:val="005F5E37"/>
    <w:rsid w:val="005F60B3"/>
    <w:rsid w:val="005F60B4"/>
    <w:rsid w:val="005F6664"/>
    <w:rsid w:val="005F68EC"/>
    <w:rsid w:val="005F70DD"/>
    <w:rsid w:val="005F7104"/>
    <w:rsid w:val="005F7179"/>
    <w:rsid w:val="005F7647"/>
    <w:rsid w:val="005F7AD8"/>
    <w:rsid w:val="005F7AEB"/>
    <w:rsid w:val="005F7E14"/>
    <w:rsid w:val="00600022"/>
    <w:rsid w:val="00600839"/>
    <w:rsid w:val="00600A94"/>
    <w:rsid w:val="00600B6F"/>
    <w:rsid w:val="00600C8C"/>
    <w:rsid w:val="00600CEE"/>
    <w:rsid w:val="00600CFB"/>
    <w:rsid w:val="006015E2"/>
    <w:rsid w:val="00601908"/>
    <w:rsid w:val="00601BB9"/>
    <w:rsid w:val="00602083"/>
    <w:rsid w:val="006021BF"/>
    <w:rsid w:val="00602516"/>
    <w:rsid w:val="00602B9F"/>
    <w:rsid w:val="00602C0D"/>
    <w:rsid w:val="00602C30"/>
    <w:rsid w:val="00602C41"/>
    <w:rsid w:val="00602D78"/>
    <w:rsid w:val="00602EF9"/>
    <w:rsid w:val="00603033"/>
    <w:rsid w:val="0060307A"/>
    <w:rsid w:val="00603B01"/>
    <w:rsid w:val="00603B32"/>
    <w:rsid w:val="00603B77"/>
    <w:rsid w:val="00603D87"/>
    <w:rsid w:val="00603DA1"/>
    <w:rsid w:val="00603E16"/>
    <w:rsid w:val="00603EC2"/>
    <w:rsid w:val="00603FD4"/>
    <w:rsid w:val="006041FB"/>
    <w:rsid w:val="0060426F"/>
    <w:rsid w:val="00604283"/>
    <w:rsid w:val="00604500"/>
    <w:rsid w:val="0060453D"/>
    <w:rsid w:val="00604549"/>
    <w:rsid w:val="0060469C"/>
    <w:rsid w:val="0060485C"/>
    <w:rsid w:val="00604867"/>
    <w:rsid w:val="00604AE7"/>
    <w:rsid w:val="00604DF5"/>
    <w:rsid w:val="00605B9F"/>
    <w:rsid w:val="00605F23"/>
    <w:rsid w:val="006064F9"/>
    <w:rsid w:val="006065B4"/>
    <w:rsid w:val="00606A47"/>
    <w:rsid w:val="00607558"/>
    <w:rsid w:val="0060793F"/>
    <w:rsid w:val="00607D5F"/>
    <w:rsid w:val="00610360"/>
    <w:rsid w:val="006104F4"/>
    <w:rsid w:val="006105EF"/>
    <w:rsid w:val="00610623"/>
    <w:rsid w:val="00610951"/>
    <w:rsid w:val="00611418"/>
    <w:rsid w:val="00611436"/>
    <w:rsid w:val="00611458"/>
    <w:rsid w:val="00611892"/>
    <w:rsid w:val="006119F7"/>
    <w:rsid w:val="00611A32"/>
    <w:rsid w:val="00611F58"/>
    <w:rsid w:val="00611FF0"/>
    <w:rsid w:val="006124AB"/>
    <w:rsid w:val="006127F2"/>
    <w:rsid w:val="00612943"/>
    <w:rsid w:val="006129C6"/>
    <w:rsid w:val="00612A2F"/>
    <w:rsid w:val="00612ABB"/>
    <w:rsid w:val="006132D6"/>
    <w:rsid w:val="0061344D"/>
    <w:rsid w:val="0061347C"/>
    <w:rsid w:val="006135CC"/>
    <w:rsid w:val="006137F0"/>
    <w:rsid w:val="00613821"/>
    <w:rsid w:val="00613AEE"/>
    <w:rsid w:val="00613B14"/>
    <w:rsid w:val="00613B25"/>
    <w:rsid w:val="00613F96"/>
    <w:rsid w:val="0061403E"/>
    <w:rsid w:val="0061409F"/>
    <w:rsid w:val="00614131"/>
    <w:rsid w:val="0061416A"/>
    <w:rsid w:val="006141C1"/>
    <w:rsid w:val="00614266"/>
    <w:rsid w:val="00614319"/>
    <w:rsid w:val="00614405"/>
    <w:rsid w:val="00614443"/>
    <w:rsid w:val="00614601"/>
    <w:rsid w:val="00614B65"/>
    <w:rsid w:val="00614D27"/>
    <w:rsid w:val="00614DF4"/>
    <w:rsid w:val="00615043"/>
    <w:rsid w:val="006150AE"/>
    <w:rsid w:val="006151B7"/>
    <w:rsid w:val="006151F5"/>
    <w:rsid w:val="006153AB"/>
    <w:rsid w:val="006153E0"/>
    <w:rsid w:val="006153E6"/>
    <w:rsid w:val="00615542"/>
    <w:rsid w:val="006156FF"/>
    <w:rsid w:val="00615C8D"/>
    <w:rsid w:val="0061634A"/>
    <w:rsid w:val="00616791"/>
    <w:rsid w:val="00616B2D"/>
    <w:rsid w:val="00616CB9"/>
    <w:rsid w:val="00616D38"/>
    <w:rsid w:val="006174DC"/>
    <w:rsid w:val="00617547"/>
    <w:rsid w:val="006179AD"/>
    <w:rsid w:val="00617A0D"/>
    <w:rsid w:val="00617C56"/>
    <w:rsid w:val="00617F74"/>
    <w:rsid w:val="00620082"/>
    <w:rsid w:val="00620466"/>
    <w:rsid w:val="00620711"/>
    <w:rsid w:val="006207C3"/>
    <w:rsid w:val="006208EB"/>
    <w:rsid w:val="00620F25"/>
    <w:rsid w:val="006210F3"/>
    <w:rsid w:val="00621377"/>
    <w:rsid w:val="006219C3"/>
    <w:rsid w:val="00621A63"/>
    <w:rsid w:val="00621D34"/>
    <w:rsid w:val="00621FC9"/>
    <w:rsid w:val="00622154"/>
    <w:rsid w:val="00622240"/>
    <w:rsid w:val="006222AA"/>
    <w:rsid w:val="0062258C"/>
    <w:rsid w:val="006225C1"/>
    <w:rsid w:val="006228C9"/>
    <w:rsid w:val="00622958"/>
    <w:rsid w:val="00622C29"/>
    <w:rsid w:val="00623203"/>
    <w:rsid w:val="00623413"/>
    <w:rsid w:val="00623525"/>
    <w:rsid w:val="006238CC"/>
    <w:rsid w:val="0062395E"/>
    <w:rsid w:val="00623993"/>
    <w:rsid w:val="006239EB"/>
    <w:rsid w:val="00623D3A"/>
    <w:rsid w:val="006242A3"/>
    <w:rsid w:val="0062439C"/>
    <w:rsid w:val="006247EA"/>
    <w:rsid w:val="00624916"/>
    <w:rsid w:val="00624B17"/>
    <w:rsid w:val="00624BA3"/>
    <w:rsid w:val="00624D49"/>
    <w:rsid w:val="006256E3"/>
    <w:rsid w:val="006257F3"/>
    <w:rsid w:val="00625B88"/>
    <w:rsid w:val="00625C70"/>
    <w:rsid w:val="00625E38"/>
    <w:rsid w:val="00625E3A"/>
    <w:rsid w:val="00626031"/>
    <w:rsid w:val="00626307"/>
    <w:rsid w:val="0062688D"/>
    <w:rsid w:val="0062698C"/>
    <w:rsid w:val="006269D5"/>
    <w:rsid w:val="00626A90"/>
    <w:rsid w:val="00626E28"/>
    <w:rsid w:val="00627533"/>
    <w:rsid w:val="00627C75"/>
    <w:rsid w:val="00627CE9"/>
    <w:rsid w:val="00630003"/>
    <w:rsid w:val="00630581"/>
    <w:rsid w:val="0063072C"/>
    <w:rsid w:val="0063093D"/>
    <w:rsid w:val="00630AFC"/>
    <w:rsid w:val="00630DEB"/>
    <w:rsid w:val="00630FA8"/>
    <w:rsid w:val="00631023"/>
    <w:rsid w:val="006313C2"/>
    <w:rsid w:val="00632074"/>
    <w:rsid w:val="006324B6"/>
    <w:rsid w:val="006326A7"/>
    <w:rsid w:val="00632700"/>
    <w:rsid w:val="00632C1E"/>
    <w:rsid w:val="00632D8D"/>
    <w:rsid w:val="00633136"/>
    <w:rsid w:val="0063321D"/>
    <w:rsid w:val="006336F0"/>
    <w:rsid w:val="00633744"/>
    <w:rsid w:val="00633750"/>
    <w:rsid w:val="00633F6B"/>
    <w:rsid w:val="00634037"/>
    <w:rsid w:val="00634116"/>
    <w:rsid w:val="006341C3"/>
    <w:rsid w:val="00634486"/>
    <w:rsid w:val="0063450F"/>
    <w:rsid w:val="006346F8"/>
    <w:rsid w:val="0063471E"/>
    <w:rsid w:val="00634787"/>
    <w:rsid w:val="006347BD"/>
    <w:rsid w:val="0063486A"/>
    <w:rsid w:val="00634B7D"/>
    <w:rsid w:val="00635205"/>
    <w:rsid w:val="006362CE"/>
    <w:rsid w:val="006365B3"/>
    <w:rsid w:val="00636695"/>
    <w:rsid w:val="006367D4"/>
    <w:rsid w:val="00636A6F"/>
    <w:rsid w:val="00636C98"/>
    <w:rsid w:val="00637064"/>
    <w:rsid w:val="006376A0"/>
    <w:rsid w:val="0063776D"/>
    <w:rsid w:val="006377EC"/>
    <w:rsid w:val="00637858"/>
    <w:rsid w:val="00637DE2"/>
    <w:rsid w:val="00637F3A"/>
    <w:rsid w:val="00640FBE"/>
    <w:rsid w:val="006415E1"/>
    <w:rsid w:val="006417BE"/>
    <w:rsid w:val="00642142"/>
    <w:rsid w:val="00642391"/>
    <w:rsid w:val="00642917"/>
    <w:rsid w:val="00642FB6"/>
    <w:rsid w:val="00642FEC"/>
    <w:rsid w:val="00643040"/>
    <w:rsid w:val="0064309B"/>
    <w:rsid w:val="00643104"/>
    <w:rsid w:val="00643A47"/>
    <w:rsid w:val="00643C50"/>
    <w:rsid w:val="0064401C"/>
    <w:rsid w:val="006445F9"/>
    <w:rsid w:val="006446B5"/>
    <w:rsid w:val="006449F3"/>
    <w:rsid w:val="00644DB1"/>
    <w:rsid w:val="00644F1E"/>
    <w:rsid w:val="00644F94"/>
    <w:rsid w:val="006450B3"/>
    <w:rsid w:val="006452E8"/>
    <w:rsid w:val="00645F7F"/>
    <w:rsid w:val="00646618"/>
    <w:rsid w:val="00646881"/>
    <w:rsid w:val="006468E3"/>
    <w:rsid w:val="0064712A"/>
    <w:rsid w:val="00647307"/>
    <w:rsid w:val="006473C0"/>
    <w:rsid w:val="0064752F"/>
    <w:rsid w:val="0064758E"/>
    <w:rsid w:val="006477C1"/>
    <w:rsid w:val="00647A94"/>
    <w:rsid w:val="00647D05"/>
    <w:rsid w:val="00647EA6"/>
    <w:rsid w:val="006503B3"/>
    <w:rsid w:val="006506CF"/>
    <w:rsid w:val="00650BA6"/>
    <w:rsid w:val="00650C5C"/>
    <w:rsid w:val="0065110C"/>
    <w:rsid w:val="006514F1"/>
    <w:rsid w:val="006515BC"/>
    <w:rsid w:val="00651D6A"/>
    <w:rsid w:val="00651E9F"/>
    <w:rsid w:val="0065202B"/>
    <w:rsid w:val="006520DA"/>
    <w:rsid w:val="006521FE"/>
    <w:rsid w:val="006522DD"/>
    <w:rsid w:val="00652461"/>
    <w:rsid w:val="00652687"/>
    <w:rsid w:val="00652761"/>
    <w:rsid w:val="0065337A"/>
    <w:rsid w:val="0065392A"/>
    <w:rsid w:val="00653E0A"/>
    <w:rsid w:val="00653E21"/>
    <w:rsid w:val="00653E7E"/>
    <w:rsid w:val="00653EDF"/>
    <w:rsid w:val="006548A4"/>
    <w:rsid w:val="006550BB"/>
    <w:rsid w:val="006554AF"/>
    <w:rsid w:val="00655DA6"/>
    <w:rsid w:val="00655ECC"/>
    <w:rsid w:val="00655EF6"/>
    <w:rsid w:val="00655EFF"/>
    <w:rsid w:val="00655FF1"/>
    <w:rsid w:val="006560AD"/>
    <w:rsid w:val="006565C7"/>
    <w:rsid w:val="006567BE"/>
    <w:rsid w:val="00656C9A"/>
    <w:rsid w:val="00656D29"/>
    <w:rsid w:val="00656E52"/>
    <w:rsid w:val="006570B7"/>
    <w:rsid w:val="006574D4"/>
    <w:rsid w:val="006575B2"/>
    <w:rsid w:val="006576A7"/>
    <w:rsid w:val="00660109"/>
    <w:rsid w:val="00660260"/>
    <w:rsid w:val="0066032D"/>
    <w:rsid w:val="00660618"/>
    <w:rsid w:val="00660AB1"/>
    <w:rsid w:val="00660D29"/>
    <w:rsid w:val="00661087"/>
    <w:rsid w:val="006610D4"/>
    <w:rsid w:val="0066128B"/>
    <w:rsid w:val="006615F2"/>
    <w:rsid w:val="00661A73"/>
    <w:rsid w:val="00661AA7"/>
    <w:rsid w:val="00661C5B"/>
    <w:rsid w:val="00661DEE"/>
    <w:rsid w:val="006626B4"/>
    <w:rsid w:val="00662715"/>
    <w:rsid w:val="00662A26"/>
    <w:rsid w:val="00662B1C"/>
    <w:rsid w:val="00663294"/>
    <w:rsid w:val="00663897"/>
    <w:rsid w:val="006638CC"/>
    <w:rsid w:val="00663CCD"/>
    <w:rsid w:val="00663CFE"/>
    <w:rsid w:val="00663EBC"/>
    <w:rsid w:val="00664279"/>
    <w:rsid w:val="006644B5"/>
    <w:rsid w:val="006647C5"/>
    <w:rsid w:val="00664804"/>
    <w:rsid w:val="00664E16"/>
    <w:rsid w:val="00665683"/>
    <w:rsid w:val="00665984"/>
    <w:rsid w:val="00665E44"/>
    <w:rsid w:val="00666591"/>
    <w:rsid w:val="00666607"/>
    <w:rsid w:val="00666795"/>
    <w:rsid w:val="00666AF6"/>
    <w:rsid w:val="00666C9E"/>
    <w:rsid w:val="006671FD"/>
    <w:rsid w:val="0066794C"/>
    <w:rsid w:val="006679EE"/>
    <w:rsid w:val="00667B75"/>
    <w:rsid w:val="00667C49"/>
    <w:rsid w:val="00667EA4"/>
    <w:rsid w:val="00667EE9"/>
    <w:rsid w:val="0067025D"/>
    <w:rsid w:val="0067069B"/>
    <w:rsid w:val="00670EDF"/>
    <w:rsid w:val="006712A6"/>
    <w:rsid w:val="00671A54"/>
    <w:rsid w:val="00671B20"/>
    <w:rsid w:val="00671BE9"/>
    <w:rsid w:val="00671D15"/>
    <w:rsid w:val="00671E60"/>
    <w:rsid w:val="006720BC"/>
    <w:rsid w:val="00672130"/>
    <w:rsid w:val="0067221D"/>
    <w:rsid w:val="00672255"/>
    <w:rsid w:val="006726AD"/>
    <w:rsid w:val="00672951"/>
    <w:rsid w:val="00672D7F"/>
    <w:rsid w:val="00673015"/>
    <w:rsid w:val="006730D6"/>
    <w:rsid w:val="006730F5"/>
    <w:rsid w:val="006733EA"/>
    <w:rsid w:val="00673578"/>
    <w:rsid w:val="006739F0"/>
    <w:rsid w:val="00673F1C"/>
    <w:rsid w:val="006742B4"/>
    <w:rsid w:val="006742E6"/>
    <w:rsid w:val="00674575"/>
    <w:rsid w:val="006747DA"/>
    <w:rsid w:val="00674A8A"/>
    <w:rsid w:val="00674C9E"/>
    <w:rsid w:val="00674E61"/>
    <w:rsid w:val="006750DF"/>
    <w:rsid w:val="006752C7"/>
    <w:rsid w:val="00675BF6"/>
    <w:rsid w:val="00675EF5"/>
    <w:rsid w:val="00675F93"/>
    <w:rsid w:val="006769C8"/>
    <w:rsid w:val="00676E58"/>
    <w:rsid w:val="00677125"/>
    <w:rsid w:val="00677337"/>
    <w:rsid w:val="006776CF"/>
    <w:rsid w:val="006777DD"/>
    <w:rsid w:val="006779F6"/>
    <w:rsid w:val="00677CBF"/>
    <w:rsid w:val="00680080"/>
    <w:rsid w:val="00680093"/>
    <w:rsid w:val="00680288"/>
    <w:rsid w:val="006803C8"/>
    <w:rsid w:val="006808CC"/>
    <w:rsid w:val="00680A51"/>
    <w:rsid w:val="00680BAF"/>
    <w:rsid w:val="00680CAD"/>
    <w:rsid w:val="00680E91"/>
    <w:rsid w:val="00680E93"/>
    <w:rsid w:val="00680F18"/>
    <w:rsid w:val="00681040"/>
    <w:rsid w:val="0068135F"/>
    <w:rsid w:val="006816BB"/>
    <w:rsid w:val="006817E2"/>
    <w:rsid w:val="00681993"/>
    <w:rsid w:val="00681A11"/>
    <w:rsid w:val="00681D40"/>
    <w:rsid w:val="00681D68"/>
    <w:rsid w:val="00682097"/>
    <w:rsid w:val="0068210B"/>
    <w:rsid w:val="0068224C"/>
    <w:rsid w:val="006824F7"/>
    <w:rsid w:val="006826FE"/>
    <w:rsid w:val="00682A5C"/>
    <w:rsid w:val="00682B26"/>
    <w:rsid w:val="00682C83"/>
    <w:rsid w:val="00682DEC"/>
    <w:rsid w:val="00682EE9"/>
    <w:rsid w:val="0068308A"/>
    <w:rsid w:val="006832CE"/>
    <w:rsid w:val="006839E8"/>
    <w:rsid w:val="00683E75"/>
    <w:rsid w:val="00683F72"/>
    <w:rsid w:val="00683FD3"/>
    <w:rsid w:val="006843EF"/>
    <w:rsid w:val="00684840"/>
    <w:rsid w:val="00684871"/>
    <w:rsid w:val="006848FA"/>
    <w:rsid w:val="00684BC6"/>
    <w:rsid w:val="00684C5C"/>
    <w:rsid w:val="00684EA4"/>
    <w:rsid w:val="0068521E"/>
    <w:rsid w:val="0068569C"/>
    <w:rsid w:val="00685729"/>
    <w:rsid w:val="00685934"/>
    <w:rsid w:val="00685959"/>
    <w:rsid w:val="0068597F"/>
    <w:rsid w:val="00685A66"/>
    <w:rsid w:val="00685ADC"/>
    <w:rsid w:val="00685CA7"/>
    <w:rsid w:val="00685EE6"/>
    <w:rsid w:val="00686011"/>
    <w:rsid w:val="006860A0"/>
    <w:rsid w:val="006860BD"/>
    <w:rsid w:val="0068628D"/>
    <w:rsid w:val="0068629B"/>
    <w:rsid w:val="006864F8"/>
    <w:rsid w:val="006865D3"/>
    <w:rsid w:val="00686738"/>
    <w:rsid w:val="006867D9"/>
    <w:rsid w:val="00686823"/>
    <w:rsid w:val="00686DDD"/>
    <w:rsid w:val="00686EB4"/>
    <w:rsid w:val="00687041"/>
    <w:rsid w:val="0068717B"/>
    <w:rsid w:val="006874E9"/>
    <w:rsid w:val="00687648"/>
    <w:rsid w:val="00687CE3"/>
    <w:rsid w:val="00687CF3"/>
    <w:rsid w:val="00687D82"/>
    <w:rsid w:val="00687EDA"/>
    <w:rsid w:val="00687F2B"/>
    <w:rsid w:val="00687FDA"/>
    <w:rsid w:val="0069000D"/>
    <w:rsid w:val="0069029A"/>
    <w:rsid w:val="006903E9"/>
    <w:rsid w:val="00690A33"/>
    <w:rsid w:val="00690A3F"/>
    <w:rsid w:val="00690BE6"/>
    <w:rsid w:val="00690EBA"/>
    <w:rsid w:val="00690F3F"/>
    <w:rsid w:val="00691257"/>
    <w:rsid w:val="00691388"/>
    <w:rsid w:val="006916C6"/>
    <w:rsid w:val="006918A1"/>
    <w:rsid w:val="006918A3"/>
    <w:rsid w:val="00691C32"/>
    <w:rsid w:val="00691D4A"/>
    <w:rsid w:val="00692284"/>
    <w:rsid w:val="006923D3"/>
    <w:rsid w:val="006925D7"/>
    <w:rsid w:val="006927B7"/>
    <w:rsid w:val="00692C50"/>
    <w:rsid w:val="006931B1"/>
    <w:rsid w:val="00693207"/>
    <w:rsid w:val="00693510"/>
    <w:rsid w:val="0069356F"/>
    <w:rsid w:val="00693694"/>
    <w:rsid w:val="006936FD"/>
    <w:rsid w:val="00693994"/>
    <w:rsid w:val="00693C7D"/>
    <w:rsid w:val="00693F28"/>
    <w:rsid w:val="00693F62"/>
    <w:rsid w:val="0069403D"/>
    <w:rsid w:val="006940FE"/>
    <w:rsid w:val="006942C7"/>
    <w:rsid w:val="00694BA4"/>
    <w:rsid w:val="00694C99"/>
    <w:rsid w:val="00694CE4"/>
    <w:rsid w:val="00694D06"/>
    <w:rsid w:val="00694D93"/>
    <w:rsid w:val="00695001"/>
    <w:rsid w:val="006952A5"/>
    <w:rsid w:val="00695426"/>
    <w:rsid w:val="00697154"/>
    <w:rsid w:val="006971B0"/>
    <w:rsid w:val="00697297"/>
    <w:rsid w:val="006972AE"/>
    <w:rsid w:val="00697881"/>
    <w:rsid w:val="00697C93"/>
    <w:rsid w:val="006A02A8"/>
    <w:rsid w:val="006A02F1"/>
    <w:rsid w:val="006A04B7"/>
    <w:rsid w:val="006A051C"/>
    <w:rsid w:val="006A0750"/>
    <w:rsid w:val="006A07F0"/>
    <w:rsid w:val="006A0A24"/>
    <w:rsid w:val="006A0A5F"/>
    <w:rsid w:val="006A0B9E"/>
    <w:rsid w:val="006A103B"/>
    <w:rsid w:val="006A104B"/>
    <w:rsid w:val="006A11B9"/>
    <w:rsid w:val="006A120F"/>
    <w:rsid w:val="006A18BD"/>
    <w:rsid w:val="006A1D91"/>
    <w:rsid w:val="006A1E72"/>
    <w:rsid w:val="006A206C"/>
    <w:rsid w:val="006A2220"/>
    <w:rsid w:val="006A2DD7"/>
    <w:rsid w:val="006A3011"/>
    <w:rsid w:val="006A3682"/>
    <w:rsid w:val="006A3B12"/>
    <w:rsid w:val="006A3C20"/>
    <w:rsid w:val="006A4664"/>
    <w:rsid w:val="006A5217"/>
    <w:rsid w:val="006A5351"/>
    <w:rsid w:val="006A581A"/>
    <w:rsid w:val="006A5A16"/>
    <w:rsid w:val="006A5E6D"/>
    <w:rsid w:val="006A61FC"/>
    <w:rsid w:val="006A6270"/>
    <w:rsid w:val="006A648D"/>
    <w:rsid w:val="006A64B3"/>
    <w:rsid w:val="006A68C6"/>
    <w:rsid w:val="006A6F42"/>
    <w:rsid w:val="006A6F7F"/>
    <w:rsid w:val="006A72F9"/>
    <w:rsid w:val="006A74B4"/>
    <w:rsid w:val="006A7631"/>
    <w:rsid w:val="006A76A4"/>
    <w:rsid w:val="006A7C33"/>
    <w:rsid w:val="006A7E67"/>
    <w:rsid w:val="006A7EBE"/>
    <w:rsid w:val="006A7FA1"/>
    <w:rsid w:val="006B0048"/>
    <w:rsid w:val="006B04B3"/>
    <w:rsid w:val="006B056E"/>
    <w:rsid w:val="006B05FF"/>
    <w:rsid w:val="006B06A5"/>
    <w:rsid w:val="006B0ADA"/>
    <w:rsid w:val="006B0B00"/>
    <w:rsid w:val="006B13B2"/>
    <w:rsid w:val="006B1A56"/>
    <w:rsid w:val="006B1E85"/>
    <w:rsid w:val="006B1F11"/>
    <w:rsid w:val="006B200A"/>
    <w:rsid w:val="006B23FA"/>
    <w:rsid w:val="006B2530"/>
    <w:rsid w:val="006B25DD"/>
    <w:rsid w:val="006B26F8"/>
    <w:rsid w:val="006B2C5A"/>
    <w:rsid w:val="006B37E8"/>
    <w:rsid w:val="006B3831"/>
    <w:rsid w:val="006B3BD1"/>
    <w:rsid w:val="006B3EF8"/>
    <w:rsid w:val="006B3FA5"/>
    <w:rsid w:val="006B42B4"/>
    <w:rsid w:val="006B4583"/>
    <w:rsid w:val="006B4A4A"/>
    <w:rsid w:val="006B4BA7"/>
    <w:rsid w:val="006B50B6"/>
    <w:rsid w:val="006B51F0"/>
    <w:rsid w:val="006B5969"/>
    <w:rsid w:val="006B5B13"/>
    <w:rsid w:val="006B5E10"/>
    <w:rsid w:val="006B6148"/>
    <w:rsid w:val="006B63A4"/>
    <w:rsid w:val="006B6492"/>
    <w:rsid w:val="006B64B1"/>
    <w:rsid w:val="006B6D85"/>
    <w:rsid w:val="006B6EC6"/>
    <w:rsid w:val="006B6F17"/>
    <w:rsid w:val="006B6F89"/>
    <w:rsid w:val="006B6FBD"/>
    <w:rsid w:val="006B725B"/>
    <w:rsid w:val="006B7263"/>
    <w:rsid w:val="006B72CE"/>
    <w:rsid w:val="006B7331"/>
    <w:rsid w:val="006B7716"/>
    <w:rsid w:val="006B78F7"/>
    <w:rsid w:val="006B7B88"/>
    <w:rsid w:val="006B7C6C"/>
    <w:rsid w:val="006C0373"/>
    <w:rsid w:val="006C049F"/>
    <w:rsid w:val="006C0790"/>
    <w:rsid w:val="006C0BE0"/>
    <w:rsid w:val="006C0C3B"/>
    <w:rsid w:val="006C1171"/>
    <w:rsid w:val="006C1317"/>
    <w:rsid w:val="006C17C2"/>
    <w:rsid w:val="006C1BF7"/>
    <w:rsid w:val="006C1C5D"/>
    <w:rsid w:val="006C1C9C"/>
    <w:rsid w:val="006C1DA6"/>
    <w:rsid w:val="006C2120"/>
    <w:rsid w:val="006C2198"/>
    <w:rsid w:val="006C25F7"/>
    <w:rsid w:val="006C266B"/>
    <w:rsid w:val="006C287C"/>
    <w:rsid w:val="006C2885"/>
    <w:rsid w:val="006C28EE"/>
    <w:rsid w:val="006C293F"/>
    <w:rsid w:val="006C2A9A"/>
    <w:rsid w:val="006C2CE7"/>
    <w:rsid w:val="006C2CEA"/>
    <w:rsid w:val="006C2D87"/>
    <w:rsid w:val="006C2DF8"/>
    <w:rsid w:val="006C33C2"/>
    <w:rsid w:val="006C3447"/>
    <w:rsid w:val="006C3AF5"/>
    <w:rsid w:val="006C3D2B"/>
    <w:rsid w:val="006C3DAF"/>
    <w:rsid w:val="006C4017"/>
    <w:rsid w:val="006C404B"/>
    <w:rsid w:val="006C44D1"/>
    <w:rsid w:val="006C4761"/>
    <w:rsid w:val="006C4B2F"/>
    <w:rsid w:val="006C4C08"/>
    <w:rsid w:val="006C4E55"/>
    <w:rsid w:val="006C4EFB"/>
    <w:rsid w:val="006C52C9"/>
    <w:rsid w:val="006C5370"/>
    <w:rsid w:val="006C5E23"/>
    <w:rsid w:val="006C6555"/>
    <w:rsid w:val="006C674B"/>
    <w:rsid w:val="006C68B6"/>
    <w:rsid w:val="006C71B1"/>
    <w:rsid w:val="006C77E0"/>
    <w:rsid w:val="006C7936"/>
    <w:rsid w:val="006C7A89"/>
    <w:rsid w:val="006D00B7"/>
    <w:rsid w:val="006D0678"/>
    <w:rsid w:val="006D0704"/>
    <w:rsid w:val="006D086E"/>
    <w:rsid w:val="006D0872"/>
    <w:rsid w:val="006D08B4"/>
    <w:rsid w:val="006D0945"/>
    <w:rsid w:val="006D0A1B"/>
    <w:rsid w:val="006D0A99"/>
    <w:rsid w:val="006D0F8D"/>
    <w:rsid w:val="006D0FD8"/>
    <w:rsid w:val="006D13FD"/>
    <w:rsid w:val="006D1513"/>
    <w:rsid w:val="006D1545"/>
    <w:rsid w:val="006D16AF"/>
    <w:rsid w:val="006D1927"/>
    <w:rsid w:val="006D1E00"/>
    <w:rsid w:val="006D1E57"/>
    <w:rsid w:val="006D2EE4"/>
    <w:rsid w:val="006D3262"/>
    <w:rsid w:val="006D3274"/>
    <w:rsid w:val="006D340C"/>
    <w:rsid w:val="006D35BE"/>
    <w:rsid w:val="006D35F4"/>
    <w:rsid w:val="006D3737"/>
    <w:rsid w:val="006D3AB9"/>
    <w:rsid w:val="006D3EFE"/>
    <w:rsid w:val="006D40A8"/>
    <w:rsid w:val="006D4357"/>
    <w:rsid w:val="006D4404"/>
    <w:rsid w:val="006D465B"/>
    <w:rsid w:val="006D4796"/>
    <w:rsid w:val="006D4817"/>
    <w:rsid w:val="006D4901"/>
    <w:rsid w:val="006D4E51"/>
    <w:rsid w:val="006D5175"/>
    <w:rsid w:val="006D5185"/>
    <w:rsid w:val="006D5243"/>
    <w:rsid w:val="006D5509"/>
    <w:rsid w:val="006D574C"/>
    <w:rsid w:val="006D5A4F"/>
    <w:rsid w:val="006D5C24"/>
    <w:rsid w:val="006D5D58"/>
    <w:rsid w:val="006D6013"/>
    <w:rsid w:val="006D63EC"/>
    <w:rsid w:val="006D653F"/>
    <w:rsid w:val="006D65E3"/>
    <w:rsid w:val="006D66D7"/>
    <w:rsid w:val="006D6810"/>
    <w:rsid w:val="006D6C13"/>
    <w:rsid w:val="006D6D04"/>
    <w:rsid w:val="006D6E73"/>
    <w:rsid w:val="006D6FAF"/>
    <w:rsid w:val="006D7275"/>
    <w:rsid w:val="006D758C"/>
    <w:rsid w:val="006D7954"/>
    <w:rsid w:val="006D7BB5"/>
    <w:rsid w:val="006E01D6"/>
    <w:rsid w:val="006E0337"/>
    <w:rsid w:val="006E038E"/>
    <w:rsid w:val="006E07D0"/>
    <w:rsid w:val="006E0A4B"/>
    <w:rsid w:val="006E0AC1"/>
    <w:rsid w:val="006E0F9D"/>
    <w:rsid w:val="006E116B"/>
    <w:rsid w:val="006E12E1"/>
    <w:rsid w:val="006E1345"/>
    <w:rsid w:val="006E14B5"/>
    <w:rsid w:val="006E172C"/>
    <w:rsid w:val="006E1B82"/>
    <w:rsid w:val="006E1C54"/>
    <w:rsid w:val="006E2453"/>
    <w:rsid w:val="006E25CB"/>
    <w:rsid w:val="006E2737"/>
    <w:rsid w:val="006E3052"/>
    <w:rsid w:val="006E3344"/>
    <w:rsid w:val="006E34DE"/>
    <w:rsid w:val="006E36FC"/>
    <w:rsid w:val="006E37A3"/>
    <w:rsid w:val="006E382E"/>
    <w:rsid w:val="006E3AC6"/>
    <w:rsid w:val="006E3E0E"/>
    <w:rsid w:val="006E3F90"/>
    <w:rsid w:val="006E40AB"/>
    <w:rsid w:val="006E460A"/>
    <w:rsid w:val="006E4848"/>
    <w:rsid w:val="006E4AD5"/>
    <w:rsid w:val="006E4B86"/>
    <w:rsid w:val="006E4DAA"/>
    <w:rsid w:val="006E510F"/>
    <w:rsid w:val="006E51B0"/>
    <w:rsid w:val="006E5671"/>
    <w:rsid w:val="006E5A8B"/>
    <w:rsid w:val="006E5CB5"/>
    <w:rsid w:val="006E5E65"/>
    <w:rsid w:val="006E6011"/>
    <w:rsid w:val="006E60CA"/>
    <w:rsid w:val="006E613C"/>
    <w:rsid w:val="006E616B"/>
    <w:rsid w:val="006E63E0"/>
    <w:rsid w:val="006E6607"/>
    <w:rsid w:val="006E6647"/>
    <w:rsid w:val="006E6B60"/>
    <w:rsid w:val="006E6D80"/>
    <w:rsid w:val="006E6EA3"/>
    <w:rsid w:val="006E6FF7"/>
    <w:rsid w:val="006E72D6"/>
    <w:rsid w:val="006E75B2"/>
    <w:rsid w:val="006E77FF"/>
    <w:rsid w:val="006E7845"/>
    <w:rsid w:val="006E7A88"/>
    <w:rsid w:val="006E7BE0"/>
    <w:rsid w:val="006E7C94"/>
    <w:rsid w:val="006E7C95"/>
    <w:rsid w:val="006E7CAF"/>
    <w:rsid w:val="006E7DA7"/>
    <w:rsid w:val="006F0083"/>
    <w:rsid w:val="006F04F4"/>
    <w:rsid w:val="006F052A"/>
    <w:rsid w:val="006F0815"/>
    <w:rsid w:val="006F0BCB"/>
    <w:rsid w:val="006F0DD2"/>
    <w:rsid w:val="006F0FD7"/>
    <w:rsid w:val="006F100D"/>
    <w:rsid w:val="006F10C0"/>
    <w:rsid w:val="006F17BD"/>
    <w:rsid w:val="006F1A5B"/>
    <w:rsid w:val="006F221B"/>
    <w:rsid w:val="006F268C"/>
    <w:rsid w:val="006F300E"/>
    <w:rsid w:val="006F3122"/>
    <w:rsid w:val="006F31FE"/>
    <w:rsid w:val="006F3364"/>
    <w:rsid w:val="006F35A4"/>
    <w:rsid w:val="006F39BE"/>
    <w:rsid w:val="006F39DA"/>
    <w:rsid w:val="006F3B34"/>
    <w:rsid w:val="006F3B53"/>
    <w:rsid w:val="006F4139"/>
    <w:rsid w:val="006F41F3"/>
    <w:rsid w:val="006F4259"/>
    <w:rsid w:val="006F437F"/>
    <w:rsid w:val="006F4635"/>
    <w:rsid w:val="006F4758"/>
    <w:rsid w:val="006F47D1"/>
    <w:rsid w:val="006F4BF5"/>
    <w:rsid w:val="006F4E2B"/>
    <w:rsid w:val="006F4FF6"/>
    <w:rsid w:val="006F5195"/>
    <w:rsid w:val="006F5281"/>
    <w:rsid w:val="006F5561"/>
    <w:rsid w:val="006F5AA9"/>
    <w:rsid w:val="006F5B04"/>
    <w:rsid w:val="006F5D39"/>
    <w:rsid w:val="006F5E5F"/>
    <w:rsid w:val="006F601A"/>
    <w:rsid w:val="006F60D8"/>
    <w:rsid w:val="006F61C5"/>
    <w:rsid w:val="006F6208"/>
    <w:rsid w:val="006F62C7"/>
    <w:rsid w:val="006F648A"/>
    <w:rsid w:val="006F6608"/>
    <w:rsid w:val="006F671C"/>
    <w:rsid w:val="006F6CE9"/>
    <w:rsid w:val="006F6DAB"/>
    <w:rsid w:val="006F6DB2"/>
    <w:rsid w:val="006F6FC8"/>
    <w:rsid w:val="006F72DE"/>
    <w:rsid w:val="006F7385"/>
    <w:rsid w:val="006F7DA4"/>
    <w:rsid w:val="006F7E34"/>
    <w:rsid w:val="00700018"/>
    <w:rsid w:val="0070088E"/>
    <w:rsid w:val="00700A7B"/>
    <w:rsid w:val="00700C36"/>
    <w:rsid w:val="00700C39"/>
    <w:rsid w:val="00700FA7"/>
    <w:rsid w:val="007011D1"/>
    <w:rsid w:val="007011EF"/>
    <w:rsid w:val="00701274"/>
    <w:rsid w:val="00701984"/>
    <w:rsid w:val="007019C3"/>
    <w:rsid w:val="00702823"/>
    <w:rsid w:val="00702F0F"/>
    <w:rsid w:val="00703095"/>
    <w:rsid w:val="007038AC"/>
    <w:rsid w:val="007038AF"/>
    <w:rsid w:val="00703998"/>
    <w:rsid w:val="00703B3A"/>
    <w:rsid w:val="00703BC2"/>
    <w:rsid w:val="00703D9C"/>
    <w:rsid w:val="00703E73"/>
    <w:rsid w:val="00704545"/>
    <w:rsid w:val="00704B7D"/>
    <w:rsid w:val="00704DF2"/>
    <w:rsid w:val="00704F59"/>
    <w:rsid w:val="00704F6E"/>
    <w:rsid w:val="00704FEE"/>
    <w:rsid w:val="00705101"/>
    <w:rsid w:val="00705161"/>
    <w:rsid w:val="00705F94"/>
    <w:rsid w:val="00705FDF"/>
    <w:rsid w:val="007069E6"/>
    <w:rsid w:val="00707132"/>
    <w:rsid w:val="00707782"/>
    <w:rsid w:val="007077F2"/>
    <w:rsid w:val="00707939"/>
    <w:rsid w:val="00707B1B"/>
    <w:rsid w:val="00707FA4"/>
    <w:rsid w:val="00710105"/>
    <w:rsid w:val="007105B5"/>
    <w:rsid w:val="00710695"/>
    <w:rsid w:val="007108B3"/>
    <w:rsid w:val="00710A3C"/>
    <w:rsid w:val="00710E31"/>
    <w:rsid w:val="00710EBA"/>
    <w:rsid w:val="00711138"/>
    <w:rsid w:val="007112D4"/>
    <w:rsid w:val="00711593"/>
    <w:rsid w:val="007116E8"/>
    <w:rsid w:val="00711889"/>
    <w:rsid w:val="007118BA"/>
    <w:rsid w:val="00711D84"/>
    <w:rsid w:val="00711F83"/>
    <w:rsid w:val="0071208A"/>
    <w:rsid w:val="0071220E"/>
    <w:rsid w:val="00712357"/>
    <w:rsid w:val="00712384"/>
    <w:rsid w:val="0071239F"/>
    <w:rsid w:val="0071243C"/>
    <w:rsid w:val="00712562"/>
    <w:rsid w:val="00712664"/>
    <w:rsid w:val="00712DA6"/>
    <w:rsid w:val="00713424"/>
    <w:rsid w:val="00713573"/>
    <w:rsid w:val="00713855"/>
    <w:rsid w:val="00713949"/>
    <w:rsid w:val="00713E1D"/>
    <w:rsid w:val="00713F0C"/>
    <w:rsid w:val="0071412C"/>
    <w:rsid w:val="007141BF"/>
    <w:rsid w:val="00714276"/>
    <w:rsid w:val="00714632"/>
    <w:rsid w:val="00714929"/>
    <w:rsid w:val="00714C15"/>
    <w:rsid w:val="00714D92"/>
    <w:rsid w:val="00714E12"/>
    <w:rsid w:val="0071500F"/>
    <w:rsid w:val="007152A9"/>
    <w:rsid w:val="0071544F"/>
    <w:rsid w:val="0071545A"/>
    <w:rsid w:val="0071567D"/>
    <w:rsid w:val="00715738"/>
    <w:rsid w:val="00715A59"/>
    <w:rsid w:val="00715C02"/>
    <w:rsid w:val="00715D18"/>
    <w:rsid w:val="007161A5"/>
    <w:rsid w:val="00716758"/>
    <w:rsid w:val="007169EC"/>
    <w:rsid w:val="00716BA2"/>
    <w:rsid w:val="00716C21"/>
    <w:rsid w:val="00716F1C"/>
    <w:rsid w:val="007170B3"/>
    <w:rsid w:val="007170BA"/>
    <w:rsid w:val="00717200"/>
    <w:rsid w:val="007172B5"/>
    <w:rsid w:val="00717356"/>
    <w:rsid w:val="007178BB"/>
    <w:rsid w:val="00717997"/>
    <w:rsid w:val="00717A2B"/>
    <w:rsid w:val="00717BA8"/>
    <w:rsid w:val="00717EFA"/>
    <w:rsid w:val="00720068"/>
    <w:rsid w:val="00720183"/>
    <w:rsid w:val="00720426"/>
    <w:rsid w:val="007207BA"/>
    <w:rsid w:val="007208FB"/>
    <w:rsid w:val="00720960"/>
    <w:rsid w:val="00720AE9"/>
    <w:rsid w:val="0072115C"/>
    <w:rsid w:val="00721204"/>
    <w:rsid w:val="007215D1"/>
    <w:rsid w:val="007215D9"/>
    <w:rsid w:val="007217AE"/>
    <w:rsid w:val="00721971"/>
    <w:rsid w:val="00721BFB"/>
    <w:rsid w:val="00721C23"/>
    <w:rsid w:val="00721E60"/>
    <w:rsid w:val="00721F23"/>
    <w:rsid w:val="00722310"/>
    <w:rsid w:val="007229B3"/>
    <w:rsid w:val="00722DE8"/>
    <w:rsid w:val="00722E38"/>
    <w:rsid w:val="007231AD"/>
    <w:rsid w:val="007232B1"/>
    <w:rsid w:val="007233B2"/>
    <w:rsid w:val="007234D1"/>
    <w:rsid w:val="00723576"/>
    <w:rsid w:val="00723929"/>
    <w:rsid w:val="00723ED1"/>
    <w:rsid w:val="00723F20"/>
    <w:rsid w:val="00724154"/>
    <w:rsid w:val="00724224"/>
    <w:rsid w:val="007243BB"/>
    <w:rsid w:val="007243FF"/>
    <w:rsid w:val="00724411"/>
    <w:rsid w:val="007247EB"/>
    <w:rsid w:val="00724E52"/>
    <w:rsid w:val="00724EF8"/>
    <w:rsid w:val="0072502D"/>
    <w:rsid w:val="00725277"/>
    <w:rsid w:val="007254CA"/>
    <w:rsid w:val="007255FF"/>
    <w:rsid w:val="00725884"/>
    <w:rsid w:val="0072623F"/>
    <w:rsid w:val="007267C0"/>
    <w:rsid w:val="00726FF1"/>
    <w:rsid w:val="00727509"/>
    <w:rsid w:val="00727638"/>
    <w:rsid w:val="007276D4"/>
    <w:rsid w:val="00727771"/>
    <w:rsid w:val="00727A70"/>
    <w:rsid w:val="00727B0A"/>
    <w:rsid w:val="00727B75"/>
    <w:rsid w:val="00727DD3"/>
    <w:rsid w:val="00727E16"/>
    <w:rsid w:val="007302D0"/>
    <w:rsid w:val="007307A0"/>
    <w:rsid w:val="00730841"/>
    <w:rsid w:val="00730A74"/>
    <w:rsid w:val="00730AAD"/>
    <w:rsid w:val="00730DB0"/>
    <w:rsid w:val="00730DBE"/>
    <w:rsid w:val="007311AB"/>
    <w:rsid w:val="00731AE1"/>
    <w:rsid w:val="00731C47"/>
    <w:rsid w:val="00731EC6"/>
    <w:rsid w:val="00732C53"/>
    <w:rsid w:val="00732DD5"/>
    <w:rsid w:val="00732F6D"/>
    <w:rsid w:val="00732F73"/>
    <w:rsid w:val="0073319D"/>
    <w:rsid w:val="007335A2"/>
    <w:rsid w:val="00733A64"/>
    <w:rsid w:val="00733B7E"/>
    <w:rsid w:val="00733BA1"/>
    <w:rsid w:val="00733C69"/>
    <w:rsid w:val="00733EB9"/>
    <w:rsid w:val="00733F0A"/>
    <w:rsid w:val="00733F11"/>
    <w:rsid w:val="00734001"/>
    <w:rsid w:val="0073414A"/>
    <w:rsid w:val="007342E6"/>
    <w:rsid w:val="00734445"/>
    <w:rsid w:val="007344AD"/>
    <w:rsid w:val="007344D3"/>
    <w:rsid w:val="00734595"/>
    <w:rsid w:val="007348F3"/>
    <w:rsid w:val="00734B5D"/>
    <w:rsid w:val="00734CB5"/>
    <w:rsid w:val="00734FCD"/>
    <w:rsid w:val="007353FC"/>
    <w:rsid w:val="00735416"/>
    <w:rsid w:val="00735420"/>
    <w:rsid w:val="00735555"/>
    <w:rsid w:val="007357A9"/>
    <w:rsid w:val="00735947"/>
    <w:rsid w:val="007359ED"/>
    <w:rsid w:val="00735A31"/>
    <w:rsid w:val="00735A6E"/>
    <w:rsid w:val="00735BF1"/>
    <w:rsid w:val="00735DD0"/>
    <w:rsid w:val="00736291"/>
    <w:rsid w:val="00736327"/>
    <w:rsid w:val="00736475"/>
    <w:rsid w:val="007364F5"/>
    <w:rsid w:val="0073657A"/>
    <w:rsid w:val="00736606"/>
    <w:rsid w:val="0073673A"/>
    <w:rsid w:val="00736779"/>
    <w:rsid w:val="0073692B"/>
    <w:rsid w:val="00736999"/>
    <w:rsid w:val="00736A6D"/>
    <w:rsid w:val="00736DBD"/>
    <w:rsid w:val="00736F0B"/>
    <w:rsid w:val="00736F48"/>
    <w:rsid w:val="00737056"/>
    <w:rsid w:val="00737118"/>
    <w:rsid w:val="0073743D"/>
    <w:rsid w:val="007374D7"/>
    <w:rsid w:val="007374E1"/>
    <w:rsid w:val="00737AB9"/>
    <w:rsid w:val="00737BB0"/>
    <w:rsid w:val="00737D27"/>
    <w:rsid w:val="00737D42"/>
    <w:rsid w:val="00740001"/>
    <w:rsid w:val="00740084"/>
    <w:rsid w:val="0074022A"/>
    <w:rsid w:val="007406B6"/>
    <w:rsid w:val="007408B5"/>
    <w:rsid w:val="007409DC"/>
    <w:rsid w:val="00740D77"/>
    <w:rsid w:val="00740F22"/>
    <w:rsid w:val="007411E3"/>
    <w:rsid w:val="00741223"/>
    <w:rsid w:val="007414D3"/>
    <w:rsid w:val="00741887"/>
    <w:rsid w:val="007418C0"/>
    <w:rsid w:val="00741A1A"/>
    <w:rsid w:val="00741A98"/>
    <w:rsid w:val="00741F60"/>
    <w:rsid w:val="007420AA"/>
    <w:rsid w:val="0074217B"/>
    <w:rsid w:val="007423E6"/>
    <w:rsid w:val="0074278F"/>
    <w:rsid w:val="00742C58"/>
    <w:rsid w:val="00742CEE"/>
    <w:rsid w:val="00742D61"/>
    <w:rsid w:val="00742F88"/>
    <w:rsid w:val="00743336"/>
    <w:rsid w:val="0074367D"/>
    <w:rsid w:val="00743B60"/>
    <w:rsid w:val="007441A7"/>
    <w:rsid w:val="0074435A"/>
    <w:rsid w:val="007445DD"/>
    <w:rsid w:val="00744690"/>
    <w:rsid w:val="0074483F"/>
    <w:rsid w:val="00744E64"/>
    <w:rsid w:val="00745146"/>
    <w:rsid w:val="007455A3"/>
    <w:rsid w:val="00745654"/>
    <w:rsid w:val="0074569A"/>
    <w:rsid w:val="00745B1E"/>
    <w:rsid w:val="00745C5C"/>
    <w:rsid w:val="00745E30"/>
    <w:rsid w:val="00746013"/>
    <w:rsid w:val="0074631A"/>
    <w:rsid w:val="00746480"/>
    <w:rsid w:val="007464C7"/>
    <w:rsid w:val="0074657F"/>
    <w:rsid w:val="00746604"/>
    <w:rsid w:val="007466C1"/>
    <w:rsid w:val="00746959"/>
    <w:rsid w:val="00746966"/>
    <w:rsid w:val="00746D81"/>
    <w:rsid w:val="00746E48"/>
    <w:rsid w:val="00746F2B"/>
    <w:rsid w:val="00747014"/>
    <w:rsid w:val="007470FF"/>
    <w:rsid w:val="007471DA"/>
    <w:rsid w:val="0074750F"/>
    <w:rsid w:val="00747C28"/>
    <w:rsid w:val="00747D05"/>
    <w:rsid w:val="00747F9F"/>
    <w:rsid w:val="00747FF2"/>
    <w:rsid w:val="00750124"/>
    <w:rsid w:val="00750310"/>
    <w:rsid w:val="00750493"/>
    <w:rsid w:val="007506C6"/>
    <w:rsid w:val="007506D0"/>
    <w:rsid w:val="007507A5"/>
    <w:rsid w:val="007509ED"/>
    <w:rsid w:val="00750B46"/>
    <w:rsid w:val="00750C9F"/>
    <w:rsid w:val="00750D5C"/>
    <w:rsid w:val="00750DC5"/>
    <w:rsid w:val="00751026"/>
    <w:rsid w:val="00751034"/>
    <w:rsid w:val="007512A2"/>
    <w:rsid w:val="00751337"/>
    <w:rsid w:val="007514EA"/>
    <w:rsid w:val="00751530"/>
    <w:rsid w:val="007516A0"/>
    <w:rsid w:val="007516E8"/>
    <w:rsid w:val="0075182B"/>
    <w:rsid w:val="00751932"/>
    <w:rsid w:val="00751C8B"/>
    <w:rsid w:val="0075258A"/>
    <w:rsid w:val="00752655"/>
    <w:rsid w:val="0075268A"/>
    <w:rsid w:val="007526C5"/>
    <w:rsid w:val="0075280F"/>
    <w:rsid w:val="00752A30"/>
    <w:rsid w:val="0075324F"/>
    <w:rsid w:val="0075329D"/>
    <w:rsid w:val="007532E2"/>
    <w:rsid w:val="0075349E"/>
    <w:rsid w:val="0075353C"/>
    <w:rsid w:val="00753B0D"/>
    <w:rsid w:val="00753B3D"/>
    <w:rsid w:val="00753B4D"/>
    <w:rsid w:val="00753CFC"/>
    <w:rsid w:val="00753E91"/>
    <w:rsid w:val="00754154"/>
    <w:rsid w:val="00754920"/>
    <w:rsid w:val="00754EEE"/>
    <w:rsid w:val="00754FE2"/>
    <w:rsid w:val="0075511C"/>
    <w:rsid w:val="0075513E"/>
    <w:rsid w:val="00755368"/>
    <w:rsid w:val="00755470"/>
    <w:rsid w:val="00755620"/>
    <w:rsid w:val="007558B0"/>
    <w:rsid w:val="00755932"/>
    <w:rsid w:val="00755A21"/>
    <w:rsid w:val="00755B1A"/>
    <w:rsid w:val="00755DD9"/>
    <w:rsid w:val="00756028"/>
    <w:rsid w:val="007564D3"/>
    <w:rsid w:val="007566D2"/>
    <w:rsid w:val="00756813"/>
    <w:rsid w:val="00756FE9"/>
    <w:rsid w:val="0075700B"/>
    <w:rsid w:val="0075717A"/>
    <w:rsid w:val="00757267"/>
    <w:rsid w:val="007575CB"/>
    <w:rsid w:val="00757761"/>
    <w:rsid w:val="007577A8"/>
    <w:rsid w:val="00757A0A"/>
    <w:rsid w:val="00757A8F"/>
    <w:rsid w:val="00757CE9"/>
    <w:rsid w:val="00757D52"/>
    <w:rsid w:val="00760320"/>
    <w:rsid w:val="00760606"/>
    <w:rsid w:val="00760690"/>
    <w:rsid w:val="00760783"/>
    <w:rsid w:val="00760BBE"/>
    <w:rsid w:val="00760C0A"/>
    <w:rsid w:val="00760F83"/>
    <w:rsid w:val="00761068"/>
    <w:rsid w:val="0076114D"/>
    <w:rsid w:val="00761A77"/>
    <w:rsid w:val="007621DB"/>
    <w:rsid w:val="00762348"/>
    <w:rsid w:val="0076236B"/>
    <w:rsid w:val="007629C9"/>
    <w:rsid w:val="00762B66"/>
    <w:rsid w:val="00762D86"/>
    <w:rsid w:val="0076303C"/>
    <w:rsid w:val="007633CC"/>
    <w:rsid w:val="0076362B"/>
    <w:rsid w:val="00763BB5"/>
    <w:rsid w:val="00763CB7"/>
    <w:rsid w:val="007641A4"/>
    <w:rsid w:val="0076446B"/>
    <w:rsid w:val="007646C5"/>
    <w:rsid w:val="00764831"/>
    <w:rsid w:val="00764A07"/>
    <w:rsid w:val="00764EA5"/>
    <w:rsid w:val="00765297"/>
    <w:rsid w:val="00765453"/>
    <w:rsid w:val="007654D1"/>
    <w:rsid w:val="007656D3"/>
    <w:rsid w:val="00765768"/>
    <w:rsid w:val="007658C1"/>
    <w:rsid w:val="007659F0"/>
    <w:rsid w:val="00765BAA"/>
    <w:rsid w:val="00765C5D"/>
    <w:rsid w:val="007662C5"/>
    <w:rsid w:val="0076648F"/>
    <w:rsid w:val="0076653C"/>
    <w:rsid w:val="007665FD"/>
    <w:rsid w:val="0076689F"/>
    <w:rsid w:val="00766BAF"/>
    <w:rsid w:val="00766EC1"/>
    <w:rsid w:val="00766EF1"/>
    <w:rsid w:val="00767547"/>
    <w:rsid w:val="007675C0"/>
    <w:rsid w:val="00767708"/>
    <w:rsid w:val="007678F4"/>
    <w:rsid w:val="00767C04"/>
    <w:rsid w:val="00770474"/>
    <w:rsid w:val="00770592"/>
    <w:rsid w:val="00771169"/>
    <w:rsid w:val="007712B2"/>
    <w:rsid w:val="007712B6"/>
    <w:rsid w:val="00771A72"/>
    <w:rsid w:val="00771AB2"/>
    <w:rsid w:val="00771EDD"/>
    <w:rsid w:val="00772636"/>
    <w:rsid w:val="00772780"/>
    <w:rsid w:val="00772A78"/>
    <w:rsid w:val="00772CD8"/>
    <w:rsid w:val="00773052"/>
    <w:rsid w:val="00773152"/>
    <w:rsid w:val="007731EE"/>
    <w:rsid w:val="007735E6"/>
    <w:rsid w:val="0077368A"/>
    <w:rsid w:val="00773939"/>
    <w:rsid w:val="007739B0"/>
    <w:rsid w:val="00773BC6"/>
    <w:rsid w:val="00773C83"/>
    <w:rsid w:val="00773D0F"/>
    <w:rsid w:val="00773E2D"/>
    <w:rsid w:val="007740F5"/>
    <w:rsid w:val="007741CD"/>
    <w:rsid w:val="007749B3"/>
    <w:rsid w:val="007749BB"/>
    <w:rsid w:val="00774A23"/>
    <w:rsid w:val="00774AC6"/>
    <w:rsid w:val="007750E1"/>
    <w:rsid w:val="00775287"/>
    <w:rsid w:val="0077537D"/>
    <w:rsid w:val="00775642"/>
    <w:rsid w:val="00775698"/>
    <w:rsid w:val="0077588E"/>
    <w:rsid w:val="00775A8F"/>
    <w:rsid w:val="00775EEC"/>
    <w:rsid w:val="0077615B"/>
    <w:rsid w:val="007764FA"/>
    <w:rsid w:val="007767ED"/>
    <w:rsid w:val="007768C0"/>
    <w:rsid w:val="0077691B"/>
    <w:rsid w:val="0077708A"/>
    <w:rsid w:val="0077732E"/>
    <w:rsid w:val="007773AC"/>
    <w:rsid w:val="00777410"/>
    <w:rsid w:val="0077753C"/>
    <w:rsid w:val="00777E70"/>
    <w:rsid w:val="00780169"/>
    <w:rsid w:val="00780175"/>
    <w:rsid w:val="0078037A"/>
    <w:rsid w:val="007804BF"/>
    <w:rsid w:val="007805BE"/>
    <w:rsid w:val="00780607"/>
    <w:rsid w:val="007806B2"/>
    <w:rsid w:val="00780AD9"/>
    <w:rsid w:val="00780B67"/>
    <w:rsid w:val="00780B82"/>
    <w:rsid w:val="00780D41"/>
    <w:rsid w:val="00780ECA"/>
    <w:rsid w:val="007810D2"/>
    <w:rsid w:val="00781310"/>
    <w:rsid w:val="00781382"/>
    <w:rsid w:val="007813BF"/>
    <w:rsid w:val="0078196F"/>
    <w:rsid w:val="00781C66"/>
    <w:rsid w:val="00781CD7"/>
    <w:rsid w:val="00781D45"/>
    <w:rsid w:val="00781D6F"/>
    <w:rsid w:val="00781E3B"/>
    <w:rsid w:val="00782709"/>
    <w:rsid w:val="0078309E"/>
    <w:rsid w:val="0078320F"/>
    <w:rsid w:val="0078336D"/>
    <w:rsid w:val="00783410"/>
    <w:rsid w:val="007837AD"/>
    <w:rsid w:val="00783950"/>
    <w:rsid w:val="00783C3B"/>
    <w:rsid w:val="007843F5"/>
    <w:rsid w:val="00784BED"/>
    <w:rsid w:val="0078523A"/>
    <w:rsid w:val="007853A6"/>
    <w:rsid w:val="00785B06"/>
    <w:rsid w:val="00785B6E"/>
    <w:rsid w:val="0078616C"/>
    <w:rsid w:val="007861CD"/>
    <w:rsid w:val="007861FA"/>
    <w:rsid w:val="007863BE"/>
    <w:rsid w:val="007864C5"/>
    <w:rsid w:val="00786B1E"/>
    <w:rsid w:val="007870FB"/>
    <w:rsid w:val="0078733F"/>
    <w:rsid w:val="007873CA"/>
    <w:rsid w:val="00787483"/>
    <w:rsid w:val="007874CD"/>
    <w:rsid w:val="0078769D"/>
    <w:rsid w:val="007878EE"/>
    <w:rsid w:val="00787A28"/>
    <w:rsid w:val="007901A5"/>
    <w:rsid w:val="0079050F"/>
    <w:rsid w:val="0079053D"/>
    <w:rsid w:val="00790576"/>
    <w:rsid w:val="00790977"/>
    <w:rsid w:val="00790A24"/>
    <w:rsid w:val="00790DB3"/>
    <w:rsid w:val="00790DE4"/>
    <w:rsid w:val="0079103E"/>
    <w:rsid w:val="007910D1"/>
    <w:rsid w:val="00791133"/>
    <w:rsid w:val="007911BF"/>
    <w:rsid w:val="0079195B"/>
    <w:rsid w:val="00791EF2"/>
    <w:rsid w:val="0079244A"/>
    <w:rsid w:val="00792930"/>
    <w:rsid w:val="00792D41"/>
    <w:rsid w:val="00792F53"/>
    <w:rsid w:val="00793EEC"/>
    <w:rsid w:val="00794409"/>
    <w:rsid w:val="00794D54"/>
    <w:rsid w:val="00794E35"/>
    <w:rsid w:val="00795419"/>
    <w:rsid w:val="007954BB"/>
    <w:rsid w:val="00795C1A"/>
    <w:rsid w:val="00796059"/>
    <w:rsid w:val="00796203"/>
    <w:rsid w:val="00796268"/>
    <w:rsid w:val="00796C9F"/>
    <w:rsid w:val="00796CF4"/>
    <w:rsid w:val="00796DA1"/>
    <w:rsid w:val="007973C7"/>
    <w:rsid w:val="00797ADD"/>
    <w:rsid w:val="00797BFD"/>
    <w:rsid w:val="00797D46"/>
    <w:rsid w:val="00797EC2"/>
    <w:rsid w:val="007A05CB"/>
    <w:rsid w:val="007A0A17"/>
    <w:rsid w:val="007A0ADB"/>
    <w:rsid w:val="007A0BB9"/>
    <w:rsid w:val="007A0C91"/>
    <w:rsid w:val="007A0E3A"/>
    <w:rsid w:val="007A13B4"/>
    <w:rsid w:val="007A14AF"/>
    <w:rsid w:val="007A152B"/>
    <w:rsid w:val="007A1C24"/>
    <w:rsid w:val="007A1D99"/>
    <w:rsid w:val="007A1EDF"/>
    <w:rsid w:val="007A2001"/>
    <w:rsid w:val="007A2461"/>
    <w:rsid w:val="007A258F"/>
    <w:rsid w:val="007A2654"/>
    <w:rsid w:val="007A2BC1"/>
    <w:rsid w:val="007A2C75"/>
    <w:rsid w:val="007A2DEB"/>
    <w:rsid w:val="007A33A2"/>
    <w:rsid w:val="007A3791"/>
    <w:rsid w:val="007A3B40"/>
    <w:rsid w:val="007A462A"/>
    <w:rsid w:val="007A4BCB"/>
    <w:rsid w:val="007A4E76"/>
    <w:rsid w:val="007A54D7"/>
    <w:rsid w:val="007A5819"/>
    <w:rsid w:val="007A58A3"/>
    <w:rsid w:val="007A5985"/>
    <w:rsid w:val="007A5D2C"/>
    <w:rsid w:val="007A61D0"/>
    <w:rsid w:val="007A63DC"/>
    <w:rsid w:val="007A68DB"/>
    <w:rsid w:val="007A68FB"/>
    <w:rsid w:val="007A6943"/>
    <w:rsid w:val="007A761F"/>
    <w:rsid w:val="007A7728"/>
    <w:rsid w:val="007A7B62"/>
    <w:rsid w:val="007B0092"/>
    <w:rsid w:val="007B00D3"/>
    <w:rsid w:val="007B03A9"/>
    <w:rsid w:val="007B072E"/>
    <w:rsid w:val="007B0A21"/>
    <w:rsid w:val="007B0BB5"/>
    <w:rsid w:val="007B0BD1"/>
    <w:rsid w:val="007B0E8C"/>
    <w:rsid w:val="007B102A"/>
    <w:rsid w:val="007B12D8"/>
    <w:rsid w:val="007B17C3"/>
    <w:rsid w:val="007B1B9B"/>
    <w:rsid w:val="007B1F4F"/>
    <w:rsid w:val="007B2416"/>
    <w:rsid w:val="007B248F"/>
    <w:rsid w:val="007B25F8"/>
    <w:rsid w:val="007B28C9"/>
    <w:rsid w:val="007B296D"/>
    <w:rsid w:val="007B2D39"/>
    <w:rsid w:val="007B2D86"/>
    <w:rsid w:val="007B3091"/>
    <w:rsid w:val="007B343D"/>
    <w:rsid w:val="007B3647"/>
    <w:rsid w:val="007B3BDD"/>
    <w:rsid w:val="007B3E75"/>
    <w:rsid w:val="007B4252"/>
    <w:rsid w:val="007B43EA"/>
    <w:rsid w:val="007B497E"/>
    <w:rsid w:val="007B4A06"/>
    <w:rsid w:val="007B52B4"/>
    <w:rsid w:val="007B6068"/>
    <w:rsid w:val="007B60A2"/>
    <w:rsid w:val="007B6404"/>
    <w:rsid w:val="007B653D"/>
    <w:rsid w:val="007B6B07"/>
    <w:rsid w:val="007B6C14"/>
    <w:rsid w:val="007B6C30"/>
    <w:rsid w:val="007B6D5C"/>
    <w:rsid w:val="007B6D91"/>
    <w:rsid w:val="007B724A"/>
    <w:rsid w:val="007B73F5"/>
    <w:rsid w:val="007B7419"/>
    <w:rsid w:val="007B757A"/>
    <w:rsid w:val="007B782D"/>
    <w:rsid w:val="007B79BC"/>
    <w:rsid w:val="007B7B08"/>
    <w:rsid w:val="007C01D6"/>
    <w:rsid w:val="007C0374"/>
    <w:rsid w:val="007C068B"/>
    <w:rsid w:val="007C0A71"/>
    <w:rsid w:val="007C0AA6"/>
    <w:rsid w:val="007C0F24"/>
    <w:rsid w:val="007C1078"/>
    <w:rsid w:val="007C18D6"/>
    <w:rsid w:val="007C1971"/>
    <w:rsid w:val="007C1D71"/>
    <w:rsid w:val="007C1EBA"/>
    <w:rsid w:val="007C20AF"/>
    <w:rsid w:val="007C2922"/>
    <w:rsid w:val="007C2B43"/>
    <w:rsid w:val="007C2E92"/>
    <w:rsid w:val="007C2F71"/>
    <w:rsid w:val="007C315F"/>
    <w:rsid w:val="007C3482"/>
    <w:rsid w:val="007C36B3"/>
    <w:rsid w:val="007C37BB"/>
    <w:rsid w:val="007C3837"/>
    <w:rsid w:val="007C4043"/>
    <w:rsid w:val="007C42A8"/>
    <w:rsid w:val="007C45F9"/>
    <w:rsid w:val="007C4683"/>
    <w:rsid w:val="007C46E1"/>
    <w:rsid w:val="007C4B1E"/>
    <w:rsid w:val="007C4C4C"/>
    <w:rsid w:val="007C4DE7"/>
    <w:rsid w:val="007C50E9"/>
    <w:rsid w:val="007C586C"/>
    <w:rsid w:val="007C58FE"/>
    <w:rsid w:val="007C5A90"/>
    <w:rsid w:val="007C5A9E"/>
    <w:rsid w:val="007C5E39"/>
    <w:rsid w:val="007C6088"/>
    <w:rsid w:val="007C6149"/>
    <w:rsid w:val="007C6613"/>
    <w:rsid w:val="007C6A8C"/>
    <w:rsid w:val="007C6B53"/>
    <w:rsid w:val="007C6F50"/>
    <w:rsid w:val="007C7099"/>
    <w:rsid w:val="007C71DB"/>
    <w:rsid w:val="007C73C3"/>
    <w:rsid w:val="007C7412"/>
    <w:rsid w:val="007C742E"/>
    <w:rsid w:val="007C7438"/>
    <w:rsid w:val="007C74DF"/>
    <w:rsid w:val="007C7D45"/>
    <w:rsid w:val="007C7E1C"/>
    <w:rsid w:val="007C7F4B"/>
    <w:rsid w:val="007D0341"/>
    <w:rsid w:val="007D066B"/>
    <w:rsid w:val="007D0A7A"/>
    <w:rsid w:val="007D0A8F"/>
    <w:rsid w:val="007D0E98"/>
    <w:rsid w:val="007D0F38"/>
    <w:rsid w:val="007D0F48"/>
    <w:rsid w:val="007D11AE"/>
    <w:rsid w:val="007D18CA"/>
    <w:rsid w:val="007D1B2B"/>
    <w:rsid w:val="007D1D56"/>
    <w:rsid w:val="007D1DEE"/>
    <w:rsid w:val="007D1E1E"/>
    <w:rsid w:val="007D1F3C"/>
    <w:rsid w:val="007D20C2"/>
    <w:rsid w:val="007D2289"/>
    <w:rsid w:val="007D23DE"/>
    <w:rsid w:val="007D281A"/>
    <w:rsid w:val="007D2BB6"/>
    <w:rsid w:val="007D2E65"/>
    <w:rsid w:val="007D2F1C"/>
    <w:rsid w:val="007D32B8"/>
    <w:rsid w:val="007D425E"/>
    <w:rsid w:val="007D4FE8"/>
    <w:rsid w:val="007D5004"/>
    <w:rsid w:val="007D500F"/>
    <w:rsid w:val="007D523F"/>
    <w:rsid w:val="007D54EF"/>
    <w:rsid w:val="007D598B"/>
    <w:rsid w:val="007D5D83"/>
    <w:rsid w:val="007D6474"/>
    <w:rsid w:val="007D6740"/>
    <w:rsid w:val="007D6761"/>
    <w:rsid w:val="007D6A4F"/>
    <w:rsid w:val="007D6C63"/>
    <w:rsid w:val="007D6DAB"/>
    <w:rsid w:val="007D6DB3"/>
    <w:rsid w:val="007D7D70"/>
    <w:rsid w:val="007D7FC6"/>
    <w:rsid w:val="007E00C8"/>
    <w:rsid w:val="007E0569"/>
    <w:rsid w:val="007E0714"/>
    <w:rsid w:val="007E080D"/>
    <w:rsid w:val="007E0D2E"/>
    <w:rsid w:val="007E1658"/>
    <w:rsid w:val="007E17A7"/>
    <w:rsid w:val="007E1F07"/>
    <w:rsid w:val="007E2119"/>
    <w:rsid w:val="007E258F"/>
    <w:rsid w:val="007E261B"/>
    <w:rsid w:val="007E2836"/>
    <w:rsid w:val="007E2F13"/>
    <w:rsid w:val="007E2F5E"/>
    <w:rsid w:val="007E3257"/>
    <w:rsid w:val="007E3350"/>
    <w:rsid w:val="007E3BFC"/>
    <w:rsid w:val="007E3D1A"/>
    <w:rsid w:val="007E3DDA"/>
    <w:rsid w:val="007E3E2B"/>
    <w:rsid w:val="007E400A"/>
    <w:rsid w:val="007E40A3"/>
    <w:rsid w:val="007E431E"/>
    <w:rsid w:val="007E442D"/>
    <w:rsid w:val="007E44BE"/>
    <w:rsid w:val="007E469C"/>
    <w:rsid w:val="007E49FF"/>
    <w:rsid w:val="007E4C93"/>
    <w:rsid w:val="007E4F57"/>
    <w:rsid w:val="007E523F"/>
    <w:rsid w:val="007E5356"/>
    <w:rsid w:val="007E551C"/>
    <w:rsid w:val="007E5548"/>
    <w:rsid w:val="007E562F"/>
    <w:rsid w:val="007E5820"/>
    <w:rsid w:val="007E5866"/>
    <w:rsid w:val="007E59BE"/>
    <w:rsid w:val="007E5B6C"/>
    <w:rsid w:val="007E5C40"/>
    <w:rsid w:val="007E5CFE"/>
    <w:rsid w:val="007E5EC2"/>
    <w:rsid w:val="007E5EDE"/>
    <w:rsid w:val="007E5F0D"/>
    <w:rsid w:val="007E5F5A"/>
    <w:rsid w:val="007E62E2"/>
    <w:rsid w:val="007E6377"/>
    <w:rsid w:val="007E659E"/>
    <w:rsid w:val="007E669D"/>
    <w:rsid w:val="007E67BE"/>
    <w:rsid w:val="007E6886"/>
    <w:rsid w:val="007E6A38"/>
    <w:rsid w:val="007E6B00"/>
    <w:rsid w:val="007E6CB3"/>
    <w:rsid w:val="007E6D29"/>
    <w:rsid w:val="007E71D2"/>
    <w:rsid w:val="007E7417"/>
    <w:rsid w:val="007E763E"/>
    <w:rsid w:val="007E7836"/>
    <w:rsid w:val="007E786F"/>
    <w:rsid w:val="007E7D15"/>
    <w:rsid w:val="007E7F57"/>
    <w:rsid w:val="007E7FE0"/>
    <w:rsid w:val="007F0094"/>
    <w:rsid w:val="007F00FC"/>
    <w:rsid w:val="007F034D"/>
    <w:rsid w:val="007F0368"/>
    <w:rsid w:val="007F040F"/>
    <w:rsid w:val="007F0AE1"/>
    <w:rsid w:val="007F0B8F"/>
    <w:rsid w:val="007F0C2A"/>
    <w:rsid w:val="007F0DBF"/>
    <w:rsid w:val="007F1071"/>
    <w:rsid w:val="007F15A4"/>
    <w:rsid w:val="007F182C"/>
    <w:rsid w:val="007F183F"/>
    <w:rsid w:val="007F1928"/>
    <w:rsid w:val="007F1F43"/>
    <w:rsid w:val="007F215A"/>
    <w:rsid w:val="007F2525"/>
    <w:rsid w:val="007F28CC"/>
    <w:rsid w:val="007F29B6"/>
    <w:rsid w:val="007F2D75"/>
    <w:rsid w:val="007F2FBA"/>
    <w:rsid w:val="007F2FBE"/>
    <w:rsid w:val="007F31C2"/>
    <w:rsid w:val="007F31F7"/>
    <w:rsid w:val="007F33E2"/>
    <w:rsid w:val="007F37C1"/>
    <w:rsid w:val="007F39A7"/>
    <w:rsid w:val="007F3DDC"/>
    <w:rsid w:val="007F411B"/>
    <w:rsid w:val="007F431A"/>
    <w:rsid w:val="007F43D8"/>
    <w:rsid w:val="007F43E5"/>
    <w:rsid w:val="007F43FA"/>
    <w:rsid w:val="007F45D6"/>
    <w:rsid w:val="007F45E4"/>
    <w:rsid w:val="007F48FA"/>
    <w:rsid w:val="007F4A2B"/>
    <w:rsid w:val="007F4B2D"/>
    <w:rsid w:val="007F4BBF"/>
    <w:rsid w:val="007F51E5"/>
    <w:rsid w:val="007F5430"/>
    <w:rsid w:val="007F5559"/>
    <w:rsid w:val="007F558B"/>
    <w:rsid w:val="007F56F9"/>
    <w:rsid w:val="007F6278"/>
    <w:rsid w:val="007F640E"/>
    <w:rsid w:val="007F66CF"/>
    <w:rsid w:val="007F67CD"/>
    <w:rsid w:val="007F67EB"/>
    <w:rsid w:val="007F6A5B"/>
    <w:rsid w:val="007F6B15"/>
    <w:rsid w:val="007F6F93"/>
    <w:rsid w:val="007F7390"/>
    <w:rsid w:val="007F73C1"/>
    <w:rsid w:val="007F740D"/>
    <w:rsid w:val="007F754A"/>
    <w:rsid w:val="007F78F6"/>
    <w:rsid w:val="007F7A55"/>
    <w:rsid w:val="007F7B64"/>
    <w:rsid w:val="007F7BFE"/>
    <w:rsid w:val="008002F2"/>
    <w:rsid w:val="00800302"/>
    <w:rsid w:val="00800365"/>
    <w:rsid w:val="008004BF"/>
    <w:rsid w:val="008004E8"/>
    <w:rsid w:val="0080053C"/>
    <w:rsid w:val="00800655"/>
    <w:rsid w:val="00800690"/>
    <w:rsid w:val="00800721"/>
    <w:rsid w:val="00800C48"/>
    <w:rsid w:val="00800E03"/>
    <w:rsid w:val="008016D0"/>
    <w:rsid w:val="00801702"/>
    <w:rsid w:val="008019A7"/>
    <w:rsid w:val="00801DF5"/>
    <w:rsid w:val="008022E8"/>
    <w:rsid w:val="00803002"/>
    <w:rsid w:val="008030E0"/>
    <w:rsid w:val="008035EA"/>
    <w:rsid w:val="00803C0F"/>
    <w:rsid w:val="00803F3E"/>
    <w:rsid w:val="00804269"/>
    <w:rsid w:val="0080440E"/>
    <w:rsid w:val="008047D5"/>
    <w:rsid w:val="00804CB0"/>
    <w:rsid w:val="00804F94"/>
    <w:rsid w:val="008057D1"/>
    <w:rsid w:val="00805C0F"/>
    <w:rsid w:val="00805CB2"/>
    <w:rsid w:val="00806042"/>
    <w:rsid w:val="0080624D"/>
    <w:rsid w:val="008062CD"/>
    <w:rsid w:val="0080644A"/>
    <w:rsid w:val="008067AF"/>
    <w:rsid w:val="00806A1B"/>
    <w:rsid w:val="00807079"/>
    <w:rsid w:val="0080720F"/>
    <w:rsid w:val="0080742B"/>
    <w:rsid w:val="00807A5C"/>
    <w:rsid w:val="00807C41"/>
    <w:rsid w:val="008102F8"/>
    <w:rsid w:val="0081030B"/>
    <w:rsid w:val="008108A2"/>
    <w:rsid w:val="00810A15"/>
    <w:rsid w:val="00810D54"/>
    <w:rsid w:val="00811294"/>
    <w:rsid w:val="00811358"/>
    <w:rsid w:val="00811812"/>
    <w:rsid w:val="00811F04"/>
    <w:rsid w:val="00811FCD"/>
    <w:rsid w:val="00812006"/>
    <w:rsid w:val="00812280"/>
    <w:rsid w:val="008123A5"/>
    <w:rsid w:val="008123B6"/>
    <w:rsid w:val="008125B2"/>
    <w:rsid w:val="008128C5"/>
    <w:rsid w:val="00812C36"/>
    <w:rsid w:val="00812E30"/>
    <w:rsid w:val="0081302D"/>
    <w:rsid w:val="00813146"/>
    <w:rsid w:val="008133BB"/>
    <w:rsid w:val="0081341F"/>
    <w:rsid w:val="00813473"/>
    <w:rsid w:val="008137E3"/>
    <w:rsid w:val="00813925"/>
    <w:rsid w:val="008139DC"/>
    <w:rsid w:val="008139E8"/>
    <w:rsid w:val="00813AB3"/>
    <w:rsid w:val="00813F0E"/>
    <w:rsid w:val="00814089"/>
    <w:rsid w:val="008140E9"/>
    <w:rsid w:val="008141AB"/>
    <w:rsid w:val="008145A4"/>
    <w:rsid w:val="00814812"/>
    <w:rsid w:val="00814929"/>
    <w:rsid w:val="00814D72"/>
    <w:rsid w:val="00814EE1"/>
    <w:rsid w:val="0081546A"/>
    <w:rsid w:val="0081565E"/>
    <w:rsid w:val="008158B0"/>
    <w:rsid w:val="00815CFE"/>
    <w:rsid w:val="0081619C"/>
    <w:rsid w:val="008169B1"/>
    <w:rsid w:val="00816A36"/>
    <w:rsid w:val="00816AB5"/>
    <w:rsid w:val="00816E7B"/>
    <w:rsid w:val="00816F42"/>
    <w:rsid w:val="00817056"/>
    <w:rsid w:val="008174EE"/>
    <w:rsid w:val="00817781"/>
    <w:rsid w:val="00817ACB"/>
    <w:rsid w:val="00817CBC"/>
    <w:rsid w:val="00817CE6"/>
    <w:rsid w:val="00817D62"/>
    <w:rsid w:val="00820078"/>
    <w:rsid w:val="00820139"/>
    <w:rsid w:val="00820512"/>
    <w:rsid w:val="008206C3"/>
    <w:rsid w:val="008207CE"/>
    <w:rsid w:val="00820BA6"/>
    <w:rsid w:val="00820E6E"/>
    <w:rsid w:val="00820FB7"/>
    <w:rsid w:val="00821593"/>
    <w:rsid w:val="00821CCC"/>
    <w:rsid w:val="0082205E"/>
    <w:rsid w:val="008225E9"/>
    <w:rsid w:val="00822AAB"/>
    <w:rsid w:val="00822B08"/>
    <w:rsid w:val="00822B53"/>
    <w:rsid w:val="00822D9D"/>
    <w:rsid w:val="00822FB1"/>
    <w:rsid w:val="00823562"/>
    <w:rsid w:val="008235AC"/>
    <w:rsid w:val="008236D7"/>
    <w:rsid w:val="008236DF"/>
    <w:rsid w:val="00823DEE"/>
    <w:rsid w:val="0082431E"/>
    <w:rsid w:val="008246FC"/>
    <w:rsid w:val="00824807"/>
    <w:rsid w:val="008248D9"/>
    <w:rsid w:val="00824B4A"/>
    <w:rsid w:val="0082524E"/>
    <w:rsid w:val="00825460"/>
    <w:rsid w:val="00825552"/>
    <w:rsid w:val="008256CF"/>
    <w:rsid w:val="00825729"/>
    <w:rsid w:val="008257BD"/>
    <w:rsid w:val="00825EB3"/>
    <w:rsid w:val="008262FF"/>
    <w:rsid w:val="00826428"/>
    <w:rsid w:val="00826651"/>
    <w:rsid w:val="0082672B"/>
    <w:rsid w:val="008267D3"/>
    <w:rsid w:val="008267E0"/>
    <w:rsid w:val="00826A78"/>
    <w:rsid w:val="00826E04"/>
    <w:rsid w:val="008270E3"/>
    <w:rsid w:val="008270FB"/>
    <w:rsid w:val="00827456"/>
    <w:rsid w:val="0082769F"/>
    <w:rsid w:val="008277C2"/>
    <w:rsid w:val="0082780B"/>
    <w:rsid w:val="00827822"/>
    <w:rsid w:val="00827B15"/>
    <w:rsid w:val="00827B57"/>
    <w:rsid w:val="00827B66"/>
    <w:rsid w:val="00827BCF"/>
    <w:rsid w:val="008302A4"/>
    <w:rsid w:val="00830580"/>
    <w:rsid w:val="00830A09"/>
    <w:rsid w:val="00830A45"/>
    <w:rsid w:val="00830A71"/>
    <w:rsid w:val="00830C73"/>
    <w:rsid w:val="0083101D"/>
    <w:rsid w:val="0083123C"/>
    <w:rsid w:val="008315F3"/>
    <w:rsid w:val="008317D1"/>
    <w:rsid w:val="00831A08"/>
    <w:rsid w:val="00832409"/>
    <w:rsid w:val="0083273D"/>
    <w:rsid w:val="00832EDE"/>
    <w:rsid w:val="008330B7"/>
    <w:rsid w:val="00833454"/>
    <w:rsid w:val="008335D4"/>
    <w:rsid w:val="00833795"/>
    <w:rsid w:val="00833825"/>
    <w:rsid w:val="008338BC"/>
    <w:rsid w:val="00833C18"/>
    <w:rsid w:val="00833DC2"/>
    <w:rsid w:val="00833E4F"/>
    <w:rsid w:val="00833E56"/>
    <w:rsid w:val="00834001"/>
    <w:rsid w:val="00834423"/>
    <w:rsid w:val="00834534"/>
    <w:rsid w:val="00834785"/>
    <w:rsid w:val="008347B6"/>
    <w:rsid w:val="008348F9"/>
    <w:rsid w:val="00834E70"/>
    <w:rsid w:val="00834F65"/>
    <w:rsid w:val="00835240"/>
    <w:rsid w:val="008355EB"/>
    <w:rsid w:val="00835741"/>
    <w:rsid w:val="00835C57"/>
    <w:rsid w:val="00835E90"/>
    <w:rsid w:val="0083649B"/>
    <w:rsid w:val="00836626"/>
    <w:rsid w:val="00836667"/>
    <w:rsid w:val="008366E0"/>
    <w:rsid w:val="008369D9"/>
    <w:rsid w:val="0083724D"/>
    <w:rsid w:val="008374C6"/>
    <w:rsid w:val="00837846"/>
    <w:rsid w:val="00837889"/>
    <w:rsid w:val="00837D71"/>
    <w:rsid w:val="0084004F"/>
    <w:rsid w:val="00840097"/>
    <w:rsid w:val="00840141"/>
    <w:rsid w:val="008404BF"/>
    <w:rsid w:val="008404E5"/>
    <w:rsid w:val="00840759"/>
    <w:rsid w:val="00840B88"/>
    <w:rsid w:val="0084111B"/>
    <w:rsid w:val="008411A1"/>
    <w:rsid w:val="00841548"/>
    <w:rsid w:val="00841734"/>
    <w:rsid w:val="008417DB"/>
    <w:rsid w:val="0084199D"/>
    <w:rsid w:val="00841E79"/>
    <w:rsid w:val="00842185"/>
    <w:rsid w:val="008421B3"/>
    <w:rsid w:val="0084262C"/>
    <w:rsid w:val="008426B0"/>
    <w:rsid w:val="008426DF"/>
    <w:rsid w:val="0084272F"/>
    <w:rsid w:val="00842B1B"/>
    <w:rsid w:val="00842B32"/>
    <w:rsid w:val="00842D36"/>
    <w:rsid w:val="00842FA5"/>
    <w:rsid w:val="00842FFB"/>
    <w:rsid w:val="008431A6"/>
    <w:rsid w:val="00843416"/>
    <w:rsid w:val="0084348D"/>
    <w:rsid w:val="008440AC"/>
    <w:rsid w:val="0084424F"/>
    <w:rsid w:val="0084433D"/>
    <w:rsid w:val="008443CF"/>
    <w:rsid w:val="00844448"/>
    <w:rsid w:val="008444AF"/>
    <w:rsid w:val="00844742"/>
    <w:rsid w:val="008448AE"/>
    <w:rsid w:val="00845435"/>
    <w:rsid w:val="008455B6"/>
    <w:rsid w:val="00845716"/>
    <w:rsid w:val="008458BE"/>
    <w:rsid w:val="008458E5"/>
    <w:rsid w:val="00845AD8"/>
    <w:rsid w:val="00845C4F"/>
    <w:rsid w:val="00845CE7"/>
    <w:rsid w:val="00845D12"/>
    <w:rsid w:val="00846047"/>
    <w:rsid w:val="008462DF"/>
    <w:rsid w:val="008463CD"/>
    <w:rsid w:val="00846950"/>
    <w:rsid w:val="008469D0"/>
    <w:rsid w:val="00846BE4"/>
    <w:rsid w:val="00846EDE"/>
    <w:rsid w:val="0084700A"/>
    <w:rsid w:val="00847106"/>
    <w:rsid w:val="00847126"/>
    <w:rsid w:val="008474D1"/>
    <w:rsid w:val="008474E0"/>
    <w:rsid w:val="0084754D"/>
    <w:rsid w:val="00847B9F"/>
    <w:rsid w:val="00847BDB"/>
    <w:rsid w:val="00850122"/>
    <w:rsid w:val="008508EC"/>
    <w:rsid w:val="00850A31"/>
    <w:rsid w:val="00850CEC"/>
    <w:rsid w:val="00850DDF"/>
    <w:rsid w:val="00851109"/>
    <w:rsid w:val="00851227"/>
    <w:rsid w:val="008515C0"/>
    <w:rsid w:val="008517CE"/>
    <w:rsid w:val="00851910"/>
    <w:rsid w:val="00851B6B"/>
    <w:rsid w:val="00852606"/>
    <w:rsid w:val="0085277B"/>
    <w:rsid w:val="008528EC"/>
    <w:rsid w:val="00852991"/>
    <w:rsid w:val="00852995"/>
    <w:rsid w:val="00852C55"/>
    <w:rsid w:val="00852D7B"/>
    <w:rsid w:val="00852EBC"/>
    <w:rsid w:val="00852FC1"/>
    <w:rsid w:val="00853724"/>
    <w:rsid w:val="0085373A"/>
    <w:rsid w:val="00853753"/>
    <w:rsid w:val="008539F9"/>
    <w:rsid w:val="00853C04"/>
    <w:rsid w:val="008544BD"/>
    <w:rsid w:val="00854631"/>
    <w:rsid w:val="00854B00"/>
    <w:rsid w:val="0085531D"/>
    <w:rsid w:val="0085589E"/>
    <w:rsid w:val="00855C0A"/>
    <w:rsid w:val="00855D73"/>
    <w:rsid w:val="00856623"/>
    <w:rsid w:val="0085669A"/>
    <w:rsid w:val="00856A86"/>
    <w:rsid w:val="00856E71"/>
    <w:rsid w:val="0085719D"/>
    <w:rsid w:val="008573DA"/>
    <w:rsid w:val="008573F9"/>
    <w:rsid w:val="008574B5"/>
    <w:rsid w:val="00857822"/>
    <w:rsid w:val="00857B8B"/>
    <w:rsid w:val="00857C3E"/>
    <w:rsid w:val="00860148"/>
    <w:rsid w:val="00860192"/>
    <w:rsid w:val="00860382"/>
    <w:rsid w:val="008603B9"/>
    <w:rsid w:val="00860409"/>
    <w:rsid w:val="008609D6"/>
    <w:rsid w:val="00860C7B"/>
    <w:rsid w:val="00860E1F"/>
    <w:rsid w:val="00861133"/>
    <w:rsid w:val="00861496"/>
    <w:rsid w:val="00861746"/>
    <w:rsid w:val="00861815"/>
    <w:rsid w:val="0086197F"/>
    <w:rsid w:val="00861AC1"/>
    <w:rsid w:val="00861BD2"/>
    <w:rsid w:val="00861C47"/>
    <w:rsid w:val="00861D4A"/>
    <w:rsid w:val="00861E59"/>
    <w:rsid w:val="008620C2"/>
    <w:rsid w:val="008621EF"/>
    <w:rsid w:val="0086244D"/>
    <w:rsid w:val="0086253B"/>
    <w:rsid w:val="00862822"/>
    <w:rsid w:val="0086289C"/>
    <w:rsid w:val="00862AA8"/>
    <w:rsid w:val="00862BBA"/>
    <w:rsid w:val="00862CF1"/>
    <w:rsid w:val="00862FF3"/>
    <w:rsid w:val="00863158"/>
    <w:rsid w:val="00863476"/>
    <w:rsid w:val="00863AB6"/>
    <w:rsid w:val="00863EF7"/>
    <w:rsid w:val="00863FED"/>
    <w:rsid w:val="00864228"/>
    <w:rsid w:val="0086461A"/>
    <w:rsid w:val="00864B1E"/>
    <w:rsid w:val="00864C78"/>
    <w:rsid w:val="00864DD5"/>
    <w:rsid w:val="0086501E"/>
    <w:rsid w:val="008651C2"/>
    <w:rsid w:val="008651EF"/>
    <w:rsid w:val="00865263"/>
    <w:rsid w:val="00865582"/>
    <w:rsid w:val="00865727"/>
    <w:rsid w:val="00865D18"/>
    <w:rsid w:val="00865D5F"/>
    <w:rsid w:val="008665A9"/>
    <w:rsid w:val="008668A6"/>
    <w:rsid w:val="00866910"/>
    <w:rsid w:val="00866975"/>
    <w:rsid w:val="00866B1D"/>
    <w:rsid w:val="00866E75"/>
    <w:rsid w:val="00866EA4"/>
    <w:rsid w:val="008670F5"/>
    <w:rsid w:val="008677A7"/>
    <w:rsid w:val="008677ED"/>
    <w:rsid w:val="008677EE"/>
    <w:rsid w:val="00867BCE"/>
    <w:rsid w:val="00867C8F"/>
    <w:rsid w:val="008702DA"/>
    <w:rsid w:val="0087069C"/>
    <w:rsid w:val="008706B8"/>
    <w:rsid w:val="00870879"/>
    <w:rsid w:val="0087091F"/>
    <w:rsid w:val="00870A7C"/>
    <w:rsid w:val="00870F95"/>
    <w:rsid w:val="0087151D"/>
    <w:rsid w:val="008717FC"/>
    <w:rsid w:val="00871B39"/>
    <w:rsid w:val="00871E98"/>
    <w:rsid w:val="008720FB"/>
    <w:rsid w:val="0087229D"/>
    <w:rsid w:val="00872322"/>
    <w:rsid w:val="00872734"/>
    <w:rsid w:val="0087291A"/>
    <w:rsid w:val="008729A4"/>
    <w:rsid w:val="00872DF5"/>
    <w:rsid w:val="00872EF2"/>
    <w:rsid w:val="00873215"/>
    <w:rsid w:val="008732F7"/>
    <w:rsid w:val="00873474"/>
    <w:rsid w:val="00873811"/>
    <w:rsid w:val="00873D6C"/>
    <w:rsid w:val="00873E66"/>
    <w:rsid w:val="00873F17"/>
    <w:rsid w:val="00874092"/>
    <w:rsid w:val="008741B1"/>
    <w:rsid w:val="00874344"/>
    <w:rsid w:val="00874B40"/>
    <w:rsid w:val="00875460"/>
    <w:rsid w:val="008757FE"/>
    <w:rsid w:val="00875913"/>
    <w:rsid w:val="0087599C"/>
    <w:rsid w:val="008759B4"/>
    <w:rsid w:val="00875A4C"/>
    <w:rsid w:val="00875A8B"/>
    <w:rsid w:val="00875AB7"/>
    <w:rsid w:val="008766E8"/>
    <w:rsid w:val="00876FC6"/>
    <w:rsid w:val="00877090"/>
    <w:rsid w:val="008772BF"/>
    <w:rsid w:val="00877607"/>
    <w:rsid w:val="00877D2B"/>
    <w:rsid w:val="00877E37"/>
    <w:rsid w:val="00880271"/>
    <w:rsid w:val="0088029C"/>
    <w:rsid w:val="008806CD"/>
    <w:rsid w:val="00880DEC"/>
    <w:rsid w:val="00880E32"/>
    <w:rsid w:val="00880EFE"/>
    <w:rsid w:val="00880FD9"/>
    <w:rsid w:val="00881064"/>
    <w:rsid w:val="0088114D"/>
    <w:rsid w:val="008816FC"/>
    <w:rsid w:val="0088188F"/>
    <w:rsid w:val="00881B42"/>
    <w:rsid w:val="0088201D"/>
    <w:rsid w:val="008821B1"/>
    <w:rsid w:val="00882613"/>
    <w:rsid w:val="008826C5"/>
    <w:rsid w:val="00882D98"/>
    <w:rsid w:val="00882FE5"/>
    <w:rsid w:val="00883378"/>
    <w:rsid w:val="008833A6"/>
    <w:rsid w:val="0088350A"/>
    <w:rsid w:val="00883B44"/>
    <w:rsid w:val="00884224"/>
    <w:rsid w:val="0088428D"/>
    <w:rsid w:val="008842D4"/>
    <w:rsid w:val="00884BF1"/>
    <w:rsid w:val="00884CAA"/>
    <w:rsid w:val="0088509A"/>
    <w:rsid w:val="0088568C"/>
    <w:rsid w:val="008859B4"/>
    <w:rsid w:val="00885DDA"/>
    <w:rsid w:val="00885E10"/>
    <w:rsid w:val="008861D9"/>
    <w:rsid w:val="00886483"/>
    <w:rsid w:val="00886570"/>
    <w:rsid w:val="00886624"/>
    <w:rsid w:val="0088662B"/>
    <w:rsid w:val="00886D7A"/>
    <w:rsid w:val="0088708A"/>
    <w:rsid w:val="0088788C"/>
    <w:rsid w:val="00890529"/>
    <w:rsid w:val="00890536"/>
    <w:rsid w:val="008906AA"/>
    <w:rsid w:val="00890786"/>
    <w:rsid w:val="00890AF5"/>
    <w:rsid w:val="00890B66"/>
    <w:rsid w:val="00891035"/>
    <w:rsid w:val="00891385"/>
    <w:rsid w:val="00891736"/>
    <w:rsid w:val="008919CF"/>
    <w:rsid w:val="0089215B"/>
    <w:rsid w:val="00892180"/>
    <w:rsid w:val="00892283"/>
    <w:rsid w:val="008924E2"/>
    <w:rsid w:val="00892811"/>
    <w:rsid w:val="0089298B"/>
    <w:rsid w:val="00892BED"/>
    <w:rsid w:val="0089302D"/>
    <w:rsid w:val="008932DC"/>
    <w:rsid w:val="00893358"/>
    <w:rsid w:val="00893BAB"/>
    <w:rsid w:val="008941F1"/>
    <w:rsid w:val="008945EC"/>
    <w:rsid w:val="00894646"/>
    <w:rsid w:val="00894A17"/>
    <w:rsid w:val="00894B7B"/>
    <w:rsid w:val="00894E4C"/>
    <w:rsid w:val="00894FE2"/>
    <w:rsid w:val="00895655"/>
    <w:rsid w:val="00895CAD"/>
    <w:rsid w:val="00896099"/>
    <w:rsid w:val="00896259"/>
    <w:rsid w:val="00896407"/>
    <w:rsid w:val="008966B2"/>
    <w:rsid w:val="00896823"/>
    <w:rsid w:val="008969AB"/>
    <w:rsid w:val="00896D09"/>
    <w:rsid w:val="00897234"/>
    <w:rsid w:val="00897525"/>
    <w:rsid w:val="00897695"/>
    <w:rsid w:val="00897A26"/>
    <w:rsid w:val="00897B5D"/>
    <w:rsid w:val="00897C26"/>
    <w:rsid w:val="00897E31"/>
    <w:rsid w:val="008A00F4"/>
    <w:rsid w:val="008A01EB"/>
    <w:rsid w:val="008A078F"/>
    <w:rsid w:val="008A09F0"/>
    <w:rsid w:val="008A107C"/>
    <w:rsid w:val="008A122B"/>
    <w:rsid w:val="008A124A"/>
    <w:rsid w:val="008A15ED"/>
    <w:rsid w:val="008A227E"/>
    <w:rsid w:val="008A2461"/>
    <w:rsid w:val="008A2878"/>
    <w:rsid w:val="008A2959"/>
    <w:rsid w:val="008A2A22"/>
    <w:rsid w:val="008A2BD7"/>
    <w:rsid w:val="008A2DA1"/>
    <w:rsid w:val="008A328B"/>
    <w:rsid w:val="008A338F"/>
    <w:rsid w:val="008A33C5"/>
    <w:rsid w:val="008A38AB"/>
    <w:rsid w:val="008A3921"/>
    <w:rsid w:val="008A3934"/>
    <w:rsid w:val="008A3A33"/>
    <w:rsid w:val="008A3B0F"/>
    <w:rsid w:val="008A3CBA"/>
    <w:rsid w:val="008A3CDE"/>
    <w:rsid w:val="008A4198"/>
    <w:rsid w:val="008A42A1"/>
    <w:rsid w:val="008A43D2"/>
    <w:rsid w:val="008A466A"/>
    <w:rsid w:val="008A523B"/>
    <w:rsid w:val="008A5284"/>
    <w:rsid w:val="008A5443"/>
    <w:rsid w:val="008A5514"/>
    <w:rsid w:val="008A565D"/>
    <w:rsid w:val="008A57C2"/>
    <w:rsid w:val="008A59C1"/>
    <w:rsid w:val="008A5C7A"/>
    <w:rsid w:val="008A635E"/>
    <w:rsid w:val="008A6387"/>
    <w:rsid w:val="008A66D7"/>
    <w:rsid w:val="008A6A3E"/>
    <w:rsid w:val="008A6D8E"/>
    <w:rsid w:val="008A6F14"/>
    <w:rsid w:val="008A72E4"/>
    <w:rsid w:val="008A73C7"/>
    <w:rsid w:val="008A74B7"/>
    <w:rsid w:val="008A74D3"/>
    <w:rsid w:val="008A7695"/>
    <w:rsid w:val="008A7805"/>
    <w:rsid w:val="008A7895"/>
    <w:rsid w:val="008A7956"/>
    <w:rsid w:val="008B0272"/>
    <w:rsid w:val="008B0BD3"/>
    <w:rsid w:val="008B0CE8"/>
    <w:rsid w:val="008B11D4"/>
    <w:rsid w:val="008B148A"/>
    <w:rsid w:val="008B1531"/>
    <w:rsid w:val="008B162E"/>
    <w:rsid w:val="008B18CD"/>
    <w:rsid w:val="008B19D0"/>
    <w:rsid w:val="008B1AFC"/>
    <w:rsid w:val="008B29EE"/>
    <w:rsid w:val="008B2CCD"/>
    <w:rsid w:val="008B2D66"/>
    <w:rsid w:val="008B30E8"/>
    <w:rsid w:val="008B3121"/>
    <w:rsid w:val="008B317E"/>
    <w:rsid w:val="008B318C"/>
    <w:rsid w:val="008B33CB"/>
    <w:rsid w:val="008B36F7"/>
    <w:rsid w:val="008B3A33"/>
    <w:rsid w:val="008B3A63"/>
    <w:rsid w:val="008B3B07"/>
    <w:rsid w:val="008B3B96"/>
    <w:rsid w:val="008B3D4D"/>
    <w:rsid w:val="008B3F06"/>
    <w:rsid w:val="008B4527"/>
    <w:rsid w:val="008B47EA"/>
    <w:rsid w:val="008B4863"/>
    <w:rsid w:val="008B4E93"/>
    <w:rsid w:val="008B4FF2"/>
    <w:rsid w:val="008B5242"/>
    <w:rsid w:val="008B57EF"/>
    <w:rsid w:val="008B5AFC"/>
    <w:rsid w:val="008B5C33"/>
    <w:rsid w:val="008B5E0C"/>
    <w:rsid w:val="008B5F5D"/>
    <w:rsid w:val="008B5FC8"/>
    <w:rsid w:val="008B61B5"/>
    <w:rsid w:val="008B61E0"/>
    <w:rsid w:val="008B6505"/>
    <w:rsid w:val="008B6BEB"/>
    <w:rsid w:val="008B6D37"/>
    <w:rsid w:val="008B6DF3"/>
    <w:rsid w:val="008B76A3"/>
    <w:rsid w:val="008B77FC"/>
    <w:rsid w:val="008B7C3B"/>
    <w:rsid w:val="008C020D"/>
    <w:rsid w:val="008C026F"/>
    <w:rsid w:val="008C051C"/>
    <w:rsid w:val="008C0868"/>
    <w:rsid w:val="008C0A86"/>
    <w:rsid w:val="008C0BB0"/>
    <w:rsid w:val="008C0C59"/>
    <w:rsid w:val="008C0DEE"/>
    <w:rsid w:val="008C0ED1"/>
    <w:rsid w:val="008C190E"/>
    <w:rsid w:val="008C1A36"/>
    <w:rsid w:val="008C1EB3"/>
    <w:rsid w:val="008C2550"/>
    <w:rsid w:val="008C261B"/>
    <w:rsid w:val="008C2725"/>
    <w:rsid w:val="008C286F"/>
    <w:rsid w:val="008C28C1"/>
    <w:rsid w:val="008C29BE"/>
    <w:rsid w:val="008C2D7C"/>
    <w:rsid w:val="008C33C2"/>
    <w:rsid w:val="008C383C"/>
    <w:rsid w:val="008C3B66"/>
    <w:rsid w:val="008C3F63"/>
    <w:rsid w:val="008C4568"/>
    <w:rsid w:val="008C45C9"/>
    <w:rsid w:val="008C4708"/>
    <w:rsid w:val="008C47EC"/>
    <w:rsid w:val="008C4863"/>
    <w:rsid w:val="008C497A"/>
    <w:rsid w:val="008C5105"/>
    <w:rsid w:val="008C51AB"/>
    <w:rsid w:val="008C5369"/>
    <w:rsid w:val="008C543D"/>
    <w:rsid w:val="008C553A"/>
    <w:rsid w:val="008C5572"/>
    <w:rsid w:val="008C5635"/>
    <w:rsid w:val="008C564A"/>
    <w:rsid w:val="008C5731"/>
    <w:rsid w:val="008C582C"/>
    <w:rsid w:val="008C5868"/>
    <w:rsid w:val="008C594C"/>
    <w:rsid w:val="008C5B6F"/>
    <w:rsid w:val="008C5E43"/>
    <w:rsid w:val="008C5FBC"/>
    <w:rsid w:val="008C6067"/>
    <w:rsid w:val="008C6207"/>
    <w:rsid w:val="008C6291"/>
    <w:rsid w:val="008C63BB"/>
    <w:rsid w:val="008C6768"/>
    <w:rsid w:val="008C707E"/>
    <w:rsid w:val="008C7199"/>
    <w:rsid w:val="008C7423"/>
    <w:rsid w:val="008C74A2"/>
    <w:rsid w:val="008C761E"/>
    <w:rsid w:val="008C7716"/>
    <w:rsid w:val="008C7803"/>
    <w:rsid w:val="008C79F6"/>
    <w:rsid w:val="008D017F"/>
    <w:rsid w:val="008D0BA0"/>
    <w:rsid w:val="008D1464"/>
    <w:rsid w:val="008D16DE"/>
    <w:rsid w:val="008D1D17"/>
    <w:rsid w:val="008D1E17"/>
    <w:rsid w:val="008D2E14"/>
    <w:rsid w:val="008D2E4A"/>
    <w:rsid w:val="008D301E"/>
    <w:rsid w:val="008D3034"/>
    <w:rsid w:val="008D3C4A"/>
    <w:rsid w:val="008D3E7A"/>
    <w:rsid w:val="008D3EC6"/>
    <w:rsid w:val="008D406D"/>
    <w:rsid w:val="008D40B3"/>
    <w:rsid w:val="008D40EC"/>
    <w:rsid w:val="008D4189"/>
    <w:rsid w:val="008D41D5"/>
    <w:rsid w:val="008D41E9"/>
    <w:rsid w:val="008D42C2"/>
    <w:rsid w:val="008D4404"/>
    <w:rsid w:val="008D4BFE"/>
    <w:rsid w:val="008D4C73"/>
    <w:rsid w:val="008D5147"/>
    <w:rsid w:val="008D5269"/>
    <w:rsid w:val="008D56B7"/>
    <w:rsid w:val="008D57AF"/>
    <w:rsid w:val="008D5910"/>
    <w:rsid w:val="008D596F"/>
    <w:rsid w:val="008D5BF2"/>
    <w:rsid w:val="008D5E66"/>
    <w:rsid w:val="008D60A5"/>
    <w:rsid w:val="008D6297"/>
    <w:rsid w:val="008D642E"/>
    <w:rsid w:val="008D652C"/>
    <w:rsid w:val="008D656B"/>
    <w:rsid w:val="008D6741"/>
    <w:rsid w:val="008D70A2"/>
    <w:rsid w:val="008D7862"/>
    <w:rsid w:val="008D78C9"/>
    <w:rsid w:val="008D7D9E"/>
    <w:rsid w:val="008D7E68"/>
    <w:rsid w:val="008E0111"/>
    <w:rsid w:val="008E0533"/>
    <w:rsid w:val="008E07EA"/>
    <w:rsid w:val="008E0941"/>
    <w:rsid w:val="008E09CD"/>
    <w:rsid w:val="008E0B2F"/>
    <w:rsid w:val="008E0EA9"/>
    <w:rsid w:val="008E110D"/>
    <w:rsid w:val="008E11EB"/>
    <w:rsid w:val="008E125B"/>
    <w:rsid w:val="008E1346"/>
    <w:rsid w:val="008E16C4"/>
    <w:rsid w:val="008E1C35"/>
    <w:rsid w:val="008E1C39"/>
    <w:rsid w:val="008E22BE"/>
    <w:rsid w:val="008E24C8"/>
    <w:rsid w:val="008E251C"/>
    <w:rsid w:val="008E2629"/>
    <w:rsid w:val="008E27B7"/>
    <w:rsid w:val="008E287B"/>
    <w:rsid w:val="008E3322"/>
    <w:rsid w:val="008E3658"/>
    <w:rsid w:val="008E4399"/>
    <w:rsid w:val="008E442A"/>
    <w:rsid w:val="008E4663"/>
    <w:rsid w:val="008E47F0"/>
    <w:rsid w:val="008E4B0B"/>
    <w:rsid w:val="008E4D25"/>
    <w:rsid w:val="008E52DE"/>
    <w:rsid w:val="008E5422"/>
    <w:rsid w:val="008E5634"/>
    <w:rsid w:val="008E5AA5"/>
    <w:rsid w:val="008E5B38"/>
    <w:rsid w:val="008E5DE7"/>
    <w:rsid w:val="008E62D4"/>
    <w:rsid w:val="008E6915"/>
    <w:rsid w:val="008E6A6E"/>
    <w:rsid w:val="008E6CF2"/>
    <w:rsid w:val="008E7154"/>
    <w:rsid w:val="008E7587"/>
    <w:rsid w:val="008E7C34"/>
    <w:rsid w:val="008F00D3"/>
    <w:rsid w:val="008F0470"/>
    <w:rsid w:val="008F06DC"/>
    <w:rsid w:val="008F0799"/>
    <w:rsid w:val="008F093F"/>
    <w:rsid w:val="008F0984"/>
    <w:rsid w:val="008F0A6D"/>
    <w:rsid w:val="008F104B"/>
    <w:rsid w:val="008F12ED"/>
    <w:rsid w:val="008F174B"/>
    <w:rsid w:val="008F17A7"/>
    <w:rsid w:val="008F17FD"/>
    <w:rsid w:val="008F18B7"/>
    <w:rsid w:val="008F1AC4"/>
    <w:rsid w:val="008F2033"/>
    <w:rsid w:val="008F24D5"/>
    <w:rsid w:val="008F2A3B"/>
    <w:rsid w:val="008F2E76"/>
    <w:rsid w:val="008F2EF8"/>
    <w:rsid w:val="008F307B"/>
    <w:rsid w:val="008F30C7"/>
    <w:rsid w:val="008F3764"/>
    <w:rsid w:val="008F3780"/>
    <w:rsid w:val="008F3894"/>
    <w:rsid w:val="008F393B"/>
    <w:rsid w:val="008F3992"/>
    <w:rsid w:val="008F3C49"/>
    <w:rsid w:val="008F3E8C"/>
    <w:rsid w:val="008F4387"/>
    <w:rsid w:val="008F4414"/>
    <w:rsid w:val="008F4952"/>
    <w:rsid w:val="008F497A"/>
    <w:rsid w:val="008F5426"/>
    <w:rsid w:val="008F5561"/>
    <w:rsid w:val="008F569A"/>
    <w:rsid w:val="008F5B46"/>
    <w:rsid w:val="008F5DD6"/>
    <w:rsid w:val="008F5E99"/>
    <w:rsid w:val="008F61E8"/>
    <w:rsid w:val="008F635A"/>
    <w:rsid w:val="008F65AA"/>
    <w:rsid w:val="008F6C41"/>
    <w:rsid w:val="008F70EC"/>
    <w:rsid w:val="008F7555"/>
    <w:rsid w:val="008F75CA"/>
    <w:rsid w:val="008F7660"/>
    <w:rsid w:val="008F797C"/>
    <w:rsid w:val="008F7C32"/>
    <w:rsid w:val="00900058"/>
    <w:rsid w:val="00900083"/>
    <w:rsid w:val="00900099"/>
    <w:rsid w:val="0090079E"/>
    <w:rsid w:val="00900BC3"/>
    <w:rsid w:val="00900C16"/>
    <w:rsid w:val="00900C82"/>
    <w:rsid w:val="0090115C"/>
    <w:rsid w:val="009016A3"/>
    <w:rsid w:val="00901969"/>
    <w:rsid w:val="00901D84"/>
    <w:rsid w:val="009022BD"/>
    <w:rsid w:val="00902A28"/>
    <w:rsid w:val="00902EC7"/>
    <w:rsid w:val="00902F1C"/>
    <w:rsid w:val="00902F5D"/>
    <w:rsid w:val="0090306D"/>
    <w:rsid w:val="00903094"/>
    <w:rsid w:val="00903356"/>
    <w:rsid w:val="00903687"/>
    <w:rsid w:val="00903793"/>
    <w:rsid w:val="009037E8"/>
    <w:rsid w:val="00903D49"/>
    <w:rsid w:val="00904319"/>
    <w:rsid w:val="0090484D"/>
    <w:rsid w:val="00904A16"/>
    <w:rsid w:val="009050F6"/>
    <w:rsid w:val="00905158"/>
    <w:rsid w:val="009051E1"/>
    <w:rsid w:val="009052AB"/>
    <w:rsid w:val="00905378"/>
    <w:rsid w:val="00905734"/>
    <w:rsid w:val="00905782"/>
    <w:rsid w:val="00905863"/>
    <w:rsid w:val="00905C9C"/>
    <w:rsid w:val="00906454"/>
    <w:rsid w:val="00906B55"/>
    <w:rsid w:val="00906FC6"/>
    <w:rsid w:val="00907074"/>
    <w:rsid w:val="00907148"/>
    <w:rsid w:val="009076E8"/>
    <w:rsid w:val="0090794E"/>
    <w:rsid w:val="00907A29"/>
    <w:rsid w:val="00907A8D"/>
    <w:rsid w:val="00907AFA"/>
    <w:rsid w:val="00907C79"/>
    <w:rsid w:val="00907DA3"/>
    <w:rsid w:val="009108DE"/>
    <w:rsid w:val="009109CB"/>
    <w:rsid w:val="00910A7F"/>
    <w:rsid w:val="00910EA4"/>
    <w:rsid w:val="00910F0A"/>
    <w:rsid w:val="00911300"/>
    <w:rsid w:val="009114FA"/>
    <w:rsid w:val="0091168E"/>
    <w:rsid w:val="00911AF8"/>
    <w:rsid w:val="00911E3D"/>
    <w:rsid w:val="0091222A"/>
    <w:rsid w:val="0091250B"/>
    <w:rsid w:val="009125DE"/>
    <w:rsid w:val="0091273B"/>
    <w:rsid w:val="009128F7"/>
    <w:rsid w:val="009137AF"/>
    <w:rsid w:val="00913F20"/>
    <w:rsid w:val="00913FAE"/>
    <w:rsid w:val="009144A4"/>
    <w:rsid w:val="00914682"/>
    <w:rsid w:val="009147F4"/>
    <w:rsid w:val="009148AA"/>
    <w:rsid w:val="009149B6"/>
    <w:rsid w:val="00914BCF"/>
    <w:rsid w:val="00914E0D"/>
    <w:rsid w:val="00914F2E"/>
    <w:rsid w:val="009151B5"/>
    <w:rsid w:val="0091544B"/>
    <w:rsid w:val="0091577A"/>
    <w:rsid w:val="00915875"/>
    <w:rsid w:val="00915B09"/>
    <w:rsid w:val="00915FC9"/>
    <w:rsid w:val="009167CD"/>
    <w:rsid w:val="009167F4"/>
    <w:rsid w:val="00916AF3"/>
    <w:rsid w:val="00917041"/>
    <w:rsid w:val="009172A5"/>
    <w:rsid w:val="00917329"/>
    <w:rsid w:val="0091744E"/>
    <w:rsid w:val="00917670"/>
    <w:rsid w:val="00917BF0"/>
    <w:rsid w:val="009200CC"/>
    <w:rsid w:val="009207A1"/>
    <w:rsid w:val="009208E6"/>
    <w:rsid w:val="009209B3"/>
    <w:rsid w:val="00920B5B"/>
    <w:rsid w:val="00920CE2"/>
    <w:rsid w:val="00920F53"/>
    <w:rsid w:val="00920FAA"/>
    <w:rsid w:val="0092112B"/>
    <w:rsid w:val="00921462"/>
    <w:rsid w:val="00921703"/>
    <w:rsid w:val="00921842"/>
    <w:rsid w:val="00921A1F"/>
    <w:rsid w:val="00921BC4"/>
    <w:rsid w:val="00921CD2"/>
    <w:rsid w:val="00921DB5"/>
    <w:rsid w:val="0092202F"/>
    <w:rsid w:val="00922106"/>
    <w:rsid w:val="009221C1"/>
    <w:rsid w:val="0092266A"/>
    <w:rsid w:val="0092272C"/>
    <w:rsid w:val="00922861"/>
    <w:rsid w:val="00922A6F"/>
    <w:rsid w:val="00922CEE"/>
    <w:rsid w:val="00922E07"/>
    <w:rsid w:val="009232D9"/>
    <w:rsid w:val="00923954"/>
    <w:rsid w:val="00923A74"/>
    <w:rsid w:val="00923C17"/>
    <w:rsid w:val="00923E5A"/>
    <w:rsid w:val="00923FBA"/>
    <w:rsid w:val="00924920"/>
    <w:rsid w:val="00924A9F"/>
    <w:rsid w:val="00924BE2"/>
    <w:rsid w:val="00924C23"/>
    <w:rsid w:val="00924C7F"/>
    <w:rsid w:val="00924D3E"/>
    <w:rsid w:val="00924D4D"/>
    <w:rsid w:val="0092522F"/>
    <w:rsid w:val="00925488"/>
    <w:rsid w:val="009256EA"/>
    <w:rsid w:val="009258E1"/>
    <w:rsid w:val="009259E4"/>
    <w:rsid w:val="00925EF4"/>
    <w:rsid w:val="00926084"/>
    <w:rsid w:val="009265E4"/>
    <w:rsid w:val="00926640"/>
    <w:rsid w:val="00926726"/>
    <w:rsid w:val="00926949"/>
    <w:rsid w:val="00926992"/>
    <w:rsid w:val="00926C91"/>
    <w:rsid w:val="00926D31"/>
    <w:rsid w:val="00926FE8"/>
    <w:rsid w:val="0092714B"/>
    <w:rsid w:val="0092730F"/>
    <w:rsid w:val="0092764B"/>
    <w:rsid w:val="00927716"/>
    <w:rsid w:val="0092785A"/>
    <w:rsid w:val="00927ABD"/>
    <w:rsid w:val="00927CD0"/>
    <w:rsid w:val="00927D06"/>
    <w:rsid w:val="00927D3D"/>
    <w:rsid w:val="00927E03"/>
    <w:rsid w:val="0093023C"/>
    <w:rsid w:val="00930E97"/>
    <w:rsid w:val="009316AB"/>
    <w:rsid w:val="0093194A"/>
    <w:rsid w:val="00931A01"/>
    <w:rsid w:val="00931C3D"/>
    <w:rsid w:val="00931C73"/>
    <w:rsid w:val="0093221C"/>
    <w:rsid w:val="00932AF1"/>
    <w:rsid w:val="00932D58"/>
    <w:rsid w:val="00932D6A"/>
    <w:rsid w:val="00932D82"/>
    <w:rsid w:val="00932DE3"/>
    <w:rsid w:val="0093320B"/>
    <w:rsid w:val="009334FC"/>
    <w:rsid w:val="009337C6"/>
    <w:rsid w:val="00933D7A"/>
    <w:rsid w:val="00933F1B"/>
    <w:rsid w:val="009340D7"/>
    <w:rsid w:val="0093424F"/>
    <w:rsid w:val="00935030"/>
    <w:rsid w:val="009350EB"/>
    <w:rsid w:val="00935111"/>
    <w:rsid w:val="009358B2"/>
    <w:rsid w:val="00935A41"/>
    <w:rsid w:val="00935B3B"/>
    <w:rsid w:val="00935B98"/>
    <w:rsid w:val="00935C74"/>
    <w:rsid w:val="0093624C"/>
    <w:rsid w:val="00936252"/>
    <w:rsid w:val="009368F4"/>
    <w:rsid w:val="00936FC2"/>
    <w:rsid w:val="0093721A"/>
    <w:rsid w:val="009373CB"/>
    <w:rsid w:val="009373E9"/>
    <w:rsid w:val="00937531"/>
    <w:rsid w:val="0093789C"/>
    <w:rsid w:val="00937DB1"/>
    <w:rsid w:val="0094061D"/>
    <w:rsid w:val="0094063C"/>
    <w:rsid w:val="00940953"/>
    <w:rsid w:val="00940B40"/>
    <w:rsid w:val="00940D6D"/>
    <w:rsid w:val="00940D8B"/>
    <w:rsid w:val="00940E62"/>
    <w:rsid w:val="00941635"/>
    <w:rsid w:val="0094190A"/>
    <w:rsid w:val="00942096"/>
    <w:rsid w:val="009422B5"/>
    <w:rsid w:val="0094255E"/>
    <w:rsid w:val="00942562"/>
    <w:rsid w:val="0094257F"/>
    <w:rsid w:val="009426C3"/>
    <w:rsid w:val="00942ED7"/>
    <w:rsid w:val="00942FBA"/>
    <w:rsid w:val="0094309A"/>
    <w:rsid w:val="0094314A"/>
    <w:rsid w:val="00943214"/>
    <w:rsid w:val="00943368"/>
    <w:rsid w:val="0094339F"/>
    <w:rsid w:val="009437BB"/>
    <w:rsid w:val="009437CE"/>
    <w:rsid w:val="00943BBC"/>
    <w:rsid w:val="0094405E"/>
    <w:rsid w:val="00944070"/>
    <w:rsid w:val="0094421D"/>
    <w:rsid w:val="00944346"/>
    <w:rsid w:val="009443C2"/>
    <w:rsid w:val="00944728"/>
    <w:rsid w:val="009448C6"/>
    <w:rsid w:val="00944994"/>
    <w:rsid w:val="00944996"/>
    <w:rsid w:val="00944D00"/>
    <w:rsid w:val="00944FF9"/>
    <w:rsid w:val="00945126"/>
    <w:rsid w:val="00946240"/>
    <w:rsid w:val="0094667D"/>
    <w:rsid w:val="009468DF"/>
    <w:rsid w:val="00946B53"/>
    <w:rsid w:val="00946BC7"/>
    <w:rsid w:val="00946CB6"/>
    <w:rsid w:val="00946FDB"/>
    <w:rsid w:val="00947A78"/>
    <w:rsid w:val="00947D46"/>
    <w:rsid w:val="00947E07"/>
    <w:rsid w:val="0095015A"/>
    <w:rsid w:val="0095068B"/>
    <w:rsid w:val="00950FC9"/>
    <w:rsid w:val="0095189C"/>
    <w:rsid w:val="00951C4B"/>
    <w:rsid w:val="00951F9A"/>
    <w:rsid w:val="00952486"/>
    <w:rsid w:val="00952A0A"/>
    <w:rsid w:val="00952B6E"/>
    <w:rsid w:val="00952C35"/>
    <w:rsid w:val="00952D65"/>
    <w:rsid w:val="00952EB2"/>
    <w:rsid w:val="00952F5C"/>
    <w:rsid w:val="00952FC5"/>
    <w:rsid w:val="00953406"/>
    <w:rsid w:val="00953539"/>
    <w:rsid w:val="00953A1A"/>
    <w:rsid w:val="00953C15"/>
    <w:rsid w:val="00953CC2"/>
    <w:rsid w:val="00953F12"/>
    <w:rsid w:val="00953F64"/>
    <w:rsid w:val="009541E1"/>
    <w:rsid w:val="009542F2"/>
    <w:rsid w:val="00954606"/>
    <w:rsid w:val="00954658"/>
    <w:rsid w:val="00954E23"/>
    <w:rsid w:val="00955094"/>
    <w:rsid w:val="009550FD"/>
    <w:rsid w:val="00955179"/>
    <w:rsid w:val="0095533B"/>
    <w:rsid w:val="00955354"/>
    <w:rsid w:val="009554DA"/>
    <w:rsid w:val="009556FE"/>
    <w:rsid w:val="00955938"/>
    <w:rsid w:val="00955BE9"/>
    <w:rsid w:val="00955ECB"/>
    <w:rsid w:val="00956105"/>
    <w:rsid w:val="00956521"/>
    <w:rsid w:val="009568C0"/>
    <w:rsid w:val="00956913"/>
    <w:rsid w:val="00956C7F"/>
    <w:rsid w:val="00956ED8"/>
    <w:rsid w:val="00957084"/>
    <w:rsid w:val="009571B5"/>
    <w:rsid w:val="00957354"/>
    <w:rsid w:val="009576B5"/>
    <w:rsid w:val="0095781C"/>
    <w:rsid w:val="00957905"/>
    <w:rsid w:val="00957972"/>
    <w:rsid w:val="00957985"/>
    <w:rsid w:val="00957A28"/>
    <w:rsid w:val="00957B32"/>
    <w:rsid w:val="00957B98"/>
    <w:rsid w:val="00957DF2"/>
    <w:rsid w:val="009600F6"/>
    <w:rsid w:val="009602AB"/>
    <w:rsid w:val="00960670"/>
    <w:rsid w:val="009606EB"/>
    <w:rsid w:val="009608B6"/>
    <w:rsid w:val="00960978"/>
    <w:rsid w:val="00960992"/>
    <w:rsid w:val="00960B77"/>
    <w:rsid w:val="00960BF2"/>
    <w:rsid w:val="00960E01"/>
    <w:rsid w:val="00960E67"/>
    <w:rsid w:val="00961546"/>
    <w:rsid w:val="00961791"/>
    <w:rsid w:val="00961B84"/>
    <w:rsid w:val="00961EDA"/>
    <w:rsid w:val="00962085"/>
    <w:rsid w:val="00962146"/>
    <w:rsid w:val="00962609"/>
    <w:rsid w:val="00962C90"/>
    <w:rsid w:val="00962D3D"/>
    <w:rsid w:val="00962F0A"/>
    <w:rsid w:val="00962FC4"/>
    <w:rsid w:val="0096330F"/>
    <w:rsid w:val="00963566"/>
    <w:rsid w:val="00963598"/>
    <w:rsid w:val="009639FC"/>
    <w:rsid w:val="00963A65"/>
    <w:rsid w:val="00963B7E"/>
    <w:rsid w:val="00963EDA"/>
    <w:rsid w:val="009644A1"/>
    <w:rsid w:val="009645BD"/>
    <w:rsid w:val="009646A8"/>
    <w:rsid w:val="009646C7"/>
    <w:rsid w:val="00964B97"/>
    <w:rsid w:val="00964E88"/>
    <w:rsid w:val="009653AA"/>
    <w:rsid w:val="009653DE"/>
    <w:rsid w:val="0096548D"/>
    <w:rsid w:val="00965919"/>
    <w:rsid w:val="00966094"/>
    <w:rsid w:val="00966428"/>
    <w:rsid w:val="00966978"/>
    <w:rsid w:val="00966F20"/>
    <w:rsid w:val="0096719D"/>
    <w:rsid w:val="0096720C"/>
    <w:rsid w:val="00967A48"/>
    <w:rsid w:val="00967B25"/>
    <w:rsid w:val="00967B85"/>
    <w:rsid w:val="0097016D"/>
    <w:rsid w:val="009701CB"/>
    <w:rsid w:val="0097028C"/>
    <w:rsid w:val="009702D7"/>
    <w:rsid w:val="0097037A"/>
    <w:rsid w:val="0097057F"/>
    <w:rsid w:val="00970600"/>
    <w:rsid w:val="00970800"/>
    <w:rsid w:val="0097086F"/>
    <w:rsid w:val="009709D3"/>
    <w:rsid w:val="00970A07"/>
    <w:rsid w:val="00970C47"/>
    <w:rsid w:val="00970D50"/>
    <w:rsid w:val="009710C4"/>
    <w:rsid w:val="00971237"/>
    <w:rsid w:val="0097162E"/>
    <w:rsid w:val="00971AEB"/>
    <w:rsid w:val="00971C89"/>
    <w:rsid w:val="00971CA4"/>
    <w:rsid w:val="00971D61"/>
    <w:rsid w:val="009720A9"/>
    <w:rsid w:val="00972241"/>
    <w:rsid w:val="00972462"/>
    <w:rsid w:val="00972A07"/>
    <w:rsid w:val="0097300F"/>
    <w:rsid w:val="009730F1"/>
    <w:rsid w:val="00973189"/>
    <w:rsid w:val="00973507"/>
    <w:rsid w:val="0097355A"/>
    <w:rsid w:val="00973706"/>
    <w:rsid w:val="009737E3"/>
    <w:rsid w:val="009738EC"/>
    <w:rsid w:val="00973C53"/>
    <w:rsid w:val="00973C82"/>
    <w:rsid w:val="00973E5E"/>
    <w:rsid w:val="00973EA5"/>
    <w:rsid w:val="00973EAC"/>
    <w:rsid w:val="009740FC"/>
    <w:rsid w:val="00974195"/>
    <w:rsid w:val="009745FB"/>
    <w:rsid w:val="00974704"/>
    <w:rsid w:val="00974756"/>
    <w:rsid w:val="00974B8B"/>
    <w:rsid w:val="00974B99"/>
    <w:rsid w:val="009751D6"/>
    <w:rsid w:val="009751FA"/>
    <w:rsid w:val="00975566"/>
    <w:rsid w:val="009755D0"/>
    <w:rsid w:val="009756C9"/>
    <w:rsid w:val="00975B07"/>
    <w:rsid w:val="00975B6C"/>
    <w:rsid w:val="00975BC3"/>
    <w:rsid w:val="00975C28"/>
    <w:rsid w:val="009760C5"/>
    <w:rsid w:val="009764BB"/>
    <w:rsid w:val="009767FC"/>
    <w:rsid w:val="00976ABB"/>
    <w:rsid w:val="00976C46"/>
    <w:rsid w:val="00977103"/>
    <w:rsid w:val="009771EE"/>
    <w:rsid w:val="009771F9"/>
    <w:rsid w:val="00977340"/>
    <w:rsid w:val="00977401"/>
    <w:rsid w:val="00977474"/>
    <w:rsid w:val="009776F0"/>
    <w:rsid w:val="009777FB"/>
    <w:rsid w:val="00977895"/>
    <w:rsid w:val="00977E20"/>
    <w:rsid w:val="0098005B"/>
    <w:rsid w:val="009800B3"/>
    <w:rsid w:val="0098012D"/>
    <w:rsid w:val="00980130"/>
    <w:rsid w:val="009801DA"/>
    <w:rsid w:val="009801FD"/>
    <w:rsid w:val="00980216"/>
    <w:rsid w:val="00980609"/>
    <w:rsid w:val="009809F4"/>
    <w:rsid w:val="00980A8D"/>
    <w:rsid w:val="00980B19"/>
    <w:rsid w:val="00980B72"/>
    <w:rsid w:val="00980C55"/>
    <w:rsid w:val="00980CC8"/>
    <w:rsid w:val="00980DB1"/>
    <w:rsid w:val="00980F11"/>
    <w:rsid w:val="00980F8A"/>
    <w:rsid w:val="009811BD"/>
    <w:rsid w:val="00981390"/>
    <w:rsid w:val="0098143E"/>
    <w:rsid w:val="009814D7"/>
    <w:rsid w:val="00982156"/>
    <w:rsid w:val="009822EF"/>
    <w:rsid w:val="0098240E"/>
    <w:rsid w:val="009824C9"/>
    <w:rsid w:val="00982612"/>
    <w:rsid w:val="009826C1"/>
    <w:rsid w:val="009827A2"/>
    <w:rsid w:val="00982851"/>
    <w:rsid w:val="00982B19"/>
    <w:rsid w:val="009832CA"/>
    <w:rsid w:val="009834E2"/>
    <w:rsid w:val="00983658"/>
    <w:rsid w:val="0098390C"/>
    <w:rsid w:val="00983998"/>
    <w:rsid w:val="00983C79"/>
    <w:rsid w:val="00983C9B"/>
    <w:rsid w:val="00984440"/>
    <w:rsid w:val="00984C18"/>
    <w:rsid w:val="00984C54"/>
    <w:rsid w:val="00985263"/>
    <w:rsid w:val="00985537"/>
    <w:rsid w:val="009856C7"/>
    <w:rsid w:val="0098571F"/>
    <w:rsid w:val="0098581E"/>
    <w:rsid w:val="009858DF"/>
    <w:rsid w:val="00985969"/>
    <w:rsid w:val="0098599D"/>
    <w:rsid w:val="00985C2D"/>
    <w:rsid w:val="00985F18"/>
    <w:rsid w:val="00986092"/>
    <w:rsid w:val="0098610A"/>
    <w:rsid w:val="009864C8"/>
    <w:rsid w:val="00986C8B"/>
    <w:rsid w:val="00986EDF"/>
    <w:rsid w:val="00986F7A"/>
    <w:rsid w:val="00986FA4"/>
    <w:rsid w:val="00987147"/>
    <w:rsid w:val="009871AD"/>
    <w:rsid w:val="00987559"/>
    <w:rsid w:val="00987576"/>
    <w:rsid w:val="00987867"/>
    <w:rsid w:val="00987D7E"/>
    <w:rsid w:val="00990017"/>
    <w:rsid w:val="009900E7"/>
    <w:rsid w:val="0099031A"/>
    <w:rsid w:val="00990947"/>
    <w:rsid w:val="00990D5A"/>
    <w:rsid w:val="00990DAE"/>
    <w:rsid w:val="0099147C"/>
    <w:rsid w:val="0099149E"/>
    <w:rsid w:val="009914E3"/>
    <w:rsid w:val="00991666"/>
    <w:rsid w:val="009916DC"/>
    <w:rsid w:val="0099177E"/>
    <w:rsid w:val="00991EBF"/>
    <w:rsid w:val="00992064"/>
    <w:rsid w:val="009923BA"/>
    <w:rsid w:val="00992478"/>
    <w:rsid w:val="009927EC"/>
    <w:rsid w:val="00992AAF"/>
    <w:rsid w:val="00992ABF"/>
    <w:rsid w:val="00992ED1"/>
    <w:rsid w:val="00992F48"/>
    <w:rsid w:val="00992FC4"/>
    <w:rsid w:val="00993268"/>
    <w:rsid w:val="0099346D"/>
    <w:rsid w:val="009934D4"/>
    <w:rsid w:val="00993583"/>
    <w:rsid w:val="0099381E"/>
    <w:rsid w:val="00993AF2"/>
    <w:rsid w:val="00993DF0"/>
    <w:rsid w:val="009945E4"/>
    <w:rsid w:val="0099467C"/>
    <w:rsid w:val="00994789"/>
    <w:rsid w:val="00994828"/>
    <w:rsid w:val="00994B41"/>
    <w:rsid w:val="00994C26"/>
    <w:rsid w:val="00995079"/>
    <w:rsid w:val="009950E8"/>
    <w:rsid w:val="00995565"/>
    <w:rsid w:val="0099574D"/>
    <w:rsid w:val="00995945"/>
    <w:rsid w:val="00995CF1"/>
    <w:rsid w:val="00996917"/>
    <w:rsid w:val="00996C44"/>
    <w:rsid w:val="00996EDC"/>
    <w:rsid w:val="0099790A"/>
    <w:rsid w:val="00997CE2"/>
    <w:rsid w:val="00997DA6"/>
    <w:rsid w:val="00997F2B"/>
    <w:rsid w:val="009A0247"/>
    <w:rsid w:val="009A0430"/>
    <w:rsid w:val="009A0705"/>
    <w:rsid w:val="009A0B45"/>
    <w:rsid w:val="009A0C49"/>
    <w:rsid w:val="009A0D8A"/>
    <w:rsid w:val="009A0F1B"/>
    <w:rsid w:val="009A0F49"/>
    <w:rsid w:val="009A0F75"/>
    <w:rsid w:val="009A0FE7"/>
    <w:rsid w:val="009A1072"/>
    <w:rsid w:val="009A1219"/>
    <w:rsid w:val="009A1458"/>
    <w:rsid w:val="009A159B"/>
    <w:rsid w:val="009A17F0"/>
    <w:rsid w:val="009A18A6"/>
    <w:rsid w:val="009A18EA"/>
    <w:rsid w:val="009A1B64"/>
    <w:rsid w:val="009A1D92"/>
    <w:rsid w:val="009A1FE8"/>
    <w:rsid w:val="009A21C7"/>
    <w:rsid w:val="009A228A"/>
    <w:rsid w:val="009A24AB"/>
    <w:rsid w:val="009A2948"/>
    <w:rsid w:val="009A2A01"/>
    <w:rsid w:val="009A2A9E"/>
    <w:rsid w:val="009A2B0D"/>
    <w:rsid w:val="009A2CD1"/>
    <w:rsid w:val="009A34E0"/>
    <w:rsid w:val="009A36BE"/>
    <w:rsid w:val="009A396A"/>
    <w:rsid w:val="009A3CF0"/>
    <w:rsid w:val="009A3E56"/>
    <w:rsid w:val="009A41F7"/>
    <w:rsid w:val="009A44D5"/>
    <w:rsid w:val="009A48B2"/>
    <w:rsid w:val="009A48EA"/>
    <w:rsid w:val="009A4B24"/>
    <w:rsid w:val="009A4BD0"/>
    <w:rsid w:val="009A4CEB"/>
    <w:rsid w:val="009A4E77"/>
    <w:rsid w:val="009A52B6"/>
    <w:rsid w:val="009A542E"/>
    <w:rsid w:val="009A55C6"/>
    <w:rsid w:val="009A580D"/>
    <w:rsid w:val="009A5835"/>
    <w:rsid w:val="009A58F2"/>
    <w:rsid w:val="009A5D68"/>
    <w:rsid w:val="009A5DB3"/>
    <w:rsid w:val="009A5DFC"/>
    <w:rsid w:val="009A66BD"/>
    <w:rsid w:val="009A6736"/>
    <w:rsid w:val="009A6968"/>
    <w:rsid w:val="009A6B9C"/>
    <w:rsid w:val="009A6CF7"/>
    <w:rsid w:val="009A6E4A"/>
    <w:rsid w:val="009A7275"/>
    <w:rsid w:val="009A75FA"/>
    <w:rsid w:val="009A7DAB"/>
    <w:rsid w:val="009B0087"/>
    <w:rsid w:val="009B06B1"/>
    <w:rsid w:val="009B0849"/>
    <w:rsid w:val="009B0E76"/>
    <w:rsid w:val="009B1008"/>
    <w:rsid w:val="009B13C5"/>
    <w:rsid w:val="009B1615"/>
    <w:rsid w:val="009B2600"/>
    <w:rsid w:val="009B2823"/>
    <w:rsid w:val="009B2880"/>
    <w:rsid w:val="009B2A7B"/>
    <w:rsid w:val="009B3991"/>
    <w:rsid w:val="009B43D9"/>
    <w:rsid w:val="009B4610"/>
    <w:rsid w:val="009B480B"/>
    <w:rsid w:val="009B4908"/>
    <w:rsid w:val="009B5618"/>
    <w:rsid w:val="009B5734"/>
    <w:rsid w:val="009B5E42"/>
    <w:rsid w:val="009B6A87"/>
    <w:rsid w:val="009B6B60"/>
    <w:rsid w:val="009B6F1B"/>
    <w:rsid w:val="009B6F76"/>
    <w:rsid w:val="009B6FC7"/>
    <w:rsid w:val="009B7047"/>
    <w:rsid w:val="009B734E"/>
    <w:rsid w:val="009B7751"/>
    <w:rsid w:val="009B79C0"/>
    <w:rsid w:val="009B7AC6"/>
    <w:rsid w:val="009B7AD3"/>
    <w:rsid w:val="009B7B55"/>
    <w:rsid w:val="009B7CFD"/>
    <w:rsid w:val="009B7DE7"/>
    <w:rsid w:val="009C00E7"/>
    <w:rsid w:val="009C073D"/>
    <w:rsid w:val="009C0F6E"/>
    <w:rsid w:val="009C16B1"/>
    <w:rsid w:val="009C1763"/>
    <w:rsid w:val="009C1995"/>
    <w:rsid w:val="009C1B79"/>
    <w:rsid w:val="009C1B7F"/>
    <w:rsid w:val="009C1C35"/>
    <w:rsid w:val="009C1FBF"/>
    <w:rsid w:val="009C1FFD"/>
    <w:rsid w:val="009C255D"/>
    <w:rsid w:val="009C2703"/>
    <w:rsid w:val="009C285E"/>
    <w:rsid w:val="009C2BFA"/>
    <w:rsid w:val="009C2F14"/>
    <w:rsid w:val="009C37D3"/>
    <w:rsid w:val="009C3929"/>
    <w:rsid w:val="009C3D80"/>
    <w:rsid w:val="009C407C"/>
    <w:rsid w:val="009C44D4"/>
    <w:rsid w:val="009C4518"/>
    <w:rsid w:val="009C4546"/>
    <w:rsid w:val="009C4637"/>
    <w:rsid w:val="009C4A37"/>
    <w:rsid w:val="009C4BB5"/>
    <w:rsid w:val="009C4BBE"/>
    <w:rsid w:val="009C4D2E"/>
    <w:rsid w:val="009C4F69"/>
    <w:rsid w:val="009C5168"/>
    <w:rsid w:val="009C530B"/>
    <w:rsid w:val="009C5987"/>
    <w:rsid w:val="009C5B43"/>
    <w:rsid w:val="009C64CC"/>
    <w:rsid w:val="009C677A"/>
    <w:rsid w:val="009C6F98"/>
    <w:rsid w:val="009C7133"/>
    <w:rsid w:val="009C7229"/>
    <w:rsid w:val="009C74D0"/>
    <w:rsid w:val="009C7938"/>
    <w:rsid w:val="009C7986"/>
    <w:rsid w:val="009C7E93"/>
    <w:rsid w:val="009C7F88"/>
    <w:rsid w:val="009C7FDB"/>
    <w:rsid w:val="009D0295"/>
    <w:rsid w:val="009D03A0"/>
    <w:rsid w:val="009D050C"/>
    <w:rsid w:val="009D084C"/>
    <w:rsid w:val="009D08FD"/>
    <w:rsid w:val="009D0A54"/>
    <w:rsid w:val="009D0C92"/>
    <w:rsid w:val="009D0D8D"/>
    <w:rsid w:val="009D0ECE"/>
    <w:rsid w:val="009D0F37"/>
    <w:rsid w:val="009D107F"/>
    <w:rsid w:val="009D108F"/>
    <w:rsid w:val="009D1304"/>
    <w:rsid w:val="009D13B4"/>
    <w:rsid w:val="009D1C4A"/>
    <w:rsid w:val="009D1E65"/>
    <w:rsid w:val="009D1F94"/>
    <w:rsid w:val="009D2168"/>
    <w:rsid w:val="009D2233"/>
    <w:rsid w:val="009D2C37"/>
    <w:rsid w:val="009D314E"/>
    <w:rsid w:val="009D3288"/>
    <w:rsid w:val="009D35A6"/>
    <w:rsid w:val="009D38D6"/>
    <w:rsid w:val="009D3D73"/>
    <w:rsid w:val="009D3D8E"/>
    <w:rsid w:val="009D3D97"/>
    <w:rsid w:val="009D3E8B"/>
    <w:rsid w:val="009D4096"/>
    <w:rsid w:val="009D421A"/>
    <w:rsid w:val="009D444E"/>
    <w:rsid w:val="009D4738"/>
    <w:rsid w:val="009D4924"/>
    <w:rsid w:val="009D4C33"/>
    <w:rsid w:val="009D4E0C"/>
    <w:rsid w:val="009D4EE9"/>
    <w:rsid w:val="009D51F5"/>
    <w:rsid w:val="009D5385"/>
    <w:rsid w:val="009D54B5"/>
    <w:rsid w:val="009D5637"/>
    <w:rsid w:val="009D57B1"/>
    <w:rsid w:val="009D584A"/>
    <w:rsid w:val="009D6067"/>
    <w:rsid w:val="009D62FF"/>
    <w:rsid w:val="009D6542"/>
    <w:rsid w:val="009D6DF1"/>
    <w:rsid w:val="009D6ED3"/>
    <w:rsid w:val="009D7041"/>
    <w:rsid w:val="009D7199"/>
    <w:rsid w:val="009D7238"/>
    <w:rsid w:val="009D7430"/>
    <w:rsid w:val="009D7AEB"/>
    <w:rsid w:val="009D7CD6"/>
    <w:rsid w:val="009D7F52"/>
    <w:rsid w:val="009D7FDB"/>
    <w:rsid w:val="009E01AE"/>
    <w:rsid w:val="009E0709"/>
    <w:rsid w:val="009E0757"/>
    <w:rsid w:val="009E0825"/>
    <w:rsid w:val="009E0C59"/>
    <w:rsid w:val="009E0CC4"/>
    <w:rsid w:val="009E0D93"/>
    <w:rsid w:val="009E0DCC"/>
    <w:rsid w:val="009E0F9A"/>
    <w:rsid w:val="009E1388"/>
    <w:rsid w:val="009E1894"/>
    <w:rsid w:val="009E1994"/>
    <w:rsid w:val="009E1D90"/>
    <w:rsid w:val="009E1E0A"/>
    <w:rsid w:val="009E20E9"/>
    <w:rsid w:val="009E2211"/>
    <w:rsid w:val="009E227E"/>
    <w:rsid w:val="009E29F4"/>
    <w:rsid w:val="009E2B91"/>
    <w:rsid w:val="009E2C39"/>
    <w:rsid w:val="009E2E39"/>
    <w:rsid w:val="009E2FF6"/>
    <w:rsid w:val="009E3279"/>
    <w:rsid w:val="009E32CC"/>
    <w:rsid w:val="009E3362"/>
    <w:rsid w:val="009E34F3"/>
    <w:rsid w:val="009E35FE"/>
    <w:rsid w:val="009E3A4B"/>
    <w:rsid w:val="009E3B1D"/>
    <w:rsid w:val="009E40BC"/>
    <w:rsid w:val="009E4199"/>
    <w:rsid w:val="009E4B47"/>
    <w:rsid w:val="009E4D15"/>
    <w:rsid w:val="009E4FDF"/>
    <w:rsid w:val="009E5185"/>
    <w:rsid w:val="009E52FE"/>
    <w:rsid w:val="009E534F"/>
    <w:rsid w:val="009E558A"/>
    <w:rsid w:val="009E5675"/>
    <w:rsid w:val="009E58D1"/>
    <w:rsid w:val="009E59DC"/>
    <w:rsid w:val="009E6340"/>
    <w:rsid w:val="009E665C"/>
    <w:rsid w:val="009E66D0"/>
    <w:rsid w:val="009E68A3"/>
    <w:rsid w:val="009E68BD"/>
    <w:rsid w:val="009E6A1E"/>
    <w:rsid w:val="009E6D6D"/>
    <w:rsid w:val="009E6DC4"/>
    <w:rsid w:val="009E6ED9"/>
    <w:rsid w:val="009E70AA"/>
    <w:rsid w:val="009E70CE"/>
    <w:rsid w:val="009E70E2"/>
    <w:rsid w:val="009E7580"/>
    <w:rsid w:val="009E76BC"/>
    <w:rsid w:val="009E7705"/>
    <w:rsid w:val="009E7A72"/>
    <w:rsid w:val="009E7A8B"/>
    <w:rsid w:val="009E7E6F"/>
    <w:rsid w:val="009E7ECC"/>
    <w:rsid w:val="009E7F2A"/>
    <w:rsid w:val="009F0228"/>
    <w:rsid w:val="009F03A7"/>
    <w:rsid w:val="009F059C"/>
    <w:rsid w:val="009F05BD"/>
    <w:rsid w:val="009F07D2"/>
    <w:rsid w:val="009F09C7"/>
    <w:rsid w:val="009F0A10"/>
    <w:rsid w:val="009F0A9E"/>
    <w:rsid w:val="009F0CF2"/>
    <w:rsid w:val="009F0ECF"/>
    <w:rsid w:val="009F0F5B"/>
    <w:rsid w:val="009F10F0"/>
    <w:rsid w:val="009F1302"/>
    <w:rsid w:val="009F132F"/>
    <w:rsid w:val="009F1CBF"/>
    <w:rsid w:val="009F2A93"/>
    <w:rsid w:val="009F2B88"/>
    <w:rsid w:val="009F2F3C"/>
    <w:rsid w:val="009F30F7"/>
    <w:rsid w:val="009F335D"/>
    <w:rsid w:val="009F33F9"/>
    <w:rsid w:val="009F3680"/>
    <w:rsid w:val="009F368B"/>
    <w:rsid w:val="009F3773"/>
    <w:rsid w:val="009F37E7"/>
    <w:rsid w:val="009F3992"/>
    <w:rsid w:val="009F3DCC"/>
    <w:rsid w:val="009F40B7"/>
    <w:rsid w:val="009F440C"/>
    <w:rsid w:val="009F48CA"/>
    <w:rsid w:val="009F4A16"/>
    <w:rsid w:val="009F5079"/>
    <w:rsid w:val="009F53C8"/>
    <w:rsid w:val="009F5D7F"/>
    <w:rsid w:val="009F5DDA"/>
    <w:rsid w:val="009F6158"/>
    <w:rsid w:val="009F61DE"/>
    <w:rsid w:val="009F6319"/>
    <w:rsid w:val="009F6731"/>
    <w:rsid w:val="009F6984"/>
    <w:rsid w:val="009F6E03"/>
    <w:rsid w:val="009F6E37"/>
    <w:rsid w:val="009F6F96"/>
    <w:rsid w:val="009F705D"/>
    <w:rsid w:val="009F7063"/>
    <w:rsid w:val="009F74D2"/>
    <w:rsid w:val="009F752B"/>
    <w:rsid w:val="009F75EF"/>
    <w:rsid w:val="009F7705"/>
    <w:rsid w:val="009F7CCF"/>
    <w:rsid w:val="00A0031E"/>
    <w:rsid w:val="00A004F7"/>
    <w:rsid w:val="00A00540"/>
    <w:rsid w:val="00A008AA"/>
    <w:rsid w:val="00A00908"/>
    <w:rsid w:val="00A00C39"/>
    <w:rsid w:val="00A00E81"/>
    <w:rsid w:val="00A00EB3"/>
    <w:rsid w:val="00A00FB0"/>
    <w:rsid w:val="00A00FF7"/>
    <w:rsid w:val="00A0129F"/>
    <w:rsid w:val="00A01406"/>
    <w:rsid w:val="00A014C9"/>
    <w:rsid w:val="00A0186F"/>
    <w:rsid w:val="00A01A7A"/>
    <w:rsid w:val="00A01D2F"/>
    <w:rsid w:val="00A02236"/>
    <w:rsid w:val="00A02883"/>
    <w:rsid w:val="00A028EF"/>
    <w:rsid w:val="00A02932"/>
    <w:rsid w:val="00A02A56"/>
    <w:rsid w:val="00A02CDA"/>
    <w:rsid w:val="00A02EE2"/>
    <w:rsid w:val="00A03109"/>
    <w:rsid w:val="00A0329E"/>
    <w:rsid w:val="00A036DB"/>
    <w:rsid w:val="00A039C1"/>
    <w:rsid w:val="00A03A43"/>
    <w:rsid w:val="00A03E13"/>
    <w:rsid w:val="00A043AA"/>
    <w:rsid w:val="00A0459C"/>
    <w:rsid w:val="00A046AF"/>
    <w:rsid w:val="00A046C0"/>
    <w:rsid w:val="00A04A95"/>
    <w:rsid w:val="00A04BFB"/>
    <w:rsid w:val="00A050A1"/>
    <w:rsid w:val="00A050C1"/>
    <w:rsid w:val="00A055AA"/>
    <w:rsid w:val="00A057A4"/>
    <w:rsid w:val="00A05DDB"/>
    <w:rsid w:val="00A05F43"/>
    <w:rsid w:val="00A06209"/>
    <w:rsid w:val="00A06448"/>
    <w:rsid w:val="00A0663D"/>
    <w:rsid w:val="00A06C8B"/>
    <w:rsid w:val="00A06E71"/>
    <w:rsid w:val="00A06FC9"/>
    <w:rsid w:val="00A07250"/>
    <w:rsid w:val="00A072F7"/>
    <w:rsid w:val="00A073DE"/>
    <w:rsid w:val="00A075B4"/>
    <w:rsid w:val="00A07C82"/>
    <w:rsid w:val="00A07CE3"/>
    <w:rsid w:val="00A07E6C"/>
    <w:rsid w:val="00A07FA5"/>
    <w:rsid w:val="00A1034C"/>
    <w:rsid w:val="00A1053D"/>
    <w:rsid w:val="00A10DCB"/>
    <w:rsid w:val="00A11194"/>
    <w:rsid w:val="00A1139E"/>
    <w:rsid w:val="00A113F3"/>
    <w:rsid w:val="00A11740"/>
    <w:rsid w:val="00A11992"/>
    <w:rsid w:val="00A11B4C"/>
    <w:rsid w:val="00A1202C"/>
    <w:rsid w:val="00A12458"/>
    <w:rsid w:val="00A12646"/>
    <w:rsid w:val="00A12700"/>
    <w:rsid w:val="00A1290A"/>
    <w:rsid w:val="00A12FA6"/>
    <w:rsid w:val="00A13010"/>
    <w:rsid w:val="00A1302B"/>
    <w:rsid w:val="00A133C3"/>
    <w:rsid w:val="00A13446"/>
    <w:rsid w:val="00A13496"/>
    <w:rsid w:val="00A135BE"/>
    <w:rsid w:val="00A1364F"/>
    <w:rsid w:val="00A13D4B"/>
    <w:rsid w:val="00A13E0B"/>
    <w:rsid w:val="00A14032"/>
    <w:rsid w:val="00A1418C"/>
    <w:rsid w:val="00A143C1"/>
    <w:rsid w:val="00A14BBF"/>
    <w:rsid w:val="00A14CD1"/>
    <w:rsid w:val="00A150D7"/>
    <w:rsid w:val="00A152CE"/>
    <w:rsid w:val="00A154CE"/>
    <w:rsid w:val="00A1589D"/>
    <w:rsid w:val="00A15A04"/>
    <w:rsid w:val="00A15FA6"/>
    <w:rsid w:val="00A160D5"/>
    <w:rsid w:val="00A162E3"/>
    <w:rsid w:val="00A16427"/>
    <w:rsid w:val="00A164A9"/>
    <w:rsid w:val="00A16751"/>
    <w:rsid w:val="00A16B50"/>
    <w:rsid w:val="00A16C87"/>
    <w:rsid w:val="00A16CB8"/>
    <w:rsid w:val="00A16D1E"/>
    <w:rsid w:val="00A1701F"/>
    <w:rsid w:val="00A173F6"/>
    <w:rsid w:val="00A178FD"/>
    <w:rsid w:val="00A2048F"/>
    <w:rsid w:val="00A2076C"/>
    <w:rsid w:val="00A2093A"/>
    <w:rsid w:val="00A209C1"/>
    <w:rsid w:val="00A209F4"/>
    <w:rsid w:val="00A20B64"/>
    <w:rsid w:val="00A20C5F"/>
    <w:rsid w:val="00A21532"/>
    <w:rsid w:val="00A2155A"/>
    <w:rsid w:val="00A2158A"/>
    <w:rsid w:val="00A216A5"/>
    <w:rsid w:val="00A21898"/>
    <w:rsid w:val="00A21C42"/>
    <w:rsid w:val="00A21E06"/>
    <w:rsid w:val="00A221FF"/>
    <w:rsid w:val="00A224D4"/>
    <w:rsid w:val="00A2255A"/>
    <w:rsid w:val="00A228D6"/>
    <w:rsid w:val="00A2294A"/>
    <w:rsid w:val="00A22B33"/>
    <w:rsid w:val="00A22E5D"/>
    <w:rsid w:val="00A22FF1"/>
    <w:rsid w:val="00A235EE"/>
    <w:rsid w:val="00A237CF"/>
    <w:rsid w:val="00A23AF9"/>
    <w:rsid w:val="00A23D8E"/>
    <w:rsid w:val="00A245F5"/>
    <w:rsid w:val="00A246C4"/>
    <w:rsid w:val="00A2493C"/>
    <w:rsid w:val="00A24BF8"/>
    <w:rsid w:val="00A24C2B"/>
    <w:rsid w:val="00A24D50"/>
    <w:rsid w:val="00A250C5"/>
    <w:rsid w:val="00A2594E"/>
    <w:rsid w:val="00A2670C"/>
    <w:rsid w:val="00A267D2"/>
    <w:rsid w:val="00A26C42"/>
    <w:rsid w:val="00A27248"/>
    <w:rsid w:val="00A272CE"/>
    <w:rsid w:val="00A275CF"/>
    <w:rsid w:val="00A27A8F"/>
    <w:rsid w:val="00A3033E"/>
    <w:rsid w:val="00A303B6"/>
    <w:rsid w:val="00A30CB2"/>
    <w:rsid w:val="00A31152"/>
    <w:rsid w:val="00A313E1"/>
    <w:rsid w:val="00A3143F"/>
    <w:rsid w:val="00A31467"/>
    <w:rsid w:val="00A314CD"/>
    <w:rsid w:val="00A31BC6"/>
    <w:rsid w:val="00A32143"/>
    <w:rsid w:val="00A321DD"/>
    <w:rsid w:val="00A3240E"/>
    <w:rsid w:val="00A3242D"/>
    <w:rsid w:val="00A326A5"/>
    <w:rsid w:val="00A327FB"/>
    <w:rsid w:val="00A32A53"/>
    <w:rsid w:val="00A32B5E"/>
    <w:rsid w:val="00A32C31"/>
    <w:rsid w:val="00A32FAB"/>
    <w:rsid w:val="00A33103"/>
    <w:rsid w:val="00A33599"/>
    <w:rsid w:val="00A3366C"/>
    <w:rsid w:val="00A33939"/>
    <w:rsid w:val="00A3397A"/>
    <w:rsid w:val="00A33A60"/>
    <w:rsid w:val="00A33AAA"/>
    <w:rsid w:val="00A33C95"/>
    <w:rsid w:val="00A33DC4"/>
    <w:rsid w:val="00A33F1C"/>
    <w:rsid w:val="00A344D6"/>
    <w:rsid w:val="00A3463C"/>
    <w:rsid w:val="00A34660"/>
    <w:rsid w:val="00A347BE"/>
    <w:rsid w:val="00A348E4"/>
    <w:rsid w:val="00A3494E"/>
    <w:rsid w:val="00A34FD3"/>
    <w:rsid w:val="00A351EF"/>
    <w:rsid w:val="00A35252"/>
    <w:rsid w:val="00A35389"/>
    <w:rsid w:val="00A353A5"/>
    <w:rsid w:val="00A3541A"/>
    <w:rsid w:val="00A3577F"/>
    <w:rsid w:val="00A357FF"/>
    <w:rsid w:val="00A358DA"/>
    <w:rsid w:val="00A359BB"/>
    <w:rsid w:val="00A35D02"/>
    <w:rsid w:val="00A35D61"/>
    <w:rsid w:val="00A35D91"/>
    <w:rsid w:val="00A35E8B"/>
    <w:rsid w:val="00A35EF9"/>
    <w:rsid w:val="00A360CE"/>
    <w:rsid w:val="00A36564"/>
    <w:rsid w:val="00A369AF"/>
    <w:rsid w:val="00A36A46"/>
    <w:rsid w:val="00A37249"/>
    <w:rsid w:val="00A37282"/>
    <w:rsid w:val="00A372C0"/>
    <w:rsid w:val="00A373FF"/>
    <w:rsid w:val="00A37560"/>
    <w:rsid w:val="00A378A7"/>
    <w:rsid w:val="00A378F5"/>
    <w:rsid w:val="00A37B83"/>
    <w:rsid w:val="00A40230"/>
    <w:rsid w:val="00A406D8"/>
    <w:rsid w:val="00A407EC"/>
    <w:rsid w:val="00A40CCD"/>
    <w:rsid w:val="00A40F8E"/>
    <w:rsid w:val="00A41320"/>
    <w:rsid w:val="00A4173C"/>
    <w:rsid w:val="00A4181D"/>
    <w:rsid w:val="00A41868"/>
    <w:rsid w:val="00A41A33"/>
    <w:rsid w:val="00A41B22"/>
    <w:rsid w:val="00A41DA0"/>
    <w:rsid w:val="00A41DB7"/>
    <w:rsid w:val="00A41F69"/>
    <w:rsid w:val="00A42379"/>
    <w:rsid w:val="00A424AA"/>
    <w:rsid w:val="00A427E9"/>
    <w:rsid w:val="00A428C9"/>
    <w:rsid w:val="00A42968"/>
    <w:rsid w:val="00A42BE3"/>
    <w:rsid w:val="00A43392"/>
    <w:rsid w:val="00A4359F"/>
    <w:rsid w:val="00A43A6C"/>
    <w:rsid w:val="00A43E88"/>
    <w:rsid w:val="00A4403E"/>
    <w:rsid w:val="00A440E0"/>
    <w:rsid w:val="00A446C6"/>
    <w:rsid w:val="00A44758"/>
    <w:rsid w:val="00A44A96"/>
    <w:rsid w:val="00A44AB5"/>
    <w:rsid w:val="00A44CBB"/>
    <w:rsid w:val="00A44E80"/>
    <w:rsid w:val="00A44F23"/>
    <w:rsid w:val="00A44F7D"/>
    <w:rsid w:val="00A45167"/>
    <w:rsid w:val="00A4517C"/>
    <w:rsid w:val="00A454FD"/>
    <w:rsid w:val="00A45527"/>
    <w:rsid w:val="00A45712"/>
    <w:rsid w:val="00A4589C"/>
    <w:rsid w:val="00A45A4E"/>
    <w:rsid w:val="00A45AA4"/>
    <w:rsid w:val="00A45E24"/>
    <w:rsid w:val="00A45E98"/>
    <w:rsid w:val="00A460C6"/>
    <w:rsid w:val="00A4641D"/>
    <w:rsid w:val="00A4654B"/>
    <w:rsid w:val="00A466BD"/>
    <w:rsid w:val="00A46783"/>
    <w:rsid w:val="00A46896"/>
    <w:rsid w:val="00A46EAF"/>
    <w:rsid w:val="00A46F2D"/>
    <w:rsid w:val="00A470E7"/>
    <w:rsid w:val="00A47461"/>
    <w:rsid w:val="00A474DA"/>
    <w:rsid w:val="00A47847"/>
    <w:rsid w:val="00A47B20"/>
    <w:rsid w:val="00A47B7C"/>
    <w:rsid w:val="00A47B91"/>
    <w:rsid w:val="00A47DD9"/>
    <w:rsid w:val="00A47E75"/>
    <w:rsid w:val="00A50459"/>
    <w:rsid w:val="00A5063A"/>
    <w:rsid w:val="00A50A84"/>
    <w:rsid w:val="00A50B13"/>
    <w:rsid w:val="00A50BC5"/>
    <w:rsid w:val="00A50FD0"/>
    <w:rsid w:val="00A50FEF"/>
    <w:rsid w:val="00A5115D"/>
    <w:rsid w:val="00A51245"/>
    <w:rsid w:val="00A5132B"/>
    <w:rsid w:val="00A51368"/>
    <w:rsid w:val="00A513A8"/>
    <w:rsid w:val="00A5141D"/>
    <w:rsid w:val="00A5156D"/>
    <w:rsid w:val="00A51760"/>
    <w:rsid w:val="00A51B76"/>
    <w:rsid w:val="00A51C7E"/>
    <w:rsid w:val="00A51FB9"/>
    <w:rsid w:val="00A520BE"/>
    <w:rsid w:val="00A521BA"/>
    <w:rsid w:val="00A522A9"/>
    <w:rsid w:val="00A522BF"/>
    <w:rsid w:val="00A529EF"/>
    <w:rsid w:val="00A52AA2"/>
    <w:rsid w:val="00A52C99"/>
    <w:rsid w:val="00A52EA8"/>
    <w:rsid w:val="00A52F05"/>
    <w:rsid w:val="00A53206"/>
    <w:rsid w:val="00A53273"/>
    <w:rsid w:val="00A53369"/>
    <w:rsid w:val="00A53440"/>
    <w:rsid w:val="00A53655"/>
    <w:rsid w:val="00A5367F"/>
    <w:rsid w:val="00A53871"/>
    <w:rsid w:val="00A53AA1"/>
    <w:rsid w:val="00A53B4A"/>
    <w:rsid w:val="00A53D3C"/>
    <w:rsid w:val="00A53E0D"/>
    <w:rsid w:val="00A53E1D"/>
    <w:rsid w:val="00A53E8E"/>
    <w:rsid w:val="00A54070"/>
    <w:rsid w:val="00A5409A"/>
    <w:rsid w:val="00A542BF"/>
    <w:rsid w:val="00A54552"/>
    <w:rsid w:val="00A548A3"/>
    <w:rsid w:val="00A54A1D"/>
    <w:rsid w:val="00A54F95"/>
    <w:rsid w:val="00A5548B"/>
    <w:rsid w:val="00A55678"/>
    <w:rsid w:val="00A557BE"/>
    <w:rsid w:val="00A55AC8"/>
    <w:rsid w:val="00A55FD8"/>
    <w:rsid w:val="00A560A8"/>
    <w:rsid w:val="00A56115"/>
    <w:rsid w:val="00A5632B"/>
    <w:rsid w:val="00A563CD"/>
    <w:rsid w:val="00A56929"/>
    <w:rsid w:val="00A56E0E"/>
    <w:rsid w:val="00A57735"/>
    <w:rsid w:val="00A57C03"/>
    <w:rsid w:val="00A600E0"/>
    <w:rsid w:val="00A60C63"/>
    <w:rsid w:val="00A60E1D"/>
    <w:rsid w:val="00A60E88"/>
    <w:rsid w:val="00A61037"/>
    <w:rsid w:val="00A615DC"/>
    <w:rsid w:val="00A615EC"/>
    <w:rsid w:val="00A61687"/>
    <w:rsid w:val="00A61957"/>
    <w:rsid w:val="00A61B15"/>
    <w:rsid w:val="00A61D95"/>
    <w:rsid w:val="00A61E88"/>
    <w:rsid w:val="00A622D7"/>
    <w:rsid w:val="00A622F8"/>
    <w:rsid w:val="00A62317"/>
    <w:rsid w:val="00A6251A"/>
    <w:rsid w:val="00A6262C"/>
    <w:rsid w:val="00A62A15"/>
    <w:rsid w:val="00A63331"/>
    <w:rsid w:val="00A6371A"/>
    <w:rsid w:val="00A63959"/>
    <w:rsid w:val="00A6395A"/>
    <w:rsid w:val="00A63982"/>
    <w:rsid w:val="00A63B9A"/>
    <w:rsid w:val="00A63BF5"/>
    <w:rsid w:val="00A63CFB"/>
    <w:rsid w:val="00A63F4E"/>
    <w:rsid w:val="00A643B0"/>
    <w:rsid w:val="00A64465"/>
    <w:rsid w:val="00A64722"/>
    <w:rsid w:val="00A64F58"/>
    <w:rsid w:val="00A651C8"/>
    <w:rsid w:val="00A65D35"/>
    <w:rsid w:val="00A65ECF"/>
    <w:rsid w:val="00A65F3D"/>
    <w:rsid w:val="00A66271"/>
    <w:rsid w:val="00A66389"/>
    <w:rsid w:val="00A66819"/>
    <w:rsid w:val="00A66F74"/>
    <w:rsid w:val="00A67001"/>
    <w:rsid w:val="00A676B2"/>
    <w:rsid w:val="00A67870"/>
    <w:rsid w:val="00A678C8"/>
    <w:rsid w:val="00A67972"/>
    <w:rsid w:val="00A67ED5"/>
    <w:rsid w:val="00A70159"/>
    <w:rsid w:val="00A70409"/>
    <w:rsid w:val="00A705BF"/>
    <w:rsid w:val="00A7071D"/>
    <w:rsid w:val="00A7094E"/>
    <w:rsid w:val="00A70F77"/>
    <w:rsid w:val="00A71021"/>
    <w:rsid w:val="00A710C1"/>
    <w:rsid w:val="00A715D8"/>
    <w:rsid w:val="00A71730"/>
    <w:rsid w:val="00A71A92"/>
    <w:rsid w:val="00A71D20"/>
    <w:rsid w:val="00A71EB1"/>
    <w:rsid w:val="00A71FBD"/>
    <w:rsid w:val="00A72396"/>
    <w:rsid w:val="00A7250B"/>
    <w:rsid w:val="00A72589"/>
    <w:rsid w:val="00A72B65"/>
    <w:rsid w:val="00A72E7E"/>
    <w:rsid w:val="00A731A1"/>
    <w:rsid w:val="00A73360"/>
    <w:rsid w:val="00A73587"/>
    <w:rsid w:val="00A73DB2"/>
    <w:rsid w:val="00A73F21"/>
    <w:rsid w:val="00A73F5D"/>
    <w:rsid w:val="00A73F83"/>
    <w:rsid w:val="00A7403F"/>
    <w:rsid w:val="00A74064"/>
    <w:rsid w:val="00A74311"/>
    <w:rsid w:val="00A7448C"/>
    <w:rsid w:val="00A747AA"/>
    <w:rsid w:val="00A74AA4"/>
    <w:rsid w:val="00A75087"/>
    <w:rsid w:val="00A752C0"/>
    <w:rsid w:val="00A7563D"/>
    <w:rsid w:val="00A758A6"/>
    <w:rsid w:val="00A7595A"/>
    <w:rsid w:val="00A75E9F"/>
    <w:rsid w:val="00A761CC"/>
    <w:rsid w:val="00A762DB"/>
    <w:rsid w:val="00A76769"/>
    <w:rsid w:val="00A76783"/>
    <w:rsid w:val="00A76E3A"/>
    <w:rsid w:val="00A76EFC"/>
    <w:rsid w:val="00A76F04"/>
    <w:rsid w:val="00A76FDA"/>
    <w:rsid w:val="00A77255"/>
    <w:rsid w:val="00A7745E"/>
    <w:rsid w:val="00A7775C"/>
    <w:rsid w:val="00A77896"/>
    <w:rsid w:val="00A77B51"/>
    <w:rsid w:val="00A77BF1"/>
    <w:rsid w:val="00A77DB7"/>
    <w:rsid w:val="00A801E6"/>
    <w:rsid w:val="00A8032C"/>
    <w:rsid w:val="00A80D74"/>
    <w:rsid w:val="00A80D7E"/>
    <w:rsid w:val="00A8113B"/>
    <w:rsid w:val="00A812AF"/>
    <w:rsid w:val="00A81390"/>
    <w:rsid w:val="00A8153F"/>
    <w:rsid w:val="00A81801"/>
    <w:rsid w:val="00A81CFC"/>
    <w:rsid w:val="00A81E44"/>
    <w:rsid w:val="00A8276D"/>
    <w:rsid w:val="00A82C38"/>
    <w:rsid w:val="00A82C95"/>
    <w:rsid w:val="00A82D35"/>
    <w:rsid w:val="00A82E32"/>
    <w:rsid w:val="00A830F8"/>
    <w:rsid w:val="00A836F4"/>
    <w:rsid w:val="00A83A45"/>
    <w:rsid w:val="00A83AFB"/>
    <w:rsid w:val="00A84250"/>
    <w:rsid w:val="00A843B6"/>
    <w:rsid w:val="00A84836"/>
    <w:rsid w:val="00A8486A"/>
    <w:rsid w:val="00A849A7"/>
    <w:rsid w:val="00A84B15"/>
    <w:rsid w:val="00A84C1B"/>
    <w:rsid w:val="00A85045"/>
    <w:rsid w:val="00A852C1"/>
    <w:rsid w:val="00A85472"/>
    <w:rsid w:val="00A856C0"/>
    <w:rsid w:val="00A85B45"/>
    <w:rsid w:val="00A85EEE"/>
    <w:rsid w:val="00A86160"/>
    <w:rsid w:val="00A87129"/>
    <w:rsid w:val="00A8790F"/>
    <w:rsid w:val="00A87F9B"/>
    <w:rsid w:val="00A90A86"/>
    <w:rsid w:val="00A90B07"/>
    <w:rsid w:val="00A90C21"/>
    <w:rsid w:val="00A90EA3"/>
    <w:rsid w:val="00A90F58"/>
    <w:rsid w:val="00A910F7"/>
    <w:rsid w:val="00A91151"/>
    <w:rsid w:val="00A9124D"/>
    <w:rsid w:val="00A917DC"/>
    <w:rsid w:val="00A91B0D"/>
    <w:rsid w:val="00A91BDD"/>
    <w:rsid w:val="00A92221"/>
    <w:rsid w:val="00A923E8"/>
    <w:rsid w:val="00A9243F"/>
    <w:rsid w:val="00A92585"/>
    <w:rsid w:val="00A9281D"/>
    <w:rsid w:val="00A92A2B"/>
    <w:rsid w:val="00A92C79"/>
    <w:rsid w:val="00A9310A"/>
    <w:rsid w:val="00A931B0"/>
    <w:rsid w:val="00A933E3"/>
    <w:rsid w:val="00A939A4"/>
    <w:rsid w:val="00A93CDD"/>
    <w:rsid w:val="00A93DC2"/>
    <w:rsid w:val="00A93E70"/>
    <w:rsid w:val="00A93F74"/>
    <w:rsid w:val="00A93FBE"/>
    <w:rsid w:val="00A94076"/>
    <w:rsid w:val="00A9424F"/>
    <w:rsid w:val="00A943A7"/>
    <w:rsid w:val="00A944C5"/>
    <w:rsid w:val="00A94A58"/>
    <w:rsid w:val="00A94AA8"/>
    <w:rsid w:val="00A94D82"/>
    <w:rsid w:val="00A9501A"/>
    <w:rsid w:val="00A95AF5"/>
    <w:rsid w:val="00A95FB4"/>
    <w:rsid w:val="00A962A8"/>
    <w:rsid w:val="00A96513"/>
    <w:rsid w:val="00A96575"/>
    <w:rsid w:val="00A96720"/>
    <w:rsid w:val="00A96F87"/>
    <w:rsid w:val="00A975B9"/>
    <w:rsid w:val="00A97832"/>
    <w:rsid w:val="00A97960"/>
    <w:rsid w:val="00A97A22"/>
    <w:rsid w:val="00A97AE9"/>
    <w:rsid w:val="00AA00C6"/>
    <w:rsid w:val="00AA0405"/>
    <w:rsid w:val="00AA0651"/>
    <w:rsid w:val="00AA09F5"/>
    <w:rsid w:val="00AA0FFE"/>
    <w:rsid w:val="00AA11EB"/>
    <w:rsid w:val="00AA1B70"/>
    <w:rsid w:val="00AA1B91"/>
    <w:rsid w:val="00AA1D67"/>
    <w:rsid w:val="00AA1DB6"/>
    <w:rsid w:val="00AA21F0"/>
    <w:rsid w:val="00AA21F6"/>
    <w:rsid w:val="00AA2772"/>
    <w:rsid w:val="00AA2EE3"/>
    <w:rsid w:val="00AA31A7"/>
    <w:rsid w:val="00AA344A"/>
    <w:rsid w:val="00AA3A3C"/>
    <w:rsid w:val="00AA3ACA"/>
    <w:rsid w:val="00AA3D2E"/>
    <w:rsid w:val="00AA3F87"/>
    <w:rsid w:val="00AA406E"/>
    <w:rsid w:val="00AA4090"/>
    <w:rsid w:val="00AA47FD"/>
    <w:rsid w:val="00AA49A5"/>
    <w:rsid w:val="00AA4F15"/>
    <w:rsid w:val="00AA52F5"/>
    <w:rsid w:val="00AA5944"/>
    <w:rsid w:val="00AA609F"/>
    <w:rsid w:val="00AA60AC"/>
    <w:rsid w:val="00AA60FD"/>
    <w:rsid w:val="00AA6176"/>
    <w:rsid w:val="00AA6212"/>
    <w:rsid w:val="00AA6259"/>
    <w:rsid w:val="00AA67E8"/>
    <w:rsid w:val="00AA68FE"/>
    <w:rsid w:val="00AA69C1"/>
    <w:rsid w:val="00AA6A77"/>
    <w:rsid w:val="00AA6D27"/>
    <w:rsid w:val="00AA6D45"/>
    <w:rsid w:val="00AA6E32"/>
    <w:rsid w:val="00AA6F43"/>
    <w:rsid w:val="00AA701C"/>
    <w:rsid w:val="00AA77D6"/>
    <w:rsid w:val="00AA785D"/>
    <w:rsid w:val="00AA788A"/>
    <w:rsid w:val="00AA795E"/>
    <w:rsid w:val="00AA7A31"/>
    <w:rsid w:val="00AA7CFF"/>
    <w:rsid w:val="00AA7EBA"/>
    <w:rsid w:val="00AB0097"/>
    <w:rsid w:val="00AB01F1"/>
    <w:rsid w:val="00AB029E"/>
    <w:rsid w:val="00AB02A1"/>
    <w:rsid w:val="00AB0956"/>
    <w:rsid w:val="00AB0ADE"/>
    <w:rsid w:val="00AB13F5"/>
    <w:rsid w:val="00AB151E"/>
    <w:rsid w:val="00AB176E"/>
    <w:rsid w:val="00AB1AC4"/>
    <w:rsid w:val="00AB1D77"/>
    <w:rsid w:val="00AB1E63"/>
    <w:rsid w:val="00AB2135"/>
    <w:rsid w:val="00AB2834"/>
    <w:rsid w:val="00AB290A"/>
    <w:rsid w:val="00AB2966"/>
    <w:rsid w:val="00AB2D59"/>
    <w:rsid w:val="00AB2FAB"/>
    <w:rsid w:val="00AB3DCC"/>
    <w:rsid w:val="00AB3DFF"/>
    <w:rsid w:val="00AB4319"/>
    <w:rsid w:val="00AB466F"/>
    <w:rsid w:val="00AB48D2"/>
    <w:rsid w:val="00AB4DAE"/>
    <w:rsid w:val="00AB5247"/>
    <w:rsid w:val="00AB53AD"/>
    <w:rsid w:val="00AB546A"/>
    <w:rsid w:val="00AB5897"/>
    <w:rsid w:val="00AB5D7D"/>
    <w:rsid w:val="00AB6132"/>
    <w:rsid w:val="00AB63E4"/>
    <w:rsid w:val="00AB641F"/>
    <w:rsid w:val="00AB6B6A"/>
    <w:rsid w:val="00AB715D"/>
    <w:rsid w:val="00AB720C"/>
    <w:rsid w:val="00AB72B5"/>
    <w:rsid w:val="00AB72D2"/>
    <w:rsid w:val="00AB7777"/>
    <w:rsid w:val="00AB78AB"/>
    <w:rsid w:val="00AB7B4C"/>
    <w:rsid w:val="00AB7E21"/>
    <w:rsid w:val="00AB7FEC"/>
    <w:rsid w:val="00AC0029"/>
    <w:rsid w:val="00AC063C"/>
    <w:rsid w:val="00AC0ED7"/>
    <w:rsid w:val="00AC131C"/>
    <w:rsid w:val="00AC135F"/>
    <w:rsid w:val="00AC1516"/>
    <w:rsid w:val="00AC19C8"/>
    <w:rsid w:val="00AC2162"/>
    <w:rsid w:val="00AC2600"/>
    <w:rsid w:val="00AC26BD"/>
    <w:rsid w:val="00AC2731"/>
    <w:rsid w:val="00AC2850"/>
    <w:rsid w:val="00AC2939"/>
    <w:rsid w:val="00AC2B14"/>
    <w:rsid w:val="00AC2DD8"/>
    <w:rsid w:val="00AC2FBE"/>
    <w:rsid w:val="00AC35C5"/>
    <w:rsid w:val="00AC38DB"/>
    <w:rsid w:val="00AC3AAC"/>
    <w:rsid w:val="00AC3F81"/>
    <w:rsid w:val="00AC449D"/>
    <w:rsid w:val="00AC49DB"/>
    <w:rsid w:val="00AC4B1B"/>
    <w:rsid w:val="00AC4B61"/>
    <w:rsid w:val="00AC4DA1"/>
    <w:rsid w:val="00AC510C"/>
    <w:rsid w:val="00AC52EE"/>
    <w:rsid w:val="00AC5340"/>
    <w:rsid w:val="00AC5357"/>
    <w:rsid w:val="00AC59CB"/>
    <w:rsid w:val="00AC5A17"/>
    <w:rsid w:val="00AC5A7A"/>
    <w:rsid w:val="00AC5B93"/>
    <w:rsid w:val="00AC5F8E"/>
    <w:rsid w:val="00AC5FCB"/>
    <w:rsid w:val="00AC6103"/>
    <w:rsid w:val="00AC67C7"/>
    <w:rsid w:val="00AC6980"/>
    <w:rsid w:val="00AC72F0"/>
    <w:rsid w:val="00AC75E8"/>
    <w:rsid w:val="00AC7E2D"/>
    <w:rsid w:val="00AC7FF4"/>
    <w:rsid w:val="00AD0581"/>
    <w:rsid w:val="00AD061D"/>
    <w:rsid w:val="00AD077E"/>
    <w:rsid w:val="00AD0A5D"/>
    <w:rsid w:val="00AD0A7F"/>
    <w:rsid w:val="00AD0AD3"/>
    <w:rsid w:val="00AD0D2A"/>
    <w:rsid w:val="00AD0DB4"/>
    <w:rsid w:val="00AD0EA8"/>
    <w:rsid w:val="00AD0FFD"/>
    <w:rsid w:val="00AD11F9"/>
    <w:rsid w:val="00AD1347"/>
    <w:rsid w:val="00AD151A"/>
    <w:rsid w:val="00AD15DC"/>
    <w:rsid w:val="00AD18B6"/>
    <w:rsid w:val="00AD1933"/>
    <w:rsid w:val="00AD19FA"/>
    <w:rsid w:val="00AD1CE2"/>
    <w:rsid w:val="00AD1E25"/>
    <w:rsid w:val="00AD1F13"/>
    <w:rsid w:val="00AD202A"/>
    <w:rsid w:val="00AD2482"/>
    <w:rsid w:val="00AD2483"/>
    <w:rsid w:val="00AD25D7"/>
    <w:rsid w:val="00AD2A28"/>
    <w:rsid w:val="00AD2A29"/>
    <w:rsid w:val="00AD2A6D"/>
    <w:rsid w:val="00AD2C68"/>
    <w:rsid w:val="00AD2E0D"/>
    <w:rsid w:val="00AD2E12"/>
    <w:rsid w:val="00AD3054"/>
    <w:rsid w:val="00AD37DD"/>
    <w:rsid w:val="00AD39F0"/>
    <w:rsid w:val="00AD3BBD"/>
    <w:rsid w:val="00AD3D27"/>
    <w:rsid w:val="00AD3E82"/>
    <w:rsid w:val="00AD40E7"/>
    <w:rsid w:val="00AD4654"/>
    <w:rsid w:val="00AD479F"/>
    <w:rsid w:val="00AD4EE4"/>
    <w:rsid w:val="00AD4F6C"/>
    <w:rsid w:val="00AD51D8"/>
    <w:rsid w:val="00AD5FA1"/>
    <w:rsid w:val="00AD63DA"/>
    <w:rsid w:val="00AD65F1"/>
    <w:rsid w:val="00AD6772"/>
    <w:rsid w:val="00AD69C9"/>
    <w:rsid w:val="00AD6CE0"/>
    <w:rsid w:val="00AD6E9C"/>
    <w:rsid w:val="00AD749C"/>
    <w:rsid w:val="00AD7563"/>
    <w:rsid w:val="00AD7847"/>
    <w:rsid w:val="00AD7F4A"/>
    <w:rsid w:val="00AE0279"/>
    <w:rsid w:val="00AE0565"/>
    <w:rsid w:val="00AE0E1D"/>
    <w:rsid w:val="00AE12F3"/>
    <w:rsid w:val="00AE15A8"/>
    <w:rsid w:val="00AE163E"/>
    <w:rsid w:val="00AE1CF7"/>
    <w:rsid w:val="00AE1DDD"/>
    <w:rsid w:val="00AE2BC6"/>
    <w:rsid w:val="00AE2CC6"/>
    <w:rsid w:val="00AE2D42"/>
    <w:rsid w:val="00AE3290"/>
    <w:rsid w:val="00AE33C8"/>
    <w:rsid w:val="00AE38DC"/>
    <w:rsid w:val="00AE3A8F"/>
    <w:rsid w:val="00AE3A9A"/>
    <w:rsid w:val="00AE41AF"/>
    <w:rsid w:val="00AE4852"/>
    <w:rsid w:val="00AE4B36"/>
    <w:rsid w:val="00AE50F7"/>
    <w:rsid w:val="00AE56DF"/>
    <w:rsid w:val="00AE5B06"/>
    <w:rsid w:val="00AE5BA0"/>
    <w:rsid w:val="00AE5CC9"/>
    <w:rsid w:val="00AE5F3B"/>
    <w:rsid w:val="00AE61B7"/>
    <w:rsid w:val="00AE624E"/>
    <w:rsid w:val="00AE6491"/>
    <w:rsid w:val="00AE6504"/>
    <w:rsid w:val="00AE69E8"/>
    <w:rsid w:val="00AE6A30"/>
    <w:rsid w:val="00AE6E4D"/>
    <w:rsid w:val="00AE6FF8"/>
    <w:rsid w:val="00AE71E6"/>
    <w:rsid w:val="00AE76FA"/>
    <w:rsid w:val="00AF041B"/>
    <w:rsid w:val="00AF07B7"/>
    <w:rsid w:val="00AF07E6"/>
    <w:rsid w:val="00AF098E"/>
    <w:rsid w:val="00AF0A3E"/>
    <w:rsid w:val="00AF0BB7"/>
    <w:rsid w:val="00AF0E55"/>
    <w:rsid w:val="00AF135F"/>
    <w:rsid w:val="00AF1436"/>
    <w:rsid w:val="00AF1443"/>
    <w:rsid w:val="00AF1C72"/>
    <w:rsid w:val="00AF1E48"/>
    <w:rsid w:val="00AF1F37"/>
    <w:rsid w:val="00AF2226"/>
    <w:rsid w:val="00AF2CE1"/>
    <w:rsid w:val="00AF2D42"/>
    <w:rsid w:val="00AF3767"/>
    <w:rsid w:val="00AF3AA1"/>
    <w:rsid w:val="00AF3B2E"/>
    <w:rsid w:val="00AF3D6E"/>
    <w:rsid w:val="00AF3EBF"/>
    <w:rsid w:val="00AF4025"/>
    <w:rsid w:val="00AF408B"/>
    <w:rsid w:val="00AF4567"/>
    <w:rsid w:val="00AF4761"/>
    <w:rsid w:val="00AF509C"/>
    <w:rsid w:val="00AF50AD"/>
    <w:rsid w:val="00AF5259"/>
    <w:rsid w:val="00AF52AA"/>
    <w:rsid w:val="00AF550C"/>
    <w:rsid w:val="00AF59C1"/>
    <w:rsid w:val="00AF5E71"/>
    <w:rsid w:val="00AF6933"/>
    <w:rsid w:val="00AF6967"/>
    <w:rsid w:val="00AF701E"/>
    <w:rsid w:val="00AF72F7"/>
    <w:rsid w:val="00AF75B9"/>
    <w:rsid w:val="00AF790B"/>
    <w:rsid w:val="00AF7A00"/>
    <w:rsid w:val="00AF7B2A"/>
    <w:rsid w:val="00AF7B84"/>
    <w:rsid w:val="00AF7D0F"/>
    <w:rsid w:val="00B00190"/>
    <w:rsid w:val="00B001C4"/>
    <w:rsid w:val="00B002C8"/>
    <w:rsid w:val="00B00487"/>
    <w:rsid w:val="00B0051A"/>
    <w:rsid w:val="00B00E87"/>
    <w:rsid w:val="00B01086"/>
    <w:rsid w:val="00B01574"/>
    <w:rsid w:val="00B017B4"/>
    <w:rsid w:val="00B01BF6"/>
    <w:rsid w:val="00B01CF6"/>
    <w:rsid w:val="00B01D0C"/>
    <w:rsid w:val="00B01F67"/>
    <w:rsid w:val="00B020AD"/>
    <w:rsid w:val="00B0255E"/>
    <w:rsid w:val="00B02816"/>
    <w:rsid w:val="00B0286C"/>
    <w:rsid w:val="00B02A60"/>
    <w:rsid w:val="00B02A65"/>
    <w:rsid w:val="00B02F70"/>
    <w:rsid w:val="00B031BB"/>
    <w:rsid w:val="00B03327"/>
    <w:rsid w:val="00B03A0D"/>
    <w:rsid w:val="00B03C32"/>
    <w:rsid w:val="00B03CE9"/>
    <w:rsid w:val="00B0423A"/>
    <w:rsid w:val="00B0435E"/>
    <w:rsid w:val="00B04364"/>
    <w:rsid w:val="00B0453D"/>
    <w:rsid w:val="00B047D2"/>
    <w:rsid w:val="00B047DE"/>
    <w:rsid w:val="00B04AD9"/>
    <w:rsid w:val="00B04B26"/>
    <w:rsid w:val="00B04C14"/>
    <w:rsid w:val="00B04C5D"/>
    <w:rsid w:val="00B04ED9"/>
    <w:rsid w:val="00B04F08"/>
    <w:rsid w:val="00B05086"/>
    <w:rsid w:val="00B050A5"/>
    <w:rsid w:val="00B0512A"/>
    <w:rsid w:val="00B053D0"/>
    <w:rsid w:val="00B053FD"/>
    <w:rsid w:val="00B054F8"/>
    <w:rsid w:val="00B054FA"/>
    <w:rsid w:val="00B0556D"/>
    <w:rsid w:val="00B0596A"/>
    <w:rsid w:val="00B05BA2"/>
    <w:rsid w:val="00B05D7B"/>
    <w:rsid w:val="00B062CB"/>
    <w:rsid w:val="00B0698D"/>
    <w:rsid w:val="00B06A41"/>
    <w:rsid w:val="00B06B6B"/>
    <w:rsid w:val="00B06F40"/>
    <w:rsid w:val="00B07056"/>
    <w:rsid w:val="00B072D4"/>
    <w:rsid w:val="00B0739E"/>
    <w:rsid w:val="00B07443"/>
    <w:rsid w:val="00B076D1"/>
    <w:rsid w:val="00B07A9C"/>
    <w:rsid w:val="00B07ADE"/>
    <w:rsid w:val="00B07C9F"/>
    <w:rsid w:val="00B07CC8"/>
    <w:rsid w:val="00B07D91"/>
    <w:rsid w:val="00B07EB6"/>
    <w:rsid w:val="00B07FE4"/>
    <w:rsid w:val="00B103A3"/>
    <w:rsid w:val="00B103BD"/>
    <w:rsid w:val="00B10552"/>
    <w:rsid w:val="00B10AC3"/>
    <w:rsid w:val="00B10C77"/>
    <w:rsid w:val="00B10E74"/>
    <w:rsid w:val="00B1115D"/>
    <w:rsid w:val="00B118FA"/>
    <w:rsid w:val="00B11CBC"/>
    <w:rsid w:val="00B12031"/>
    <w:rsid w:val="00B12079"/>
    <w:rsid w:val="00B12477"/>
    <w:rsid w:val="00B12785"/>
    <w:rsid w:val="00B127F3"/>
    <w:rsid w:val="00B12C2A"/>
    <w:rsid w:val="00B1342B"/>
    <w:rsid w:val="00B13664"/>
    <w:rsid w:val="00B13A48"/>
    <w:rsid w:val="00B13CA7"/>
    <w:rsid w:val="00B13D38"/>
    <w:rsid w:val="00B13EC5"/>
    <w:rsid w:val="00B1464D"/>
    <w:rsid w:val="00B14887"/>
    <w:rsid w:val="00B14AF3"/>
    <w:rsid w:val="00B14C99"/>
    <w:rsid w:val="00B14D44"/>
    <w:rsid w:val="00B14F50"/>
    <w:rsid w:val="00B1504E"/>
    <w:rsid w:val="00B15271"/>
    <w:rsid w:val="00B156F6"/>
    <w:rsid w:val="00B15AC1"/>
    <w:rsid w:val="00B15B99"/>
    <w:rsid w:val="00B15E37"/>
    <w:rsid w:val="00B15EEA"/>
    <w:rsid w:val="00B15FD1"/>
    <w:rsid w:val="00B16142"/>
    <w:rsid w:val="00B165EE"/>
    <w:rsid w:val="00B16B18"/>
    <w:rsid w:val="00B16CE3"/>
    <w:rsid w:val="00B16E80"/>
    <w:rsid w:val="00B16EE6"/>
    <w:rsid w:val="00B17297"/>
    <w:rsid w:val="00B173BD"/>
    <w:rsid w:val="00B17502"/>
    <w:rsid w:val="00B1768D"/>
    <w:rsid w:val="00B17758"/>
    <w:rsid w:val="00B178E6"/>
    <w:rsid w:val="00B17977"/>
    <w:rsid w:val="00B17C31"/>
    <w:rsid w:val="00B17DA8"/>
    <w:rsid w:val="00B17F1B"/>
    <w:rsid w:val="00B20CD2"/>
    <w:rsid w:val="00B20F02"/>
    <w:rsid w:val="00B2102C"/>
    <w:rsid w:val="00B213E1"/>
    <w:rsid w:val="00B214E0"/>
    <w:rsid w:val="00B21C39"/>
    <w:rsid w:val="00B21E00"/>
    <w:rsid w:val="00B22029"/>
    <w:rsid w:val="00B2222E"/>
    <w:rsid w:val="00B222D4"/>
    <w:rsid w:val="00B22558"/>
    <w:rsid w:val="00B226F5"/>
    <w:rsid w:val="00B2271D"/>
    <w:rsid w:val="00B227CE"/>
    <w:rsid w:val="00B22858"/>
    <w:rsid w:val="00B228D6"/>
    <w:rsid w:val="00B2293B"/>
    <w:rsid w:val="00B22B03"/>
    <w:rsid w:val="00B22C50"/>
    <w:rsid w:val="00B22D59"/>
    <w:rsid w:val="00B2308B"/>
    <w:rsid w:val="00B23173"/>
    <w:rsid w:val="00B23331"/>
    <w:rsid w:val="00B23A1E"/>
    <w:rsid w:val="00B23E08"/>
    <w:rsid w:val="00B23F01"/>
    <w:rsid w:val="00B23F5E"/>
    <w:rsid w:val="00B23FCD"/>
    <w:rsid w:val="00B2464E"/>
    <w:rsid w:val="00B24664"/>
    <w:rsid w:val="00B2499A"/>
    <w:rsid w:val="00B249A4"/>
    <w:rsid w:val="00B24F20"/>
    <w:rsid w:val="00B24FFD"/>
    <w:rsid w:val="00B254B1"/>
    <w:rsid w:val="00B258F5"/>
    <w:rsid w:val="00B25A27"/>
    <w:rsid w:val="00B25B8C"/>
    <w:rsid w:val="00B25B99"/>
    <w:rsid w:val="00B2622E"/>
    <w:rsid w:val="00B2627E"/>
    <w:rsid w:val="00B26307"/>
    <w:rsid w:val="00B267CA"/>
    <w:rsid w:val="00B26CE5"/>
    <w:rsid w:val="00B26F8A"/>
    <w:rsid w:val="00B26FF7"/>
    <w:rsid w:val="00B2720C"/>
    <w:rsid w:val="00B274A5"/>
    <w:rsid w:val="00B2769B"/>
    <w:rsid w:val="00B27795"/>
    <w:rsid w:val="00B30157"/>
    <w:rsid w:val="00B3029E"/>
    <w:rsid w:val="00B3071F"/>
    <w:rsid w:val="00B308C9"/>
    <w:rsid w:val="00B30ABF"/>
    <w:rsid w:val="00B30C66"/>
    <w:rsid w:val="00B311EE"/>
    <w:rsid w:val="00B3144F"/>
    <w:rsid w:val="00B31784"/>
    <w:rsid w:val="00B3194D"/>
    <w:rsid w:val="00B3198E"/>
    <w:rsid w:val="00B319AA"/>
    <w:rsid w:val="00B32085"/>
    <w:rsid w:val="00B323F1"/>
    <w:rsid w:val="00B3283D"/>
    <w:rsid w:val="00B32C49"/>
    <w:rsid w:val="00B337D6"/>
    <w:rsid w:val="00B339AA"/>
    <w:rsid w:val="00B33D34"/>
    <w:rsid w:val="00B34162"/>
    <w:rsid w:val="00B3466C"/>
    <w:rsid w:val="00B34750"/>
    <w:rsid w:val="00B34A0F"/>
    <w:rsid w:val="00B34A85"/>
    <w:rsid w:val="00B34AE4"/>
    <w:rsid w:val="00B34B1D"/>
    <w:rsid w:val="00B34DC9"/>
    <w:rsid w:val="00B34E5B"/>
    <w:rsid w:val="00B34EF8"/>
    <w:rsid w:val="00B34F04"/>
    <w:rsid w:val="00B35B6F"/>
    <w:rsid w:val="00B35BD8"/>
    <w:rsid w:val="00B35DD5"/>
    <w:rsid w:val="00B35E31"/>
    <w:rsid w:val="00B360C0"/>
    <w:rsid w:val="00B363C7"/>
    <w:rsid w:val="00B3646E"/>
    <w:rsid w:val="00B36564"/>
    <w:rsid w:val="00B367BF"/>
    <w:rsid w:val="00B36A15"/>
    <w:rsid w:val="00B36AB3"/>
    <w:rsid w:val="00B36C35"/>
    <w:rsid w:val="00B3704D"/>
    <w:rsid w:val="00B3705E"/>
    <w:rsid w:val="00B373D7"/>
    <w:rsid w:val="00B37401"/>
    <w:rsid w:val="00B374DF"/>
    <w:rsid w:val="00B37A82"/>
    <w:rsid w:val="00B37BE8"/>
    <w:rsid w:val="00B40489"/>
    <w:rsid w:val="00B40620"/>
    <w:rsid w:val="00B4063D"/>
    <w:rsid w:val="00B40D62"/>
    <w:rsid w:val="00B40E27"/>
    <w:rsid w:val="00B411E7"/>
    <w:rsid w:val="00B4121A"/>
    <w:rsid w:val="00B41488"/>
    <w:rsid w:val="00B41E2A"/>
    <w:rsid w:val="00B420D2"/>
    <w:rsid w:val="00B424B5"/>
    <w:rsid w:val="00B42AA9"/>
    <w:rsid w:val="00B42C1A"/>
    <w:rsid w:val="00B42E95"/>
    <w:rsid w:val="00B434DB"/>
    <w:rsid w:val="00B4351D"/>
    <w:rsid w:val="00B4361B"/>
    <w:rsid w:val="00B43691"/>
    <w:rsid w:val="00B4391E"/>
    <w:rsid w:val="00B43CF9"/>
    <w:rsid w:val="00B43E76"/>
    <w:rsid w:val="00B4409B"/>
    <w:rsid w:val="00B44361"/>
    <w:rsid w:val="00B445A2"/>
    <w:rsid w:val="00B44659"/>
    <w:rsid w:val="00B4465C"/>
    <w:rsid w:val="00B44949"/>
    <w:rsid w:val="00B449D3"/>
    <w:rsid w:val="00B4507D"/>
    <w:rsid w:val="00B45459"/>
    <w:rsid w:val="00B45754"/>
    <w:rsid w:val="00B46063"/>
    <w:rsid w:val="00B461BF"/>
    <w:rsid w:val="00B4620D"/>
    <w:rsid w:val="00B46A2B"/>
    <w:rsid w:val="00B46BF6"/>
    <w:rsid w:val="00B46E2E"/>
    <w:rsid w:val="00B47139"/>
    <w:rsid w:val="00B4731A"/>
    <w:rsid w:val="00B47353"/>
    <w:rsid w:val="00B4748C"/>
    <w:rsid w:val="00B479FC"/>
    <w:rsid w:val="00B503D0"/>
    <w:rsid w:val="00B503E6"/>
    <w:rsid w:val="00B50D68"/>
    <w:rsid w:val="00B51306"/>
    <w:rsid w:val="00B513CF"/>
    <w:rsid w:val="00B51826"/>
    <w:rsid w:val="00B51ECF"/>
    <w:rsid w:val="00B51F71"/>
    <w:rsid w:val="00B520E1"/>
    <w:rsid w:val="00B52193"/>
    <w:rsid w:val="00B5261A"/>
    <w:rsid w:val="00B52C14"/>
    <w:rsid w:val="00B53893"/>
    <w:rsid w:val="00B53BE8"/>
    <w:rsid w:val="00B53D49"/>
    <w:rsid w:val="00B54233"/>
    <w:rsid w:val="00B5435A"/>
    <w:rsid w:val="00B54507"/>
    <w:rsid w:val="00B54536"/>
    <w:rsid w:val="00B546E8"/>
    <w:rsid w:val="00B548AD"/>
    <w:rsid w:val="00B54AC6"/>
    <w:rsid w:val="00B54BE4"/>
    <w:rsid w:val="00B5504E"/>
    <w:rsid w:val="00B5521C"/>
    <w:rsid w:val="00B554E4"/>
    <w:rsid w:val="00B5626E"/>
    <w:rsid w:val="00B5685A"/>
    <w:rsid w:val="00B56C83"/>
    <w:rsid w:val="00B56CEA"/>
    <w:rsid w:val="00B56DBC"/>
    <w:rsid w:val="00B56E66"/>
    <w:rsid w:val="00B57641"/>
    <w:rsid w:val="00B57AE7"/>
    <w:rsid w:val="00B57BCC"/>
    <w:rsid w:val="00B57F8D"/>
    <w:rsid w:val="00B60160"/>
    <w:rsid w:val="00B60179"/>
    <w:rsid w:val="00B602F7"/>
    <w:rsid w:val="00B60418"/>
    <w:rsid w:val="00B6041B"/>
    <w:rsid w:val="00B60731"/>
    <w:rsid w:val="00B6075F"/>
    <w:rsid w:val="00B609D4"/>
    <w:rsid w:val="00B60A56"/>
    <w:rsid w:val="00B610F6"/>
    <w:rsid w:val="00B617E7"/>
    <w:rsid w:val="00B61973"/>
    <w:rsid w:val="00B619F6"/>
    <w:rsid w:val="00B61BED"/>
    <w:rsid w:val="00B61C0E"/>
    <w:rsid w:val="00B61D9B"/>
    <w:rsid w:val="00B62057"/>
    <w:rsid w:val="00B62224"/>
    <w:rsid w:val="00B62447"/>
    <w:rsid w:val="00B62528"/>
    <w:rsid w:val="00B625AF"/>
    <w:rsid w:val="00B6266E"/>
    <w:rsid w:val="00B627E4"/>
    <w:rsid w:val="00B62EA3"/>
    <w:rsid w:val="00B62FD9"/>
    <w:rsid w:val="00B63191"/>
    <w:rsid w:val="00B6397E"/>
    <w:rsid w:val="00B639D0"/>
    <w:rsid w:val="00B63A4B"/>
    <w:rsid w:val="00B63BC8"/>
    <w:rsid w:val="00B64132"/>
    <w:rsid w:val="00B648D7"/>
    <w:rsid w:val="00B648F0"/>
    <w:rsid w:val="00B64E14"/>
    <w:rsid w:val="00B64F5C"/>
    <w:rsid w:val="00B652E0"/>
    <w:rsid w:val="00B655D9"/>
    <w:rsid w:val="00B65F00"/>
    <w:rsid w:val="00B65FAF"/>
    <w:rsid w:val="00B6649D"/>
    <w:rsid w:val="00B664D8"/>
    <w:rsid w:val="00B66564"/>
    <w:rsid w:val="00B66610"/>
    <w:rsid w:val="00B66CCA"/>
    <w:rsid w:val="00B66F74"/>
    <w:rsid w:val="00B67120"/>
    <w:rsid w:val="00B67129"/>
    <w:rsid w:val="00B67345"/>
    <w:rsid w:val="00B6735E"/>
    <w:rsid w:val="00B674C3"/>
    <w:rsid w:val="00B67501"/>
    <w:rsid w:val="00B675B9"/>
    <w:rsid w:val="00B67AE3"/>
    <w:rsid w:val="00B67E19"/>
    <w:rsid w:val="00B67E64"/>
    <w:rsid w:val="00B70199"/>
    <w:rsid w:val="00B705DD"/>
    <w:rsid w:val="00B70674"/>
    <w:rsid w:val="00B70772"/>
    <w:rsid w:val="00B70D62"/>
    <w:rsid w:val="00B70D89"/>
    <w:rsid w:val="00B7110A"/>
    <w:rsid w:val="00B712D7"/>
    <w:rsid w:val="00B716BC"/>
    <w:rsid w:val="00B716E8"/>
    <w:rsid w:val="00B71C85"/>
    <w:rsid w:val="00B71D70"/>
    <w:rsid w:val="00B722FE"/>
    <w:rsid w:val="00B726F9"/>
    <w:rsid w:val="00B729D3"/>
    <w:rsid w:val="00B72C01"/>
    <w:rsid w:val="00B72C19"/>
    <w:rsid w:val="00B72D59"/>
    <w:rsid w:val="00B72EF2"/>
    <w:rsid w:val="00B73448"/>
    <w:rsid w:val="00B73BEC"/>
    <w:rsid w:val="00B73D00"/>
    <w:rsid w:val="00B73F14"/>
    <w:rsid w:val="00B7407E"/>
    <w:rsid w:val="00B741BD"/>
    <w:rsid w:val="00B7465E"/>
    <w:rsid w:val="00B74C63"/>
    <w:rsid w:val="00B74D34"/>
    <w:rsid w:val="00B74F5C"/>
    <w:rsid w:val="00B75384"/>
    <w:rsid w:val="00B75386"/>
    <w:rsid w:val="00B75650"/>
    <w:rsid w:val="00B75955"/>
    <w:rsid w:val="00B7599A"/>
    <w:rsid w:val="00B759E2"/>
    <w:rsid w:val="00B761FC"/>
    <w:rsid w:val="00B762D2"/>
    <w:rsid w:val="00B769E4"/>
    <w:rsid w:val="00B76F10"/>
    <w:rsid w:val="00B76F29"/>
    <w:rsid w:val="00B77455"/>
    <w:rsid w:val="00B77776"/>
    <w:rsid w:val="00B77A7A"/>
    <w:rsid w:val="00B77AB5"/>
    <w:rsid w:val="00B805F0"/>
    <w:rsid w:val="00B80821"/>
    <w:rsid w:val="00B80B09"/>
    <w:rsid w:val="00B80FC0"/>
    <w:rsid w:val="00B81315"/>
    <w:rsid w:val="00B81994"/>
    <w:rsid w:val="00B81B44"/>
    <w:rsid w:val="00B81B90"/>
    <w:rsid w:val="00B81D87"/>
    <w:rsid w:val="00B82459"/>
    <w:rsid w:val="00B82836"/>
    <w:rsid w:val="00B82BAA"/>
    <w:rsid w:val="00B82EB5"/>
    <w:rsid w:val="00B831A6"/>
    <w:rsid w:val="00B833BA"/>
    <w:rsid w:val="00B834D4"/>
    <w:rsid w:val="00B83540"/>
    <w:rsid w:val="00B83543"/>
    <w:rsid w:val="00B835B2"/>
    <w:rsid w:val="00B8374C"/>
    <w:rsid w:val="00B8382D"/>
    <w:rsid w:val="00B83E66"/>
    <w:rsid w:val="00B8402E"/>
    <w:rsid w:val="00B84515"/>
    <w:rsid w:val="00B84697"/>
    <w:rsid w:val="00B84BF7"/>
    <w:rsid w:val="00B84C32"/>
    <w:rsid w:val="00B851DB"/>
    <w:rsid w:val="00B85286"/>
    <w:rsid w:val="00B8530C"/>
    <w:rsid w:val="00B85614"/>
    <w:rsid w:val="00B85641"/>
    <w:rsid w:val="00B856A0"/>
    <w:rsid w:val="00B85BB0"/>
    <w:rsid w:val="00B85D32"/>
    <w:rsid w:val="00B8648A"/>
    <w:rsid w:val="00B86DC3"/>
    <w:rsid w:val="00B86E0D"/>
    <w:rsid w:val="00B86E67"/>
    <w:rsid w:val="00B87266"/>
    <w:rsid w:val="00B8743D"/>
    <w:rsid w:val="00B8762D"/>
    <w:rsid w:val="00B87AC6"/>
    <w:rsid w:val="00B87C01"/>
    <w:rsid w:val="00B87C91"/>
    <w:rsid w:val="00B87E8A"/>
    <w:rsid w:val="00B87EB6"/>
    <w:rsid w:val="00B906EB"/>
    <w:rsid w:val="00B90856"/>
    <w:rsid w:val="00B909EF"/>
    <w:rsid w:val="00B90A43"/>
    <w:rsid w:val="00B90B2A"/>
    <w:rsid w:val="00B90C85"/>
    <w:rsid w:val="00B910C9"/>
    <w:rsid w:val="00B911BA"/>
    <w:rsid w:val="00B916F6"/>
    <w:rsid w:val="00B91808"/>
    <w:rsid w:val="00B91882"/>
    <w:rsid w:val="00B91AD4"/>
    <w:rsid w:val="00B91C38"/>
    <w:rsid w:val="00B91D60"/>
    <w:rsid w:val="00B91F15"/>
    <w:rsid w:val="00B92145"/>
    <w:rsid w:val="00B924B4"/>
    <w:rsid w:val="00B9270C"/>
    <w:rsid w:val="00B92840"/>
    <w:rsid w:val="00B92C16"/>
    <w:rsid w:val="00B93046"/>
    <w:rsid w:val="00B93279"/>
    <w:rsid w:val="00B9358D"/>
    <w:rsid w:val="00B9365E"/>
    <w:rsid w:val="00B93690"/>
    <w:rsid w:val="00B93F56"/>
    <w:rsid w:val="00B93F9F"/>
    <w:rsid w:val="00B9457F"/>
    <w:rsid w:val="00B94910"/>
    <w:rsid w:val="00B94D98"/>
    <w:rsid w:val="00B94F4F"/>
    <w:rsid w:val="00B94F8E"/>
    <w:rsid w:val="00B9510D"/>
    <w:rsid w:val="00B95263"/>
    <w:rsid w:val="00B95654"/>
    <w:rsid w:val="00B9573B"/>
    <w:rsid w:val="00B95BDA"/>
    <w:rsid w:val="00B95DDE"/>
    <w:rsid w:val="00B95EBB"/>
    <w:rsid w:val="00B95FD8"/>
    <w:rsid w:val="00B96030"/>
    <w:rsid w:val="00B961E6"/>
    <w:rsid w:val="00B962FA"/>
    <w:rsid w:val="00B963DF"/>
    <w:rsid w:val="00B96EE7"/>
    <w:rsid w:val="00B972F1"/>
    <w:rsid w:val="00B97CD2"/>
    <w:rsid w:val="00B97DD9"/>
    <w:rsid w:val="00B97DF7"/>
    <w:rsid w:val="00BA00C0"/>
    <w:rsid w:val="00BA00CF"/>
    <w:rsid w:val="00BA0409"/>
    <w:rsid w:val="00BA0427"/>
    <w:rsid w:val="00BA08C2"/>
    <w:rsid w:val="00BA0B00"/>
    <w:rsid w:val="00BA1342"/>
    <w:rsid w:val="00BA1371"/>
    <w:rsid w:val="00BA1BBC"/>
    <w:rsid w:val="00BA1C81"/>
    <w:rsid w:val="00BA1E61"/>
    <w:rsid w:val="00BA1E8D"/>
    <w:rsid w:val="00BA20E3"/>
    <w:rsid w:val="00BA20FF"/>
    <w:rsid w:val="00BA238B"/>
    <w:rsid w:val="00BA2665"/>
    <w:rsid w:val="00BA2B04"/>
    <w:rsid w:val="00BA2BF9"/>
    <w:rsid w:val="00BA2D02"/>
    <w:rsid w:val="00BA2F41"/>
    <w:rsid w:val="00BA300C"/>
    <w:rsid w:val="00BA3509"/>
    <w:rsid w:val="00BA3AA2"/>
    <w:rsid w:val="00BA3E7B"/>
    <w:rsid w:val="00BA4564"/>
    <w:rsid w:val="00BA45E7"/>
    <w:rsid w:val="00BA47B2"/>
    <w:rsid w:val="00BA4948"/>
    <w:rsid w:val="00BA4A72"/>
    <w:rsid w:val="00BA4FC9"/>
    <w:rsid w:val="00BA54A5"/>
    <w:rsid w:val="00BA5615"/>
    <w:rsid w:val="00BA5BF9"/>
    <w:rsid w:val="00BA5D29"/>
    <w:rsid w:val="00BA5E34"/>
    <w:rsid w:val="00BA5FAF"/>
    <w:rsid w:val="00BA616D"/>
    <w:rsid w:val="00BA62E8"/>
    <w:rsid w:val="00BA636C"/>
    <w:rsid w:val="00BA648E"/>
    <w:rsid w:val="00BA652B"/>
    <w:rsid w:val="00BA66B6"/>
    <w:rsid w:val="00BA675F"/>
    <w:rsid w:val="00BA682D"/>
    <w:rsid w:val="00BA6875"/>
    <w:rsid w:val="00BA68E9"/>
    <w:rsid w:val="00BA6AAE"/>
    <w:rsid w:val="00BA6B74"/>
    <w:rsid w:val="00BA71B1"/>
    <w:rsid w:val="00BA7501"/>
    <w:rsid w:val="00BA760E"/>
    <w:rsid w:val="00BA7895"/>
    <w:rsid w:val="00BA79CD"/>
    <w:rsid w:val="00BB05B5"/>
    <w:rsid w:val="00BB06C2"/>
    <w:rsid w:val="00BB0833"/>
    <w:rsid w:val="00BB0A5F"/>
    <w:rsid w:val="00BB1036"/>
    <w:rsid w:val="00BB150A"/>
    <w:rsid w:val="00BB1C5F"/>
    <w:rsid w:val="00BB1F7C"/>
    <w:rsid w:val="00BB1FFD"/>
    <w:rsid w:val="00BB224D"/>
    <w:rsid w:val="00BB23A9"/>
    <w:rsid w:val="00BB26D6"/>
    <w:rsid w:val="00BB2BD7"/>
    <w:rsid w:val="00BB2DC1"/>
    <w:rsid w:val="00BB2E9C"/>
    <w:rsid w:val="00BB361B"/>
    <w:rsid w:val="00BB3DEA"/>
    <w:rsid w:val="00BB3DF1"/>
    <w:rsid w:val="00BB3E3D"/>
    <w:rsid w:val="00BB3FAC"/>
    <w:rsid w:val="00BB4178"/>
    <w:rsid w:val="00BB417F"/>
    <w:rsid w:val="00BB41A3"/>
    <w:rsid w:val="00BB46E4"/>
    <w:rsid w:val="00BB4B50"/>
    <w:rsid w:val="00BB4D09"/>
    <w:rsid w:val="00BB4D0D"/>
    <w:rsid w:val="00BB4DBD"/>
    <w:rsid w:val="00BB4FF5"/>
    <w:rsid w:val="00BB50B4"/>
    <w:rsid w:val="00BB531A"/>
    <w:rsid w:val="00BB535C"/>
    <w:rsid w:val="00BB53B7"/>
    <w:rsid w:val="00BB56B9"/>
    <w:rsid w:val="00BB5764"/>
    <w:rsid w:val="00BB5CEA"/>
    <w:rsid w:val="00BB622B"/>
    <w:rsid w:val="00BB6349"/>
    <w:rsid w:val="00BB6490"/>
    <w:rsid w:val="00BB6645"/>
    <w:rsid w:val="00BB67BD"/>
    <w:rsid w:val="00BB699E"/>
    <w:rsid w:val="00BB6B5A"/>
    <w:rsid w:val="00BB6D00"/>
    <w:rsid w:val="00BB70E7"/>
    <w:rsid w:val="00BB7391"/>
    <w:rsid w:val="00BB73B0"/>
    <w:rsid w:val="00BB73D4"/>
    <w:rsid w:val="00BB779D"/>
    <w:rsid w:val="00BB77F5"/>
    <w:rsid w:val="00BB7A13"/>
    <w:rsid w:val="00BB7C03"/>
    <w:rsid w:val="00BB7D84"/>
    <w:rsid w:val="00BB7DDC"/>
    <w:rsid w:val="00BB7FEF"/>
    <w:rsid w:val="00BC01E1"/>
    <w:rsid w:val="00BC0642"/>
    <w:rsid w:val="00BC0652"/>
    <w:rsid w:val="00BC0707"/>
    <w:rsid w:val="00BC0B6C"/>
    <w:rsid w:val="00BC0BBC"/>
    <w:rsid w:val="00BC10D7"/>
    <w:rsid w:val="00BC110A"/>
    <w:rsid w:val="00BC122C"/>
    <w:rsid w:val="00BC13A0"/>
    <w:rsid w:val="00BC1E14"/>
    <w:rsid w:val="00BC1F6B"/>
    <w:rsid w:val="00BC218F"/>
    <w:rsid w:val="00BC2449"/>
    <w:rsid w:val="00BC2798"/>
    <w:rsid w:val="00BC28B8"/>
    <w:rsid w:val="00BC2AFA"/>
    <w:rsid w:val="00BC3D43"/>
    <w:rsid w:val="00BC3D85"/>
    <w:rsid w:val="00BC42B9"/>
    <w:rsid w:val="00BC43BA"/>
    <w:rsid w:val="00BC4516"/>
    <w:rsid w:val="00BC4843"/>
    <w:rsid w:val="00BC48C9"/>
    <w:rsid w:val="00BC497C"/>
    <w:rsid w:val="00BC4A6A"/>
    <w:rsid w:val="00BC4AD0"/>
    <w:rsid w:val="00BC4BAE"/>
    <w:rsid w:val="00BC4FD8"/>
    <w:rsid w:val="00BC5902"/>
    <w:rsid w:val="00BC59D5"/>
    <w:rsid w:val="00BC5A85"/>
    <w:rsid w:val="00BC5CDB"/>
    <w:rsid w:val="00BC65B6"/>
    <w:rsid w:val="00BC6894"/>
    <w:rsid w:val="00BC6CEE"/>
    <w:rsid w:val="00BC6D8F"/>
    <w:rsid w:val="00BC6DBA"/>
    <w:rsid w:val="00BC702B"/>
    <w:rsid w:val="00BC738C"/>
    <w:rsid w:val="00BC7490"/>
    <w:rsid w:val="00BC7775"/>
    <w:rsid w:val="00BC7C67"/>
    <w:rsid w:val="00BD035D"/>
    <w:rsid w:val="00BD039E"/>
    <w:rsid w:val="00BD04B1"/>
    <w:rsid w:val="00BD086B"/>
    <w:rsid w:val="00BD08AF"/>
    <w:rsid w:val="00BD0936"/>
    <w:rsid w:val="00BD096A"/>
    <w:rsid w:val="00BD0E4D"/>
    <w:rsid w:val="00BD0F03"/>
    <w:rsid w:val="00BD1044"/>
    <w:rsid w:val="00BD1100"/>
    <w:rsid w:val="00BD12AA"/>
    <w:rsid w:val="00BD1427"/>
    <w:rsid w:val="00BD16FC"/>
    <w:rsid w:val="00BD185E"/>
    <w:rsid w:val="00BD196D"/>
    <w:rsid w:val="00BD1CC0"/>
    <w:rsid w:val="00BD1D70"/>
    <w:rsid w:val="00BD1E72"/>
    <w:rsid w:val="00BD1F56"/>
    <w:rsid w:val="00BD1FD7"/>
    <w:rsid w:val="00BD2294"/>
    <w:rsid w:val="00BD2748"/>
    <w:rsid w:val="00BD2E7B"/>
    <w:rsid w:val="00BD2FA3"/>
    <w:rsid w:val="00BD2FC2"/>
    <w:rsid w:val="00BD305A"/>
    <w:rsid w:val="00BD30DB"/>
    <w:rsid w:val="00BD37F9"/>
    <w:rsid w:val="00BD4066"/>
    <w:rsid w:val="00BD44F8"/>
    <w:rsid w:val="00BD4898"/>
    <w:rsid w:val="00BD507F"/>
    <w:rsid w:val="00BD5333"/>
    <w:rsid w:val="00BD56AC"/>
    <w:rsid w:val="00BD59BB"/>
    <w:rsid w:val="00BD5A56"/>
    <w:rsid w:val="00BD5B9C"/>
    <w:rsid w:val="00BD64A7"/>
    <w:rsid w:val="00BD6534"/>
    <w:rsid w:val="00BD660C"/>
    <w:rsid w:val="00BD66FE"/>
    <w:rsid w:val="00BD6870"/>
    <w:rsid w:val="00BD6FBC"/>
    <w:rsid w:val="00BD7744"/>
    <w:rsid w:val="00BD79DD"/>
    <w:rsid w:val="00BD7A70"/>
    <w:rsid w:val="00BD7AB2"/>
    <w:rsid w:val="00BD7DAD"/>
    <w:rsid w:val="00BD7E13"/>
    <w:rsid w:val="00BE05F8"/>
    <w:rsid w:val="00BE06EB"/>
    <w:rsid w:val="00BE0844"/>
    <w:rsid w:val="00BE095E"/>
    <w:rsid w:val="00BE0DCF"/>
    <w:rsid w:val="00BE0EB5"/>
    <w:rsid w:val="00BE1253"/>
    <w:rsid w:val="00BE130D"/>
    <w:rsid w:val="00BE1425"/>
    <w:rsid w:val="00BE17D3"/>
    <w:rsid w:val="00BE18B0"/>
    <w:rsid w:val="00BE1A89"/>
    <w:rsid w:val="00BE1B21"/>
    <w:rsid w:val="00BE1E19"/>
    <w:rsid w:val="00BE1FC2"/>
    <w:rsid w:val="00BE20B7"/>
    <w:rsid w:val="00BE23D7"/>
    <w:rsid w:val="00BE26BB"/>
    <w:rsid w:val="00BE2763"/>
    <w:rsid w:val="00BE287B"/>
    <w:rsid w:val="00BE28F0"/>
    <w:rsid w:val="00BE2D1A"/>
    <w:rsid w:val="00BE307F"/>
    <w:rsid w:val="00BE314E"/>
    <w:rsid w:val="00BE321C"/>
    <w:rsid w:val="00BE322F"/>
    <w:rsid w:val="00BE3591"/>
    <w:rsid w:val="00BE3716"/>
    <w:rsid w:val="00BE37AF"/>
    <w:rsid w:val="00BE3B40"/>
    <w:rsid w:val="00BE3D2E"/>
    <w:rsid w:val="00BE3D9D"/>
    <w:rsid w:val="00BE4216"/>
    <w:rsid w:val="00BE47C2"/>
    <w:rsid w:val="00BE484E"/>
    <w:rsid w:val="00BE4A62"/>
    <w:rsid w:val="00BE4A9F"/>
    <w:rsid w:val="00BE4CAC"/>
    <w:rsid w:val="00BE4CD9"/>
    <w:rsid w:val="00BE4F34"/>
    <w:rsid w:val="00BE53AF"/>
    <w:rsid w:val="00BE5845"/>
    <w:rsid w:val="00BE584D"/>
    <w:rsid w:val="00BE598C"/>
    <w:rsid w:val="00BE5CFF"/>
    <w:rsid w:val="00BE5EC4"/>
    <w:rsid w:val="00BE5F6D"/>
    <w:rsid w:val="00BE601C"/>
    <w:rsid w:val="00BE62C1"/>
    <w:rsid w:val="00BE6302"/>
    <w:rsid w:val="00BE649B"/>
    <w:rsid w:val="00BE666E"/>
    <w:rsid w:val="00BE669E"/>
    <w:rsid w:val="00BE6B2E"/>
    <w:rsid w:val="00BE6B36"/>
    <w:rsid w:val="00BE6CAE"/>
    <w:rsid w:val="00BE6D8C"/>
    <w:rsid w:val="00BE6E98"/>
    <w:rsid w:val="00BE6FE8"/>
    <w:rsid w:val="00BE7293"/>
    <w:rsid w:val="00BE78D7"/>
    <w:rsid w:val="00BE7A58"/>
    <w:rsid w:val="00BE7D48"/>
    <w:rsid w:val="00BE7E7B"/>
    <w:rsid w:val="00BE7F1F"/>
    <w:rsid w:val="00BF00B5"/>
    <w:rsid w:val="00BF00F5"/>
    <w:rsid w:val="00BF02F5"/>
    <w:rsid w:val="00BF032D"/>
    <w:rsid w:val="00BF03B9"/>
    <w:rsid w:val="00BF046E"/>
    <w:rsid w:val="00BF06E1"/>
    <w:rsid w:val="00BF1703"/>
    <w:rsid w:val="00BF1C27"/>
    <w:rsid w:val="00BF1F05"/>
    <w:rsid w:val="00BF235D"/>
    <w:rsid w:val="00BF244A"/>
    <w:rsid w:val="00BF29DB"/>
    <w:rsid w:val="00BF3459"/>
    <w:rsid w:val="00BF34A1"/>
    <w:rsid w:val="00BF3A49"/>
    <w:rsid w:val="00BF3B83"/>
    <w:rsid w:val="00BF40A0"/>
    <w:rsid w:val="00BF40A1"/>
    <w:rsid w:val="00BF4188"/>
    <w:rsid w:val="00BF4247"/>
    <w:rsid w:val="00BF4383"/>
    <w:rsid w:val="00BF47EF"/>
    <w:rsid w:val="00BF4842"/>
    <w:rsid w:val="00BF4C60"/>
    <w:rsid w:val="00BF5028"/>
    <w:rsid w:val="00BF509D"/>
    <w:rsid w:val="00BF5149"/>
    <w:rsid w:val="00BF51F9"/>
    <w:rsid w:val="00BF532F"/>
    <w:rsid w:val="00BF5376"/>
    <w:rsid w:val="00BF5491"/>
    <w:rsid w:val="00BF56E5"/>
    <w:rsid w:val="00BF576F"/>
    <w:rsid w:val="00BF590F"/>
    <w:rsid w:val="00BF59AA"/>
    <w:rsid w:val="00BF5A9C"/>
    <w:rsid w:val="00BF5FF8"/>
    <w:rsid w:val="00BF6579"/>
    <w:rsid w:val="00BF68C6"/>
    <w:rsid w:val="00BF6B10"/>
    <w:rsid w:val="00BF6B73"/>
    <w:rsid w:val="00BF6ECB"/>
    <w:rsid w:val="00BF75FD"/>
    <w:rsid w:val="00BF78CB"/>
    <w:rsid w:val="00C003AC"/>
    <w:rsid w:val="00C00400"/>
    <w:rsid w:val="00C006E2"/>
    <w:rsid w:val="00C00B3A"/>
    <w:rsid w:val="00C00C59"/>
    <w:rsid w:val="00C00FF1"/>
    <w:rsid w:val="00C011BD"/>
    <w:rsid w:val="00C017A3"/>
    <w:rsid w:val="00C017F4"/>
    <w:rsid w:val="00C019D5"/>
    <w:rsid w:val="00C02378"/>
    <w:rsid w:val="00C02386"/>
    <w:rsid w:val="00C0271B"/>
    <w:rsid w:val="00C02A2F"/>
    <w:rsid w:val="00C02D11"/>
    <w:rsid w:val="00C02E42"/>
    <w:rsid w:val="00C02E95"/>
    <w:rsid w:val="00C03324"/>
    <w:rsid w:val="00C03485"/>
    <w:rsid w:val="00C034EC"/>
    <w:rsid w:val="00C0354B"/>
    <w:rsid w:val="00C037A2"/>
    <w:rsid w:val="00C0384D"/>
    <w:rsid w:val="00C039A1"/>
    <w:rsid w:val="00C03BCA"/>
    <w:rsid w:val="00C03D6B"/>
    <w:rsid w:val="00C0498A"/>
    <w:rsid w:val="00C04D4F"/>
    <w:rsid w:val="00C04F54"/>
    <w:rsid w:val="00C04F81"/>
    <w:rsid w:val="00C04FB2"/>
    <w:rsid w:val="00C04FEB"/>
    <w:rsid w:val="00C05066"/>
    <w:rsid w:val="00C059EF"/>
    <w:rsid w:val="00C05D2F"/>
    <w:rsid w:val="00C05D4E"/>
    <w:rsid w:val="00C05DEE"/>
    <w:rsid w:val="00C06268"/>
    <w:rsid w:val="00C062FB"/>
    <w:rsid w:val="00C0656D"/>
    <w:rsid w:val="00C065AA"/>
    <w:rsid w:val="00C069CB"/>
    <w:rsid w:val="00C06C40"/>
    <w:rsid w:val="00C06C66"/>
    <w:rsid w:val="00C0738E"/>
    <w:rsid w:val="00C073A1"/>
    <w:rsid w:val="00C0756E"/>
    <w:rsid w:val="00C0792C"/>
    <w:rsid w:val="00C07A6C"/>
    <w:rsid w:val="00C07BBE"/>
    <w:rsid w:val="00C07C7F"/>
    <w:rsid w:val="00C07D23"/>
    <w:rsid w:val="00C1068F"/>
    <w:rsid w:val="00C10EC9"/>
    <w:rsid w:val="00C10F1D"/>
    <w:rsid w:val="00C11051"/>
    <w:rsid w:val="00C1134E"/>
    <w:rsid w:val="00C1158A"/>
    <w:rsid w:val="00C116A3"/>
    <w:rsid w:val="00C11783"/>
    <w:rsid w:val="00C1190D"/>
    <w:rsid w:val="00C11949"/>
    <w:rsid w:val="00C11976"/>
    <w:rsid w:val="00C11FA4"/>
    <w:rsid w:val="00C120E2"/>
    <w:rsid w:val="00C12206"/>
    <w:rsid w:val="00C12391"/>
    <w:rsid w:val="00C124C1"/>
    <w:rsid w:val="00C125CA"/>
    <w:rsid w:val="00C125D7"/>
    <w:rsid w:val="00C125EF"/>
    <w:rsid w:val="00C12733"/>
    <w:rsid w:val="00C129BA"/>
    <w:rsid w:val="00C132F8"/>
    <w:rsid w:val="00C133C2"/>
    <w:rsid w:val="00C139BD"/>
    <w:rsid w:val="00C13A1D"/>
    <w:rsid w:val="00C13E34"/>
    <w:rsid w:val="00C13FC6"/>
    <w:rsid w:val="00C14722"/>
    <w:rsid w:val="00C1476C"/>
    <w:rsid w:val="00C1482E"/>
    <w:rsid w:val="00C14973"/>
    <w:rsid w:val="00C14CEA"/>
    <w:rsid w:val="00C14F14"/>
    <w:rsid w:val="00C15034"/>
    <w:rsid w:val="00C153F1"/>
    <w:rsid w:val="00C1575C"/>
    <w:rsid w:val="00C1587A"/>
    <w:rsid w:val="00C15993"/>
    <w:rsid w:val="00C15D7E"/>
    <w:rsid w:val="00C16452"/>
    <w:rsid w:val="00C16A32"/>
    <w:rsid w:val="00C16D25"/>
    <w:rsid w:val="00C17046"/>
    <w:rsid w:val="00C17782"/>
    <w:rsid w:val="00C179B0"/>
    <w:rsid w:val="00C17D30"/>
    <w:rsid w:val="00C17F6E"/>
    <w:rsid w:val="00C2034F"/>
    <w:rsid w:val="00C2067B"/>
    <w:rsid w:val="00C20DC6"/>
    <w:rsid w:val="00C211BB"/>
    <w:rsid w:val="00C21383"/>
    <w:rsid w:val="00C21A6C"/>
    <w:rsid w:val="00C21C5A"/>
    <w:rsid w:val="00C21D8F"/>
    <w:rsid w:val="00C21E8A"/>
    <w:rsid w:val="00C21E8F"/>
    <w:rsid w:val="00C21EB0"/>
    <w:rsid w:val="00C21F04"/>
    <w:rsid w:val="00C21F39"/>
    <w:rsid w:val="00C22330"/>
    <w:rsid w:val="00C2269F"/>
    <w:rsid w:val="00C226D8"/>
    <w:rsid w:val="00C22AFA"/>
    <w:rsid w:val="00C22B1D"/>
    <w:rsid w:val="00C22E9F"/>
    <w:rsid w:val="00C22F03"/>
    <w:rsid w:val="00C22F25"/>
    <w:rsid w:val="00C2317D"/>
    <w:rsid w:val="00C23719"/>
    <w:rsid w:val="00C23C42"/>
    <w:rsid w:val="00C23DBE"/>
    <w:rsid w:val="00C23DD8"/>
    <w:rsid w:val="00C23FF5"/>
    <w:rsid w:val="00C2413B"/>
    <w:rsid w:val="00C2417B"/>
    <w:rsid w:val="00C24196"/>
    <w:rsid w:val="00C24396"/>
    <w:rsid w:val="00C244C8"/>
    <w:rsid w:val="00C24A24"/>
    <w:rsid w:val="00C24A47"/>
    <w:rsid w:val="00C24CFA"/>
    <w:rsid w:val="00C24D07"/>
    <w:rsid w:val="00C25241"/>
    <w:rsid w:val="00C25399"/>
    <w:rsid w:val="00C25422"/>
    <w:rsid w:val="00C25711"/>
    <w:rsid w:val="00C2594A"/>
    <w:rsid w:val="00C25F60"/>
    <w:rsid w:val="00C2642A"/>
    <w:rsid w:val="00C264B8"/>
    <w:rsid w:val="00C270E9"/>
    <w:rsid w:val="00C27426"/>
    <w:rsid w:val="00C275C1"/>
    <w:rsid w:val="00C27704"/>
    <w:rsid w:val="00C27B97"/>
    <w:rsid w:val="00C27F59"/>
    <w:rsid w:val="00C27F95"/>
    <w:rsid w:val="00C300E2"/>
    <w:rsid w:val="00C30149"/>
    <w:rsid w:val="00C3068E"/>
    <w:rsid w:val="00C3081A"/>
    <w:rsid w:val="00C30EDE"/>
    <w:rsid w:val="00C30FB2"/>
    <w:rsid w:val="00C3111E"/>
    <w:rsid w:val="00C31143"/>
    <w:rsid w:val="00C3118C"/>
    <w:rsid w:val="00C317AD"/>
    <w:rsid w:val="00C31EE2"/>
    <w:rsid w:val="00C32213"/>
    <w:rsid w:val="00C324AC"/>
    <w:rsid w:val="00C32890"/>
    <w:rsid w:val="00C32B70"/>
    <w:rsid w:val="00C32C27"/>
    <w:rsid w:val="00C32D00"/>
    <w:rsid w:val="00C3372E"/>
    <w:rsid w:val="00C33792"/>
    <w:rsid w:val="00C337D0"/>
    <w:rsid w:val="00C33B67"/>
    <w:rsid w:val="00C33B7C"/>
    <w:rsid w:val="00C33F1A"/>
    <w:rsid w:val="00C341DD"/>
    <w:rsid w:val="00C3478D"/>
    <w:rsid w:val="00C34916"/>
    <w:rsid w:val="00C34CF9"/>
    <w:rsid w:val="00C34DFC"/>
    <w:rsid w:val="00C34F05"/>
    <w:rsid w:val="00C3538F"/>
    <w:rsid w:val="00C3557C"/>
    <w:rsid w:val="00C35658"/>
    <w:rsid w:val="00C356E9"/>
    <w:rsid w:val="00C3570C"/>
    <w:rsid w:val="00C35717"/>
    <w:rsid w:val="00C3575C"/>
    <w:rsid w:val="00C35897"/>
    <w:rsid w:val="00C35965"/>
    <w:rsid w:val="00C35B5C"/>
    <w:rsid w:val="00C35D79"/>
    <w:rsid w:val="00C36588"/>
    <w:rsid w:val="00C36A37"/>
    <w:rsid w:val="00C36C76"/>
    <w:rsid w:val="00C36E52"/>
    <w:rsid w:val="00C37145"/>
    <w:rsid w:val="00C374A7"/>
    <w:rsid w:val="00C37A67"/>
    <w:rsid w:val="00C37AE1"/>
    <w:rsid w:val="00C37DDC"/>
    <w:rsid w:val="00C40173"/>
    <w:rsid w:val="00C403CA"/>
    <w:rsid w:val="00C40778"/>
    <w:rsid w:val="00C409E9"/>
    <w:rsid w:val="00C40B33"/>
    <w:rsid w:val="00C415D9"/>
    <w:rsid w:val="00C41BF2"/>
    <w:rsid w:val="00C41DD4"/>
    <w:rsid w:val="00C41DF4"/>
    <w:rsid w:val="00C4255C"/>
    <w:rsid w:val="00C42A2D"/>
    <w:rsid w:val="00C42B12"/>
    <w:rsid w:val="00C42C27"/>
    <w:rsid w:val="00C42CAF"/>
    <w:rsid w:val="00C42CD8"/>
    <w:rsid w:val="00C42ED9"/>
    <w:rsid w:val="00C4338F"/>
    <w:rsid w:val="00C43B51"/>
    <w:rsid w:val="00C43CA1"/>
    <w:rsid w:val="00C43D07"/>
    <w:rsid w:val="00C43FD6"/>
    <w:rsid w:val="00C44007"/>
    <w:rsid w:val="00C4461F"/>
    <w:rsid w:val="00C446C6"/>
    <w:rsid w:val="00C447E7"/>
    <w:rsid w:val="00C44D60"/>
    <w:rsid w:val="00C44E11"/>
    <w:rsid w:val="00C44F20"/>
    <w:rsid w:val="00C4505A"/>
    <w:rsid w:val="00C4529D"/>
    <w:rsid w:val="00C456A2"/>
    <w:rsid w:val="00C45AFD"/>
    <w:rsid w:val="00C45EA8"/>
    <w:rsid w:val="00C45F3C"/>
    <w:rsid w:val="00C46091"/>
    <w:rsid w:val="00C460E6"/>
    <w:rsid w:val="00C461B4"/>
    <w:rsid w:val="00C46337"/>
    <w:rsid w:val="00C473EC"/>
    <w:rsid w:val="00C47510"/>
    <w:rsid w:val="00C47708"/>
    <w:rsid w:val="00C47740"/>
    <w:rsid w:val="00C47911"/>
    <w:rsid w:val="00C479EF"/>
    <w:rsid w:val="00C47BA3"/>
    <w:rsid w:val="00C47E56"/>
    <w:rsid w:val="00C50249"/>
    <w:rsid w:val="00C503C3"/>
    <w:rsid w:val="00C506BC"/>
    <w:rsid w:val="00C50DBE"/>
    <w:rsid w:val="00C50F8A"/>
    <w:rsid w:val="00C51374"/>
    <w:rsid w:val="00C513BE"/>
    <w:rsid w:val="00C51F00"/>
    <w:rsid w:val="00C51FA5"/>
    <w:rsid w:val="00C522CC"/>
    <w:rsid w:val="00C522D6"/>
    <w:rsid w:val="00C52561"/>
    <w:rsid w:val="00C52E1A"/>
    <w:rsid w:val="00C52FCB"/>
    <w:rsid w:val="00C53229"/>
    <w:rsid w:val="00C535CB"/>
    <w:rsid w:val="00C53A1D"/>
    <w:rsid w:val="00C53CC0"/>
    <w:rsid w:val="00C53D17"/>
    <w:rsid w:val="00C54124"/>
    <w:rsid w:val="00C541A5"/>
    <w:rsid w:val="00C541DB"/>
    <w:rsid w:val="00C54216"/>
    <w:rsid w:val="00C543C3"/>
    <w:rsid w:val="00C54564"/>
    <w:rsid w:val="00C54575"/>
    <w:rsid w:val="00C54660"/>
    <w:rsid w:val="00C5495F"/>
    <w:rsid w:val="00C549A9"/>
    <w:rsid w:val="00C54BCF"/>
    <w:rsid w:val="00C54C25"/>
    <w:rsid w:val="00C54C47"/>
    <w:rsid w:val="00C54C62"/>
    <w:rsid w:val="00C54F80"/>
    <w:rsid w:val="00C550D5"/>
    <w:rsid w:val="00C551DB"/>
    <w:rsid w:val="00C55495"/>
    <w:rsid w:val="00C55532"/>
    <w:rsid w:val="00C5571F"/>
    <w:rsid w:val="00C55A29"/>
    <w:rsid w:val="00C55BEF"/>
    <w:rsid w:val="00C560AA"/>
    <w:rsid w:val="00C560D5"/>
    <w:rsid w:val="00C561C2"/>
    <w:rsid w:val="00C561D0"/>
    <w:rsid w:val="00C5656D"/>
    <w:rsid w:val="00C565E1"/>
    <w:rsid w:val="00C56803"/>
    <w:rsid w:val="00C56827"/>
    <w:rsid w:val="00C56C86"/>
    <w:rsid w:val="00C56D37"/>
    <w:rsid w:val="00C56D62"/>
    <w:rsid w:val="00C56F97"/>
    <w:rsid w:val="00C574CE"/>
    <w:rsid w:val="00C57EFD"/>
    <w:rsid w:val="00C60431"/>
    <w:rsid w:val="00C60453"/>
    <w:rsid w:val="00C6069F"/>
    <w:rsid w:val="00C606EE"/>
    <w:rsid w:val="00C60CEE"/>
    <w:rsid w:val="00C60E34"/>
    <w:rsid w:val="00C60F39"/>
    <w:rsid w:val="00C61A5E"/>
    <w:rsid w:val="00C61A7C"/>
    <w:rsid w:val="00C62091"/>
    <w:rsid w:val="00C624A5"/>
    <w:rsid w:val="00C6252A"/>
    <w:rsid w:val="00C628AD"/>
    <w:rsid w:val="00C62987"/>
    <w:rsid w:val="00C62EDA"/>
    <w:rsid w:val="00C62F02"/>
    <w:rsid w:val="00C62F72"/>
    <w:rsid w:val="00C62FF8"/>
    <w:rsid w:val="00C63043"/>
    <w:rsid w:val="00C630FC"/>
    <w:rsid w:val="00C6330F"/>
    <w:rsid w:val="00C63346"/>
    <w:rsid w:val="00C63609"/>
    <w:rsid w:val="00C63884"/>
    <w:rsid w:val="00C63C24"/>
    <w:rsid w:val="00C63D5B"/>
    <w:rsid w:val="00C63ECE"/>
    <w:rsid w:val="00C64116"/>
    <w:rsid w:val="00C642A3"/>
    <w:rsid w:val="00C6484F"/>
    <w:rsid w:val="00C64A08"/>
    <w:rsid w:val="00C64C4C"/>
    <w:rsid w:val="00C64E37"/>
    <w:rsid w:val="00C65235"/>
    <w:rsid w:val="00C656DB"/>
    <w:rsid w:val="00C65BCA"/>
    <w:rsid w:val="00C65D30"/>
    <w:rsid w:val="00C66120"/>
    <w:rsid w:val="00C665ED"/>
    <w:rsid w:val="00C6679C"/>
    <w:rsid w:val="00C66B39"/>
    <w:rsid w:val="00C66B7D"/>
    <w:rsid w:val="00C66CFF"/>
    <w:rsid w:val="00C6711E"/>
    <w:rsid w:val="00C67404"/>
    <w:rsid w:val="00C675F6"/>
    <w:rsid w:val="00C6772C"/>
    <w:rsid w:val="00C67AA5"/>
    <w:rsid w:val="00C704FC"/>
    <w:rsid w:val="00C70820"/>
    <w:rsid w:val="00C70A3F"/>
    <w:rsid w:val="00C70CE8"/>
    <w:rsid w:val="00C70DC5"/>
    <w:rsid w:val="00C70DDC"/>
    <w:rsid w:val="00C71207"/>
    <w:rsid w:val="00C71C3B"/>
    <w:rsid w:val="00C71CDB"/>
    <w:rsid w:val="00C7215A"/>
    <w:rsid w:val="00C721DF"/>
    <w:rsid w:val="00C721EB"/>
    <w:rsid w:val="00C726FC"/>
    <w:rsid w:val="00C727F1"/>
    <w:rsid w:val="00C72979"/>
    <w:rsid w:val="00C72F5C"/>
    <w:rsid w:val="00C732D7"/>
    <w:rsid w:val="00C733D8"/>
    <w:rsid w:val="00C7358F"/>
    <w:rsid w:val="00C73B5F"/>
    <w:rsid w:val="00C73D91"/>
    <w:rsid w:val="00C743AD"/>
    <w:rsid w:val="00C744C0"/>
    <w:rsid w:val="00C745B5"/>
    <w:rsid w:val="00C745F4"/>
    <w:rsid w:val="00C74B32"/>
    <w:rsid w:val="00C74C0E"/>
    <w:rsid w:val="00C74C3A"/>
    <w:rsid w:val="00C74E87"/>
    <w:rsid w:val="00C74FC9"/>
    <w:rsid w:val="00C753E3"/>
    <w:rsid w:val="00C75828"/>
    <w:rsid w:val="00C75EFB"/>
    <w:rsid w:val="00C76059"/>
    <w:rsid w:val="00C76A2E"/>
    <w:rsid w:val="00C76B60"/>
    <w:rsid w:val="00C76CA5"/>
    <w:rsid w:val="00C76FB6"/>
    <w:rsid w:val="00C778CB"/>
    <w:rsid w:val="00C77D52"/>
    <w:rsid w:val="00C77E88"/>
    <w:rsid w:val="00C807FE"/>
    <w:rsid w:val="00C80AB5"/>
    <w:rsid w:val="00C810BD"/>
    <w:rsid w:val="00C81115"/>
    <w:rsid w:val="00C81323"/>
    <w:rsid w:val="00C813D1"/>
    <w:rsid w:val="00C814BC"/>
    <w:rsid w:val="00C817A9"/>
    <w:rsid w:val="00C81F20"/>
    <w:rsid w:val="00C820E4"/>
    <w:rsid w:val="00C8231C"/>
    <w:rsid w:val="00C82369"/>
    <w:rsid w:val="00C8289E"/>
    <w:rsid w:val="00C8290A"/>
    <w:rsid w:val="00C82D62"/>
    <w:rsid w:val="00C82F37"/>
    <w:rsid w:val="00C8307F"/>
    <w:rsid w:val="00C831D8"/>
    <w:rsid w:val="00C8325A"/>
    <w:rsid w:val="00C833D0"/>
    <w:rsid w:val="00C834AB"/>
    <w:rsid w:val="00C83736"/>
    <w:rsid w:val="00C8381B"/>
    <w:rsid w:val="00C83F5A"/>
    <w:rsid w:val="00C844B0"/>
    <w:rsid w:val="00C84718"/>
    <w:rsid w:val="00C84ACA"/>
    <w:rsid w:val="00C84D99"/>
    <w:rsid w:val="00C85257"/>
    <w:rsid w:val="00C857A6"/>
    <w:rsid w:val="00C8581C"/>
    <w:rsid w:val="00C8595E"/>
    <w:rsid w:val="00C85A1B"/>
    <w:rsid w:val="00C85D6F"/>
    <w:rsid w:val="00C86198"/>
    <w:rsid w:val="00C8620C"/>
    <w:rsid w:val="00C862AF"/>
    <w:rsid w:val="00C86445"/>
    <w:rsid w:val="00C86769"/>
    <w:rsid w:val="00C86A62"/>
    <w:rsid w:val="00C87386"/>
    <w:rsid w:val="00C87523"/>
    <w:rsid w:val="00C87602"/>
    <w:rsid w:val="00C87722"/>
    <w:rsid w:val="00C87986"/>
    <w:rsid w:val="00C87D9B"/>
    <w:rsid w:val="00C87E50"/>
    <w:rsid w:val="00C902DD"/>
    <w:rsid w:val="00C904F4"/>
    <w:rsid w:val="00C9093D"/>
    <w:rsid w:val="00C90A5F"/>
    <w:rsid w:val="00C90AC7"/>
    <w:rsid w:val="00C90B22"/>
    <w:rsid w:val="00C90E65"/>
    <w:rsid w:val="00C90F26"/>
    <w:rsid w:val="00C91331"/>
    <w:rsid w:val="00C9135E"/>
    <w:rsid w:val="00C91757"/>
    <w:rsid w:val="00C917B8"/>
    <w:rsid w:val="00C917C6"/>
    <w:rsid w:val="00C918EC"/>
    <w:rsid w:val="00C9194A"/>
    <w:rsid w:val="00C91DD5"/>
    <w:rsid w:val="00C92744"/>
    <w:rsid w:val="00C92DA7"/>
    <w:rsid w:val="00C92DB9"/>
    <w:rsid w:val="00C92E80"/>
    <w:rsid w:val="00C93222"/>
    <w:rsid w:val="00C9333B"/>
    <w:rsid w:val="00C9354F"/>
    <w:rsid w:val="00C93B34"/>
    <w:rsid w:val="00C93B7D"/>
    <w:rsid w:val="00C93BBC"/>
    <w:rsid w:val="00C93EB8"/>
    <w:rsid w:val="00C945E7"/>
    <w:rsid w:val="00C94815"/>
    <w:rsid w:val="00C9485D"/>
    <w:rsid w:val="00C94DE1"/>
    <w:rsid w:val="00C94E22"/>
    <w:rsid w:val="00C950B6"/>
    <w:rsid w:val="00C95139"/>
    <w:rsid w:val="00C95493"/>
    <w:rsid w:val="00C954FC"/>
    <w:rsid w:val="00C958F7"/>
    <w:rsid w:val="00C95D6D"/>
    <w:rsid w:val="00C9606D"/>
    <w:rsid w:val="00C9611D"/>
    <w:rsid w:val="00C961DD"/>
    <w:rsid w:val="00C969A4"/>
    <w:rsid w:val="00C97242"/>
    <w:rsid w:val="00C974CD"/>
    <w:rsid w:val="00C974FB"/>
    <w:rsid w:val="00C97569"/>
    <w:rsid w:val="00C97886"/>
    <w:rsid w:val="00C97E6B"/>
    <w:rsid w:val="00CA018D"/>
    <w:rsid w:val="00CA02EB"/>
    <w:rsid w:val="00CA046E"/>
    <w:rsid w:val="00CA04D3"/>
    <w:rsid w:val="00CA05EE"/>
    <w:rsid w:val="00CA0A31"/>
    <w:rsid w:val="00CA0C22"/>
    <w:rsid w:val="00CA11E6"/>
    <w:rsid w:val="00CA1222"/>
    <w:rsid w:val="00CA16B1"/>
    <w:rsid w:val="00CA18F1"/>
    <w:rsid w:val="00CA1C20"/>
    <w:rsid w:val="00CA1C5F"/>
    <w:rsid w:val="00CA211F"/>
    <w:rsid w:val="00CA2163"/>
    <w:rsid w:val="00CA2484"/>
    <w:rsid w:val="00CA2621"/>
    <w:rsid w:val="00CA2973"/>
    <w:rsid w:val="00CA2AE7"/>
    <w:rsid w:val="00CA2D75"/>
    <w:rsid w:val="00CA309F"/>
    <w:rsid w:val="00CA38C3"/>
    <w:rsid w:val="00CA3A05"/>
    <w:rsid w:val="00CA3E0A"/>
    <w:rsid w:val="00CA3F42"/>
    <w:rsid w:val="00CA4016"/>
    <w:rsid w:val="00CA40B8"/>
    <w:rsid w:val="00CA449A"/>
    <w:rsid w:val="00CA450B"/>
    <w:rsid w:val="00CA4C32"/>
    <w:rsid w:val="00CA4CEC"/>
    <w:rsid w:val="00CA50B6"/>
    <w:rsid w:val="00CA56E9"/>
    <w:rsid w:val="00CA58C6"/>
    <w:rsid w:val="00CA5E0C"/>
    <w:rsid w:val="00CA6143"/>
    <w:rsid w:val="00CA6377"/>
    <w:rsid w:val="00CA6531"/>
    <w:rsid w:val="00CA6B87"/>
    <w:rsid w:val="00CA6C91"/>
    <w:rsid w:val="00CA74C2"/>
    <w:rsid w:val="00CA77E6"/>
    <w:rsid w:val="00CA7CE9"/>
    <w:rsid w:val="00CA7D55"/>
    <w:rsid w:val="00CA7D5A"/>
    <w:rsid w:val="00CA7D74"/>
    <w:rsid w:val="00CB007E"/>
    <w:rsid w:val="00CB034D"/>
    <w:rsid w:val="00CB04A2"/>
    <w:rsid w:val="00CB0596"/>
    <w:rsid w:val="00CB0BD9"/>
    <w:rsid w:val="00CB0D48"/>
    <w:rsid w:val="00CB0F3F"/>
    <w:rsid w:val="00CB0FEB"/>
    <w:rsid w:val="00CB13FB"/>
    <w:rsid w:val="00CB157D"/>
    <w:rsid w:val="00CB17B1"/>
    <w:rsid w:val="00CB1B51"/>
    <w:rsid w:val="00CB1C1F"/>
    <w:rsid w:val="00CB1D0B"/>
    <w:rsid w:val="00CB209D"/>
    <w:rsid w:val="00CB20ED"/>
    <w:rsid w:val="00CB23D2"/>
    <w:rsid w:val="00CB244E"/>
    <w:rsid w:val="00CB26CF"/>
    <w:rsid w:val="00CB2B18"/>
    <w:rsid w:val="00CB2F04"/>
    <w:rsid w:val="00CB2F16"/>
    <w:rsid w:val="00CB353F"/>
    <w:rsid w:val="00CB355D"/>
    <w:rsid w:val="00CB43BE"/>
    <w:rsid w:val="00CB45B7"/>
    <w:rsid w:val="00CB4A55"/>
    <w:rsid w:val="00CB4A82"/>
    <w:rsid w:val="00CB4E84"/>
    <w:rsid w:val="00CB4F4A"/>
    <w:rsid w:val="00CB5248"/>
    <w:rsid w:val="00CB544B"/>
    <w:rsid w:val="00CB5680"/>
    <w:rsid w:val="00CB56D9"/>
    <w:rsid w:val="00CB5765"/>
    <w:rsid w:val="00CB59E0"/>
    <w:rsid w:val="00CB5F26"/>
    <w:rsid w:val="00CB61E3"/>
    <w:rsid w:val="00CB6310"/>
    <w:rsid w:val="00CB6358"/>
    <w:rsid w:val="00CB658C"/>
    <w:rsid w:val="00CB6822"/>
    <w:rsid w:val="00CB6BA9"/>
    <w:rsid w:val="00CB6E59"/>
    <w:rsid w:val="00CB714D"/>
    <w:rsid w:val="00CB7249"/>
    <w:rsid w:val="00CB745B"/>
    <w:rsid w:val="00CB7611"/>
    <w:rsid w:val="00CB780C"/>
    <w:rsid w:val="00CC0235"/>
    <w:rsid w:val="00CC0329"/>
    <w:rsid w:val="00CC0547"/>
    <w:rsid w:val="00CC0A7B"/>
    <w:rsid w:val="00CC20D5"/>
    <w:rsid w:val="00CC21C0"/>
    <w:rsid w:val="00CC238A"/>
    <w:rsid w:val="00CC2B7A"/>
    <w:rsid w:val="00CC2D71"/>
    <w:rsid w:val="00CC2E57"/>
    <w:rsid w:val="00CC3174"/>
    <w:rsid w:val="00CC324A"/>
    <w:rsid w:val="00CC3547"/>
    <w:rsid w:val="00CC36F4"/>
    <w:rsid w:val="00CC385A"/>
    <w:rsid w:val="00CC4198"/>
    <w:rsid w:val="00CC4279"/>
    <w:rsid w:val="00CC42CC"/>
    <w:rsid w:val="00CC465A"/>
    <w:rsid w:val="00CC4883"/>
    <w:rsid w:val="00CC4ABC"/>
    <w:rsid w:val="00CC4C0B"/>
    <w:rsid w:val="00CC4ED1"/>
    <w:rsid w:val="00CC54ED"/>
    <w:rsid w:val="00CC55ED"/>
    <w:rsid w:val="00CC5B64"/>
    <w:rsid w:val="00CC618B"/>
    <w:rsid w:val="00CC673C"/>
    <w:rsid w:val="00CC6F5F"/>
    <w:rsid w:val="00CC79F8"/>
    <w:rsid w:val="00CD00EA"/>
    <w:rsid w:val="00CD047F"/>
    <w:rsid w:val="00CD0911"/>
    <w:rsid w:val="00CD0A91"/>
    <w:rsid w:val="00CD1052"/>
    <w:rsid w:val="00CD1161"/>
    <w:rsid w:val="00CD11F7"/>
    <w:rsid w:val="00CD1830"/>
    <w:rsid w:val="00CD1929"/>
    <w:rsid w:val="00CD1B57"/>
    <w:rsid w:val="00CD1B94"/>
    <w:rsid w:val="00CD1C16"/>
    <w:rsid w:val="00CD1E55"/>
    <w:rsid w:val="00CD2055"/>
    <w:rsid w:val="00CD208E"/>
    <w:rsid w:val="00CD2246"/>
    <w:rsid w:val="00CD25CF"/>
    <w:rsid w:val="00CD3351"/>
    <w:rsid w:val="00CD3394"/>
    <w:rsid w:val="00CD33F0"/>
    <w:rsid w:val="00CD33F5"/>
    <w:rsid w:val="00CD3601"/>
    <w:rsid w:val="00CD3646"/>
    <w:rsid w:val="00CD383E"/>
    <w:rsid w:val="00CD3A2C"/>
    <w:rsid w:val="00CD3D32"/>
    <w:rsid w:val="00CD3EE8"/>
    <w:rsid w:val="00CD43EA"/>
    <w:rsid w:val="00CD452D"/>
    <w:rsid w:val="00CD4748"/>
    <w:rsid w:val="00CD47D2"/>
    <w:rsid w:val="00CD4824"/>
    <w:rsid w:val="00CD4968"/>
    <w:rsid w:val="00CD5043"/>
    <w:rsid w:val="00CD55F7"/>
    <w:rsid w:val="00CD5A7E"/>
    <w:rsid w:val="00CD6139"/>
    <w:rsid w:val="00CD650F"/>
    <w:rsid w:val="00CD6782"/>
    <w:rsid w:val="00CD68C9"/>
    <w:rsid w:val="00CD693A"/>
    <w:rsid w:val="00CD7353"/>
    <w:rsid w:val="00CD7593"/>
    <w:rsid w:val="00CD7719"/>
    <w:rsid w:val="00CD771C"/>
    <w:rsid w:val="00CD7A77"/>
    <w:rsid w:val="00CD7CD5"/>
    <w:rsid w:val="00CE018F"/>
    <w:rsid w:val="00CE0710"/>
    <w:rsid w:val="00CE0CD0"/>
    <w:rsid w:val="00CE0E5E"/>
    <w:rsid w:val="00CE14D2"/>
    <w:rsid w:val="00CE161E"/>
    <w:rsid w:val="00CE175F"/>
    <w:rsid w:val="00CE17DC"/>
    <w:rsid w:val="00CE17DE"/>
    <w:rsid w:val="00CE19CC"/>
    <w:rsid w:val="00CE1D5C"/>
    <w:rsid w:val="00CE1EB2"/>
    <w:rsid w:val="00CE202B"/>
    <w:rsid w:val="00CE21AE"/>
    <w:rsid w:val="00CE23AF"/>
    <w:rsid w:val="00CE27C5"/>
    <w:rsid w:val="00CE282D"/>
    <w:rsid w:val="00CE2942"/>
    <w:rsid w:val="00CE2BB6"/>
    <w:rsid w:val="00CE337A"/>
    <w:rsid w:val="00CE368A"/>
    <w:rsid w:val="00CE371D"/>
    <w:rsid w:val="00CE385D"/>
    <w:rsid w:val="00CE389F"/>
    <w:rsid w:val="00CE403F"/>
    <w:rsid w:val="00CE40B9"/>
    <w:rsid w:val="00CE4293"/>
    <w:rsid w:val="00CE42A3"/>
    <w:rsid w:val="00CE435F"/>
    <w:rsid w:val="00CE4852"/>
    <w:rsid w:val="00CE4942"/>
    <w:rsid w:val="00CE49D3"/>
    <w:rsid w:val="00CE4E9C"/>
    <w:rsid w:val="00CE5277"/>
    <w:rsid w:val="00CE527C"/>
    <w:rsid w:val="00CE549C"/>
    <w:rsid w:val="00CE583A"/>
    <w:rsid w:val="00CE59E6"/>
    <w:rsid w:val="00CE5AAA"/>
    <w:rsid w:val="00CE5ABB"/>
    <w:rsid w:val="00CE5B19"/>
    <w:rsid w:val="00CE5C7F"/>
    <w:rsid w:val="00CE5CF9"/>
    <w:rsid w:val="00CE5F1E"/>
    <w:rsid w:val="00CE5F2E"/>
    <w:rsid w:val="00CE5FB1"/>
    <w:rsid w:val="00CE60D9"/>
    <w:rsid w:val="00CE6C72"/>
    <w:rsid w:val="00CE6CAF"/>
    <w:rsid w:val="00CE6F0F"/>
    <w:rsid w:val="00CE7319"/>
    <w:rsid w:val="00CE731C"/>
    <w:rsid w:val="00CE73A8"/>
    <w:rsid w:val="00CE73AE"/>
    <w:rsid w:val="00CE7464"/>
    <w:rsid w:val="00CE7AB9"/>
    <w:rsid w:val="00CE7B6F"/>
    <w:rsid w:val="00CE7B72"/>
    <w:rsid w:val="00CE7BFA"/>
    <w:rsid w:val="00CE7CB0"/>
    <w:rsid w:val="00CE7D3C"/>
    <w:rsid w:val="00CF002E"/>
    <w:rsid w:val="00CF0206"/>
    <w:rsid w:val="00CF04E0"/>
    <w:rsid w:val="00CF0E8D"/>
    <w:rsid w:val="00CF1418"/>
    <w:rsid w:val="00CF1455"/>
    <w:rsid w:val="00CF16D6"/>
    <w:rsid w:val="00CF1789"/>
    <w:rsid w:val="00CF1B0C"/>
    <w:rsid w:val="00CF1EE1"/>
    <w:rsid w:val="00CF210F"/>
    <w:rsid w:val="00CF2369"/>
    <w:rsid w:val="00CF2C5B"/>
    <w:rsid w:val="00CF308C"/>
    <w:rsid w:val="00CF30E0"/>
    <w:rsid w:val="00CF3198"/>
    <w:rsid w:val="00CF330A"/>
    <w:rsid w:val="00CF3478"/>
    <w:rsid w:val="00CF34AC"/>
    <w:rsid w:val="00CF355F"/>
    <w:rsid w:val="00CF3716"/>
    <w:rsid w:val="00CF388F"/>
    <w:rsid w:val="00CF3A71"/>
    <w:rsid w:val="00CF3ABA"/>
    <w:rsid w:val="00CF3BD9"/>
    <w:rsid w:val="00CF4A56"/>
    <w:rsid w:val="00CF4BC3"/>
    <w:rsid w:val="00CF5C0E"/>
    <w:rsid w:val="00CF6042"/>
    <w:rsid w:val="00CF60BA"/>
    <w:rsid w:val="00CF66CF"/>
    <w:rsid w:val="00CF693F"/>
    <w:rsid w:val="00CF698A"/>
    <w:rsid w:val="00CF7457"/>
    <w:rsid w:val="00CF75C0"/>
    <w:rsid w:val="00CF7D53"/>
    <w:rsid w:val="00CF7EEE"/>
    <w:rsid w:val="00D00006"/>
    <w:rsid w:val="00D0017B"/>
    <w:rsid w:val="00D007BD"/>
    <w:rsid w:val="00D007D0"/>
    <w:rsid w:val="00D00833"/>
    <w:rsid w:val="00D00A06"/>
    <w:rsid w:val="00D00BFF"/>
    <w:rsid w:val="00D0161C"/>
    <w:rsid w:val="00D01BDF"/>
    <w:rsid w:val="00D01BF2"/>
    <w:rsid w:val="00D01CDE"/>
    <w:rsid w:val="00D01E82"/>
    <w:rsid w:val="00D0220C"/>
    <w:rsid w:val="00D022AB"/>
    <w:rsid w:val="00D023E2"/>
    <w:rsid w:val="00D026A8"/>
    <w:rsid w:val="00D02720"/>
    <w:rsid w:val="00D027AB"/>
    <w:rsid w:val="00D02EEB"/>
    <w:rsid w:val="00D02F13"/>
    <w:rsid w:val="00D03100"/>
    <w:rsid w:val="00D0323E"/>
    <w:rsid w:val="00D032B2"/>
    <w:rsid w:val="00D03472"/>
    <w:rsid w:val="00D03517"/>
    <w:rsid w:val="00D03526"/>
    <w:rsid w:val="00D035CC"/>
    <w:rsid w:val="00D03798"/>
    <w:rsid w:val="00D038AF"/>
    <w:rsid w:val="00D03A15"/>
    <w:rsid w:val="00D03E4A"/>
    <w:rsid w:val="00D043B5"/>
    <w:rsid w:val="00D047EC"/>
    <w:rsid w:val="00D04814"/>
    <w:rsid w:val="00D04899"/>
    <w:rsid w:val="00D04C56"/>
    <w:rsid w:val="00D051E9"/>
    <w:rsid w:val="00D0558E"/>
    <w:rsid w:val="00D05A8B"/>
    <w:rsid w:val="00D05E10"/>
    <w:rsid w:val="00D0608B"/>
    <w:rsid w:val="00D06331"/>
    <w:rsid w:val="00D06469"/>
    <w:rsid w:val="00D067A3"/>
    <w:rsid w:val="00D0685E"/>
    <w:rsid w:val="00D0687D"/>
    <w:rsid w:val="00D06A3B"/>
    <w:rsid w:val="00D06AF8"/>
    <w:rsid w:val="00D06D6B"/>
    <w:rsid w:val="00D06E27"/>
    <w:rsid w:val="00D0706A"/>
    <w:rsid w:val="00D070B8"/>
    <w:rsid w:val="00D0752B"/>
    <w:rsid w:val="00D077AC"/>
    <w:rsid w:val="00D079F5"/>
    <w:rsid w:val="00D07CE7"/>
    <w:rsid w:val="00D07F19"/>
    <w:rsid w:val="00D07F99"/>
    <w:rsid w:val="00D10030"/>
    <w:rsid w:val="00D102B4"/>
    <w:rsid w:val="00D1068B"/>
    <w:rsid w:val="00D1078B"/>
    <w:rsid w:val="00D10C1D"/>
    <w:rsid w:val="00D10C6D"/>
    <w:rsid w:val="00D10E84"/>
    <w:rsid w:val="00D10EB9"/>
    <w:rsid w:val="00D10FA9"/>
    <w:rsid w:val="00D11310"/>
    <w:rsid w:val="00D11A33"/>
    <w:rsid w:val="00D1223C"/>
    <w:rsid w:val="00D126A0"/>
    <w:rsid w:val="00D12786"/>
    <w:rsid w:val="00D12E64"/>
    <w:rsid w:val="00D130D3"/>
    <w:rsid w:val="00D13C37"/>
    <w:rsid w:val="00D142AB"/>
    <w:rsid w:val="00D14300"/>
    <w:rsid w:val="00D148E4"/>
    <w:rsid w:val="00D14AF1"/>
    <w:rsid w:val="00D14C43"/>
    <w:rsid w:val="00D14E5A"/>
    <w:rsid w:val="00D154B4"/>
    <w:rsid w:val="00D158A6"/>
    <w:rsid w:val="00D15963"/>
    <w:rsid w:val="00D159A5"/>
    <w:rsid w:val="00D15CB4"/>
    <w:rsid w:val="00D15CC3"/>
    <w:rsid w:val="00D15EFA"/>
    <w:rsid w:val="00D15F30"/>
    <w:rsid w:val="00D1617C"/>
    <w:rsid w:val="00D16436"/>
    <w:rsid w:val="00D17085"/>
    <w:rsid w:val="00D17436"/>
    <w:rsid w:val="00D17982"/>
    <w:rsid w:val="00D17A1C"/>
    <w:rsid w:val="00D17B00"/>
    <w:rsid w:val="00D17B87"/>
    <w:rsid w:val="00D17BE4"/>
    <w:rsid w:val="00D17D42"/>
    <w:rsid w:val="00D20663"/>
    <w:rsid w:val="00D207DB"/>
    <w:rsid w:val="00D20A5D"/>
    <w:rsid w:val="00D20AE1"/>
    <w:rsid w:val="00D20B6D"/>
    <w:rsid w:val="00D20DC5"/>
    <w:rsid w:val="00D210CE"/>
    <w:rsid w:val="00D2114F"/>
    <w:rsid w:val="00D21282"/>
    <w:rsid w:val="00D216F1"/>
    <w:rsid w:val="00D21E1A"/>
    <w:rsid w:val="00D220DB"/>
    <w:rsid w:val="00D22326"/>
    <w:rsid w:val="00D22432"/>
    <w:rsid w:val="00D22855"/>
    <w:rsid w:val="00D2291E"/>
    <w:rsid w:val="00D22D4D"/>
    <w:rsid w:val="00D22E63"/>
    <w:rsid w:val="00D22E90"/>
    <w:rsid w:val="00D230EE"/>
    <w:rsid w:val="00D23196"/>
    <w:rsid w:val="00D232F1"/>
    <w:rsid w:val="00D233C5"/>
    <w:rsid w:val="00D233C9"/>
    <w:rsid w:val="00D23881"/>
    <w:rsid w:val="00D239DC"/>
    <w:rsid w:val="00D24011"/>
    <w:rsid w:val="00D242EB"/>
    <w:rsid w:val="00D24419"/>
    <w:rsid w:val="00D244D7"/>
    <w:rsid w:val="00D24AE1"/>
    <w:rsid w:val="00D24AF1"/>
    <w:rsid w:val="00D24E12"/>
    <w:rsid w:val="00D24E24"/>
    <w:rsid w:val="00D24F24"/>
    <w:rsid w:val="00D24F5B"/>
    <w:rsid w:val="00D251FA"/>
    <w:rsid w:val="00D25278"/>
    <w:rsid w:val="00D2539D"/>
    <w:rsid w:val="00D256A7"/>
    <w:rsid w:val="00D258E3"/>
    <w:rsid w:val="00D25A46"/>
    <w:rsid w:val="00D261F3"/>
    <w:rsid w:val="00D262C1"/>
    <w:rsid w:val="00D26317"/>
    <w:rsid w:val="00D26BA1"/>
    <w:rsid w:val="00D274D0"/>
    <w:rsid w:val="00D27775"/>
    <w:rsid w:val="00D2789B"/>
    <w:rsid w:val="00D279BA"/>
    <w:rsid w:val="00D27D75"/>
    <w:rsid w:val="00D27D84"/>
    <w:rsid w:val="00D30626"/>
    <w:rsid w:val="00D30B01"/>
    <w:rsid w:val="00D31186"/>
    <w:rsid w:val="00D3176C"/>
    <w:rsid w:val="00D31BFC"/>
    <w:rsid w:val="00D31DF3"/>
    <w:rsid w:val="00D32072"/>
    <w:rsid w:val="00D32B46"/>
    <w:rsid w:val="00D32BB9"/>
    <w:rsid w:val="00D32EE8"/>
    <w:rsid w:val="00D32EFF"/>
    <w:rsid w:val="00D332AC"/>
    <w:rsid w:val="00D3350D"/>
    <w:rsid w:val="00D33566"/>
    <w:rsid w:val="00D33A0C"/>
    <w:rsid w:val="00D34053"/>
    <w:rsid w:val="00D342CB"/>
    <w:rsid w:val="00D3472C"/>
    <w:rsid w:val="00D34C27"/>
    <w:rsid w:val="00D34EBD"/>
    <w:rsid w:val="00D34EC0"/>
    <w:rsid w:val="00D3515F"/>
    <w:rsid w:val="00D354F3"/>
    <w:rsid w:val="00D35878"/>
    <w:rsid w:val="00D35A0B"/>
    <w:rsid w:val="00D35EFF"/>
    <w:rsid w:val="00D35F67"/>
    <w:rsid w:val="00D36086"/>
    <w:rsid w:val="00D364C2"/>
    <w:rsid w:val="00D3684A"/>
    <w:rsid w:val="00D36877"/>
    <w:rsid w:val="00D36AED"/>
    <w:rsid w:val="00D36BA4"/>
    <w:rsid w:val="00D36D1D"/>
    <w:rsid w:val="00D36EF7"/>
    <w:rsid w:val="00D37210"/>
    <w:rsid w:val="00D3727F"/>
    <w:rsid w:val="00D37CEE"/>
    <w:rsid w:val="00D37F14"/>
    <w:rsid w:val="00D37FBE"/>
    <w:rsid w:val="00D40078"/>
    <w:rsid w:val="00D400CF"/>
    <w:rsid w:val="00D40A85"/>
    <w:rsid w:val="00D40B5C"/>
    <w:rsid w:val="00D40E39"/>
    <w:rsid w:val="00D410A4"/>
    <w:rsid w:val="00D410EE"/>
    <w:rsid w:val="00D411CD"/>
    <w:rsid w:val="00D411E6"/>
    <w:rsid w:val="00D41C90"/>
    <w:rsid w:val="00D41E62"/>
    <w:rsid w:val="00D424D0"/>
    <w:rsid w:val="00D42B7C"/>
    <w:rsid w:val="00D42BBA"/>
    <w:rsid w:val="00D42EB0"/>
    <w:rsid w:val="00D42F44"/>
    <w:rsid w:val="00D43383"/>
    <w:rsid w:val="00D433E5"/>
    <w:rsid w:val="00D438CE"/>
    <w:rsid w:val="00D438DE"/>
    <w:rsid w:val="00D43C23"/>
    <w:rsid w:val="00D43DAA"/>
    <w:rsid w:val="00D43E35"/>
    <w:rsid w:val="00D4427F"/>
    <w:rsid w:val="00D44453"/>
    <w:rsid w:val="00D446B8"/>
    <w:rsid w:val="00D4480D"/>
    <w:rsid w:val="00D44B34"/>
    <w:rsid w:val="00D44CFC"/>
    <w:rsid w:val="00D44DB6"/>
    <w:rsid w:val="00D44DB8"/>
    <w:rsid w:val="00D4507C"/>
    <w:rsid w:val="00D453B5"/>
    <w:rsid w:val="00D45469"/>
    <w:rsid w:val="00D4546C"/>
    <w:rsid w:val="00D45589"/>
    <w:rsid w:val="00D4560B"/>
    <w:rsid w:val="00D45AFF"/>
    <w:rsid w:val="00D45BE9"/>
    <w:rsid w:val="00D46521"/>
    <w:rsid w:val="00D465FF"/>
    <w:rsid w:val="00D46758"/>
    <w:rsid w:val="00D4681A"/>
    <w:rsid w:val="00D46B6B"/>
    <w:rsid w:val="00D46C46"/>
    <w:rsid w:val="00D4702F"/>
    <w:rsid w:val="00D47513"/>
    <w:rsid w:val="00D476E7"/>
    <w:rsid w:val="00D476E9"/>
    <w:rsid w:val="00D47751"/>
    <w:rsid w:val="00D477C4"/>
    <w:rsid w:val="00D478B2"/>
    <w:rsid w:val="00D47AD8"/>
    <w:rsid w:val="00D47ADD"/>
    <w:rsid w:val="00D47BAE"/>
    <w:rsid w:val="00D47CC6"/>
    <w:rsid w:val="00D47E54"/>
    <w:rsid w:val="00D501AC"/>
    <w:rsid w:val="00D50200"/>
    <w:rsid w:val="00D510EC"/>
    <w:rsid w:val="00D51143"/>
    <w:rsid w:val="00D5141F"/>
    <w:rsid w:val="00D514C7"/>
    <w:rsid w:val="00D51552"/>
    <w:rsid w:val="00D515BB"/>
    <w:rsid w:val="00D517F7"/>
    <w:rsid w:val="00D51873"/>
    <w:rsid w:val="00D51914"/>
    <w:rsid w:val="00D52602"/>
    <w:rsid w:val="00D52B49"/>
    <w:rsid w:val="00D52DEE"/>
    <w:rsid w:val="00D5310C"/>
    <w:rsid w:val="00D532A5"/>
    <w:rsid w:val="00D53601"/>
    <w:rsid w:val="00D538ED"/>
    <w:rsid w:val="00D53B52"/>
    <w:rsid w:val="00D53C37"/>
    <w:rsid w:val="00D53D0C"/>
    <w:rsid w:val="00D53F05"/>
    <w:rsid w:val="00D541E7"/>
    <w:rsid w:val="00D547E1"/>
    <w:rsid w:val="00D54F67"/>
    <w:rsid w:val="00D54F8E"/>
    <w:rsid w:val="00D55138"/>
    <w:rsid w:val="00D554EA"/>
    <w:rsid w:val="00D5563F"/>
    <w:rsid w:val="00D557F7"/>
    <w:rsid w:val="00D55977"/>
    <w:rsid w:val="00D55DD7"/>
    <w:rsid w:val="00D55E65"/>
    <w:rsid w:val="00D56080"/>
    <w:rsid w:val="00D562AE"/>
    <w:rsid w:val="00D56310"/>
    <w:rsid w:val="00D5687B"/>
    <w:rsid w:val="00D568C3"/>
    <w:rsid w:val="00D56EF5"/>
    <w:rsid w:val="00D57342"/>
    <w:rsid w:val="00D573B2"/>
    <w:rsid w:val="00D573CE"/>
    <w:rsid w:val="00D5745C"/>
    <w:rsid w:val="00D57667"/>
    <w:rsid w:val="00D5767A"/>
    <w:rsid w:val="00D57AD4"/>
    <w:rsid w:val="00D57F98"/>
    <w:rsid w:val="00D600A3"/>
    <w:rsid w:val="00D601EC"/>
    <w:rsid w:val="00D60222"/>
    <w:rsid w:val="00D60274"/>
    <w:rsid w:val="00D6038D"/>
    <w:rsid w:val="00D6077C"/>
    <w:rsid w:val="00D60971"/>
    <w:rsid w:val="00D60C3F"/>
    <w:rsid w:val="00D610BB"/>
    <w:rsid w:val="00D6117C"/>
    <w:rsid w:val="00D6150E"/>
    <w:rsid w:val="00D61633"/>
    <w:rsid w:val="00D616F8"/>
    <w:rsid w:val="00D61764"/>
    <w:rsid w:val="00D61E71"/>
    <w:rsid w:val="00D62342"/>
    <w:rsid w:val="00D6295E"/>
    <w:rsid w:val="00D62A89"/>
    <w:rsid w:val="00D62CF6"/>
    <w:rsid w:val="00D62DD9"/>
    <w:rsid w:val="00D62EFD"/>
    <w:rsid w:val="00D630DC"/>
    <w:rsid w:val="00D6317A"/>
    <w:rsid w:val="00D634E8"/>
    <w:rsid w:val="00D63566"/>
    <w:rsid w:val="00D635BF"/>
    <w:rsid w:val="00D6370D"/>
    <w:rsid w:val="00D638DB"/>
    <w:rsid w:val="00D63AC4"/>
    <w:rsid w:val="00D63AE4"/>
    <w:rsid w:val="00D63B26"/>
    <w:rsid w:val="00D63EE2"/>
    <w:rsid w:val="00D64262"/>
    <w:rsid w:val="00D643DE"/>
    <w:rsid w:val="00D64992"/>
    <w:rsid w:val="00D64AF3"/>
    <w:rsid w:val="00D64C8E"/>
    <w:rsid w:val="00D6534D"/>
    <w:rsid w:val="00D65407"/>
    <w:rsid w:val="00D654C7"/>
    <w:rsid w:val="00D659EE"/>
    <w:rsid w:val="00D65BD7"/>
    <w:rsid w:val="00D65F37"/>
    <w:rsid w:val="00D6624F"/>
    <w:rsid w:val="00D70286"/>
    <w:rsid w:val="00D704D0"/>
    <w:rsid w:val="00D705DF"/>
    <w:rsid w:val="00D7076A"/>
    <w:rsid w:val="00D70C70"/>
    <w:rsid w:val="00D70C99"/>
    <w:rsid w:val="00D70E92"/>
    <w:rsid w:val="00D718D2"/>
    <w:rsid w:val="00D71B39"/>
    <w:rsid w:val="00D71EF8"/>
    <w:rsid w:val="00D721C3"/>
    <w:rsid w:val="00D72297"/>
    <w:rsid w:val="00D72645"/>
    <w:rsid w:val="00D72837"/>
    <w:rsid w:val="00D729C7"/>
    <w:rsid w:val="00D72A98"/>
    <w:rsid w:val="00D72BE6"/>
    <w:rsid w:val="00D731C6"/>
    <w:rsid w:val="00D735E3"/>
    <w:rsid w:val="00D73850"/>
    <w:rsid w:val="00D73948"/>
    <w:rsid w:val="00D7397B"/>
    <w:rsid w:val="00D73A6E"/>
    <w:rsid w:val="00D73C20"/>
    <w:rsid w:val="00D73C8F"/>
    <w:rsid w:val="00D73F8D"/>
    <w:rsid w:val="00D74144"/>
    <w:rsid w:val="00D7414C"/>
    <w:rsid w:val="00D741B1"/>
    <w:rsid w:val="00D74A0F"/>
    <w:rsid w:val="00D74EE2"/>
    <w:rsid w:val="00D752F4"/>
    <w:rsid w:val="00D75A6D"/>
    <w:rsid w:val="00D75B68"/>
    <w:rsid w:val="00D76184"/>
    <w:rsid w:val="00D7663D"/>
    <w:rsid w:val="00D76665"/>
    <w:rsid w:val="00D76B4B"/>
    <w:rsid w:val="00D76B6F"/>
    <w:rsid w:val="00D76CC0"/>
    <w:rsid w:val="00D76F92"/>
    <w:rsid w:val="00D77028"/>
    <w:rsid w:val="00D770BF"/>
    <w:rsid w:val="00D774BE"/>
    <w:rsid w:val="00D7768D"/>
    <w:rsid w:val="00D779F3"/>
    <w:rsid w:val="00D77A86"/>
    <w:rsid w:val="00D77CF6"/>
    <w:rsid w:val="00D77E67"/>
    <w:rsid w:val="00D8080A"/>
    <w:rsid w:val="00D80886"/>
    <w:rsid w:val="00D80B29"/>
    <w:rsid w:val="00D81065"/>
    <w:rsid w:val="00D817F8"/>
    <w:rsid w:val="00D81B4C"/>
    <w:rsid w:val="00D81DCB"/>
    <w:rsid w:val="00D81DDA"/>
    <w:rsid w:val="00D81FAB"/>
    <w:rsid w:val="00D82264"/>
    <w:rsid w:val="00D822EA"/>
    <w:rsid w:val="00D827D5"/>
    <w:rsid w:val="00D827EC"/>
    <w:rsid w:val="00D82D7D"/>
    <w:rsid w:val="00D82DA3"/>
    <w:rsid w:val="00D82DF9"/>
    <w:rsid w:val="00D830BB"/>
    <w:rsid w:val="00D832BE"/>
    <w:rsid w:val="00D83403"/>
    <w:rsid w:val="00D836C5"/>
    <w:rsid w:val="00D83AD6"/>
    <w:rsid w:val="00D83D4B"/>
    <w:rsid w:val="00D83DA7"/>
    <w:rsid w:val="00D84148"/>
    <w:rsid w:val="00D84939"/>
    <w:rsid w:val="00D84CCE"/>
    <w:rsid w:val="00D84E42"/>
    <w:rsid w:val="00D85045"/>
    <w:rsid w:val="00D8509B"/>
    <w:rsid w:val="00D850F6"/>
    <w:rsid w:val="00D85427"/>
    <w:rsid w:val="00D85611"/>
    <w:rsid w:val="00D85CB2"/>
    <w:rsid w:val="00D85FB8"/>
    <w:rsid w:val="00D8622C"/>
    <w:rsid w:val="00D86507"/>
    <w:rsid w:val="00D865C5"/>
    <w:rsid w:val="00D865EF"/>
    <w:rsid w:val="00D86A4F"/>
    <w:rsid w:val="00D87147"/>
    <w:rsid w:val="00D87172"/>
    <w:rsid w:val="00D87258"/>
    <w:rsid w:val="00D87A07"/>
    <w:rsid w:val="00D87E79"/>
    <w:rsid w:val="00D900C8"/>
    <w:rsid w:val="00D90118"/>
    <w:rsid w:val="00D90339"/>
    <w:rsid w:val="00D90660"/>
    <w:rsid w:val="00D9087A"/>
    <w:rsid w:val="00D90A59"/>
    <w:rsid w:val="00D90A96"/>
    <w:rsid w:val="00D90B1F"/>
    <w:rsid w:val="00D90E18"/>
    <w:rsid w:val="00D90F0D"/>
    <w:rsid w:val="00D91818"/>
    <w:rsid w:val="00D91C27"/>
    <w:rsid w:val="00D91CB8"/>
    <w:rsid w:val="00D91DB9"/>
    <w:rsid w:val="00D9203A"/>
    <w:rsid w:val="00D9264A"/>
    <w:rsid w:val="00D92928"/>
    <w:rsid w:val="00D929B7"/>
    <w:rsid w:val="00D936F0"/>
    <w:rsid w:val="00D93744"/>
    <w:rsid w:val="00D9390E"/>
    <w:rsid w:val="00D93C3E"/>
    <w:rsid w:val="00D94124"/>
    <w:rsid w:val="00D94210"/>
    <w:rsid w:val="00D94490"/>
    <w:rsid w:val="00D945C6"/>
    <w:rsid w:val="00D94872"/>
    <w:rsid w:val="00D94977"/>
    <w:rsid w:val="00D949BD"/>
    <w:rsid w:val="00D94AE9"/>
    <w:rsid w:val="00D94AEB"/>
    <w:rsid w:val="00D94B6E"/>
    <w:rsid w:val="00D94B81"/>
    <w:rsid w:val="00D94BF6"/>
    <w:rsid w:val="00D94CA6"/>
    <w:rsid w:val="00D94D93"/>
    <w:rsid w:val="00D94EFF"/>
    <w:rsid w:val="00D9506B"/>
    <w:rsid w:val="00D950F8"/>
    <w:rsid w:val="00D95A67"/>
    <w:rsid w:val="00D95A7F"/>
    <w:rsid w:val="00D95E6A"/>
    <w:rsid w:val="00D95F7D"/>
    <w:rsid w:val="00D96069"/>
    <w:rsid w:val="00D9614F"/>
    <w:rsid w:val="00D961F3"/>
    <w:rsid w:val="00D96669"/>
    <w:rsid w:val="00D967B6"/>
    <w:rsid w:val="00D96980"/>
    <w:rsid w:val="00D96BB5"/>
    <w:rsid w:val="00D96C2F"/>
    <w:rsid w:val="00D96D17"/>
    <w:rsid w:val="00D97702"/>
    <w:rsid w:val="00D97A6F"/>
    <w:rsid w:val="00D97B26"/>
    <w:rsid w:val="00D97EE2"/>
    <w:rsid w:val="00DA01AD"/>
    <w:rsid w:val="00DA091B"/>
    <w:rsid w:val="00DA1046"/>
    <w:rsid w:val="00DA12A6"/>
    <w:rsid w:val="00DA141E"/>
    <w:rsid w:val="00DA160B"/>
    <w:rsid w:val="00DA1758"/>
    <w:rsid w:val="00DA19D1"/>
    <w:rsid w:val="00DA1ABB"/>
    <w:rsid w:val="00DA1DA7"/>
    <w:rsid w:val="00DA1F16"/>
    <w:rsid w:val="00DA1F42"/>
    <w:rsid w:val="00DA1F68"/>
    <w:rsid w:val="00DA2183"/>
    <w:rsid w:val="00DA22A1"/>
    <w:rsid w:val="00DA25A8"/>
    <w:rsid w:val="00DA27C3"/>
    <w:rsid w:val="00DA29D8"/>
    <w:rsid w:val="00DA2AB2"/>
    <w:rsid w:val="00DA2B0F"/>
    <w:rsid w:val="00DA2B7A"/>
    <w:rsid w:val="00DA2D96"/>
    <w:rsid w:val="00DA3056"/>
    <w:rsid w:val="00DA33E7"/>
    <w:rsid w:val="00DA3420"/>
    <w:rsid w:val="00DA372B"/>
    <w:rsid w:val="00DA3945"/>
    <w:rsid w:val="00DA3A3C"/>
    <w:rsid w:val="00DA3DFA"/>
    <w:rsid w:val="00DA3FA5"/>
    <w:rsid w:val="00DA408C"/>
    <w:rsid w:val="00DA42D9"/>
    <w:rsid w:val="00DA432E"/>
    <w:rsid w:val="00DA4961"/>
    <w:rsid w:val="00DA4B46"/>
    <w:rsid w:val="00DA4C5E"/>
    <w:rsid w:val="00DA4D31"/>
    <w:rsid w:val="00DA4D7E"/>
    <w:rsid w:val="00DA4F02"/>
    <w:rsid w:val="00DA5146"/>
    <w:rsid w:val="00DA5A96"/>
    <w:rsid w:val="00DA6707"/>
    <w:rsid w:val="00DA6DF3"/>
    <w:rsid w:val="00DA6E93"/>
    <w:rsid w:val="00DA6EAE"/>
    <w:rsid w:val="00DA7031"/>
    <w:rsid w:val="00DA75AE"/>
    <w:rsid w:val="00DA791F"/>
    <w:rsid w:val="00DA7C60"/>
    <w:rsid w:val="00DA7C9A"/>
    <w:rsid w:val="00DA7F69"/>
    <w:rsid w:val="00DB076E"/>
    <w:rsid w:val="00DB084E"/>
    <w:rsid w:val="00DB096C"/>
    <w:rsid w:val="00DB0996"/>
    <w:rsid w:val="00DB0A90"/>
    <w:rsid w:val="00DB0BF3"/>
    <w:rsid w:val="00DB1CCD"/>
    <w:rsid w:val="00DB1F50"/>
    <w:rsid w:val="00DB2299"/>
    <w:rsid w:val="00DB2495"/>
    <w:rsid w:val="00DB294D"/>
    <w:rsid w:val="00DB29D0"/>
    <w:rsid w:val="00DB2B01"/>
    <w:rsid w:val="00DB2BA9"/>
    <w:rsid w:val="00DB2DEC"/>
    <w:rsid w:val="00DB31C9"/>
    <w:rsid w:val="00DB3786"/>
    <w:rsid w:val="00DB37E3"/>
    <w:rsid w:val="00DB3875"/>
    <w:rsid w:val="00DB3A24"/>
    <w:rsid w:val="00DB3B18"/>
    <w:rsid w:val="00DB3B32"/>
    <w:rsid w:val="00DB3B64"/>
    <w:rsid w:val="00DB3C00"/>
    <w:rsid w:val="00DB3CE3"/>
    <w:rsid w:val="00DB3F30"/>
    <w:rsid w:val="00DB3FD6"/>
    <w:rsid w:val="00DB40A4"/>
    <w:rsid w:val="00DB41A4"/>
    <w:rsid w:val="00DB4716"/>
    <w:rsid w:val="00DB4909"/>
    <w:rsid w:val="00DB4B86"/>
    <w:rsid w:val="00DB4F08"/>
    <w:rsid w:val="00DB5546"/>
    <w:rsid w:val="00DB5791"/>
    <w:rsid w:val="00DB58CE"/>
    <w:rsid w:val="00DB5B3C"/>
    <w:rsid w:val="00DB5E31"/>
    <w:rsid w:val="00DB6007"/>
    <w:rsid w:val="00DB6250"/>
    <w:rsid w:val="00DB63B1"/>
    <w:rsid w:val="00DB6B4D"/>
    <w:rsid w:val="00DB6CCE"/>
    <w:rsid w:val="00DB6F95"/>
    <w:rsid w:val="00DB7149"/>
    <w:rsid w:val="00DB726A"/>
    <w:rsid w:val="00DB72E8"/>
    <w:rsid w:val="00DB746B"/>
    <w:rsid w:val="00DB75D5"/>
    <w:rsid w:val="00DB7DBA"/>
    <w:rsid w:val="00DB7E50"/>
    <w:rsid w:val="00DB7E5B"/>
    <w:rsid w:val="00DB7F00"/>
    <w:rsid w:val="00DC0453"/>
    <w:rsid w:val="00DC059F"/>
    <w:rsid w:val="00DC06B2"/>
    <w:rsid w:val="00DC0CAD"/>
    <w:rsid w:val="00DC129E"/>
    <w:rsid w:val="00DC173E"/>
    <w:rsid w:val="00DC17CB"/>
    <w:rsid w:val="00DC1D7F"/>
    <w:rsid w:val="00DC1F0A"/>
    <w:rsid w:val="00DC1F89"/>
    <w:rsid w:val="00DC2231"/>
    <w:rsid w:val="00DC246F"/>
    <w:rsid w:val="00DC26AE"/>
    <w:rsid w:val="00DC2AD2"/>
    <w:rsid w:val="00DC2E08"/>
    <w:rsid w:val="00DC2E23"/>
    <w:rsid w:val="00DC2E4F"/>
    <w:rsid w:val="00DC2EE3"/>
    <w:rsid w:val="00DC32E3"/>
    <w:rsid w:val="00DC32FD"/>
    <w:rsid w:val="00DC3505"/>
    <w:rsid w:val="00DC3797"/>
    <w:rsid w:val="00DC39AA"/>
    <w:rsid w:val="00DC3B0C"/>
    <w:rsid w:val="00DC3B1E"/>
    <w:rsid w:val="00DC3ECD"/>
    <w:rsid w:val="00DC41E4"/>
    <w:rsid w:val="00DC42D0"/>
    <w:rsid w:val="00DC4372"/>
    <w:rsid w:val="00DC4919"/>
    <w:rsid w:val="00DC4E7B"/>
    <w:rsid w:val="00DC4F03"/>
    <w:rsid w:val="00DC4FB5"/>
    <w:rsid w:val="00DC5095"/>
    <w:rsid w:val="00DC51A4"/>
    <w:rsid w:val="00DC56F3"/>
    <w:rsid w:val="00DC5934"/>
    <w:rsid w:val="00DC59E1"/>
    <w:rsid w:val="00DC5D9E"/>
    <w:rsid w:val="00DC5F0E"/>
    <w:rsid w:val="00DC60C4"/>
    <w:rsid w:val="00DC6186"/>
    <w:rsid w:val="00DC635F"/>
    <w:rsid w:val="00DC66F0"/>
    <w:rsid w:val="00DC66FF"/>
    <w:rsid w:val="00DC6826"/>
    <w:rsid w:val="00DC6A20"/>
    <w:rsid w:val="00DC6C2A"/>
    <w:rsid w:val="00DC6CD6"/>
    <w:rsid w:val="00DC6D2D"/>
    <w:rsid w:val="00DC70C6"/>
    <w:rsid w:val="00DC73C7"/>
    <w:rsid w:val="00DC7689"/>
    <w:rsid w:val="00DC7871"/>
    <w:rsid w:val="00DC7945"/>
    <w:rsid w:val="00DC79F2"/>
    <w:rsid w:val="00DC7B32"/>
    <w:rsid w:val="00DC7D76"/>
    <w:rsid w:val="00DC7DD4"/>
    <w:rsid w:val="00DC7DE0"/>
    <w:rsid w:val="00DD00A1"/>
    <w:rsid w:val="00DD04F8"/>
    <w:rsid w:val="00DD0749"/>
    <w:rsid w:val="00DD0FEE"/>
    <w:rsid w:val="00DD1043"/>
    <w:rsid w:val="00DD10C1"/>
    <w:rsid w:val="00DD117A"/>
    <w:rsid w:val="00DD1330"/>
    <w:rsid w:val="00DD16AD"/>
    <w:rsid w:val="00DD18AF"/>
    <w:rsid w:val="00DD1B38"/>
    <w:rsid w:val="00DD1BF3"/>
    <w:rsid w:val="00DD1C50"/>
    <w:rsid w:val="00DD1EA3"/>
    <w:rsid w:val="00DD248D"/>
    <w:rsid w:val="00DD256C"/>
    <w:rsid w:val="00DD2670"/>
    <w:rsid w:val="00DD2734"/>
    <w:rsid w:val="00DD27F2"/>
    <w:rsid w:val="00DD2B0E"/>
    <w:rsid w:val="00DD2C05"/>
    <w:rsid w:val="00DD32A2"/>
    <w:rsid w:val="00DD3411"/>
    <w:rsid w:val="00DD3414"/>
    <w:rsid w:val="00DD3523"/>
    <w:rsid w:val="00DD370D"/>
    <w:rsid w:val="00DD3BBD"/>
    <w:rsid w:val="00DD4123"/>
    <w:rsid w:val="00DD434A"/>
    <w:rsid w:val="00DD445E"/>
    <w:rsid w:val="00DD457E"/>
    <w:rsid w:val="00DD4719"/>
    <w:rsid w:val="00DD4A5B"/>
    <w:rsid w:val="00DD4A8E"/>
    <w:rsid w:val="00DD5070"/>
    <w:rsid w:val="00DD53D3"/>
    <w:rsid w:val="00DD59B2"/>
    <w:rsid w:val="00DD5CE5"/>
    <w:rsid w:val="00DD60B5"/>
    <w:rsid w:val="00DD6271"/>
    <w:rsid w:val="00DD62A8"/>
    <w:rsid w:val="00DD6968"/>
    <w:rsid w:val="00DD69FA"/>
    <w:rsid w:val="00DD7173"/>
    <w:rsid w:val="00DD71AD"/>
    <w:rsid w:val="00DD7529"/>
    <w:rsid w:val="00DD762E"/>
    <w:rsid w:val="00DD7A86"/>
    <w:rsid w:val="00DD7CED"/>
    <w:rsid w:val="00DE0745"/>
    <w:rsid w:val="00DE076C"/>
    <w:rsid w:val="00DE0C16"/>
    <w:rsid w:val="00DE0C51"/>
    <w:rsid w:val="00DE0E6F"/>
    <w:rsid w:val="00DE10DD"/>
    <w:rsid w:val="00DE157B"/>
    <w:rsid w:val="00DE1706"/>
    <w:rsid w:val="00DE188F"/>
    <w:rsid w:val="00DE1C7A"/>
    <w:rsid w:val="00DE1D6A"/>
    <w:rsid w:val="00DE24A2"/>
    <w:rsid w:val="00DE25E4"/>
    <w:rsid w:val="00DE2B42"/>
    <w:rsid w:val="00DE2E74"/>
    <w:rsid w:val="00DE3183"/>
    <w:rsid w:val="00DE318D"/>
    <w:rsid w:val="00DE35DC"/>
    <w:rsid w:val="00DE3E60"/>
    <w:rsid w:val="00DE3F09"/>
    <w:rsid w:val="00DE3F81"/>
    <w:rsid w:val="00DE434E"/>
    <w:rsid w:val="00DE4411"/>
    <w:rsid w:val="00DE474A"/>
    <w:rsid w:val="00DE4F22"/>
    <w:rsid w:val="00DE54F1"/>
    <w:rsid w:val="00DE561A"/>
    <w:rsid w:val="00DE5649"/>
    <w:rsid w:val="00DE59B5"/>
    <w:rsid w:val="00DE5BB4"/>
    <w:rsid w:val="00DE5BF0"/>
    <w:rsid w:val="00DE60E8"/>
    <w:rsid w:val="00DE6181"/>
    <w:rsid w:val="00DE6489"/>
    <w:rsid w:val="00DE671A"/>
    <w:rsid w:val="00DE6A7B"/>
    <w:rsid w:val="00DE6A81"/>
    <w:rsid w:val="00DE6E7E"/>
    <w:rsid w:val="00DE70F1"/>
    <w:rsid w:val="00DE71D1"/>
    <w:rsid w:val="00DE76A2"/>
    <w:rsid w:val="00DE774B"/>
    <w:rsid w:val="00DE77C3"/>
    <w:rsid w:val="00DE7C4E"/>
    <w:rsid w:val="00DE7F4C"/>
    <w:rsid w:val="00DF00E1"/>
    <w:rsid w:val="00DF0710"/>
    <w:rsid w:val="00DF0C9E"/>
    <w:rsid w:val="00DF0D79"/>
    <w:rsid w:val="00DF0E1C"/>
    <w:rsid w:val="00DF0EBB"/>
    <w:rsid w:val="00DF1C6A"/>
    <w:rsid w:val="00DF1DC8"/>
    <w:rsid w:val="00DF2085"/>
    <w:rsid w:val="00DF20C7"/>
    <w:rsid w:val="00DF219E"/>
    <w:rsid w:val="00DF21E9"/>
    <w:rsid w:val="00DF2573"/>
    <w:rsid w:val="00DF2A57"/>
    <w:rsid w:val="00DF2AD1"/>
    <w:rsid w:val="00DF2B44"/>
    <w:rsid w:val="00DF2EFB"/>
    <w:rsid w:val="00DF2F78"/>
    <w:rsid w:val="00DF31C4"/>
    <w:rsid w:val="00DF3554"/>
    <w:rsid w:val="00DF37F7"/>
    <w:rsid w:val="00DF3A6A"/>
    <w:rsid w:val="00DF3C5F"/>
    <w:rsid w:val="00DF3F70"/>
    <w:rsid w:val="00DF428B"/>
    <w:rsid w:val="00DF4492"/>
    <w:rsid w:val="00DF47C6"/>
    <w:rsid w:val="00DF483C"/>
    <w:rsid w:val="00DF48C0"/>
    <w:rsid w:val="00DF4BA4"/>
    <w:rsid w:val="00DF4BE5"/>
    <w:rsid w:val="00DF4E84"/>
    <w:rsid w:val="00DF5104"/>
    <w:rsid w:val="00DF5304"/>
    <w:rsid w:val="00DF558F"/>
    <w:rsid w:val="00DF56CE"/>
    <w:rsid w:val="00DF56F8"/>
    <w:rsid w:val="00DF5835"/>
    <w:rsid w:val="00DF58AC"/>
    <w:rsid w:val="00DF58F1"/>
    <w:rsid w:val="00DF5B0B"/>
    <w:rsid w:val="00DF5CCB"/>
    <w:rsid w:val="00DF5FC7"/>
    <w:rsid w:val="00DF61AF"/>
    <w:rsid w:val="00DF6560"/>
    <w:rsid w:val="00DF662D"/>
    <w:rsid w:val="00DF66B9"/>
    <w:rsid w:val="00DF6EAF"/>
    <w:rsid w:val="00DF7057"/>
    <w:rsid w:val="00DF773F"/>
    <w:rsid w:val="00DF79F2"/>
    <w:rsid w:val="00DF7B6B"/>
    <w:rsid w:val="00DF7C0C"/>
    <w:rsid w:val="00E00029"/>
    <w:rsid w:val="00E0053C"/>
    <w:rsid w:val="00E005EC"/>
    <w:rsid w:val="00E00AB0"/>
    <w:rsid w:val="00E00CCA"/>
    <w:rsid w:val="00E00D1A"/>
    <w:rsid w:val="00E00D43"/>
    <w:rsid w:val="00E010A9"/>
    <w:rsid w:val="00E0110C"/>
    <w:rsid w:val="00E01192"/>
    <w:rsid w:val="00E018D6"/>
    <w:rsid w:val="00E01A36"/>
    <w:rsid w:val="00E01B4A"/>
    <w:rsid w:val="00E01CAF"/>
    <w:rsid w:val="00E02172"/>
    <w:rsid w:val="00E0264C"/>
    <w:rsid w:val="00E0265D"/>
    <w:rsid w:val="00E02C30"/>
    <w:rsid w:val="00E02DE2"/>
    <w:rsid w:val="00E0300A"/>
    <w:rsid w:val="00E030BA"/>
    <w:rsid w:val="00E03264"/>
    <w:rsid w:val="00E03A19"/>
    <w:rsid w:val="00E03F47"/>
    <w:rsid w:val="00E044A2"/>
    <w:rsid w:val="00E04521"/>
    <w:rsid w:val="00E04D34"/>
    <w:rsid w:val="00E04EC9"/>
    <w:rsid w:val="00E0541D"/>
    <w:rsid w:val="00E0546C"/>
    <w:rsid w:val="00E057E0"/>
    <w:rsid w:val="00E05A1A"/>
    <w:rsid w:val="00E05DE8"/>
    <w:rsid w:val="00E05F42"/>
    <w:rsid w:val="00E05F9D"/>
    <w:rsid w:val="00E06025"/>
    <w:rsid w:val="00E061FE"/>
    <w:rsid w:val="00E062E2"/>
    <w:rsid w:val="00E06897"/>
    <w:rsid w:val="00E06B88"/>
    <w:rsid w:val="00E06FD6"/>
    <w:rsid w:val="00E074CF"/>
    <w:rsid w:val="00E07515"/>
    <w:rsid w:val="00E07C06"/>
    <w:rsid w:val="00E07F58"/>
    <w:rsid w:val="00E101F8"/>
    <w:rsid w:val="00E10284"/>
    <w:rsid w:val="00E10515"/>
    <w:rsid w:val="00E109EA"/>
    <w:rsid w:val="00E10A17"/>
    <w:rsid w:val="00E10A28"/>
    <w:rsid w:val="00E10B16"/>
    <w:rsid w:val="00E1123B"/>
    <w:rsid w:val="00E1126B"/>
    <w:rsid w:val="00E11405"/>
    <w:rsid w:val="00E11622"/>
    <w:rsid w:val="00E11792"/>
    <w:rsid w:val="00E11A1B"/>
    <w:rsid w:val="00E11AC2"/>
    <w:rsid w:val="00E11F58"/>
    <w:rsid w:val="00E12494"/>
    <w:rsid w:val="00E12500"/>
    <w:rsid w:val="00E127E8"/>
    <w:rsid w:val="00E128C0"/>
    <w:rsid w:val="00E128CB"/>
    <w:rsid w:val="00E12CB1"/>
    <w:rsid w:val="00E12CC8"/>
    <w:rsid w:val="00E12DAB"/>
    <w:rsid w:val="00E12F32"/>
    <w:rsid w:val="00E1323A"/>
    <w:rsid w:val="00E134B4"/>
    <w:rsid w:val="00E136D3"/>
    <w:rsid w:val="00E137A3"/>
    <w:rsid w:val="00E13A41"/>
    <w:rsid w:val="00E13CD5"/>
    <w:rsid w:val="00E1413F"/>
    <w:rsid w:val="00E1418E"/>
    <w:rsid w:val="00E141EB"/>
    <w:rsid w:val="00E142E3"/>
    <w:rsid w:val="00E14496"/>
    <w:rsid w:val="00E145AD"/>
    <w:rsid w:val="00E148C2"/>
    <w:rsid w:val="00E1493E"/>
    <w:rsid w:val="00E14B93"/>
    <w:rsid w:val="00E1561C"/>
    <w:rsid w:val="00E15AFB"/>
    <w:rsid w:val="00E15D3C"/>
    <w:rsid w:val="00E15E8B"/>
    <w:rsid w:val="00E1632E"/>
    <w:rsid w:val="00E16432"/>
    <w:rsid w:val="00E165DB"/>
    <w:rsid w:val="00E169C3"/>
    <w:rsid w:val="00E16C00"/>
    <w:rsid w:val="00E172E5"/>
    <w:rsid w:val="00E17367"/>
    <w:rsid w:val="00E17579"/>
    <w:rsid w:val="00E175C6"/>
    <w:rsid w:val="00E1768E"/>
    <w:rsid w:val="00E17C6A"/>
    <w:rsid w:val="00E17EB4"/>
    <w:rsid w:val="00E17FB5"/>
    <w:rsid w:val="00E20136"/>
    <w:rsid w:val="00E20192"/>
    <w:rsid w:val="00E201C0"/>
    <w:rsid w:val="00E20370"/>
    <w:rsid w:val="00E2051A"/>
    <w:rsid w:val="00E2062C"/>
    <w:rsid w:val="00E2063E"/>
    <w:rsid w:val="00E20A29"/>
    <w:rsid w:val="00E20D33"/>
    <w:rsid w:val="00E216F4"/>
    <w:rsid w:val="00E21AEF"/>
    <w:rsid w:val="00E21E6B"/>
    <w:rsid w:val="00E21FCE"/>
    <w:rsid w:val="00E2202A"/>
    <w:rsid w:val="00E224B2"/>
    <w:rsid w:val="00E22BF4"/>
    <w:rsid w:val="00E22C5E"/>
    <w:rsid w:val="00E22EA2"/>
    <w:rsid w:val="00E232F5"/>
    <w:rsid w:val="00E233D6"/>
    <w:rsid w:val="00E23BF5"/>
    <w:rsid w:val="00E23F03"/>
    <w:rsid w:val="00E240F7"/>
    <w:rsid w:val="00E243DC"/>
    <w:rsid w:val="00E24560"/>
    <w:rsid w:val="00E24818"/>
    <w:rsid w:val="00E24BC6"/>
    <w:rsid w:val="00E24D03"/>
    <w:rsid w:val="00E24F63"/>
    <w:rsid w:val="00E25153"/>
    <w:rsid w:val="00E25412"/>
    <w:rsid w:val="00E25606"/>
    <w:rsid w:val="00E2581F"/>
    <w:rsid w:val="00E25CA1"/>
    <w:rsid w:val="00E25D13"/>
    <w:rsid w:val="00E26092"/>
    <w:rsid w:val="00E26267"/>
    <w:rsid w:val="00E2626C"/>
    <w:rsid w:val="00E2633B"/>
    <w:rsid w:val="00E26808"/>
    <w:rsid w:val="00E26B7F"/>
    <w:rsid w:val="00E26BA8"/>
    <w:rsid w:val="00E26CA8"/>
    <w:rsid w:val="00E26CAD"/>
    <w:rsid w:val="00E273DF"/>
    <w:rsid w:val="00E2756E"/>
    <w:rsid w:val="00E27830"/>
    <w:rsid w:val="00E27881"/>
    <w:rsid w:val="00E27984"/>
    <w:rsid w:val="00E27BF1"/>
    <w:rsid w:val="00E27DC0"/>
    <w:rsid w:val="00E30371"/>
    <w:rsid w:val="00E306C5"/>
    <w:rsid w:val="00E30873"/>
    <w:rsid w:val="00E308D3"/>
    <w:rsid w:val="00E30DB9"/>
    <w:rsid w:val="00E30DD4"/>
    <w:rsid w:val="00E30E87"/>
    <w:rsid w:val="00E30F76"/>
    <w:rsid w:val="00E30FE7"/>
    <w:rsid w:val="00E3103B"/>
    <w:rsid w:val="00E3130D"/>
    <w:rsid w:val="00E315B7"/>
    <w:rsid w:val="00E318F3"/>
    <w:rsid w:val="00E31AFE"/>
    <w:rsid w:val="00E31B73"/>
    <w:rsid w:val="00E31F14"/>
    <w:rsid w:val="00E31FF7"/>
    <w:rsid w:val="00E32070"/>
    <w:rsid w:val="00E32095"/>
    <w:rsid w:val="00E3232C"/>
    <w:rsid w:val="00E325D4"/>
    <w:rsid w:val="00E327AD"/>
    <w:rsid w:val="00E32A91"/>
    <w:rsid w:val="00E32C44"/>
    <w:rsid w:val="00E32CE3"/>
    <w:rsid w:val="00E333E8"/>
    <w:rsid w:val="00E33790"/>
    <w:rsid w:val="00E338AE"/>
    <w:rsid w:val="00E338BD"/>
    <w:rsid w:val="00E33F1A"/>
    <w:rsid w:val="00E34429"/>
    <w:rsid w:val="00E345BA"/>
    <w:rsid w:val="00E34A29"/>
    <w:rsid w:val="00E34FCE"/>
    <w:rsid w:val="00E35869"/>
    <w:rsid w:val="00E358ED"/>
    <w:rsid w:val="00E35DA5"/>
    <w:rsid w:val="00E35F49"/>
    <w:rsid w:val="00E35F8E"/>
    <w:rsid w:val="00E361E0"/>
    <w:rsid w:val="00E3643C"/>
    <w:rsid w:val="00E366C3"/>
    <w:rsid w:val="00E367FD"/>
    <w:rsid w:val="00E36953"/>
    <w:rsid w:val="00E36A64"/>
    <w:rsid w:val="00E36D70"/>
    <w:rsid w:val="00E36E12"/>
    <w:rsid w:val="00E37008"/>
    <w:rsid w:val="00E374E3"/>
    <w:rsid w:val="00E37647"/>
    <w:rsid w:val="00E3785B"/>
    <w:rsid w:val="00E37B92"/>
    <w:rsid w:val="00E37EBD"/>
    <w:rsid w:val="00E402FA"/>
    <w:rsid w:val="00E40796"/>
    <w:rsid w:val="00E40935"/>
    <w:rsid w:val="00E40A53"/>
    <w:rsid w:val="00E40CFD"/>
    <w:rsid w:val="00E40F59"/>
    <w:rsid w:val="00E41419"/>
    <w:rsid w:val="00E41459"/>
    <w:rsid w:val="00E41BB6"/>
    <w:rsid w:val="00E41DBD"/>
    <w:rsid w:val="00E41FB4"/>
    <w:rsid w:val="00E4229E"/>
    <w:rsid w:val="00E423AD"/>
    <w:rsid w:val="00E424F8"/>
    <w:rsid w:val="00E427C0"/>
    <w:rsid w:val="00E429A1"/>
    <w:rsid w:val="00E42A8E"/>
    <w:rsid w:val="00E42C70"/>
    <w:rsid w:val="00E42E2D"/>
    <w:rsid w:val="00E42E38"/>
    <w:rsid w:val="00E43111"/>
    <w:rsid w:val="00E43275"/>
    <w:rsid w:val="00E432EF"/>
    <w:rsid w:val="00E43EAB"/>
    <w:rsid w:val="00E44A5D"/>
    <w:rsid w:val="00E44BA2"/>
    <w:rsid w:val="00E44FD8"/>
    <w:rsid w:val="00E4515E"/>
    <w:rsid w:val="00E45424"/>
    <w:rsid w:val="00E458AC"/>
    <w:rsid w:val="00E45BCE"/>
    <w:rsid w:val="00E45D14"/>
    <w:rsid w:val="00E465F8"/>
    <w:rsid w:val="00E47064"/>
    <w:rsid w:val="00E47585"/>
    <w:rsid w:val="00E475F9"/>
    <w:rsid w:val="00E476D6"/>
    <w:rsid w:val="00E47846"/>
    <w:rsid w:val="00E47A13"/>
    <w:rsid w:val="00E47A5F"/>
    <w:rsid w:val="00E47BCB"/>
    <w:rsid w:val="00E47C24"/>
    <w:rsid w:val="00E47E1D"/>
    <w:rsid w:val="00E47F81"/>
    <w:rsid w:val="00E50477"/>
    <w:rsid w:val="00E504CB"/>
    <w:rsid w:val="00E507F0"/>
    <w:rsid w:val="00E50919"/>
    <w:rsid w:val="00E50C8C"/>
    <w:rsid w:val="00E50E5B"/>
    <w:rsid w:val="00E50F2E"/>
    <w:rsid w:val="00E50FE4"/>
    <w:rsid w:val="00E51244"/>
    <w:rsid w:val="00E51506"/>
    <w:rsid w:val="00E516F0"/>
    <w:rsid w:val="00E51C0C"/>
    <w:rsid w:val="00E51CBE"/>
    <w:rsid w:val="00E51D5E"/>
    <w:rsid w:val="00E522EC"/>
    <w:rsid w:val="00E53027"/>
    <w:rsid w:val="00E53108"/>
    <w:rsid w:val="00E53252"/>
    <w:rsid w:val="00E5344A"/>
    <w:rsid w:val="00E53AAA"/>
    <w:rsid w:val="00E53DB4"/>
    <w:rsid w:val="00E53E1F"/>
    <w:rsid w:val="00E54147"/>
    <w:rsid w:val="00E54364"/>
    <w:rsid w:val="00E547C2"/>
    <w:rsid w:val="00E54A17"/>
    <w:rsid w:val="00E54A18"/>
    <w:rsid w:val="00E55237"/>
    <w:rsid w:val="00E5528B"/>
    <w:rsid w:val="00E55406"/>
    <w:rsid w:val="00E55899"/>
    <w:rsid w:val="00E55964"/>
    <w:rsid w:val="00E55CD8"/>
    <w:rsid w:val="00E5633A"/>
    <w:rsid w:val="00E56470"/>
    <w:rsid w:val="00E564B2"/>
    <w:rsid w:val="00E57131"/>
    <w:rsid w:val="00E572F1"/>
    <w:rsid w:val="00E57331"/>
    <w:rsid w:val="00E574ED"/>
    <w:rsid w:val="00E57602"/>
    <w:rsid w:val="00E57694"/>
    <w:rsid w:val="00E578AE"/>
    <w:rsid w:val="00E57A7E"/>
    <w:rsid w:val="00E6026B"/>
    <w:rsid w:val="00E6087C"/>
    <w:rsid w:val="00E60A47"/>
    <w:rsid w:val="00E60A8F"/>
    <w:rsid w:val="00E60AEC"/>
    <w:rsid w:val="00E60B8B"/>
    <w:rsid w:val="00E60FD6"/>
    <w:rsid w:val="00E617BF"/>
    <w:rsid w:val="00E61FB4"/>
    <w:rsid w:val="00E61FB9"/>
    <w:rsid w:val="00E62515"/>
    <w:rsid w:val="00E628DB"/>
    <w:rsid w:val="00E62E36"/>
    <w:rsid w:val="00E62EC8"/>
    <w:rsid w:val="00E6310D"/>
    <w:rsid w:val="00E639A9"/>
    <w:rsid w:val="00E63A5B"/>
    <w:rsid w:val="00E63A9D"/>
    <w:rsid w:val="00E63CA6"/>
    <w:rsid w:val="00E63E50"/>
    <w:rsid w:val="00E63F9E"/>
    <w:rsid w:val="00E642A8"/>
    <w:rsid w:val="00E64478"/>
    <w:rsid w:val="00E645EF"/>
    <w:rsid w:val="00E655A9"/>
    <w:rsid w:val="00E65E7D"/>
    <w:rsid w:val="00E6670C"/>
    <w:rsid w:val="00E6671A"/>
    <w:rsid w:val="00E66844"/>
    <w:rsid w:val="00E66A35"/>
    <w:rsid w:val="00E671E7"/>
    <w:rsid w:val="00E67574"/>
    <w:rsid w:val="00E675C1"/>
    <w:rsid w:val="00E67679"/>
    <w:rsid w:val="00E677D0"/>
    <w:rsid w:val="00E6791F"/>
    <w:rsid w:val="00E67B21"/>
    <w:rsid w:val="00E67FFC"/>
    <w:rsid w:val="00E7008C"/>
    <w:rsid w:val="00E700D0"/>
    <w:rsid w:val="00E70138"/>
    <w:rsid w:val="00E70577"/>
    <w:rsid w:val="00E709F9"/>
    <w:rsid w:val="00E70EC2"/>
    <w:rsid w:val="00E7117C"/>
    <w:rsid w:val="00E717BF"/>
    <w:rsid w:val="00E72142"/>
    <w:rsid w:val="00E72589"/>
    <w:rsid w:val="00E7277E"/>
    <w:rsid w:val="00E728D2"/>
    <w:rsid w:val="00E728F8"/>
    <w:rsid w:val="00E72986"/>
    <w:rsid w:val="00E72BD3"/>
    <w:rsid w:val="00E7328E"/>
    <w:rsid w:val="00E7387C"/>
    <w:rsid w:val="00E73AD1"/>
    <w:rsid w:val="00E73C4F"/>
    <w:rsid w:val="00E73F0B"/>
    <w:rsid w:val="00E74077"/>
    <w:rsid w:val="00E741CD"/>
    <w:rsid w:val="00E74700"/>
    <w:rsid w:val="00E747DA"/>
    <w:rsid w:val="00E75167"/>
    <w:rsid w:val="00E752A1"/>
    <w:rsid w:val="00E75368"/>
    <w:rsid w:val="00E75731"/>
    <w:rsid w:val="00E758CD"/>
    <w:rsid w:val="00E75C39"/>
    <w:rsid w:val="00E761DB"/>
    <w:rsid w:val="00E764BC"/>
    <w:rsid w:val="00E76673"/>
    <w:rsid w:val="00E7671C"/>
    <w:rsid w:val="00E771F5"/>
    <w:rsid w:val="00E77280"/>
    <w:rsid w:val="00E77294"/>
    <w:rsid w:val="00E77970"/>
    <w:rsid w:val="00E77A00"/>
    <w:rsid w:val="00E77A70"/>
    <w:rsid w:val="00E77F4F"/>
    <w:rsid w:val="00E8055C"/>
    <w:rsid w:val="00E8059E"/>
    <w:rsid w:val="00E8097F"/>
    <w:rsid w:val="00E80A96"/>
    <w:rsid w:val="00E80D76"/>
    <w:rsid w:val="00E80FCB"/>
    <w:rsid w:val="00E81106"/>
    <w:rsid w:val="00E811F9"/>
    <w:rsid w:val="00E81F5F"/>
    <w:rsid w:val="00E81F78"/>
    <w:rsid w:val="00E822DA"/>
    <w:rsid w:val="00E826D7"/>
    <w:rsid w:val="00E82762"/>
    <w:rsid w:val="00E82AAC"/>
    <w:rsid w:val="00E82C13"/>
    <w:rsid w:val="00E82C80"/>
    <w:rsid w:val="00E82E47"/>
    <w:rsid w:val="00E8303B"/>
    <w:rsid w:val="00E833DD"/>
    <w:rsid w:val="00E83819"/>
    <w:rsid w:val="00E840C7"/>
    <w:rsid w:val="00E848E9"/>
    <w:rsid w:val="00E84A59"/>
    <w:rsid w:val="00E84A98"/>
    <w:rsid w:val="00E84C9E"/>
    <w:rsid w:val="00E84E0F"/>
    <w:rsid w:val="00E84EBB"/>
    <w:rsid w:val="00E84FB0"/>
    <w:rsid w:val="00E856CB"/>
    <w:rsid w:val="00E856D8"/>
    <w:rsid w:val="00E8590F"/>
    <w:rsid w:val="00E85B43"/>
    <w:rsid w:val="00E86112"/>
    <w:rsid w:val="00E86235"/>
    <w:rsid w:val="00E86406"/>
    <w:rsid w:val="00E8672C"/>
    <w:rsid w:val="00E86865"/>
    <w:rsid w:val="00E86965"/>
    <w:rsid w:val="00E86C42"/>
    <w:rsid w:val="00E86D41"/>
    <w:rsid w:val="00E86DCE"/>
    <w:rsid w:val="00E86DF2"/>
    <w:rsid w:val="00E8706F"/>
    <w:rsid w:val="00E874B4"/>
    <w:rsid w:val="00E87954"/>
    <w:rsid w:val="00E8798E"/>
    <w:rsid w:val="00E87C2D"/>
    <w:rsid w:val="00E87D08"/>
    <w:rsid w:val="00E87ECA"/>
    <w:rsid w:val="00E90227"/>
    <w:rsid w:val="00E903F3"/>
    <w:rsid w:val="00E90505"/>
    <w:rsid w:val="00E90B4C"/>
    <w:rsid w:val="00E90F1D"/>
    <w:rsid w:val="00E90FD6"/>
    <w:rsid w:val="00E9118C"/>
    <w:rsid w:val="00E91220"/>
    <w:rsid w:val="00E914B0"/>
    <w:rsid w:val="00E91582"/>
    <w:rsid w:val="00E91732"/>
    <w:rsid w:val="00E919E9"/>
    <w:rsid w:val="00E91B67"/>
    <w:rsid w:val="00E91C80"/>
    <w:rsid w:val="00E91EAF"/>
    <w:rsid w:val="00E91EE2"/>
    <w:rsid w:val="00E91F18"/>
    <w:rsid w:val="00E921A2"/>
    <w:rsid w:val="00E921F9"/>
    <w:rsid w:val="00E92746"/>
    <w:rsid w:val="00E9278C"/>
    <w:rsid w:val="00E92A36"/>
    <w:rsid w:val="00E92BFC"/>
    <w:rsid w:val="00E9328D"/>
    <w:rsid w:val="00E932B1"/>
    <w:rsid w:val="00E93508"/>
    <w:rsid w:val="00E9362C"/>
    <w:rsid w:val="00E93802"/>
    <w:rsid w:val="00E93C3A"/>
    <w:rsid w:val="00E93D4E"/>
    <w:rsid w:val="00E93DBF"/>
    <w:rsid w:val="00E94006"/>
    <w:rsid w:val="00E94151"/>
    <w:rsid w:val="00E941EA"/>
    <w:rsid w:val="00E944E9"/>
    <w:rsid w:val="00E94514"/>
    <w:rsid w:val="00E94B0D"/>
    <w:rsid w:val="00E95086"/>
    <w:rsid w:val="00E9525B"/>
    <w:rsid w:val="00E952B1"/>
    <w:rsid w:val="00E95330"/>
    <w:rsid w:val="00E95ABE"/>
    <w:rsid w:val="00E95C97"/>
    <w:rsid w:val="00E95F2E"/>
    <w:rsid w:val="00E96243"/>
    <w:rsid w:val="00E96419"/>
    <w:rsid w:val="00E96482"/>
    <w:rsid w:val="00E96EF7"/>
    <w:rsid w:val="00E973E2"/>
    <w:rsid w:val="00E973E9"/>
    <w:rsid w:val="00E97565"/>
    <w:rsid w:val="00E977F2"/>
    <w:rsid w:val="00E978DD"/>
    <w:rsid w:val="00E979A9"/>
    <w:rsid w:val="00E97BE1"/>
    <w:rsid w:val="00E97E58"/>
    <w:rsid w:val="00EA020F"/>
    <w:rsid w:val="00EA030F"/>
    <w:rsid w:val="00EA07DA"/>
    <w:rsid w:val="00EA0CB2"/>
    <w:rsid w:val="00EA0E9D"/>
    <w:rsid w:val="00EA115D"/>
    <w:rsid w:val="00EA1250"/>
    <w:rsid w:val="00EA12A8"/>
    <w:rsid w:val="00EA12D6"/>
    <w:rsid w:val="00EA15BB"/>
    <w:rsid w:val="00EA169B"/>
    <w:rsid w:val="00EA1746"/>
    <w:rsid w:val="00EA195F"/>
    <w:rsid w:val="00EA1A79"/>
    <w:rsid w:val="00EA1BEC"/>
    <w:rsid w:val="00EA1C26"/>
    <w:rsid w:val="00EA1DFF"/>
    <w:rsid w:val="00EA1E31"/>
    <w:rsid w:val="00EA1F7E"/>
    <w:rsid w:val="00EA240D"/>
    <w:rsid w:val="00EA2575"/>
    <w:rsid w:val="00EA2715"/>
    <w:rsid w:val="00EA278B"/>
    <w:rsid w:val="00EA2BA6"/>
    <w:rsid w:val="00EA2C75"/>
    <w:rsid w:val="00EA2E3F"/>
    <w:rsid w:val="00EA32F8"/>
    <w:rsid w:val="00EA3CAC"/>
    <w:rsid w:val="00EA3CC5"/>
    <w:rsid w:val="00EA3CF2"/>
    <w:rsid w:val="00EA3E1B"/>
    <w:rsid w:val="00EA3EE3"/>
    <w:rsid w:val="00EA3F20"/>
    <w:rsid w:val="00EA43EE"/>
    <w:rsid w:val="00EA4BA1"/>
    <w:rsid w:val="00EA4EB7"/>
    <w:rsid w:val="00EA4F32"/>
    <w:rsid w:val="00EA5283"/>
    <w:rsid w:val="00EA581D"/>
    <w:rsid w:val="00EA5AF2"/>
    <w:rsid w:val="00EA5F3C"/>
    <w:rsid w:val="00EA5FF5"/>
    <w:rsid w:val="00EA6025"/>
    <w:rsid w:val="00EA641F"/>
    <w:rsid w:val="00EA65DD"/>
    <w:rsid w:val="00EA6954"/>
    <w:rsid w:val="00EA6A3C"/>
    <w:rsid w:val="00EA6C20"/>
    <w:rsid w:val="00EA6C9E"/>
    <w:rsid w:val="00EA6CE9"/>
    <w:rsid w:val="00EA7499"/>
    <w:rsid w:val="00EA7566"/>
    <w:rsid w:val="00EA768E"/>
    <w:rsid w:val="00EA7749"/>
    <w:rsid w:val="00EA775B"/>
    <w:rsid w:val="00EA791F"/>
    <w:rsid w:val="00EA7A31"/>
    <w:rsid w:val="00EA7D5B"/>
    <w:rsid w:val="00EB02BC"/>
    <w:rsid w:val="00EB069F"/>
    <w:rsid w:val="00EB07D9"/>
    <w:rsid w:val="00EB0D3E"/>
    <w:rsid w:val="00EB0F78"/>
    <w:rsid w:val="00EB1380"/>
    <w:rsid w:val="00EB177D"/>
    <w:rsid w:val="00EB1829"/>
    <w:rsid w:val="00EB18F9"/>
    <w:rsid w:val="00EB1FD6"/>
    <w:rsid w:val="00EB205A"/>
    <w:rsid w:val="00EB22C9"/>
    <w:rsid w:val="00EB2409"/>
    <w:rsid w:val="00EB2E0E"/>
    <w:rsid w:val="00EB30C1"/>
    <w:rsid w:val="00EB30C6"/>
    <w:rsid w:val="00EB3514"/>
    <w:rsid w:val="00EB36F2"/>
    <w:rsid w:val="00EB3C7B"/>
    <w:rsid w:val="00EB3CBA"/>
    <w:rsid w:val="00EB41DA"/>
    <w:rsid w:val="00EB4655"/>
    <w:rsid w:val="00EB47DE"/>
    <w:rsid w:val="00EB4B15"/>
    <w:rsid w:val="00EB4E53"/>
    <w:rsid w:val="00EB4FC5"/>
    <w:rsid w:val="00EB5251"/>
    <w:rsid w:val="00EB528F"/>
    <w:rsid w:val="00EB5536"/>
    <w:rsid w:val="00EB5957"/>
    <w:rsid w:val="00EB5F80"/>
    <w:rsid w:val="00EB6732"/>
    <w:rsid w:val="00EB6778"/>
    <w:rsid w:val="00EB6D5C"/>
    <w:rsid w:val="00EB6F93"/>
    <w:rsid w:val="00EB70F9"/>
    <w:rsid w:val="00EB73C6"/>
    <w:rsid w:val="00EB7871"/>
    <w:rsid w:val="00EB7A60"/>
    <w:rsid w:val="00EB7BBD"/>
    <w:rsid w:val="00EC00F9"/>
    <w:rsid w:val="00EC01E6"/>
    <w:rsid w:val="00EC072D"/>
    <w:rsid w:val="00EC0777"/>
    <w:rsid w:val="00EC0894"/>
    <w:rsid w:val="00EC09C0"/>
    <w:rsid w:val="00EC0DA4"/>
    <w:rsid w:val="00EC1063"/>
    <w:rsid w:val="00EC137B"/>
    <w:rsid w:val="00EC150C"/>
    <w:rsid w:val="00EC1B40"/>
    <w:rsid w:val="00EC1B99"/>
    <w:rsid w:val="00EC1D35"/>
    <w:rsid w:val="00EC1D67"/>
    <w:rsid w:val="00EC22CA"/>
    <w:rsid w:val="00EC22E5"/>
    <w:rsid w:val="00EC22F2"/>
    <w:rsid w:val="00EC23E2"/>
    <w:rsid w:val="00EC24E4"/>
    <w:rsid w:val="00EC2758"/>
    <w:rsid w:val="00EC2CA0"/>
    <w:rsid w:val="00EC2D1F"/>
    <w:rsid w:val="00EC2E8E"/>
    <w:rsid w:val="00EC3205"/>
    <w:rsid w:val="00EC3286"/>
    <w:rsid w:val="00EC3324"/>
    <w:rsid w:val="00EC37EA"/>
    <w:rsid w:val="00EC39C5"/>
    <w:rsid w:val="00EC39D3"/>
    <w:rsid w:val="00EC402C"/>
    <w:rsid w:val="00EC420D"/>
    <w:rsid w:val="00EC426D"/>
    <w:rsid w:val="00EC4490"/>
    <w:rsid w:val="00EC46ED"/>
    <w:rsid w:val="00EC4852"/>
    <w:rsid w:val="00EC4AE8"/>
    <w:rsid w:val="00EC4B0E"/>
    <w:rsid w:val="00EC5023"/>
    <w:rsid w:val="00EC51E7"/>
    <w:rsid w:val="00EC56FA"/>
    <w:rsid w:val="00EC5B13"/>
    <w:rsid w:val="00EC5B15"/>
    <w:rsid w:val="00EC5B94"/>
    <w:rsid w:val="00EC5FB8"/>
    <w:rsid w:val="00EC6111"/>
    <w:rsid w:val="00EC6366"/>
    <w:rsid w:val="00EC644C"/>
    <w:rsid w:val="00EC65BA"/>
    <w:rsid w:val="00EC66BE"/>
    <w:rsid w:val="00EC72DC"/>
    <w:rsid w:val="00EC7690"/>
    <w:rsid w:val="00EC7BA4"/>
    <w:rsid w:val="00EC7DA0"/>
    <w:rsid w:val="00EC7E20"/>
    <w:rsid w:val="00EC7E3F"/>
    <w:rsid w:val="00EC7E42"/>
    <w:rsid w:val="00EC7E79"/>
    <w:rsid w:val="00EC7E89"/>
    <w:rsid w:val="00ED036D"/>
    <w:rsid w:val="00ED0636"/>
    <w:rsid w:val="00ED0A0A"/>
    <w:rsid w:val="00ED0D93"/>
    <w:rsid w:val="00ED130C"/>
    <w:rsid w:val="00ED157D"/>
    <w:rsid w:val="00ED1B36"/>
    <w:rsid w:val="00ED1B39"/>
    <w:rsid w:val="00ED1CD9"/>
    <w:rsid w:val="00ED1F04"/>
    <w:rsid w:val="00ED2474"/>
    <w:rsid w:val="00ED267C"/>
    <w:rsid w:val="00ED277D"/>
    <w:rsid w:val="00ED279A"/>
    <w:rsid w:val="00ED3025"/>
    <w:rsid w:val="00ED3068"/>
    <w:rsid w:val="00ED320B"/>
    <w:rsid w:val="00ED32E8"/>
    <w:rsid w:val="00ED3B7C"/>
    <w:rsid w:val="00ED3E76"/>
    <w:rsid w:val="00ED3EB4"/>
    <w:rsid w:val="00ED3FB9"/>
    <w:rsid w:val="00ED3FF1"/>
    <w:rsid w:val="00ED4364"/>
    <w:rsid w:val="00ED44CF"/>
    <w:rsid w:val="00ED4BBE"/>
    <w:rsid w:val="00ED4EF1"/>
    <w:rsid w:val="00ED52C2"/>
    <w:rsid w:val="00ED5477"/>
    <w:rsid w:val="00ED5841"/>
    <w:rsid w:val="00ED5B60"/>
    <w:rsid w:val="00ED5EBC"/>
    <w:rsid w:val="00ED5EE2"/>
    <w:rsid w:val="00ED645F"/>
    <w:rsid w:val="00ED676E"/>
    <w:rsid w:val="00ED68A3"/>
    <w:rsid w:val="00ED69CC"/>
    <w:rsid w:val="00ED6B52"/>
    <w:rsid w:val="00ED6BEA"/>
    <w:rsid w:val="00ED6F2A"/>
    <w:rsid w:val="00ED70C4"/>
    <w:rsid w:val="00ED759A"/>
    <w:rsid w:val="00ED78AD"/>
    <w:rsid w:val="00ED7949"/>
    <w:rsid w:val="00ED79EF"/>
    <w:rsid w:val="00ED7B5C"/>
    <w:rsid w:val="00ED7F84"/>
    <w:rsid w:val="00EE0521"/>
    <w:rsid w:val="00EE11C8"/>
    <w:rsid w:val="00EE1D38"/>
    <w:rsid w:val="00EE2130"/>
    <w:rsid w:val="00EE2235"/>
    <w:rsid w:val="00EE2B05"/>
    <w:rsid w:val="00EE2CAE"/>
    <w:rsid w:val="00EE2CE3"/>
    <w:rsid w:val="00EE2D6B"/>
    <w:rsid w:val="00EE3377"/>
    <w:rsid w:val="00EE36AA"/>
    <w:rsid w:val="00EE3854"/>
    <w:rsid w:val="00EE3862"/>
    <w:rsid w:val="00EE3AB6"/>
    <w:rsid w:val="00EE3CF9"/>
    <w:rsid w:val="00EE3DD5"/>
    <w:rsid w:val="00EE3EF9"/>
    <w:rsid w:val="00EE441C"/>
    <w:rsid w:val="00EE4460"/>
    <w:rsid w:val="00EE45DD"/>
    <w:rsid w:val="00EE474E"/>
    <w:rsid w:val="00EE476E"/>
    <w:rsid w:val="00EE4A28"/>
    <w:rsid w:val="00EE4BE3"/>
    <w:rsid w:val="00EE4E3B"/>
    <w:rsid w:val="00EE4F2C"/>
    <w:rsid w:val="00EE502E"/>
    <w:rsid w:val="00EE5209"/>
    <w:rsid w:val="00EE555B"/>
    <w:rsid w:val="00EE5878"/>
    <w:rsid w:val="00EE5BBF"/>
    <w:rsid w:val="00EE60D1"/>
    <w:rsid w:val="00EE620A"/>
    <w:rsid w:val="00EE65B2"/>
    <w:rsid w:val="00EE6751"/>
    <w:rsid w:val="00EE69A5"/>
    <w:rsid w:val="00EE6D10"/>
    <w:rsid w:val="00EE73C5"/>
    <w:rsid w:val="00EE7480"/>
    <w:rsid w:val="00EE74E1"/>
    <w:rsid w:val="00EE7536"/>
    <w:rsid w:val="00EE7B66"/>
    <w:rsid w:val="00EE7DE8"/>
    <w:rsid w:val="00EE7E9B"/>
    <w:rsid w:val="00EF0128"/>
    <w:rsid w:val="00EF0297"/>
    <w:rsid w:val="00EF093D"/>
    <w:rsid w:val="00EF09EC"/>
    <w:rsid w:val="00EF0AE2"/>
    <w:rsid w:val="00EF0C03"/>
    <w:rsid w:val="00EF0E85"/>
    <w:rsid w:val="00EF0FCB"/>
    <w:rsid w:val="00EF1176"/>
    <w:rsid w:val="00EF12C2"/>
    <w:rsid w:val="00EF16CE"/>
    <w:rsid w:val="00EF18DE"/>
    <w:rsid w:val="00EF1C22"/>
    <w:rsid w:val="00EF1D80"/>
    <w:rsid w:val="00EF2589"/>
    <w:rsid w:val="00EF3234"/>
    <w:rsid w:val="00EF3274"/>
    <w:rsid w:val="00EF3294"/>
    <w:rsid w:val="00EF3589"/>
    <w:rsid w:val="00EF36D5"/>
    <w:rsid w:val="00EF3829"/>
    <w:rsid w:val="00EF397C"/>
    <w:rsid w:val="00EF3CD4"/>
    <w:rsid w:val="00EF4000"/>
    <w:rsid w:val="00EF42DD"/>
    <w:rsid w:val="00EF456E"/>
    <w:rsid w:val="00EF45C9"/>
    <w:rsid w:val="00EF461C"/>
    <w:rsid w:val="00EF46D1"/>
    <w:rsid w:val="00EF4975"/>
    <w:rsid w:val="00EF4CF2"/>
    <w:rsid w:val="00EF4D82"/>
    <w:rsid w:val="00EF522E"/>
    <w:rsid w:val="00EF551F"/>
    <w:rsid w:val="00EF598B"/>
    <w:rsid w:val="00EF59F0"/>
    <w:rsid w:val="00EF5C1E"/>
    <w:rsid w:val="00EF5DD3"/>
    <w:rsid w:val="00EF5DDA"/>
    <w:rsid w:val="00EF5EB1"/>
    <w:rsid w:val="00EF5EF1"/>
    <w:rsid w:val="00EF61E1"/>
    <w:rsid w:val="00EF65D4"/>
    <w:rsid w:val="00EF68AE"/>
    <w:rsid w:val="00EF6D6C"/>
    <w:rsid w:val="00EF6D91"/>
    <w:rsid w:val="00EF6E66"/>
    <w:rsid w:val="00EF7011"/>
    <w:rsid w:val="00EF71D5"/>
    <w:rsid w:val="00EF7314"/>
    <w:rsid w:val="00EF7386"/>
    <w:rsid w:val="00EF73DF"/>
    <w:rsid w:val="00EF7432"/>
    <w:rsid w:val="00EF7927"/>
    <w:rsid w:val="00EF7A67"/>
    <w:rsid w:val="00F0025E"/>
    <w:rsid w:val="00F00456"/>
    <w:rsid w:val="00F005AE"/>
    <w:rsid w:val="00F00626"/>
    <w:rsid w:val="00F00765"/>
    <w:rsid w:val="00F007C4"/>
    <w:rsid w:val="00F0099C"/>
    <w:rsid w:val="00F00F54"/>
    <w:rsid w:val="00F010B1"/>
    <w:rsid w:val="00F010B9"/>
    <w:rsid w:val="00F01634"/>
    <w:rsid w:val="00F018CD"/>
    <w:rsid w:val="00F0199B"/>
    <w:rsid w:val="00F01E0F"/>
    <w:rsid w:val="00F02556"/>
    <w:rsid w:val="00F0258F"/>
    <w:rsid w:val="00F0284C"/>
    <w:rsid w:val="00F02900"/>
    <w:rsid w:val="00F02ECE"/>
    <w:rsid w:val="00F02F63"/>
    <w:rsid w:val="00F02FC6"/>
    <w:rsid w:val="00F030C3"/>
    <w:rsid w:val="00F033DC"/>
    <w:rsid w:val="00F03526"/>
    <w:rsid w:val="00F036F3"/>
    <w:rsid w:val="00F03711"/>
    <w:rsid w:val="00F03D45"/>
    <w:rsid w:val="00F0412F"/>
    <w:rsid w:val="00F048C1"/>
    <w:rsid w:val="00F04981"/>
    <w:rsid w:val="00F04BF9"/>
    <w:rsid w:val="00F04E31"/>
    <w:rsid w:val="00F05305"/>
    <w:rsid w:val="00F05346"/>
    <w:rsid w:val="00F053C5"/>
    <w:rsid w:val="00F061B5"/>
    <w:rsid w:val="00F062B9"/>
    <w:rsid w:val="00F06549"/>
    <w:rsid w:val="00F0654F"/>
    <w:rsid w:val="00F06A42"/>
    <w:rsid w:val="00F06C1E"/>
    <w:rsid w:val="00F06EDC"/>
    <w:rsid w:val="00F06FEF"/>
    <w:rsid w:val="00F070D8"/>
    <w:rsid w:val="00F072E7"/>
    <w:rsid w:val="00F07374"/>
    <w:rsid w:val="00F07690"/>
    <w:rsid w:val="00F07DC6"/>
    <w:rsid w:val="00F07EE2"/>
    <w:rsid w:val="00F07F9B"/>
    <w:rsid w:val="00F104B1"/>
    <w:rsid w:val="00F105E3"/>
    <w:rsid w:val="00F107F5"/>
    <w:rsid w:val="00F107FA"/>
    <w:rsid w:val="00F10CEA"/>
    <w:rsid w:val="00F10EC5"/>
    <w:rsid w:val="00F10F98"/>
    <w:rsid w:val="00F1107D"/>
    <w:rsid w:val="00F111AA"/>
    <w:rsid w:val="00F11238"/>
    <w:rsid w:val="00F1124A"/>
    <w:rsid w:val="00F11340"/>
    <w:rsid w:val="00F115BC"/>
    <w:rsid w:val="00F11653"/>
    <w:rsid w:val="00F11704"/>
    <w:rsid w:val="00F119E8"/>
    <w:rsid w:val="00F11BD5"/>
    <w:rsid w:val="00F11E83"/>
    <w:rsid w:val="00F12677"/>
    <w:rsid w:val="00F12723"/>
    <w:rsid w:val="00F12912"/>
    <w:rsid w:val="00F12ADF"/>
    <w:rsid w:val="00F12B96"/>
    <w:rsid w:val="00F12BE1"/>
    <w:rsid w:val="00F12C29"/>
    <w:rsid w:val="00F12EC6"/>
    <w:rsid w:val="00F12FFC"/>
    <w:rsid w:val="00F132B5"/>
    <w:rsid w:val="00F13578"/>
    <w:rsid w:val="00F1381D"/>
    <w:rsid w:val="00F13D71"/>
    <w:rsid w:val="00F13E3E"/>
    <w:rsid w:val="00F1416E"/>
    <w:rsid w:val="00F141CF"/>
    <w:rsid w:val="00F1432F"/>
    <w:rsid w:val="00F1444C"/>
    <w:rsid w:val="00F1464D"/>
    <w:rsid w:val="00F14732"/>
    <w:rsid w:val="00F14D42"/>
    <w:rsid w:val="00F14D50"/>
    <w:rsid w:val="00F15084"/>
    <w:rsid w:val="00F15229"/>
    <w:rsid w:val="00F15973"/>
    <w:rsid w:val="00F15BBC"/>
    <w:rsid w:val="00F15CD5"/>
    <w:rsid w:val="00F16728"/>
    <w:rsid w:val="00F168A6"/>
    <w:rsid w:val="00F169AD"/>
    <w:rsid w:val="00F16AC4"/>
    <w:rsid w:val="00F16DB6"/>
    <w:rsid w:val="00F16F97"/>
    <w:rsid w:val="00F1719C"/>
    <w:rsid w:val="00F17A57"/>
    <w:rsid w:val="00F17D2F"/>
    <w:rsid w:val="00F17E92"/>
    <w:rsid w:val="00F17F69"/>
    <w:rsid w:val="00F201AB"/>
    <w:rsid w:val="00F202D8"/>
    <w:rsid w:val="00F2072A"/>
    <w:rsid w:val="00F20759"/>
    <w:rsid w:val="00F20B04"/>
    <w:rsid w:val="00F20B27"/>
    <w:rsid w:val="00F20FFC"/>
    <w:rsid w:val="00F21183"/>
    <w:rsid w:val="00F213F0"/>
    <w:rsid w:val="00F214C5"/>
    <w:rsid w:val="00F217F5"/>
    <w:rsid w:val="00F21CD3"/>
    <w:rsid w:val="00F21F0D"/>
    <w:rsid w:val="00F220C0"/>
    <w:rsid w:val="00F22299"/>
    <w:rsid w:val="00F222FB"/>
    <w:rsid w:val="00F2268F"/>
    <w:rsid w:val="00F22ABC"/>
    <w:rsid w:val="00F22B01"/>
    <w:rsid w:val="00F22EBC"/>
    <w:rsid w:val="00F22F12"/>
    <w:rsid w:val="00F2350A"/>
    <w:rsid w:val="00F238A5"/>
    <w:rsid w:val="00F23BA5"/>
    <w:rsid w:val="00F23FF8"/>
    <w:rsid w:val="00F24085"/>
    <w:rsid w:val="00F2425B"/>
    <w:rsid w:val="00F242BC"/>
    <w:rsid w:val="00F2442E"/>
    <w:rsid w:val="00F24537"/>
    <w:rsid w:val="00F24863"/>
    <w:rsid w:val="00F24894"/>
    <w:rsid w:val="00F24A75"/>
    <w:rsid w:val="00F24B85"/>
    <w:rsid w:val="00F250C9"/>
    <w:rsid w:val="00F25296"/>
    <w:rsid w:val="00F253F1"/>
    <w:rsid w:val="00F25431"/>
    <w:rsid w:val="00F25484"/>
    <w:rsid w:val="00F256BD"/>
    <w:rsid w:val="00F25E9A"/>
    <w:rsid w:val="00F2601A"/>
    <w:rsid w:val="00F263BF"/>
    <w:rsid w:val="00F265BD"/>
    <w:rsid w:val="00F26865"/>
    <w:rsid w:val="00F2686B"/>
    <w:rsid w:val="00F268CB"/>
    <w:rsid w:val="00F26A7E"/>
    <w:rsid w:val="00F27063"/>
    <w:rsid w:val="00F2721C"/>
    <w:rsid w:val="00F274F9"/>
    <w:rsid w:val="00F2772E"/>
    <w:rsid w:val="00F27762"/>
    <w:rsid w:val="00F278EE"/>
    <w:rsid w:val="00F27BF8"/>
    <w:rsid w:val="00F27D6F"/>
    <w:rsid w:val="00F30080"/>
    <w:rsid w:val="00F302DD"/>
    <w:rsid w:val="00F308B6"/>
    <w:rsid w:val="00F3098D"/>
    <w:rsid w:val="00F311B5"/>
    <w:rsid w:val="00F31404"/>
    <w:rsid w:val="00F31521"/>
    <w:rsid w:val="00F31D9A"/>
    <w:rsid w:val="00F31E33"/>
    <w:rsid w:val="00F31FE5"/>
    <w:rsid w:val="00F32069"/>
    <w:rsid w:val="00F32206"/>
    <w:rsid w:val="00F3220F"/>
    <w:rsid w:val="00F325AE"/>
    <w:rsid w:val="00F32B0E"/>
    <w:rsid w:val="00F32BA7"/>
    <w:rsid w:val="00F32FC0"/>
    <w:rsid w:val="00F33301"/>
    <w:rsid w:val="00F333B1"/>
    <w:rsid w:val="00F33D2F"/>
    <w:rsid w:val="00F33DF9"/>
    <w:rsid w:val="00F33E4D"/>
    <w:rsid w:val="00F33FBC"/>
    <w:rsid w:val="00F3469E"/>
    <w:rsid w:val="00F34796"/>
    <w:rsid w:val="00F3481D"/>
    <w:rsid w:val="00F348C4"/>
    <w:rsid w:val="00F348F8"/>
    <w:rsid w:val="00F3491F"/>
    <w:rsid w:val="00F351B6"/>
    <w:rsid w:val="00F351F9"/>
    <w:rsid w:val="00F3546A"/>
    <w:rsid w:val="00F3553E"/>
    <w:rsid w:val="00F35801"/>
    <w:rsid w:val="00F359A8"/>
    <w:rsid w:val="00F3606F"/>
    <w:rsid w:val="00F3615E"/>
    <w:rsid w:val="00F37474"/>
    <w:rsid w:val="00F37981"/>
    <w:rsid w:val="00F3798C"/>
    <w:rsid w:val="00F37AB2"/>
    <w:rsid w:val="00F37B3C"/>
    <w:rsid w:val="00F37D18"/>
    <w:rsid w:val="00F37EB7"/>
    <w:rsid w:val="00F37EF9"/>
    <w:rsid w:val="00F400AB"/>
    <w:rsid w:val="00F401C5"/>
    <w:rsid w:val="00F4029E"/>
    <w:rsid w:val="00F40403"/>
    <w:rsid w:val="00F407CA"/>
    <w:rsid w:val="00F4091B"/>
    <w:rsid w:val="00F4104F"/>
    <w:rsid w:val="00F41858"/>
    <w:rsid w:val="00F418E8"/>
    <w:rsid w:val="00F419F1"/>
    <w:rsid w:val="00F41A6C"/>
    <w:rsid w:val="00F41D2D"/>
    <w:rsid w:val="00F41FC4"/>
    <w:rsid w:val="00F42433"/>
    <w:rsid w:val="00F42A4D"/>
    <w:rsid w:val="00F42C19"/>
    <w:rsid w:val="00F435C1"/>
    <w:rsid w:val="00F43794"/>
    <w:rsid w:val="00F437BD"/>
    <w:rsid w:val="00F439F9"/>
    <w:rsid w:val="00F43CE2"/>
    <w:rsid w:val="00F43DE3"/>
    <w:rsid w:val="00F443D4"/>
    <w:rsid w:val="00F445E6"/>
    <w:rsid w:val="00F445F9"/>
    <w:rsid w:val="00F4470B"/>
    <w:rsid w:val="00F449FB"/>
    <w:rsid w:val="00F45041"/>
    <w:rsid w:val="00F452DC"/>
    <w:rsid w:val="00F453AE"/>
    <w:rsid w:val="00F45768"/>
    <w:rsid w:val="00F45AAC"/>
    <w:rsid w:val="00F45D6D"/>
    <w:rsid w:val="00F45F6A"/>
    <w:rsid w:val="00F4602F"/>
    <w:rsid w:val="00F4621A"/>
    <w:rsid w:val="00F462D3"/>
    <w:rsid w:val="00F4671D"/>
    <w:rsid w:val="00F46C4D"/>
    <w:rsid w:val="00F46D09"/>
    <w:rsid w:val="00F46EB2"/>
    <w:rsid w:val="00F475B2"/>
    <w:rsid w:val="00F4774F"/>
    <w:rsid w:val="00F47B46"/>
    <w:rsid w:val="00F47DD2"/>
    <w:rsid w:val="00F5042A"/>
    <w:rsid w:val="00F50439"/>
    <w:rsid w:val="00F50632"/>
    <w:rsid w:val="00F50709"/>
    <w:rsid w:val="00F509D7"/>
    <w:rsid w:val="00F50B71"/>
    <w:rsid w:val="00F50CC8"/>
    <w:rsid w:val="00F5133F"/>
    <w:rsid w:val="00F516C5"/>
    <w:rsid w:val="00F5191C"/>
    <w:rsid w:val="00F51969"/>
    <w:rsid w:val="00F51A97"/>
    <w:rsid w:val="00F51CD3"/>
    <w:rsid w:val="00F51D07"/>
    <w:rsid w:val="00F51D0C"/>
    <w:rsid w:val="00F51DB8"/>
    <w:rsid w:val="00F51DCC"/>
    <w:rsid w:val="00F5219A"/>
    <w:rsid w:val="00F527FA"/>
    <w:rsid w:val="00F52FF1"/>
    <w:rsid w:val="00F5335C"/>
    <w:rsid w:val="00F53553"/>
    <w:rsid w:val="00F535DE"/>
    <w:rsid w:val="00F53774"/>
    <w:rsid w:val="00F541F3"/>
    <w:rsid w:val="00F54D42"/>
    <w:rsid w:val="00F558EA"/>
    <w:rsid w:val="00F55CA6"/>
    <w:rsid w:val="00F55E8E"/>
    <w:rsid w:val="00F5611D"/>
    <w:rsid w:val="00F56E76"/>
    <w:rsid w:val="00F5715B"/>
    <w:rsid w:val="00F572AE"/>
    <w:rsid w:val="00F57881"/>
    <w:rsid w:val="00F578C5"/>
    <w:rsid w:val="00F5793E"/>
    <w:rsid w:val="00F57F76"/>
    <w:rsid w:val="00F57F8F"/>
    <w:rsid w:val="00F600F9"/>
    <w:rsid w:val="00F6017F"/>
    <w:rsid w:val="00F60361"/>
    <w:rsid w:val="00F6057A"/>
    <w:rsid w:val="00F60803"/>
    <w:rsid w:val="00F60A10"/>
    <w:rsid w:val="00F60C5E"/>
    <w:rsid w:val="00F60CCD"/>
    <w:rsid w:val="00F61033"/>
    <w:rsid w:val="00F61202"/>
    <w:rsid w:val="00F61284"/>
    <w:rsid w:val="00F612E4"/>
    <w:rsid w:val="00F6176E"/>
    <w:rsid w:val="00F618B0"/>
    <w:rsid w:val="00F619F6"/>
    <w:rsid w:val="00F61E79"/>
    <w:rsid w:val="00F62031"/>
    <w:rsid w:val="00F62068"/>
    <w:rsid w:val="00F62266"/>
    <w:rsid w:val="00F624AC"/>
    <w:rsid w:val="00F625FD"/>
    <w:rsid w:val="00F62618"/>
    <w:rsid w:val="00F62ABE"/>
    <w:rsid w:val="00F62C49"/>
    <w:rsid w:val="00F62D36"/>
    <w:rsid w:val="00F62E33"/>
    <w:rsid w:val="00F63760"/>
    <w:rsid w:val="00F63A10"/>
    <w:rsid w:val="00F63DB1"/>
    <w:rsid w:val="00F6406C"/>
    <w:rsid w:val="00F645C3"/>
    <w:rsid w:val="00F646E3"/>
    <w:rsid w:val="00F6474F"/>
    <w:rsid w:val="00F64AD7"/>
    <w:rsid w:val="00F64E30"/>
    <w:rsid w:val="00F6519F"/>
    <w:rsid w:val="00F651EA"/>
    <w:rsid w:val="00F6576A"/>
    <w:rsid w:val="00F65AB8"/>
    <w:rsid w:val="00F65B99"/>
    <w:rsid w:val="00F65BF3"/>
    <w:rsid w:val="00F664E8"/>
    <w:rsid w:val="00F664FC"/>
    <w:rsid w:val="00F6679E"/>
    <w:rsid w:val="00F66962"/>
    <w:rsid w:val="00F669A2"/>
    <w:rsid w:val="00F66AB2"/>
    <w:rsid w:val="00F66B96"/>
    <w:rsid w:val="00F66D95"/>
    <w:rsid w:val="00F66D9E"/>
    <w:rsid w:val="00F67AA8"/>
    <w:rsid w:val="00F67D90"/>
    <w:rsid w:val="00F67DB6"/>
    <w:rsid w:val="00F67ED1"/>
    <w:rsid w:val="00F70586"/>
    <w:rsid w:val="00F70880"/>
    <w:rsid w:val="00F708A7"/>
    <w:rsid w:val="00F70A18"/>
    <w:rsid w:val="00F70A33"/>
    <w:rsid w:val="00F70AC0"/>
    <w:rsid w:val="00F70FAF"/>
    <w:rsid w:val="00F713D8"/>
    <w:rsid w:val="00F714BB"/>
    <w:rsid w:val="00F71750"/>
    <w:rsid w:val="00F71A74"/>
    <w:rsid w:val="00F71BEA"/>
    <w:rsid w:val="00F71CD3"/>
    <w:rsid w:val="00F71ED1"/>
    <w:rsid w:val="00F71FA9"/>
    <w:rsid w:val="00F720F3"/>
    <w:rsid w:val="00F7214C"/>
    <w:rsid w:val="00F72184"/>
    <w:rsid w:val="00F7243A"/>
    <w:rsid w:val="00F725EC"/>
    <w:rsid w:val="00F72933"/>
    <w:rsid w:val="00F729EC"/>
    <w:rsid w:val="00F72B0A"/>
    <w:rsid w:val="00F72DD6"/>
    <w:rsid w:val="00F72EAD"/>
    <w:rsid w:val="00F73006"/>
    <w:rsid w:val="00F731CF"/>
    <w:rsid w:val="00F735E3"/>
    <w:rsid w:val="00F73672"/>
    <w:rsid w:val="00F7375B"/>
    <w:rsid w:val="00F73CD7"/>
    <w:rsid w:val="00F743C2"/>
    <w:rsid w:val="00F750D4"/>
    <w:rsid w:val="00F75416"/>
    <w:rsid w:val="00F7561C"/>
    <w:rsid w:val="00F7578D"/>
    <w:rsid w:val="00F75FE6"/>
    <w:rsid w:val="00F7656C"/>
    <w:rsid w:val="00F76728"/>
    <w:rsid w:val="00F76848"/>
    <w:rsid w:val="00F7687F"/>
    <w:rsid w:val="00F76C40"/>
    <w:rsid w:val="00F76D4D"/>
    <w:rsid w:val="00F76EEB"/>
    <w:rsid w:val="00F77062"/>
    <w:rsid w:val="00F774AE"/>
    <w:rsid w:val="00F77719"/>
    <w:rsid w:val="00F77775"/>
    <w:rsid w:val="00F777A6"/>
    <w:rsid w:val="00F77DBD"/>
    <w:rsid w:val="00F77F57"/>
    <w:rsid w:val="00F80002"/>
    <w:rsid w:val="00F80128"/>
    <w:rsid w:val="00F802EC"/>
    <w:rsid w:val="00F80673"/>
    <w:rsid w:val="00F80711"/>
    <w:rsid w:val="00F80AD2"/>
    <w:rsid w:val="00F80B4E"/>
    <w:rsid w:val="00F80C83"/>
    <w:rsid w:val="00F80DF2"/>
    <w:rsid w:val="00F8126E"/>
    <w:rsid w:val="00F814AE"/>
    <w:rsid w:val="00F8157C"/>
    <w:rsid w:val="00F815FF"/>
    <w:rsid w:val="00F81B92"/>
    <w:rsid w:val="00F82270"/>
    <w:rsid w:val="00F823D7"/>
    <w:rsid w:val="00F82C15"/>
    <w:rsid w:val="00F82E44"/>
    <w:rsid w:val="00F830E6"/>
    <w:rsid w:val="00F83706"/>
    <w:rsid w:val="00F8388B"/>
    <w:rsid w:val="00F83916"/>
    <w:rsid w:val="00F83993"/>
    <w:rsid w:val="00F83B28"/>
    <w:rsid w:val="00F83B67"/>
    <w:rsid w:val="00F83ED6"/>
    <w:rsid w:val="00F8407E"/>
    <w:rsid w:val="00F84259"/>
    <w:rsid w:val="00F84A74"/>
    <w:rsid w:val="00F84B6A"/>
    <w:rsid w:val="00F84C30"/>
    <w:rsid w:val="00F851AD"/>
    <w:rsid w:val="00F85455"/>
    <w:rsid w:val="00F85577"/>
    <w:rsid w:val="00F8593E"/>
    <w:rsid w:val="00F85968"/>
    <w:rsid w:val="00F85A35"/>
    <w:rsid w:val="00F85A73"/>
    <w:rsid w:val="00F85B6E"/>
    <w:rsid w:val="00F860AA"/>
    <w:rsid w:val="00F8610F"/>
    <w:rsid w:val="00F862E1"/>
    <w:rsid w:val="00F8636A"/>
    <w:rsid w:val="00F8654F"/>
    <w:rsid w:val="00F8665F"/>
    <w:rsid w:val="00F866A1"/>
    <w:rsid w:val="00F86B3D"/>
    <w:rsid w:val="00F86C84"/>
    <w:rsid w:val="00F87063"/>
    <w:rsid w:val="00F87089"/>
    <w:rsid w:val="00F873F1"/>
    <w:rsid w:val="00F87731"/>
    <w:rsid w:val="00F87862"/>
    <w:rsid w:val="00F879C6"/>
    <w:rsid w:val="00F879F7"/>
    <w:rsid w:val="00F9010C"/>
    <w:rsid w:val="00F90183"/>
    <w:rsid w:val="00F9091B"/>
    <w:rsid w:val="00F90A47"/>
    <w:rsid w:val="00F9121A"/>
    <w:rsid w:val="00F9123E"/>
    <w:rsid w:val="00F9187D"/>
    <w:rsid w:val="00F91AA3"/>
    <w:rsid w:val="00F91E21"/>
    <w:rsid w:val="00F91EE7"/>
    <w:rsid w:val="00F91F4F"/>
    <w:rsid w:val="00F9238C"/>
    <w:rsid w:val="00F92408"/>
    <w:rsid w:val="00F92426"/>
    <w:rsid w:val="00F92534"/>
    <w:rsid w:val="00F926FA"/>
    <w:rsid w:val="00F928B1"/>
    <w:rsid w:val="00F92B4E"/>
    <w:rsid w:val="00F92BB7"/>
    <w:rsid w:val="00F93123"/>
    <w:rsid w:val="00F93A53"/>
    <w:rsid w:val="00F93B28"/>
    <w:rsid w:val="00F93D8A"/>
    <w:rsid w:val="00F9410B"/>
    <w:rsid w:val="00F943DF"/>
    <w:rsid w:val="00F94AF9"/>
    <w:rsid w:val="00F94CE3"/>
    <w:rsid w:val="00F94D4C"/>
    <w:rsid w:val="00F94DB7"/>
    <w:rsid w:val="00F94EE8"/>
    <w:rsid w:val="00F950A7"/>
    <w:rsid w:val="00F9519C"/>
    <w:rsid w:val="00F9565C"/>
    <w:rsid w:val="00F9575C"/>
    <w:rsid w:val="00F95A4C"/>
    <w:rsid w:val="00F95D31"/>
    <w:rsid w:val="00F95D87"/>
    <w:rsid w:val="00F963CE"/>
    <w:rsid w:val="00F96518"/>
    <w:rsid w:val="00F965FF"/>
    <w:rsid w:val="00F969C4"/>
    <w:rsid w:val="00F96CAE"/>
    <w:rsid w:val="00F96F87"/>
    <w:rsid w:val="00F9726E"/>
    <w:rsid w:val="00F972A4"/>
    <w:rsid w:val="00F9742B"/>
    <w:rsid w:val="00F977B1"/>
    <w:rsid w:val="00F9786E"/>
    <w:rsid w:val="00F97A96"/>
    <w:rsid w:val="00F97B06"/>
    <w:rsid w:val="00F97E7C"/>
    <w:rsid w:val="00FA02A1"/>
    <w:rsid w:val="00FA0B0B"/>
    <w:rsid w:val="00FA0C2A"/>
    <w:rsid w:val="00FA0E42"/>
    <w:rsid w:val="00FA14B3"/>
    <w:rsid w:val="00FA17E9"/>
    <w:rsid w:val="00FA1978"/>
    <w:rsid w:val="00FA1985"/>
    <w:rsid w:val="00FA1988"/>
    <w:rsid w:val="00FA19B2"/>
    <w:rsid w:val="00FA1C14"/>
    <w:rsid w:val="00FA23D5"/>
    <w:rsid w:val="00FA29B2"/>
    <w:rsid w:val="00FA2E7A"/>
    <w:rsid w:val="00FA2EFE"/>
    <w:rsid w:val="00FA32E5"/>
    <w:rsid w:val="00FA3968"/>
    <w:rsid w:val="00FA40B0"/>
    <w:rsid w:val="00FA4136"/>
    <w:rsid w:val="00FA45A7"/>
    <w:rsid w:val="00FA477C"/>
    <w:rsid w:val="00FA4931"/>
    <w:rsid w:val="00FA4A4F"/>
    <w:rsid w:val="00FA4AE0"/>
    <w:rsid w:val="00FA4E61"/>
    <w:rsid w:val="00FA51D3"/>
    <w:rsid w:val="00FA557A"/>
    <w:rsid w:val="00FA5705"/>
    <w:rsid w:val="00FA57D7"/>
    <w:rsid w:val="00FA5A1F"/>
    <w:rsid w:val="00FA61AC"/>
    <w:rsid w:val="00FA6470"/>
    <w:rsid w:val="00FA65FB"/>
    <w:rsid w:val="00FB0237"/>
    <w:rsid w:val="00FB0253"/>
    <w:rsid w:val="00FB0448"/>
    <w:rsid w:val="00FB04FE"/>
    <w:rsid w:val="00FB07AF"/>
    <w:rsid w:val="00FB0904"/>
    <w:rsid w:val="00FB0E39"/>
    <w:rsid w:val="00FB0FA6"/>
    <w:rsid w:val="00FB1015"/>
    <w:rsid w:val="00FB1189"/>
    <w:rsid w:val="00FB1445"/>
    <w:rsid w:val="00FB1810"/>
    <w:rsid w:val="00FB19B5"/>
    <w:rsid w:val="00FB1B70"/>
    <w:rsid w:val="00FB277D"/>
    <w:rsid w:val="00FB27F9"/>
    <w:rsid w:val="00FB2943"/>
    <w:rsid w:val="00FB2948"/>
    <w:rsid w:val="00FB3004"/>
    <w:rsid w:val="00FB3185"/>
    <w:rsid w:val="00FB3188"/>
    <w:rsid w:val="00FB3191"/>
    <w:rsid w:val="00FB35AE"/>
    <w:rsid w:val="00FB35B4"/>
    <w:rsid w:val="00FB3E5A"/>
    <w:rsid w:val="00FB3F08"/>
    <w:rsid w:val="00FB41D1"/>
    <w:rsid w:val="00FB4786"/>
    <w:rsid w:val="00FB4865"/>
    <w:rsid w:val="00FB4AFD"/>
    <w:rsid w:val="00FB4B74"/>
    <w:rsid w:val="00FB4D41"/>
    <w:rsid w:val="00FB4DCC"/>
    <w:rsid w:val="00FB4E33"/>
    <w:rsid w:val="00FB50AA"/>
    <w:rsid w:val="00FB538A"/>
    <w:rsid w:val="00FB56AF"/>
    <w:rsid w:val="00FB582C"/>
    <w:rsid w:val="00FB5BEC"/>
    <w:rsid w:val="00FB61BD"/>
    <w:rsid w:val="00FB61EF"/>
    <w:rsid w:val="00FB63F1"/>
    <w:rsid w:val="00FB6449"/>
    <w:rsid w:val="00FB6505"/>
    <w:rsid w:val="00FB68CF"/>
    <w:rsid w:val="00FB68DF"/>
    <w:rsid w:val="00FB6D95"/>
    <w:rsid w:val="00FB6DF1"/>
    <w:rsid w:val="00FB78E5"/>
    <w:rsid w:val="00FB7BED"/>
    <w:rsid w:val="00FB7E1A"/>
    <w:rsid w:val="00FB7E23"/>
    <w:rsid w:val="00FC015A"/>
    <w:rsid w:val="00FC0457"/>
    <w:rsid w:val="00FC0502"/>
    <w:rsid w:val="00FC06E3"/>
    <w:rsid w:val="00FC0728"/>
    <w:rsid w:val="00FC0B66"/>
    <w:rsid w:val="00FC0C0B"/>
    <w:rsid w:val="00FC0EB2"/>
    <w:rsid w:val="00FC17D5"/>
    <w:rsid w:val="00FC22C7"/>
    <w:rsid w:val="00FC2A0A"/>
    <w:rsid w:val="00FC2B77"/>
    <w:rsid w:val="00FC2FEA"/>
    <w:rsid w:val="00FC306D"/>
    <w:rsid w:val="00FC30D3"/>
    <w:rsid w:val="00FC30E2"/>
    <w:rsid w:val="00FC3665"/>
    <w:rsid w:val="00FC3F50"/>
    <w:rsid w:val="00FC3F85"/>
    <w:rsid w:val="00FC41D0"/>
    <w:rsid w:val="00FC4395"/>
    <w:rsid w:val="00FC4605"/>
    <w:rsid w:val="00FC4649"/>
    <w:rsid w:val="00FC4C33"/>
    <w:rsid w:val="00FC4CC3"/>
    <w:rsid w:val="00FC4D2C"/>
    <w:rsid w:val="00FC4EC0"/>
    <w:rsid w:val="00FC605A"/>
    <w:rsid w:val="00FC6100"/>
    <w:rsid w:val="00FC627B"/>
    <w:rsid w:val="00FC64E8"/>
    <w:rsid w:val="00FC65E7"/>
    <w:rsid w:val="00FC6876"/>
    <w:rsid w:val="00FC697F"/>
    <w:rsid w:val="00FC6E4F"/>
    <w:rsid w:val="00FC6EE6"/>
    <w:rsid w:val="00FC6F54"/>
    <w:rsid w:val="00FC72A5"/>
    <w:rsid w:val="00FC77C7"/>
    <w:rsid w:val="00FC7918"/>
    <w:rsid w:val="00FC7D27"/>
    <w:rsid w:val="00FC7E72"/>
    <w:rsid w:val="00FC7FEE"/>
    <w:rsid w:val="00FD00B9"/>
    <w:rsid w:val="00FD0220"/>
    <w:rsid w:val="00FD0862"/>
    <w:rsid w:val="00FD0D1F"/>
    <w:rsid w:val="00FD0FC2"/>
    <w:rsid w:val="00FD1065"/>
    <w:rsid w:val="00FD1201"/>
    <w:rsid w:val="00FD13A4"/>
    <w:rsid w:val="00FD17BF"/>
    <w:rsid w:val="00FD1A7A"/>
    <w:rsid w:val="00FD1C4F"/>
    <w:rsid w:val="00FD1D62"/>
    <w:rsid w:val="00FD1EA1"/>
    <w:rsid w:val="00FD2005"/>
    <w:rsid w:val="00FD22A9"/>
    <w:rsid w:val="00FD235E"/>
    <w:rsid w:val="00FD28D2"/>
    <w:rsid w:val="00FD2C56"/>
    <w:rsid w:val="00FD2E68"/>
    <w:rsid w:val="00FD2FC7"/>
    <w:rsid w:val="00FD3085"/>
    <w:rsid w:val="00FD316F"/>
    <w:rsid w:val="00FD3312"/>
    <w:rsid w:val="00FD371F"/>
    <w:rsid w:val="00FD3B41"/>
    <w:rsid w:val="00FD3B45"/>
    <w:rsid w:val="00FD488B"/>
    <w:rsid w:val="00FD4E88"/>
    <w:rsid w:val="00FD5401"/>
    <w:rsid w:val="00FD5462"/>
    <w:rsid w:val="00FD579F"/>
    <w:rsid w:val="00FD5915"/>
    <w:rsid w:val="00FD5989"/>
    <w:rsid w:val="00FD5A41"/>
    <w:rsid w:val="00FD627B"/>
    <w:rsid w:val="00FD663E"/>
    <w:rsid w:val="00FD697A"/>
    <w:rsid w:val="00FD6CFC"/>
    <w:rsid w:val="00FD6D36"/>
    <w:rsid w:val="00FD6DE7"/>
    <w:rsid w:val="00FD6E75"/>
    <w:rsid w:val="00FD7095"/>
    <w:rsid w:val="00FD7238"/>
    <w:rsid w:val="00FD76FC"/>
    <w:rsid w:val="00FE008F"/>
    <w:rsid w:val="00FE01E7"/>
    <w:rsid w:val="00FE0273"/>
    <w:rsid w:val="00FE0384"/>
    <w:rsid w:val="00FE0483"/>
    <w:rsid w:val="00FE09C1"/>
    <w:rsid w:val="00FE0AFC"/>
    <w:rsid w:val="00FE1416"/>
    <w:rsid w:val="00FE170A"/>
    <w:rsid w:val="00FE1803"/>
    <w:rsid w:val="00FE1A89"/>
    <w:rsid w:val="00FE1A90"/>
    <w:rsid w:val="00FE1B81"/>
    <w:rsid w:val="00FE1C0C"/>
    <w:rsid w:val="00FE1F90"/>
    <w:rsid w:val="00FE20AC"/>
    <w:rsid w:val="00FE2827"/>
    <w:rsid w:val="00FE2A26"/>
    <w:rsid w:val="00FE2BFE"/>
    <w:rsid w:val="00FE3422"/>
    <w:rsid w:val="00FE36D6"/>
    <w:rsid w:val="00FE38DF"/>
    <w:rsid w:val="00FE3A87"/>
    <w:rsid w:val="00FE3C1E"/>
    <w:rsid w:val="00FE3DAE"/>
    <w:rsid w:val="00FE4028"/>
    <w:rsid w:val="00FE44D8"/>
    <w:rsid w:val="00FE44DF"/>
    <w:rsid w:val="00FE4646"/>
    <w:rsid w:val="00FE474C"/>
    <w:rsid w:val="00FE4984"/>
    <w:rsid w:val="00FE4991"/>
    <w:rsid w:val="00FE4ABD"/>
    <w:rsid w:val="00FE4C0A"/>
    <w:rsid w:val="00FE5027"/>
    <w:rsid w:val="00FE5062"/>
    <w:rsid w:val="00FE5508"/>
    <w:rsid w:val="00FE561A"/>
    <w:rsid w:val="00FE59A0"/>
    <w:rsid w:val="00FE6371"/>
    <w:rsid w:val="00FE6436"/>
    <w:rsid w:val="00FE72EB"/>
    <w:rsid w:val="00FE7446"/>
    <w:rsid w:val="00FE7A12"/>
    <w:rsid w:val="00FF00A9"/>
    <w:rsid w:val="00FF00B7"/>
    <w:rsid w:val="00FF029C"/>
    <w:rsid w:val="00FF05A3"/>
    <w:rsid w:val="00FF0986"/>
    <w:rsid w:val="00FF098B"/>
    <w:rsid w:val="00FF0A5D"/>
    <w:rsid w:val="00FF0CA5"/>
    <w:rsid w:val="00FF0CBD"/>
    <w:rsid w:val="00FF0CE6"/>
    <w:rsid w:val="00FF1034"/>
    <w:rsid w:val="00FF126E"/>
    <w:rsid w:val="00FF12A7"/>
    <w:rsid w:val="00FF1826"/>
    <w:rsid w:val="00FF1862"/>
    <w:rsid w:val="00FF1A21"/>
    <w:rsid w:val="00FF1A28"/>
    <w:rsid w:val="00FF1A4B"/>
    <w:rsid w:val="00FF1A6D"/>
    <w:rsid w:val="00FF206A"/>
    <w:rsid w:val="00FF2427"/>
    <w:rsid w:val="00FF29BA"/>
    <w:rsid w:val="00FF2B23"/>
    <w:rsid w:val="00FF2F77"/>
    <w:rsid w:val="00FF300C"/>
    <w:rsid w:val="00FF3187"/>
    <w:rsid w:val="00FF34C4"/>
    <w:rsid w:val="00FF3E02"/>
    <w:rsid w:val="00FF42B4"/>
    <w:rsid w:val="00FF43EC"/>
    <w:rsid w:val="00FF492C"/>
    <w:rsid w:val="00FF4DFA"/>
    <w:rsid w:val="00FF51E2"/>
    <w:rsid w:val="00FF5360"/>
    <w:rsid w:val="00FF571C"/>
    <w:rsid w:val="00FF5866"/>
    <w:rsid w:val="00FF5887"/>
    <w:rsid w:val="00FF5BBB"/>
    <w:rsid w:val="00FF5D07"/>
    <w:rsid w:val="00FF5D11"/>
    <w:rsid w:val="00FF61EB"/>
    <w:rsid w:val="00FF642C"/>
    <w:rsid w:val="00FF644C"/>
    <w:rsid w:val="00FF6493"/>
    <w:rsid w:val="00FF66EC"/>
    <w:rsid w:val="00FF6798"/>
    <w:rsid w:val="00FF6906"/>
    <w:rsid w:val="00FF69DE"/>
    <w:rsid w:val="00FF6A09"/>
    <w:rsid w:val="00FF6A43"/>
    <w:rsid w:val="00FF6DB6"/>
    <w:rsid w:val="00FF7288"/>
    <w:rsid w:val="00FF73F9"/>
    <w:rsid w:val="00FF7458"/>
    <w:rsid w:val="00FF75CA"/>
    <w:rsid w:val="00FF780F"/>
    <w:rsid w:val="00FF7AD8"/>
    <w:rsid w:val="00FF7DA6"/>
    <w:rsid w:val="010133D5"/>
    <w:rsid w:val="010738C6"/>
    <w:rsid w:val="01154DCF"/>
    <w:rsid w:val="013730A5"/>
    <w:rsid w:val="014B5470"/>
    <w:rsid w:val="017B37FD"/>
    <w:rsid w:val="01802A82"/>
    <w:rsid w:val="018F5ECC"/>
    <w:rsid w:val="01B42A18"/>
    <w:rsid w:val="01CB0C16"/>
    <w:rsid w:val="01EE6CE5"/>
    <w:rsid w:val="02163A5A"/>
    <w:rsid w:val="0265632C"/>
    <w:rsid w:val="02A82B2F"/>
    <w:rsid w:val="02B71B99"/>
    <w:rsid w:val="02B720C7"/>
    <w:rsid w:val="02D31333"/>
    <w:rsid w:val="02DA4DE5"/>
    <w:rsid w:val="031331C6"/>
    <w:rsid w:val="033C405D"/>
    <w:rsid w:val="034029D7"/>
    <w:rsid w:val="0345496C"/>
    <w:rsid w:val="035A6600"/>
    <w:rsid w:val="03BB23AC"/>
    <w:rsid w:val="03EC4D1A"/>
    <w:rsid w:val="049D7F5A"/>
    <w:rsid w:val="04C01968"/>
    <w:rsid w:val="04CC5DA2"/>
    <w:rsid w:val="04E50B95"/>
    <w:rsid w:val="04EE51E1"/>
    <w:rsid w:val="05437C01"/>
    <w:rsid w:val="054A2934"/>
    <w:rsid w:val="055446CC"/>
    <w:rsid w:val="05827EC5"/>
    <w:rsid w:val="058F426C"/>
    <w:rsid w:val="0659740B"/>
    <w:rsid w:val="0682030C"/>
    <w:rsid w:val="068F3330"/>
    <w:rsid w:val="06A3612F"/>
    <w:rsid w:val="0703597E"/>
    <w:rsid w:val="07557695"/>
    <w:rsid w:val="07A86C4A"/>
    <w:rsid w:val="07D03488"/>
    <w:rsid w:val="08380DD4"/>
    <w:rsid w:val="08865A2C"/>
    <w:rsid w:val="08910667"/>
    <w:rsid w:val="08930B8A"/>
    <w:rsid w:val="08F203BB"/>
    <w:rsid w:val="09207C05"/>
    <w:rsid w:val="094E09B6"/>
    <w:rsid w:val="095242E0"/>
    <w:rsid w:val="09655F1E"/>
    <w:rsid w:val="098353AE"/>
    <w:rsid w:val="098708AE"/>
    <w:rsid w:val="099657B7"/>
    <w:rsid w:val="09BE38FB"/>
    <w:rsid w:val="09D510DB"/>
    <w:rsid w:val="0A050F4D"/>
    <w:rsid w:val="0A210753"/>
    <w:rsid w:val="0A2F36CA"/>
    <w:rsid w:val="0A395300"/>
    <w:rsid w:val="0A496211"/>
    <w:rsid w:val="0A54477F"/>
    <w:rsid w:val="0A945568"/>
    <w:rsid w:val="0AA9231F"/>
    <w:rsid w:val="0AE9257B"/>
    <w:rsid w:val="0AFB4BDD"/>
    <w:rsid w:val="0B1C1FC9"/>
    <w:rsid w:val="0B635234"/>
    <w:rsid w:val="0B6B777C"/>
    <w:rsid w:val="0B9A2B42"/>
    <w:rsid w:val="0BB9073F"/>
    <w:rsid w:val="0C1D5A33"/>
    <w:rsid w:val="0C304B25"/>
    <w:rsid w:val="0C980D34"/>
    <w:rsid w:val="0CB22AA1"/>
    <w:rsid w:val="0CE642FD"/>
    <w:rsid w:val="0CE84A07"/>
    <w:rsid w:val="0D30223C"/>
    <w:rsid w:val="0D845C3B"/>
    <w:rsid w:val="0DA324B1"/>
    <w:rsid w:val="0DAB392F"/>
    <w:rsid w:val="0DC61735"/>
    <w:rsid w:val="0DC64AD0"/>
    <w:rsid w:val="0E1209D0"/>
    <w:rsid w:val="0E1B46B0"/>
    <w:rsid w:val="0E2A5B2E"/>
    <w:rsid w:val="0E2D11F7"/>
    <w:rsid w:val="0E344198"/>
    <w:rsid w:val="0E6B26B6"/>
    <w:rsid w:val="0EA76C97"/>
    <w:rsid w:val="0EAD0BA0"/>
    <w:rsid w:val="0EAE1EA5"/>
    <w:rsid w:val="0EE77A81"/>
    <w:rsid w:val="0EFD0ACC"/>
    <w:rsid w:val="0F0C29B3"/>
    <w:rsid w:val="0F4E24BE"/>
    <w:rsid w:val="0F5F6B5A"/>
    <w:rsid w:val="0F6770D5"/>
    <w:rsid w:val="0F6B0ED1"/>
    <w:rsid w:val="0FED3390"/>
    <w:rsid w:val="101639FE"/>
    <w:rsid w:val="101F444E"/>
    <w:rsid w:val="104C6E76"/>
    <w:rsid w:val="107C1741"/>
    <w:rsid w:val="107F2121"/>
    <w:rsid w:val="10AD5C07"/>
    <w:rsid w:val="10B5267E"/>
    <w:rsid w:val="10CF399B"/>
    <w:rsid w:val="10D66765"/>
    <w:rsid w:val="10EA17D0"/>
    <w:rsid w:val="10ED3588"/>
    <w:rsid w:val="10FE7A68"/>
    <w:rsid w:val="110629FF"/>
    <w:rsid w:val="116526FE"/>
    <w:rsid w:val="11691853"/>
    <w:rsid w:val="11794537"/>
    <w:rsid w:val="1189529E"/>
    <w:rsid w:val="118B3557"/>
    <w:rsid w:val="11E30C74"/>
    <w:rsid w:val="11F53EDA"/>
    <w:rsid w:val="12053B58"/>
    <w:rsid w:val="121450CC"/>
    <w:rsid w:val="12176471"/>
    <w:rsid w:val="12176D07"/>
    <w:rsid w:val="12362E22"/>
    <w:rsid w:val="12371121"/>
    <w:rsid w:val="12622141"/>
    <w:rsid w:val="12907582"/>
    <w:rsid w:val="12A01D9B"/>
    <w:rsid w:val="13532CF7"/>
    <w:rsid w:val="13850D8A"/>
    <w:rsid w:val="13B13BE7"/>
    <w:rsid w:val="13CA6005"/>
    <w:rsid w:val="13DC0AD8"/>
    <w:rsid w:val="13E77B33"/>
    <w:rsid w:val="13EB1E25"/>
    <w:rsid w:val="13F26D0A"/>
    <w:rsid w:val="13F52EC4"/>
    <w:rsid w:val="147B6820"/>
    <w:rsid w:val="14A511EB"/>
    <w:rsid w:val="14F36204"/>
    <w:rsid w:val="15470B56"/>
    <w:rsid w:val="15786FC5"/>
    <w:rsid w:val="158C345B"/>
    <w:rsid w:val="15910B7E"/>
    <w:rsid w:val="159643E7"/>
    <w:rsid w:val="15C46524"/>
    <w:rsid w:val="15F0401F"/>
    <w:rsid w:val="16301FF7"/>
    <w:rsid w:val="166874AC"/>
    <w:rsid w:val="16A83DCA"/>
    <w:rsid w:val="16CE3D7D"/>
    <w:rsid w:val="175D63B3"/>
    <w:rsid w:val="17714C5F"/>
    <w:rsid w:val="17BA186A"/>
    <w:rsid w:val="17DF6FC1"/>
    <w:rsid w:val="17E565B3"/>
    <w:rsid w:val="1803381B"/>
    <w:rsid w:val="181969E3"/>
    <w:rsid w:val="18337D42"/>
    <w:rsid w:val="1849301A"/>
    <w:rsid w:val="18875743"/>
    <w:rsid w:val="18A82680"/>
    <w:rsid w:val="18E41833"/>
    <w:rsid w:val="19135A19"/>
    <w:rsid w:val="19145D4E"/>
    <w:rsid w:val="193875E4"/>
    <w:rsid w:val="1971017E"/>
    <w:rsid w:val="19763FD2"/>
    <w:rsid w:val="19CF0097"/>
    <w:rsid w:val="19D36ED9"/>
    <w:rsid w:val="1A2E7035"/>
    <w:rsid w:val="1A416A15"/>
    <w:rsid w:val="1A831166"/>
    <w:rsid w:val="1AB82692"/>
    <w:rsid w:val="1B0072EF"/>
    <w:rsid w:val="1B1C3432"/>
    <w:rsid w:val="1B2B606E"/>
    <w:rsid w:val="1B63507E"/>
    <w:rsid w:val="1BD554B6"/>
    <w:rsid w:val="1BE036B5"/>
    <w:rsid w:val="1BFD51C0"/>
    <w:rsid w:val="1C00147D"/>
    <w:rsid w:val="1C7A2D20"/>
    <w:rsid w:val="1C9B70FD"/>
    <w:rsid w:val="1CAA1C48"/>
    <w:rsid w:val="1CE607FF"/>
    <w:rsid w:val="1CF16CD4"/>
    <w:rsid w:val="1D1D63D2"/>
    <w:rsid w:val="1D5F0A78"/>
    <w:rsid w:val="1DA101D6"/>
    <w:rsid w:val="1E353096"/>
    <w:rsid w:val="1E543033"/>
    <w:rsid w:val="1E750C1F"/>
    <w:rsid w:val="1E8301A8"/>
    <w:rsid w:val="1EAE5386"/>
    <w:rsid w:val="1EBF357F"/>
    <w:rsid w:val="1ED14E6F"/>
    <w:rsid w:val="1F4F1E9D"/>
    <w:rsid w:val="1F6E3A40"/>
    <w:rsid w:val="1FAA4738"/>
    <w:rsid w:val="1FD94389"/>
    <w:rsid w:val="1FF07174"/>
    <w:rsid w:val="1FF30925"/>
    <w:rsid w:val="20107C6A"/>
    <w:rsid w:val="20353CA9"/>
    <w:rsid w:val="20533BE2"/>
    <w:rsid w:val="208C499C"/>
    <w:rsid w:val="20AD43C5"/>
    <w:rsid w:val="20ED3D70"/>
    <w:rsid w:val="210F3D49"/>
    <w:rsid w:val="213E2461"/>
    <w:rsid w:val="21780C70"/>
    <w:rsid w:val="21F13C27"/>
    <w:rsid w:val="22484D4A"/>
    <w:rsid w:val="22533197"/>
    <w:rsid w:val="22541E12"/>
    <w:rsid w:val="229A4F06"/>
    <w:rsid w:val="230F6752"/>
    <w:rsid w:val="23351DA7"/>
    <w:rsid w:val="23425861"/>
    <w:rsid w:val="23593C8E"/>
    <w:rsid w:val="23635A5A"/>
    <w:rsid w:val="23BA4FAC"/>
    <w:rsid w:val="23C47ABA"/>
    <w:rsid w:val="23D322D3"/>
    <w:rsid w:val="241776C2"/>
    <w:rsid w:val="241B284D"/>
    <w:rsid w:val="248F1D01"/>
    <w:rsid w:val="2494490F"/>
    <w:rsid w:val="24C044DA"/>
    <w:rsid w:val="24CB532D"/>
    <w:rsid w:val="24CE53F1"/>
    <w:rsid w:val="251370D3"/>
    <w:rsid w:val="2537799C"/>
    <w:rsid w:val="25611B0C"/>
    <w:rsid w:val="25C61D17"/>
    <w:rsid w:val="25E23790"/>
    <w:rsid w:val="2608732F"/>
    <w:rsid w:val="26190AC9"/>
    <w:rsid w:val="2620319C"/>
    <w:rsid w:val="266A59DA"/>
    <w:rsid w:val="26812EB0"/>
    <w:rsid w:val="268D2FF6"/>
    <w:rsid w:val="268D5D4F"/>
    <w:rsid w:val="26CD3D96"/>
    <w:rsid w:val="26E17638"/>
    <w:rsid w:val="26F06875"/>
    <w:rsid w:val="270E110E"/>
    <w:rsid w:val="2710780A"/>
    <w:rsid w:val="274740A4"/>
    <w:rsid w:val="27B75BC9"/>
    <w:rsid w:val="27BD62EE"/>
    <w:rsid w:val="27C32548"/>
    <w:rsid w:val="27EE0626"/>
    <w:rsid w:val="27F05BD9"/>
    <w:rsid w:val="283D7C94"/>
    <w:rsid w:val="285B7C1F"/>
    <w:rsid w:val="28824590"/>
    <w:rsid w:val="28824F05"/>
    <w:rsid w:val="289422B3"/>
    <w:rsid w:val="28EA3630"/>
    <w:rsid w:val="293B7F8F"/>
    <w:rsid w:val="293E30BA"/>
    <w:rsid w:val="295C6A7D"/>
    <w:rsid w:val="296609FB"/>
    <w:rsid w:val="29823665"/>
    <w:rsid w:val="29C66496"/>
    <w:rsid w:val="29F50EBA"/>
    <w:rsid w:val="29FB0EEE"/>
    <w:rsid w:val="2A2A0BD3"/>
    <w:rsid w:val="2A3C729B"/>
    <w:rsid w:val="2AC47876"/>
    <w:rsid w:val="2B1F081B"/>
    <w:rsid w:val="2B2F6833"/>
    <w:rsid w:val="2B620E2A"/>
    <w:rsid w:val="2B7076CF"/>
    <w:rsid w:val="2B9A7696"/>
    <w:rsid w:val="2BA33828"/>
    <w:rsid w:val="2C3906F0"/>
    <w:rsid w:val="2C4D29BC"/>
    <w:rsid w:val="2C5B633E"/>
    <w:rsid w:val="2C7333ED"/>
    <w:rsid w:val="2CD90F45"/>
    <w:rsid w:val="2D660A4E"/>
    <w:rsid w:val="2D7C01C3"/>
    <w:rsid w:val="2D8C1805"/>
    <w:rsid w:val="2DAC2C4C"/>
    <w:rsid w:val="2E0C4F1C"/>
    <w:rsid w:val="2E7620D3"/>
    <w:rsid w:val="2E8D5C01"/>
    <w:rsid w:val="2E995AE4"/>
    <w:rsid w:val="2EB106E3"/>
    <w:rsid w:val="2ED41171"/>
    <w:rsid w:val="2ED67E68"/>
    <w:rsid w:val="2F0A18BC"/>
    <w:rsid w:val="2F1F3844"/>
    <w:rsid w:val="2F2A7C22"/>
    <w:rsid w:val="2F32147B"/>
    <w:rsid w:val="2F451806"/>
    <w:rsid w:val="2F4F682D"/>
    <w:rsid w:val="2F8444C8"/>
    <w:rsid w:val="2FA368D6"/>
    <w:rsid w:val="30472119"/>
    <w:rsid w:val="30AA38FE"/>
    <w:rsid w:val="30B26981"/>
    <w:rsid w:val="31174B5A"/>
    <w:rsid w:val="31B40176"/>
    <w:rsid w:val="31EA2F26"/>
    <w:rsid w:val="31FC3FB5"/>
    <w:rsid w:val="320F6FD9"/>
    <w:rsid w:val="32630039"/>
    <w:rsid w:val="326A2BE6"/>
    <w:rsid w:val="327A5A60"/>
    <w:rsid w:val="32AC3044"/>
    <w:rsid w:val="32D35BD2"/>
    <w:rsid w:val="32DB47FF"/>
    <w:rsid w:val="32DF3206"/>
    <w:rsid w:val="330C6A84"/>
    <w:rsid w:val="335F4D61"/>
    <w:rsid w:val="335F6FD7"/>
    <w:rsid w:val="33C7387C"/>
    <w:rsid w:val="33E634B2"/>
    <w:rsid w:val="33EB283A"/>
    <w:rsid w:val="342C0290"/>
    <w:rsid w:val="347459DC"/>
    <w:rsid w:val="34BA069D"/>
    <w:rsid w:val="34D00132"/>
    <w:rsid w:val="34EC7728"/>
    <w:rsid w:val="34F96194"/>
    <w:rsid w:val="34FF72DC"/>
    <w:rsid w:val="351C33B2"/>
    <w:rsid w:val="355B0D48"/>
    <w:rsid w:val="358D1782"/>
    <w:rsid w:val="359C1E05"/>
    <w:rsid w:val="35AE43D5"/>
    <w:rsid w:val="35BD2FF7"/>
    <w:rsid w:val="35E421F9"/>
    <w:rsid w:val="35E61D6C"/>
    <w:rsid w:val="35EF63A1"/>
    <w:rsid w:val="35F926BF"/>
    <w:rsid w:val="360557C2"/>
    <w:rsid w:val="363A37BD"/>
    <w:rsid w:val="367B7973"/>
    <w:rsid w:val="36E25873"/>
    <w:rsid w:val="36E71BE2"/>
    <w:rsid w:val="36FF1EC0"/>
    <w:rsid w:val="37362EF4"/>
    <w:rsid w:val="376662E6"/>
    <w:rsid w:val="376B54F8"/>
    <w:rsid w:val="385B30BB"/>
    <w:rsid w:val="389120B6"/>
    <w:rsid w:val="38C06976"/>
    <w:rsid w:val="39406612"/>
    <w:rsid w:val="3954465E"/>
    <w:rsid w:val="39A81BFF"/>
    <w:rsid w:val="39B567D4"/>
    <w:rsid w:val="39C227C3"/>
    <w:rsid w:val="39CE0565"/>
    <w:rsid w:val="39E42EFA"/>
    <w:rsid w:val="3A001605"/>
    <w:rsid w:val="3A4F1DB8"/>
    <w:rsid w:val="3A500EC8"/>
    <w:rsid w:val="3AB8408B"/>
    <w:rsid w:val="3AE43B9F"/>
    <w:rsid w:val="3B1D688D"/>
    <w:rsid w:val="3B4E7358"/>
    <w:rsid w:val="3B6A7F86"/>
    <w:rsid w:val="3B7467BD"/>
    <w:rsid w:val="3B863495"/>
    <w:rsid w:val="3BD16A31"/>
    <w:rsid w:val="3BDB4DC2"/>
    <w:rsid w:val="3C566C8A"/>
    <w:rsid w:val="3C7F09F6"/>
    <w:rsid w:val="3CAC52AA"/>
    <w:rsid w:val="3CAC52C2"/>
    <w:rsid w:val="3CB90F2D"/>
    <w:rsid w:val="3CCE67DC"/>
    <w:rsid w:val="3CF2556E"/>
    <w:rsid w:val="3D0A5D87"/>
    <w:rsid w:val="3D0F62E5"/>
    <w:rsid w:val="3D2D22DB"/>
    <w:rsid w:val="3D7F5473"/>
    <w:rsid w:val="3D8E1478"/>
    <w:rsid w:val="3DA007CC"/>
    <w:rsid w:val="3DB26540"/>
    <w:rsid w:val="3DD501E2"/>
    <w:rsid w:val="3DD53BAC"/>
    <w:rsid w:val="3E005709"/>
    <w:rsid w:val="3E012549"/>
    <w:rsid w:val="3E5A0659"/>
    <w:rsid w:val="3E9C06B7"/>
    <w:rsid w:val="3F2B67B3"/>
    <w:rsid w:val="3F3A5749"/>
    <w:rsid w:val="3F5D42F8"/>
    <w:rsid w:val="3FEF3512"/>
    <w:rsid w:val="403D3BF9"/>
    <w:rsid w:val="406C6886"/>
    <w:rsid w:val="4081152E"/>
    <w:rsid w:val="408D4FF3"/>
    <w:rsid w:val="40AA6AC5"/>
    <w:rsid w:val="40D62F6B"/>
    <w:rsid w:val="40F70F22"/>
    <w:rsid w:val="40F869A3"/>
    <w:rsid w:val="41070D38"/>
    <w:rsid w:val="412E4C7F"/>
    <w:rsid w:val="41474802"/>
    <w:rsid w:val="417C2DBA"/>
    <w:rsid w:val="41B21655"/>
    <w:rsid w:val="41B950BA"/>
    <w:rsid w:val="41D367B4"/>
    <w:rsid w:val="42064FED"/>
    <w:rsid w:val="4260135A"/>
    <w:rsid w:val="427828E3"/>
    <w:rsid w:val="42957651"/>
    <w:rsid w:val="42DB361F"/>
    <w:rsid w:val="43123A63"/>
    <w:rsid w:val="431D7F74"/>
    <w:rsid w:val="432B6CC3"/>
    <w:rsid w:val="43353D4F"/>
    <w:rsid w:val="434D47F1"/>
    <w:rsid w:val="43577787"/>
    <w:rsid w:val="43866F48"/>
    <w:rsid w:val="43883887"/>
    <w:rsid w:val="441D1639"/>
    <w:rsid w:val="442E16B4"/>
    <w:rsid w:val="44674CC2"/>
    <w:rsid w:val="448971EB"/>
    <w:rsid w:val="44E048D3"/>
    <w:rsid w:val="44EA7925"/>
    <w:rsid w:val="44FC085F"/>
    <w:rsid w:val="4508515D"/>
    <w:rsid w:val="4536479A"/>
    <w:rsid w:val="45454DB4"/>
    <w:rsid w:val="45826E17"/>
    <w:rsid w:val="45A16F17"/>
    <w:rsid w:val="45DD722A"/>
    <w:rsid w:val="46315FD5"/>
    <w:rsid w:val="466C69A1"/>
    <w:rsid w:val="467D545D"/>
    <w:rsid w:val="468944A5"/>
    <w:rsid w:val="46996627"/>
    <w:rsid w:val="470B02FA"/>
    <w:rsid w:val="47554A82"/>
    <w:rsid w:val="47AA1CA0"/>
    <w:rsid w:val="47BA1F3A"/>
    <w:rsid w:val="47E6169C"/>
    <w:rsid w:val="47F3119A"/>
    <w:rsid w:val="47FD7EDD"/>
    <w:rsid w:val="480113AB"/>
    <w:rsid w:val="48442A54"/>
    <w:rsid w:val="48575CB4"/>
    <w:rsid w:val="486A1867"/>
    <w:rsid w:val="48E2052B"/>
    <w:rsid w:val="48E829AC"/>
    <w:rsid w:val="490C6BF1"/>
    <w:rsid w:val="491B52AD"/>
    <w:rsid w:val="49483B0C"/>
    <w:rsid w:val="496B7702"/>
    <w:rsid w:val="49D66837"/>
    <w:rsid w:val="4A05327F"/>
    <w:rsid w:val="4A9174E4"/>
    <w:rsid w:val="4A955EEB"/>
    <w:rsid w:val="4AEB2071"/>
    <w:rsid w:val="4B1132B6"/>
    <w:rsid w:val="4B415F30"/>
    <w:rsid w:val="4B442153"/>
    <w:rsid w:val="4B524DE4"/>
    <w:rsid w:val="4B6D2F19"/>
    <w:rsid w:val="4B96539A"/>
    <w:rsid w:val="4BA15123"/>
    <w:rsid w:val="4BAF6637"/>
    <w:rsid w:val="4BD94890"/>
    <w:rsid w:val="4C096368"/>
    <w:rsid w:val="4C0D213C"/>
    <w:rsid w:val="4C255CAA"/>
    <w:rsid w:val="4C4F427D"/>
    <w:rsid w:val="4C6D7CEF"/>
    <w:rsid w:val="4C9C4F98"/>
    <w:rsid w:val="4CA63E68"/>
    <w:rsid w:val="4CBE77A4"/>
    <w:rsid w:val="4CD40438"/>
    <w:rsid w:val="4CDA1180"/>
    <w:rsid w:val="4CDF6CCD"/>
    <w:rsid w:val="4D032C24"/>
    <w:rsid w:val="4D0848ED"/>
    <w:rsid w:val="4D1F30E2"/>
    <w:rsid w:val="4D2128F5"/>
    <w:rsid w:val="4D610217"/>
    <w:rsid w:val="4D7A4DD2"/>
    <w:rsid w:val="4DA5326F"/>
    <w:rsid w:val="4DA674A2"/>
    <w:rsid w:val="4DF03E7A"/>
    <w:rsid w:val="4E1B034B"/>
    <w:rsid w:val="4E256617"/>
    <w:rsid w:val="4E29165E"/>
    <w:rsid w:val="4EC347F9"/>
    <w:rsid w:val="4ED231F7"/>
    <w:rsid w:val="4EEE4370"/>
    <w:rsid w:val="4EEE450B"/>
    <w:rsid w:val="4EF23335"/>
    <w:rsid w:val="4F2D57C4"/>
    <w:rsid w:val="4F7769ED"/>
    <w:rsid w:val="4F904BCA"/>
    <w:rsid w:val="4FAB16C4"/>
    <w:rsid w:val="4FF06848"/>
    <w:rsid w:val="50147102"/>
    <w:rsid w:val="50177257"/>
    <w:rsid w:val="50780230"/>
    <w:rsid w:val="507A519F"/>
    <w:rsid w:val="50973195"/>
    <w:rsid w:val="5099655E"/>
    <w:rsid w:val="50A2742C"/>
    <w:rsid w:val="50B63038"/>
    <w:rsid w:val="50C36A0F"/>
    <w:rsid w:val="513425E5"/>
    <w:rsid w:val="51806C37"/>
    <w:rsid w:val="51E13E09"/>
    <w:rsid w:val="520838AB"/>
    <w:rsid w:val="52295F56"/>
    <w:rsid w:val="522F0832"/>
    <w:rsid w:val="523A0ECD"/>
    <w:rsid w:val="524A2AC9"/>
    <w:rsid w:val="528021E8"/>
    <w:rsid w:val="52B129B7"/>
    <w:rsid w:val="52C319D8"/>
    <w:rsid w:val="52D549A2"/>
    <w:rsid w:val="53141F99"/>
    <w:rsid w:val="5315641D"/>
    <w:rsid w:val="531E089A"/>
    <w:rsid w:val="5337347D"/>
    <w:rsid w:val="536846E4"/>
    <w:rsid w:val="53851D39"/>
    <w:rsid w:val="53E03B10"/>
    <w:rsid w:val="53F577CC"/>
    <w:rsid w:val="540E22B9"/>
    <w:rsid w:val="541F2487"/>
    <w:rsid w:val="543A4A3D"/>
    <w:rsid w:val="54772DEC"/>
    <w:rsid w:val="548173AF"/>
    <w:rsid w:val="548328B3"/>
    <w:rsid w:val="54C77183"/>
    <w:rsid w:val="54D531BC"/>
    <w:rsid w:val="54D95840"/>
    <w:rsid w:val="54DB3A24"/>
    <w:rsid w:val="54EF79E3"/>
    <w:rsid w:val="54FE0265"/>
    <w:rsid w:val="550E0484"/>
    <w:rsid w:val="552E1AAB"/>
    <w:rsid w:val="55465E74"/>
    <w:rsid w:val="558F1AEB"/>
    <w:rsid w:val="56024BA5"/>
    <w:rsid w:val="561220C4"/>
    <w:rsid w:val="56283574"/>
    <w:rsid w:val="56553E33"/>
    <w:rsid w:val="56F97D56"/>
    <w:rsid w:val="572D3B16"/>
    <w:rsid w:val="57470E3C"/>
    <w:rsid w:val="57AE2890"/>
    <w:rsid w:val="57E13F3A"/>
    <w:rsid w:val="57FA3F04"/>
    <w:rsid w:val="58076F46"/>
    <w:rsid w:val="586C2D54"/>
    <w:rsid w:val="587E693B"/>
    <w:rsid w:val="58B21713"/>
    <w:rsid w:val="58C65EE7"/>
    <w:rsid w:val="5907775D"/>
    <w:rsid w:val="59194C8D"/>
    <w:rsid w:val="59246EE0"/>
    <w:rsid w:val="59312016"/>
    <w:rsid w:val="593C7FF3"/>
    <w:rsid w:val="594C05C1"/>
    <w:rsid w:val="596E25F7"/>
    <w:rsid w:val="59871730"/>
    <w:rsid w:val="59990B45"/>
    <w:rsid w:val="59D85615"/>
    <w:rsid w:val="59E45518"/>
    <w:rsid w:val="59EB0BBD"/>
    <w:rsid w:val="5A023C81"/>
    <w:rsid w:val="5A327B53"/>
    <w:rsid w:val="5A894A02"/>
    <w:rsid w:val="5A9B4C7E"/>
    <w:rsid w:val="5ABC71EA"/>
    <w:rsid w:val="5B770DA6"/>
    <w:rsid w:val="5B7B521D"/>
    <w:rsid w:val="5B8F47E5"/>
    <w:rsid w:val="5B9521D6"/>
    <w:rsid w:val="5BD85D61"/>
    <w:rsid w:val="5C665027"/>
    <w:rsid w:val="5C8445D7"/>
    <w:rsid w:val="5C884332"/>
    <w:rsid w:val="5CB3328B"/>
    <w:rsid w:val="5CB937AD"/>
    <w:rsid w:val="5CEA6251"/>
    <w:rsid w:val="5D07288F"/>
    <w:rsid w:val="5D0A10C0"/>
    <w:rsid w:val="5D2D7407"/>
    <w:rsid w:val="5D37407B"/>
    <w:rsid w:val="5D4B1467"/>
    <w:rsid w:val="5DA15CA9"/>
    <w:rsid w:val="5DC13FDF"/>
    <w:rsid w:val="5DE10A96"/>
    <w:rsid w:val="5DE67F29"/>
    <w:rsid w:val="5DF50FB6"/>
    <w:rsid w:val="5DFB2EBF"/>
    <w:rsid w:val="5E145733"/>
    <w:rsid w:val="5E250A65"/>
    <w:rsid w:val="5E2B1C48"/>
    <w:rsid w:val="5E4A6140"/>
    <w:rsid w:val="5E7B6770"/>
    <w:rsid w:val="5E7D3ED4"/>
    <w:rsid w:val="5EAB6075"/>
    <w:rsid w:val="5ED005DD"/>
    <w:rsid w:val="5ED8702A"/>
    <w:rsid w:val="5EEF2D5A"/>
    <w:rsid w:val="5EFB6042"/>
    <w:rsid w:val="5F3C48CC"/>
    <w:rsid w:val="5F533558"/>
    <w:rsid w:val="5F5A69C6"/>
    <w:rsid w:val="5F746EA8"/>
    <w:rsid w:val="5FF116C5"/>
    <w:rsid w:val="60027E1A"/>
    <w:rsid w:val="602E638E"/>
    <w:rsid w:val="602F55CE"/>
    <w:rsid w:val="605D0030"/>
    <w:rsid w:val="609A0504"/>
    <w:rsid w:val="609D0E3C"/>
    <w:rsid w:val="60D120BC"/>
    <w:rsid w:val="61065258"/>
    <w:rsid w:val="61320103"/>
    <w:rsid w:val="61996BAE"/>
    <w:rsid w:val="619B7805"/>
    <w:rsid w:val="619F7DCA"/>
    <w:rsid w:val="61CE369C"/>
    <w:rsid w:val="61E25546"/>
    <w:rsid w:val="61E468DF"/>
    <w:rsid w:val="62107AF1"/>
    <w:rsid w:val="628864B6"/>
    <w:rsid w:val="62EF5305"/>
    <w:rsid w:val="632A6389"/>
    <w:rsid w:val="63466B94"/>
    <w:rsid w:val="634C66EF"/>
    <w:rsid w:val="63667112"/>
    <w:rsid w:val="63787738"/>
    <w:rsid w:val="638D1C63"/>
    <w:rsid w:val="63AB2372"/>
    <w:rsid w:val="63C2634F"/>
    <w:rsid w:val="63E31D0C"/>
    <w:rsid w:val="640B2DAF"/>
    <w:rsid w:val="642224B2"/>
    <w:rsid w:val="64546A26"/>
    <w:rsid w:val="64785961"/>
    <w:rsid w:val="64A84404"/>
    <w:rsid w:val="64D427F8"/>
    <w:rsid w:val="64DF660A"/>
    <w:rsid w:val="651100DB"/>
    <w:rsid w:val="65197224"/>
    <w:rsid w:val="65302E56"/>
    <w:rsid w:val="656A29D4"/>
    <w:rsid w:val="65806194"/>
    <w:rsid w:val="65973BBB"/>
    <w:rsid w:val="6598383A"/>
    <w:rsid w:val="65C63280"/>
    <w:rsid w:val="65C85831"/>
    <w:rsid w:val="66054241"/>
    <w:rsid w:val="664A493D"/>
    <w:rsid w:val="664F2DC4"/>
    <w:rsid w:val="66536C35"/>
    <w:rsid w:val="66861589"/>
    <w:rsid w:val="67080AF2"/>
    <w:rsid w:val="6735657C"/>
    <w:rsid w:val="67594229"/>
    <w:rsid w:val="676D7419"/>
    <w:rsid w:val="677676F1"/>
    <w:rsid w:val="6786630B"/>
    <w:rsid w:val="67951109"/>
    <w:rsid w:val="68371C31"/>
    <w:rsid w:val="683774F7"/>
    <w:rsid w:val="68480253"/>
    <w:rsid w:val="689E6F61"/>
    <w:rsid w:val="68A161AE"/>
    <w:rsid w:val="68A26F62"/>
    <w:rsid w:val="68EE2D34"/>
    <w:rsid w:val="696850C2"/>
    <w:rsid w:val="69685636"/>
    <w:rsid w:val="698663AF"/>
    <w:rsid w:val="69F71D00"/>
    <w:rsid w:val="6A387A9A"/>
    <w:rsid w:val="6AD05D0C"/>
    <w:rsid w:val="6B0B544C"/>
    <w:rsid w:val="6B155216"/>
    <w:rsid w:val="6B2532D5"/>
    <w:rsid w:val="6B62463B"/>
    <w:rsid w:val="6B684E46"/>
    <w:rsid w:val="6BBF2A44"/>
    <w:rsid w:val="6BC61064"/>
    <w:rsid w:val="6C150381"/>
    <w:rsid w:val="6C223D43"/>
    <w:rsid w:val="6C43346A"/>
    <w:rsid w:val="6C8E6327"/>
    <w:rsid w:val="6CB2431A"/>
    <w:rsid w:val="6CEB66C0"/>
    <w:rsid w:val="6D08504B"/>
    <w:rsid w:val="6D151914"/>
    <w:rsid w:val="6D394241"/>
    <w:rsid w:val="6D6A4A10"/>
    <w:rsid w:val="6D8B223E"/>
    <w:rsid w:val="6D966BE1"/>
    <w:rsid w:val="6DBC0F97"/>
    <w:rsid w:val="6DF63479"/>
    <w:rsid w:val="6E096679"/>
    <w:rsid w:val="6E3D106E"/>
    <w:rsid w:val="6E7933A5"/>
    <w:rsid w:val="6E8354DD"/>
    <w:rsid w:val="6EEE548E"/>
    <w:rsid w:val="6EF82F1D"/>
    <w:rsid w:val="6F0F1E10"/>
    <w:rsid w:val="6F0F5317"/>
    <w:rsid w:val="6F6E724D"/>
    <w:rsid w:val="6F7819CD"/>
    <w:rsid w:val="6FE51805"/>
    <w:rsid w:val="6FE84EF7"/>
    <w:rsid w:val="6FFC24AC"/>
    <w:rsid w:val="706047F6"/>
    <w:rsid w:val="706F1606"/>
    <w:rsid w:val="709C7722"/>
    <w:rsid w:val="70A07BF5"/>
    <w:rsid w:val="70AA7AD6"/>
    <w:rsid w:val="70BE695D"/>
    <w:rsid w:val="711A64E4"/>
    <w:rsid w:val="711C1A31"/>
    <w:rsid w:val="71D758D4"/>
    <w:rsid w:val="71E27F7F"/>
    <w:rsid w:val="72113155"/>
    <w:rsid w:val="72696ADE"/>
    <w:rsid w:val="7270167B"/>
    <w:rsid w:val="729D1E1A"/>
    <w:rsid w:val="7307719C"/>
    <w:rsid w:val="735D41CC"/>
    <w:rsid w:val="738A5DD6"/>
    <w:rsid w:val="73992F5D"/>
    <w:rsid w:val="73AA06A6"/>
    <w:rsid w:val="73B86634"/>
    <w:rsid w:val="73BE077C"/>
    <w:rsid w:val="73E509C3"/>
    <w:rsid w:val="73E609DD"/>
    <w:rsid w:val="73FD712E"/>
    <w:rsid w:val="74690A5F"/>
    <w:rsid w:val="74C70E22"/>
    <w:rsid w:val="74D708D5"/>
    <w:rsid w:val="75126AA1"/>
    <w:rsid w:val="75292E35"/>
    <w:rsid w:val="754104C0"/>
    <w:rsid w:val="75784746"/>
    <w:rsid w:val="75893E7F"/>
    <w:rsid w:val="75B95258"/>
    <w:rsid w:val="75BE3AE3"/>
    <w:rsid w:val="75C152F4"/>
    <w:rsid w:val="75CA06FE"/>
    <w:rsid w:val="75EC4704"/>
    <w:rsid w:val="75FA7F1B"/>
    <w:rsid w:val="764C15B2"/>
    <w:rsid w:val="76A5315E"/>
    <w:rsid w:val="76B76870"/>
    <w:rsid w:val="76CD29F6"/>
    <w:rsid w:val="77944971"/>
    <w:rsid w:val="77D323A7"/>
    <w:rsid w:val="77D61A5A"/>
    <w:rsid w:val="77F82860"/>
    <w:rsid w:val="77FC1EE6"/>
    <w:rsid w:val="78501970"/>
    <w:rsid w:val="789C0CAC"/>
    <w:rsid w:val="78BE257D"/>
    <w:rsid w:val="78C818A2"/>
    <w:rsid w:val="79026D63"/>
    <w:rsid w:val="79171739"/>
    <w:rsid w:val="79260054"/>
    <w:rsid w:val="792648FC"/>
    <w:rsid w:val="793F707A"/>
    <w:rsid w:val="79634A09"/>
    <w:rsid w:val="798473DD"/>
    <w:rsid w:val="79B42D0B"/>
    <w:rsid w:val="79B871A5"/>
    <w:rsid w:val="79DD5531"/>
    <w:rsid w:val="79F4002B"/>
    <w:rsid w:val="79FE2D06"/>
    <w:rsid w:val="7A28613B"/>
    <w:rsid w:val="7A3F30C3"/>
    <w:rsid w:val="7A491B55"/>
    <w:rsid w:val="7A5F0950"/>
    <w:rsid w:val="7AC426F9"/>
    <w:rsid w:val="7B1F4A77"/>
    <w:rsid w:val="7B2A60B7"/>
    <w:rsid w:val="7B640F7E"/>
    <w:rsid w:val="7BC10935"/>
    <w:rsid w:val="7BD44AB5"/>
    <w:rsid w:val="7BD71EB3"/>
    <w:rsid w:val="7C02295A"/>
    <w:rsid w:val="7C153754"/>
    <w:rsid w:val="7C1A5FDC"/>
    <w:rsid w:val="7C1E3C2F"/>
    <w:rsid w:val="7C444A8F"/>
    <w:rsid w:val="7C8A7E92"/>
    <w:rsid w:val="7CAC02AF"/>
    <w:rsid w:val="7CBD2368"/>
    <w:rsid w:val="7CD44535"/>
    <w:rsid w:val="7CF52011"/>
    <w:rsid w:val="7D1D01A6"/>
    <w:rsid w:val="7D206CD5"/>
    <w:rsid w:val="7D315341"/>
    <w:rsid w:val="7D443A12"/>
    <w:rsid w:val="7D482418"/>
    <w:rsid w:val="7D5A28D7"/>
    <w:rsid w:val="7D5C14F1"/>
    <w:rsid w:val="7D6342C7"/>
    <w:rsid w:val="7D777689"/>
    <w:rsid w:val="7D8C5BB8"/>
    <w:rsid w:val="7E37220E"/>
    <w:rsid w:val="7E5740A4"/>
    <w:rsid w:val="7E9C03A3"/>
    <w:rsid w:val="7E9C52C8"/>
    <w:rsid w:val="7EA813CF"/>
    <w:rsid w:val="7EDF7F41"/>
    <w:rsid w:val="7F1F521A"/>
    <w:rsid w:val="7F385A22"/>
    <w:rsid w:val="7F4747B2"/>
    <w:rsid w:val="7F73562A"/>
    <w:rsid w:val="7F74752A"/>
    <w:rsid w:val="7F8F4AB9"/>
    <w:rsid w:val="7FAA5BD8"/>
    <w:rsid w:val="7FBE5492"/>
    <w:rsid w:val="7FC47F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9"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iPriority="0" w:name="index 1"/>
    <w:lsdException w:qFormat="1" w:uiPriority="0" w:name="index 2"/>
    <w:lsdException w:qFormat="1" w:uiPriority="0" w:name="index 3"/>
    <w:lsdException w:qFormat="1" w:uiPriority="0" w:name="index 4"/>
    <w:lsdException w:qFormat="1" w:uiPriority="0" w:name="index 5"/>
    <w:lsdException w:qFormat="1" w:uiPriority="0" w:name="index 6"/>
    <w:lsdException w:qFormat="1" w:uiPriority="0" w:name="index 7"/>
    <w:lsdException w:qFormat="1" w:uiPriority="0" w:name="index 8"/>
    <w:lsdException w:qFormat="1" w:uiPriority="0"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qFormat="1" w:uiPriority="0" w:name="footnote text"/>
    <w:lsdException w:qFormat="1" w:uiPriority="0" w:semiHidden="0" w:name="annotation text"/>
    <w:lsdException w:qFormat="1" w:uiPriority="99" w:semiHidden="0" w:name="header"/>
    <w:lsdException w:qFormat="1" w:uiPriority="99" w:semiHidden="0" w:name="footer"/>
    <w:lsdException w:qFormat="1" w:uiPriority="0" w:name="index heading"/>
    <w:lsdException w:qFormat="1" w:uiPriority="0" w:name="caption"/>
    <w:lsdException w:qFormat="1" w:uiPriority="0" w:name="table of figures"/>
    <w:lsdException w:qFormat="1" w:uiPriority="0" w:name="envelope address"/>
    <w:lsdException w:qFormat="1" w:uiPriority="0" w:name="envelope return"/>
    <w:lsdException w:qFormat="1" w:uiPriority="0" w:name="footnote reference"/>
    <w:lsdException w:qFormat="1" w:uiPriority="0" w:semiHidden="0" w:name="annotation reference"/>
    <w:lsdException w:qFormat="1" w:uiPriority="0" w:name="line number"/>
    <w:lsdException w:qFormat="1" w:uiPriority="0" w:name="page number"/>
    <w:lsdException w:qFormat="1" w:uiPriority="0" w:name="endnote reference"/>
    <w:lsdException w:qFormat="1" w:uiPriority="0" w:name="endnote text"/>
    <w:lsdException w:qFormat="1" w:uiPriority="0" w:name="table of authorities"/>
    <w:lsdException w:uiPriority="99" w:name="macro"/>
    <w:lsdException w:qFormat="1" w:uiPriority="0" w:name="toa heading"/>
    <w:lsdException w:qFormat="1" w:uiPriority="0" w:name="List"/>
    <w:lsdException w:qFormat="1" w:uiPriority="0" w:name="List Bullet"/>
    <w:lsdException w:unhideWhenUsed="0" w:uiPriority="0" w:semiHidden="0" w:name="List Number"/>
    <w:lsdException w:qFormat="1" w:uiPriority="0" w:name="List 2"/>
    <w:lsdException w:qFormat="1" w:uiPriority="99" w:semiHidden="0" w:name="List 3"/>
    <w:lsdException w:unhideWhenUsed="0" w:uiPriority="0" w:semiHidden="0" w:name="List 4"/>
    <w:lsdException w:unhideWhenUsed="0" w:uiPriority="0" w:semiHidden="0" w:name="List 5"/>
    <w:lsdException w:qFormat="1" w:uiPriority="0" w:name="List Bullet 2"/>
    <w:lsdException w:qFormat="1" w:uiPriority="0" w:name="List Bullet 3"/>
    <w:lsdException w:qFormat="1" w:uiPriority="0" w:name="List Bullet 4"/>
    <w:lsdException w:qFormat="1" w:uiPriority="0" w:name="List Bullet 5"/>
    <w:lsdException w:qFormat="1" w:uiPriority="0" w:name="List Number 2"/>
    <w:lsdException w:qFormat="1" w:uiPriority="0" w:name="List Number 3"/>
    <w:lsdException w:qFormat="1" w:uiPriority="0" w:name="List Number 4"/>
    <w:lsdException w:qFormat="1" w:uiPriority="0" w:name="List Number 5"/>
    <w:lsdException w:qFormat="1" w:unhideWhenUsed="0" w:uiPriority="0" w:semiHidden="0" w:name="Title"/>
    <w:lsdException w:qFormat="1" w:uiPriority="0" w:name="Closing"/>
    <w:lsdException w:qFormat="1" w:uiPriority="0" w:name="Signature"/>
    <w:lsdException w:qFormat="1" w:uiPriority="1" w:semiHidden="0" w:name="Default Paragraph Font"/>
    <w:lsdException w:qFormat="1" w:unhideWhenUsed="0" w:uiPriority="0" w:semiHidden="0" w:name="Body Text"/>
    <w:lsdException w:qFormat="1" w:uiPriority="0" w:name="Body Text Indent"/>
    <w:lsdException w:qFormat="1" w:uiPriority="0" w:name="List Continue"/>
    <w:lsdException w:qFormat="1" w:uiPriority="0" w:name="List Continue 2"/>
    <w:lsdException w:qFormat="1" w:uiPriority="0" w:name="List Continue 3"/>
    <w:lsdException w:qFormat="1" w:uiPriority="0" w:name="List Continue 4"/>
    <w:lsdException w:qFormat="1" w:uiPriority="0" w:name="List Continue 5"/>
    <w:lsdException w:qFormat="1" w:uiPriority="0" w:name="Message Header"/>
    <w:lsdException w:qFormat="1" w:unhideWhenUsed="0" w:uiPriority="0" w:semiHidden="0" w:name="Subtitle"/>
    <w:lsdException w:unhideWhenUsed="0" w:uiPriority="0" w:semiHidden="0" w:name="Salutation"/>
    <w:lsdException w:unhideWhenUsed="0" w:uiPriority="99" w:semiHidden="0" w:name="Date"/>
    <w:lsdException w:qFormat="1" w:unhideWhenUsed="0" w:uiPriority="99" w:semiHidden="0" w:name="Body Text First Indent"/>
    <w:lsdException w:qFormat="1" w:unhideWhenUsed="0" w:uiPriority="0" w:semiHidden="0" w:name="Body Text First Indent 2"/>
    <w:lsdException w:qFormat="1" w:uiPriority="0" w:name="Note Heading"/>
    <w:lsdException w:qFormat="1" w:uiPriority="0" w:semiHidden="0" w:name="Body Text 2"/>
    <w:lsdException w:qFormat="1" w:uiPriority="0" w:name="Body Text 3"/>
    <w:lsdException w:qFormat="1" w:unhideWhenUsed="0" w:uiPriority="99" w:semiHidden="0" w:name="Body Text Indent 2"/>
    <w:lsdException w:qFormat="1" w:uiPriority="0" w:name="Body Text Indent 3"/>
    <w:lsdException w:qFormat="1" w:uiPriority="0" w:name="Block Text"/>
    <w:lsdException w:qFormat="1" w:uiPriority="99" w:semiHidden="0" w:name="Hyperlink"/>
    <w:lsdException w:qFormat="1" w:uiPriority="99" w:name="FollowedHyperlink"/>
    <w:lsdException w:qFormat="1" w:unhideWhenUsed="0" w:uiPriority="22" w:semiHidden="0" w:name="Strong"/>
    <w:lsdException w:qFormat="1" w:unhideWhenUsed="0" w:uiPriority="0" w:semiHidden="0" w:name="Emphasis"/>
    <w:lsdException w:qFormat="1" w:uiPriority="99" w:name="Document Map"/>
    <w:lsdException w:qFormat="1" w:unhideWhenUsed="0" w:uiPriority="0" w:semiHidden="0" w:name="Plain Text"/>
    <w:lsdException w:qFormat="1" w:uiPriority="0" w:name="E-mail Signature"/>
    <w:lsdException w:qFormat="1" w:unhideWhenUsed="0" w:uiPriority="0" w:semiHidden="0" w:name="Normal (Web)"/>
    <w:lsdException w:qFormat="1" w:uiPriority="0" w:name="HTML Acronym"/>
    <w:lsdException w:qFormat="1" w:uiPriority="0" w:name="HTML Address"/>
    <w:lsdException w:qFormat="1" w:uiPriority="0" w:name="HTML Cite"/>
    <w:lsdException w:qFormat="1" w:uiPriority="0" w:name="HTML Code"/>
    <w:lsdException w:qFormat="1" w:uiPriority="0" w:name="HTML Definition"/>
    <w:lsdException w:qFormat="1" w:uiPriority="0" w:name="HTML Keyboard"/>
    <w:lsdException w:qFormat="1" w:uiPriority="0" w:name="HTML Preformatted"/>
    <w:lsdException w:qFormat="1" w:uiPriority="0" w:name="HTML Sample"/>
    <w:lsdException w:qFormat="1" w:uiPriority="0" w:name="HTML Typewriter"/>
    <w:lsdException w:qFormat="1" w:uiPriority="0" w:name="HTML Variable"/>
    <w:lsdException w:qFormat="1" w:uiPriority="99" w:name="Normal Table"/>
    <w:lsdException w:qFormat="1" w:uiPriority="99" w:name="annotation subject"/>
    <w:lsdException w:qFormat="1" w:uiPriority="0" w:name="Table Simple 1"/>
    <w:lsdException w:uiPriority="0" w:name="Table Simple 2"/>
    <w:lsdException w:qFormat="1" w:uiPriority="0" w:name="Table Simple 3"/>
    <w:lsdException w:qFormat="1" w:uiPriority="0" w:name="Table Classic 1"/>
    <w:lsdException w:qFormat="1" w:uiPriority="0" w:name="Table Classic 2"/>
    <w:lsdException w:qFormat="1" w:uiPriority="0" w:name="Table Classic 3"/>
    <w:lsdException w:qFormat="1" w:uiPriority="0" w:name="Table Classic 4"/>
    <w:lsdException w:qFormat="1" w:uiPriority="0" w:name="Table Colorful 1"/>
    <w:lsdException w:qFormat="1" w:uiPriority="0" w:name="Table Colorful 2"/>
    <w:lsdException w:qFormat="1" w:uiPriority="0" w:name="Table Colorful 3"/>
    <w:lsdException w:uiPriority="0" w:name="Table Columns 1"/>
    <w:lsdException w:qFormat="1" w:uiPriority="0" w:name="Table Columns 2"/>
    <w:lsdException w:qFormat="1" w:uiPriority="0" w:name="Table Columns 3"/>
    <w:lsdException w:qFormat="1" w:uiPriority="0" w:name="Table Columns 4"/>
    <w:lsdException w:qFormat="1" w:uiPriority="0" w:name="Table Columns 5"/>
    <w:lsdException w:uiPriority="0" w:name="Table Grid 1"/>
    <w:lsdException w:uiPriority="0" w:name="Table Grid 2"/>
    <w:lsdException w:uiPriority="0" w:name="Table Grid 3"/>
    <w:lsdException w:qFormat="1" w:uiPriority="0" w:name="Table Grid 4"/>
    <w:lsdException w:qFormat="1" w:uiPriority="0" w:name="Table Grid 5"/>
    <w:lsdException w:qFormat="1" w:uiPriority="0" w:name="Table Grid 6"/>
    <w:lsdException w:qFormat="1" w:uiPriority="0" w:name="Table Grid 7"/>
    <w:lsdException w:qFormat="1" w:uiPriority="0" w:name="Table Grid 8"/>
    <w:lsdException w:qFormat="1" w:uiPriority="0" w:name="Table List 1"/>
    <w:lsdException w:uiPriority="0" w:name="Table List 2"/>
    <w:lsdException w:qFormat="1" w:uiPriority="0" w:name="Table List 3"/>
    <w:lsdException w:uiPriority="0" w:name="Table List 4"/>
    <w:lsdException w:qFormat="1" w:uiPriority="0" w:name="Table List 5"/>
    <w:lsdException w:qFormat="1" w:uiPriority="0" w:name="Table List 6"/>
    <w:lsdException w:qFormat="1" w:uiPriority="0" w:name="Table List 7"/>
    <w:lsdException w:qFormat="1" w:uiPriority="0" w:name="Table List 8"/>
    <w:lsdException w:uiPriority="0" w:name="Table 3D effects 1"/>
    <w:lsdException w:uiPriority="0" w:name="Table 3D effects 2"/>
    <w:lsdException w:uiPriority="0" w:name="Table 3D effects 3"/>
    <w:lsdException w:uiPriority="0" w:name="Table Contemporary"/>
    <w:lsdException w:qFormat="1" w:uiPriority="0" w:name="Table Elegant"/>
    <w:lsdException w:uiPriority="0" w:name="Table Professional"/>
    <w:lsdException w:qFormat="1" w:uiPriority="0" w:name="Table Subtle 1"/>
    <w:lsdException w:uiPriority="0" w:name="Table Subtle 2"/>
    <w:lsdException w:qFormat="1" w:uiPriority="0" w:name="Table Web 1"/>
    <w:lsdException w:qFormat="1" w:uiPriority="0" w:name="Table Web 2"/>
    <w:lsdException w:qFormat="1" w:uiPriority="0" w:name="Table Web 3"/>
    <w:lsdException w:qFormat="1" w:uiPriority="99" w:name="Balloon Text"/>
    <w:lsdException w:qFormat="1" w:unhideWhenUsed="0" w:uiPriority="0" w:semiHidden="0" w:name="Table Grid"/>
    <w:lsdException w:qFormat="1" w:uiPriority="0"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480" w:lineRule="exact"/>
      <w:ind w:firstLine="200" w:firstLineChars="200"/>
      <w:jc w:val="both"/>
    </w:pPr>
    <w:rPr>
      <w:rFonts w:ascii="Times New Roman" w:hAnsi="Times New Roman" w:eastAsia="宋体" w:cs="Times New Roman"/>
      <w:kern w:val="2"/>
      <w:sz w:val="26"/>
      <w:szCs w:val="24"/>
      <w:lang w:val="en-US" w:eastAsia="zh-CN" w:bidi="ar-SA"/>
    </w:rPr>
  </w:style>
  <w:style w:type="paragraph" w:styleId="3">
    <w:name w:val="heading 1"/>
    <w:basedOn w:val="1"/>
    <w:next w:val="1"/>
    <w:link w:val="42"/>
    <w:qFormat/>
    <w:uiPriority w:val="0"/>
    <w:pPr>
      <w:keepNext/>
      <w:keepLines/>
      <w:numPr>
        <w:ilvl w:val="0"/>
        <w:numId w:val="1"/>
      </w:numPr>
      <w:ind w:left="0" w:firstLine="0"/>
      <w:jc w:val="center"/>
      <w:outlineLvl w:val="0"/>
    </w:pPr>
    <w:rPr>
      <w:b/>
      <w:bCs/>
      <w:kern w:val="44"/>
      <w:sz w:val="32"/>
      <w:szCs w:val="44"/>
    </w:rPr>
  </w:style>
  <w:style w:type="paragraph" w:styleId="4">
    <w:name w:val="heading 2"/>
    <w:basedOn w:val="1"/>
    <w:next w:val="1"/>
    <w:link w:val="43"/>
    <w:qFormat/>
    <w:uiPriority w:val="0"/>
    <w:pPr>
      <w:keepNext/>
      <w:keepLines/>
      <w:numPr>
        <w:ilvl w:val="1"/>
        <w:numId w:val="1"/>
      </w:numPr>
      <w:ind w:left="0" w:firstLine="522"/>
      <w:outlineLvl w:val="1"/>
    </w:pPr>
    <w:rPr>
      <w:rFonts w:ascii="Arial" w:hAnsi="Arial"/>
      <w:b/>
      <w:bCs/>
      <w:szCs w:val="32"/>
    </w:rPr>
  </w:style>
  <w:style w:type="paragraph" w:styleId="5">
    <w:name w:val="heading 3"/>
    <w:basedOn w:val="1"/>
    <w:next w:val="1"/>
    <w:link w:val="38"/>
    <w:qFormat/>
    <w:uiPriority w:val="99"/>
    <w:pPr>
      <w:keepNext/>
      <w:keepLines/>
      <w:numPr>
        <w:ilvl w:val="2"/>
        <w:numId w:val="1"/>
      </w:numPr>
      <w:ind w:left="0" w:firstLine="200"/>
      <w:outlineLvl w:val="2"/>
    </w:pPr>
    <w:rPr>
      <w:b/>
      <w:bCs/>
      <w:szCs w:val="32"/>
    </w:rPr>
  </w:style>
  <w:style w:type="paragraph" w:styleId="6">
    <w:name w:val="heading 4"/>
    <w:basedOn w:val="1"/>
    <w:next w:val="7"/>
    <w:link w:val="106"/>
    <w:qFormat/>
    <w:uiPriority w:val="0"/>
    <w:pPr>
      <w:keepNext/>
      <w:numPr>
        <w:ilvl w:val="3"/>
        <w:numId w:val="1"/>
      </w:numPr>
      <w:adjustRightInd w:val="0"/>
      <w:snapToGrid w:val="0"/>
      <w:spacing w:line="480" w:lineRule="exact"/>
      <w:ind w:left="0"/>
      <w:outlineLvl w:val="3"/>
    </w:pPr>
    <w:rPr>
      <w:rFonts w:ascii="Times New Roman" w:hAnsi="Times New Roman" w:eastAsia="宋体"/>
      <w:b/>
      <w:szCs w:val="26"/>
    </w:rPr>
  </w:style>
  <w:style w:type="paragraph" w:styleId="8">
    <w:name w:val="heading 5"/>
    <w:basedOn w:val="1"/>
    <w:next w:val="1"/>
    <w:link w:val="45"/>
    <w:qFormat/>
    <w:uiPriority w:val="0"/>
    <w:pPr>
      <w:keepNext/>
      <w:keepLines/>
      <w:numPr>
        <w:ilvl w:val="4"/>
        <w:numId w:val="1"/>
      </w:numPr>
      <w:adjustRightInd w:val="0"/>
      <w:spacing w:before="280" w:after="290" w:line="376" w:lineRule="atLeast"/>
      <w:textAlignment w:val="baseline"/>
      <w:outlineLvl w:val="4"/>
    </w:pPr>
    <w:rPr>
      <w:b/>
      <w:kern w:val="0"/>
      <w:sz w:val="28"/>
      <w:szCs w:val="20"/>
    </w:rPr>
  </w:style>
  <w:style w:type="paragraph" w:styleId="9">
    <w:name w:val="heading 6"/>
    <w:basedOn w:val="1"/>
    <w:next w:val="1"/>
    <w:link w:val="46"/>
    <w:qFormat/>
    <w:uiPriority w:val="0"/>
    <w:pPr>
      <w:keepNext/>
      <w:keepLines/>
      <w:numPr>
        <w:ilvl w:val="5"/>
        <w:numId w:val="1"/>
      </w:numPr>
      <w:adjustRightInd w:val="0"/>
      <w:spacing w:before="240" w:after="64" w:line="320" w:lineRule="atLeast"/>
      <w:textAlignment w:val="baseline"/>
      <w:outlineLvl w:val="5"/>
    </w:pPr>
    <w:rPr>
      <w:rFonts w:ascii="Arial" w:hAnsi="Arial" w:eastAsia="黑体"/>
      <w:b/>
      <w:kern w:val="0"/>
      <w:sz w:val="24"/>
      <w:szCs w:val="20"/>
    </w:rPr>
  </w:style>
  <w:style w:type="paragraph" w:styleId="10">
    <w:name w:val="heading 7"/>
    <w:basedOn w:val="1"/>
    <w:next w:val="1"/>
    <w:link w:val="47"/>
    <w:qFormat/>
    <w:uiPriority w:val="0"/>
    <w:pPr>
      <w:keepNext/>
      <w:keepLines/>
      <w:numPr>
        <w:ilvl w:val="6"/>
        <w:numId w:val="1"/>
      </w:numPr>
      <w:adjustRightInd w:val="0"/>
      <w:spacing w:before="240" w:after="64" w:line="320" w:lineRule="atLeast"/>
      <w:textAlignment w:val="baseline"/>
      <w:outlineLvl w:val="6"/>
    </w:pPr>
    <w:rPr>
      <w:b/>
      <w:kern w:val="0"/>
      <w:sz w:val="24"/>
      <w:szCs w:val="20"/>
    </w:rPr>
  </w:style>
  <w:style w:type="paragraph" w:styleId="11">
    <w:name w:val="heading 8"/>
    <w:basedOn w:val="1"/>
    <w:next w:val="1"/>
    <w:link w:val="48"/>
    <w:qFormat/>
    <w:uiPriority w:val="0"/>
    <w:pPr>
      <w:keepNext/>
      <w:keepLines/>
      <w:numPr>
        <w:ilvl w:val="7"/>
        <w:numId w:val="1"/>
      </w:numPr>
      <w:adjustRightInd w:val="0"/>
      <w:spacing w:before="240" w:after="64" w:line="320" w:lineRule="atLeast"/>
      <w:textAlignment w:val="baseline"/>
      <w:outlineLvl w:val="7"/>
    </w:pPr>
    <w:rPr>
      <w:rFonts w:ascii="Arial" w:hAnsi="Arial" w:eastAsia="黑体"/>
      <w:kern w:val="0"/>
      <w:sz w:val="24"/>
      <w:szCs w:val="20"/>
    </w:rPr>
  </w:style>
  <w:style w:type="paragraph" w:styleId="12">
    <w:name w:val="heading 9"/>
    <w:basedOn w:val="1"/>
    <w:next w:val="1"/>
    <w:link w:val="49"/>
    <w:qFormat/>
    <w:uiPriority w:val="0"/>
    <w:pPr>
      <w:keepNext/>
      <w:keepLines/>
      <w:numPr>
        <w:ilvl w:val="8"/>
        <w:numId w:val="1"/>
      </w:numPr>
      <w:spacing w:before="240" w:after="64" w:line="320" w:lineRule="auto"/>
      <w:outlineLvl w:val="8"/>
    </w:pPr>
    <w:rPr>
      <w:rFonts w:ascii="Arial" w:hAnsi="Arial" w:eastAsia="黑体"/>
      <w:szCs w:val="20"/>
    </w:rPr>
  </w:style>
  <w:style w:type="character" w:default="1" w:styleId="30">
    <w:name w:val="Default Paragraph Font"/>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link w:val="163"/>
    <w:qFormat/>
    <w:uiPriority w:val="0"/>
    <w:pPr>
      <w:spacing w:line="240" w:lineRule="auto"/>
      <w:ind w:firstLine="0" w:firstLineChars="0"/>
    </w:pPr>
    <w:rPr>
      <w:sz w:val="28"/>
      <w:szCs w:val="20"/>
      <w:lang w:val="zh-CN"/>
    </w:rPr>
  </w:style>
  <w:style w:type="paragraph" w:styleId="7">
    <w:name w:val="Normal Indent"/>
    <w:basedOn w:val="1"/>
    <w:qFormat/>
    <w:uiPriority w:val="0"/>
    <w:pPr>
      <w:ind w:firstLine="420"/>
    </w:pPr>
  </w:style>
  <w:style w:type="paragraph" w:styleId="13">
    <w:name w:val="List 3"/>
    <w:basedOn w:val="1"/>
    <w:next w:val="1"/>
    <w:unhideWhenUsed/>
    <w:qFormat/>
    <w:uiPriority w:val="99"/>
    <w:pPr>
      <w:autoSpaceDE w:val="0"/>
      <w:autoSpaceDN w:val="0"/>
      <w:adjustRightInd w:val="0"/>
      <w:spacing w:line="288" w:lineRule="auto"/>
      <w:ind w:left="1260" w:hanging="420"/>
      <w:jc w:val="left"/>
      <w:textAlignment w:val="baseline"/>
    </w:pPr>
    <w:rPr>
      <w:kern w:val="0"/>
      <w:szCs w:val="20"/>
    </w:rPr>
  </w:style>
  <w:style w:type="paragraph" w:styleId="14">
    <w:name w:val="annotation text"/>
    <w:basedOn w:val="1"/>
    <w:link w:val="161"/>
    <w:unhideWhenUsed/>
    <w:qFormat/>
    <w:uiPriority w:val="0"/>
    <w:pPr>
      <w:jc w:val="left"/>
    </w:pPr>
  </w:style>
  <w:style w:type="paragraph" w:styleId="15">
    <w:name w:val="Plain Text"/>
    <w:basedOn w:val="1"/>
    <w:qFormat/>
    <w:uiPriority w:val="0"/>
    <w:rPr>
      <w:rFonts w:ascii="ˎ̥" w:hAnsi="Courier New" w:cstheme="minorBidi"/>
      <w:sz w:val="28"/>
      <w:szCs w:val="22"/>
    </w:rPr>
  </w:style>
  <w:style w:type="paragraph" w:styleId="16">
    <w:name w:val="Body Text Indent 2"/>
    <w:basedOn w:val="1"/>
    <w:qFormat/>
    <w:uiPriority w:val="99"/>
    <w:pPr>
      <w:spacing w:line="360" w:lineRule="auto"/>
      <w:ind w:firstLine="560"/>
    </w:pPr>
    <w:rPr>
      <w:sz w:val="24"/>
    </w:rPr>
  </w:style>
  <w:style w:type="paragraph" w:styleId="17">
    <w:name w:val="Balloon Text"/>
    <w:basedOn w:val="1"/>
    <w:link w:val="50"/>
    <w:semiHidden/>
    <w:unhideWhenUsed/>
    <w:qFormat/>
    <w:uiPriority w:val="99"/>
    <w:pPr>
      <w:spacing w:line="240" w:lineRule="auto"/>
    </w:pPr>
    <w:rPr>
      <w:sz w:val="18"/>
      <w:szCs w:val="18"/>
    </w:rPr>
  </w:style>
  <w:style w:type="paragraph" w:styleId="18">
    <w:name w:val="footer"/>
    <w:basedOn w:val="1"/>
    <w:unhideWhenUsed/>
    <w:qFormat/>
    <w:uiPriority w:val="99"/>
    <w:pPr>
      <w:tabs>
        <w:tab w:val="center" w:pos="4153"/>
        <w:tab w:val="right" w:pos="8306"/>
      </w:tabs>
      <w:jc w:val="left"/>
    </w:pPr>
    <w:rPr>
      <w:rFonts w:ascii="Calibri" w:hAnsi="Calibri"/>
      <w:kern w:val="0"/>
      <w:sz w:val="18"/>
      <w:szCs w:val="18"/>
    </w:rPr>
  </w:style>
  <w:style w:type="paragraph" w:styleId="19">
    <w:name w:val="header"/>
    <w:basedOn w:val="1"/>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unhideWhenUsed/>
    <w:qFormat/>
    <w:uiPriority w:val="39"/>
    <w:pPr>
      <w:tabs>
        <w:tab w:val="right" w:leader="dot" w:pos="8721"/>
      </w:tabs>
      <w:ind w:firstLine="0" w:firstLineChars="0"/>
    </w:pPr>
    <w:rPr>
      <w:b/>
      <w:bCs/>
    </w:rPr>
  </w:style>
  <w:style w:type="paragraph" w:styleId="21">
    <w:name w:val="toc 2"/>
    <w:basedOn w:val="1"/>
    <w:next w:val="1"/>
    <w:unhideWhenUsed/>
    <w:qFormat/>
    <w:uiPriority w:val="39"/>
    <w:pPr>
      <w:tabs>
        <w:tab w:val="right" w:leader="dot" w:pos="8721"/>
      </w:tabs>
      <w:ind w:left="520" w:leftChars="200" w:firstLine="0" w:firstLineChars="0"/>
    </w:pPr>
  </w:style>
  <w:style w:type="paragraph" w:styleId="22">
    <w:name w:val="Body Text 2"/>
    <w:basedOn w:val="1"/>
    <w:unhideWhenUsed/>
    <w:qFormat/>
    <w:uiPriority w:val="0"/>
    <w:pPr>
      <w:spacing w:after="120" w:line="480" w:lineRule="auto"/>
    </w:pPr>
  </w:style>
  <w:style w:type="paragraph" w:styleId="23">
    <w:name w:val="Normal (Web)"/>
    <w:basedOn w:val="1"/>
    <w:link w:val="196"/>
    <w:qFormat/>
    <w:uiPriority w:val="0"/>
    <w:pPr>
      <w:widowControl/>
      <w:spacing w:before="100" w:beforeAutospacing="1" w:after="100" w:afterAutospacing="1" w:line="240" w:lineRule="auto"/>
      <w:ind w:firstLine="0" w:firstLineChars="0"/>
      <w:jc w:val="left"/>
    </w:pPr>
    <w:rPr>
      <w:rFonts w:ascii="宋体" w:hAnsi="宋体" w:cs="宋体"/>
      <w:kern w:val="0"/>
      <w:sz w:val="24"/>
    </w:rPr>
  </w:style>
  <w:style w:type="paragraph" w:styleId="24">
    <w:name w:val="Title"/>
    <w:basedOn w:val="1"/>
    <w:next w:val="1"/>
    <w:link w:val="66"/>
    <w:qFormat/>
    <w:uiPriority w:val="0"/>
    <w:pPr>
      <w:spacing w:before="240" w:after="60" w:line="240" w:lineRule="auto"/>
      <w:ind w:firstLine="0" w:firstLineChars="0"/>
      <w:jc w:val="center"/>
      <w:outlineLvl w:val="0"/>
    </w:pPr>
    <w:rPr>
      <w:rFonts w:ascii="Arial" w:hAnsi="Arial" w:eastAsia="等线" w:cs="Arial"/>
      <w:b/>
      <w:bCs/>
      <w:sz w:val="32"/>
      <w:szCs w:val="32"/>
    </w:rPr>
  </w:style>
  <w:style w:type="paragraph" w:styleId="25">
    <w:name w:val="annotation subject"/>
    <w:basedOn w:val="14"/>
    <w:next w:val="14"/>
    <w:link w:val="162"/>
    <w:semiHidden/>
    <w:unhideWhenUsed/>
    <w:qFormat/>
    <w:uiPriority w:val="99"/>
    <w:rPr>
      <w:b/>
      <w:bCs/>
    </w:rPr>
  </w:style>
  <w:style w:type="paragraph" w:styleId="26">
    <w:name w:val="Body Text First Indent"/>
    <w:basedOn w:val="2"/>
    <w:next w:val="27"/>
    <w:qFormat/>
    <w:uiPriority w:val="99"/>
    <w:pPr>
      <w:spacing w:after="120" w:line="480" w:lineRule="exact"/>
      <w:ind w:firstLine="420" w:firstLineChars="100"/>
    </w:pPr>
    <w:rPr>
      <w:sz w:val="26"/>
      <w:szCs w:val="24"/>
      <w:lang w:val="en-US"/>
    </w:rPr>
  </w:style>
  <w:style w:type="paragraph" w:styleId="27">
    <w:name w:val="Body Text First Indent 2"/>
    <w:basedOn w:val="1"/>
    <w:next w:val="1"/>
    <w:qFormat/>
    <w:uiPriority w:val="0"/>
  </w:style>
  <w:style w:type="table" w:styleId="29">
    <w:name w:val="Table Grid"/>
    <w:basedOn w:val="2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qFormat/>
    <w:uiPriority w:val="22"/>
    <w:rPr>
      <w:b/>
    </w:rPr>
  </w:style>
  <w:style w:type="character" w:styleId="32">
    <w:name w:val="FollowedHyperlink"/>
    <w:basedOn w:val="30"/>
    <w:semiHidden/>
    <w:unhideWhenUsed/>
    <w:qFormat/>
    <w:uiPriority w:val="99"/>
    <w:rPr>
      <w:color w:val="595758"/>
      <w:u w:val="none"/>
    </w:rPr>
  </w:style>
  <w:style w:type="character" w:styleId="33">
    <w:name w:val="Emphasis"/>
    <w:qFormat/>
    <w:uiPriority w:val="0"/>
    <w:rPr>
      <w:i/>
      <w:iCs/>
    </w:rPr>
  </w:style>
  <w:style w:type="character" w:styleId="34">
    <w:name w:val="Hyperlink"/>
    <w:basedOn w:val="30"/>
    <w:unhideWhenUsed/>
    <w:qFormat/>
    <w:uiPriority w:val="99"/>
    <w:rPr>
      <w:color w:val="0563C1" w:themeColor="hyperlink"/>
      <w:u w:val="single"/>
      <w14:textFill>
        <w14:solidFill>
          <w14:schemeClr w14:val="hlink"/>
        </w14:solidFill>
      </w14:textFill>
    </w:rPr>
  </w:style>
  <w:style w:type="character" w:styleId="35">
    <w:name w:val="annotation reference"/>
    <w:basedOn w:val="30"/>
    <w:unhideWhenUsed/>
    <w:qFormat/>
    <w:uiPriority w:val="0"/>
    <w:rPr>
      <w:sz w:val="21"/>
      <w:szCs w:val="21"/>
    </w:rPr>
  </w:style>
  <w:style w:type="paragraph" w:customStyle="1" w:styleId="36">
    <w:name w:val="Default"/>
    <w:basedOn w:val="37"/>
    <w:next w:val="1"/>
    <w:qFormat/>
    <w:uiPriority w:val="0"/>
    <w:pPr>
      <w:autoSpaceDE w:val="0"/>
      <w:autoSpaceDN w:val="0"/>
    </w:pPr>
    <w:rPr>
      <w:rFonts w:ascii="宋体" w:hAnsi="Times New Roman" w:cs="宋体"/>
      <w:color w:val="000000"/>
      <w:sz w:val="24"/>
      <w:szCs w:val="24"/>
    </w:rPr>
  </w:style>
  <w:style w:type="paragraph" w:customStyle="1" w:styleId="37">
    <w:name w:val="纯文本1"/>
    <w:basedOn w:val="1"/>
    <w:qFormat/>
    <w:uiPriority w:val="0"/>
    <w:rPr>
      <w:rFonts w:ascii="Calibri" w:hAnsi="Courier New"/>
      <w:sz w:val="28"/>
      <w:szCs w:val="20"/>
    </w:rPr>
  </w:style>
  <w:style w:type="character" w:customStyle="1" w:styleId="38">
    <w:name w:val="标题 3 字符2"/>
    <w:link w:val="5"/>
    <w:qFormat/>
    <w:uiPriority w:val="99"/>
    <w:rPr>
      <w:b/>
      <w:bCs/>
      <w:kern w:val="2"/>
      <w:sz w:val="26"/>
      <w:szCs w:val="32"/>
    </w:rPr>
  </w:style>
  <w:style w:type="paragraph" w:customStyle="1" w:styleId="39">
    <w:name w:val="一级条标题"/>
    <w:basedOn w:val="40"/>
    <w:next w:val="41"/>
    <w:qFormat/>
    <w:uiPriority w:val="0"/>
    <w:pPr>
      <w:keepNext w:val="0"/>
      <w:widowControl/>
      <w:tabs>
        <w:tab w:val="left" w:pos="658"/>
        <w:tab w:val="left" w:pos="1260"/>
      </w:tabs>
      <w:adjustRightInd/>
      <w:spacing w:before="0" w:after="0" w:line="240" w:lineRule="auto"/>
      <w:ind w:left="420" w:hanging="420"/>
      <w:jc w:val="both"/>
      <w:textAlignment w:val="auto"/>
      <w:outlineLvl w:val="2"/>
    </w:pPr>
    <w:rPr>
      <w:rFonts w:ascii="黑体"/>
      <w:color w:val="auto"/>
      <w:kern w:val="0"/>
      <w:sz w:val="21"/>
    </w:rPr>
  </w:style>
  <w:style w:type="paragraph" w:customStyle="1" w:styleId="40">
    <w:name w:val="章标题"/>
    <w:next w:val="1"/>
    <w:qFormat/>
    <w:uiPriority w:val="0"/>
    <w:pPr>
      <w:keepNext/>
      <w:widowControl w:val="0"/>
      <w:tabs>
        <w:tab w:val="left" w:pos="658"/>
      </w:tabs>
      <w:adjustRightInd w:val="0"/>
      <w:spacing w:before="120" w:after="120" w:line="312" w:lineRule="auto"/>
      <w:jc w:val="center"/>
      <w:textAlignment w:val="baseline"/>
      <w:outlineLvl w:val="0"/>
    </w:pPr>
    <w:rPr>
      <w:rFonts w:ascii="Times New Roman" w:hAnsi="Times New Roman" w:eastAsia="黑体" w:cs="Times New Roman"/>
      <w:color w:val="000000"/>
      <w:kern w:val="44"/>
      <w:sz w:val="32"/>
      <w:lang w:val="en-US" w:eastAsia="zh-CN" w:bidi="ar-SA"/>
    </w:rPr>
  </w:style>
  <w:style w:type="paragraph" w:customStyle="1" w:styleId="41">
    <w:name w:val="段"/>
    <w:next w:val="1"/>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42">
    <w:name w:val="标题 1 字符2"/>
    <w:link w:val="3"/>
    <w:qFormat/>
    <w:uiPriority w:val="0"/>
    <w:rPr>
      <w:b/>
      <w:bCs/>
      <w:kern w:val="44"/>
      <w:sz w:val="32"/>
      <w:szCs w:val="44"/>
    </w:rPr>
  </w:style>
  <w:style w:type="character" w:customStyle="1" w:styleId="43">
    <w:name w:val="标题 2 字符2"/>
    <w:link w:val="4"/>
    <w:qFormat/>
    <w:uiPriority w:val="0"/>
    <w:rPr>
      <w:rFonts w:ascii="Arial" w:hAnsi="Arial"/>
      <w:b/>
      <w:bCs/>
      <w:kern w:val="2"/>
      <w:sz w:val="26"/>
      <w:szCs w:val="32"/>
    </w:rPr>
  </w:style>
  <w:style w:type="character" w:customStyle="1" w:styleId="44">
    <w:name w:val="标题 4 Char"/>
    <w:qFormat/>
    <w:uiPriority w:val="0"/>
    <w:rPr>
      <w:rFonts w:eastAsia="楷体_GB2312"/>
      <w:kern w:val="2"/>
      <w:sz w:val="28"/>
    </w:rPr>
  </w:style>
  <w:style w:type="character" w:customStyle="1" w:styleId="45">
    <w:name w:val="标题 5 字符2"/>
    <w:link w:val="8"/>
    <w:qFormat/>
    <w:uiPriority w:val="0"/>
    <w:rPr>
      <w:b/>
      <w:sz w:val="28"/>
    </w:rPr>
  </w:style>
  <w:style w:type="character" w:customStyle="1" w:styleId="46">
    <w:name w:val="标题 6 字符2"/>
    <w:link w:val="9"/>
    <w:qFormat/>
    <w:uiPriority w:val="0"/>
    <w:rPr>
      <w:rFonts w:ascii="Arial" w:hAnsi="Arial" w:eastAsia="黑体"/>
      <w:b/>
      <w:sz w:val="24"/>
    </w:rPr>
  </w:style>
  <w:style w:type="character" w:customStyle="1" w:styleId="47">
    <w:name w:val="标题 7 字符2"/>
    <w:link w:val="10"/>
    <w:qFormat/>
    <w:uiPriority w:val="0"/>
    <w:rPr>
      <w:b/>
      <w:sz w:val="24"/>
    </w:rPr>
  </w:style>
  <w:style w:type="character" w:customStyle="1" w:styleId="48">
    <w:name w:val="标题 8 字符2"/>
    <w:link w:val="11"/>
    <w:qFormat/>
    <w:uiPriority w:val="0"/>
    <w:rPr>
      <w:rFonts w:ascii="Arial" w:hAnsi="Arial" w:eastAsia="黑体"/>
      <w:sz w:val="24"/>
    </w:rPr>
  </w:style>
  <w:style w:type="character" w:customStyle="1" w:styleId="49">
    <w:name w:val="标题 9 字符2"/>
    <w:link w:val="12"/>
    <w:qFormat/>
    <w:uiPriority w:val="0"/>
    <w:rPr>
      <w:rFonts w:ascii="Arial" w:hAnsi="Arial" w:eastAsia="黑体"/>
      <w:kern w:val="2"/>
      <w:sz w:val="26"/>
    </w:rPr>
  </w:style>
  <w:style w:type="character" w:customStyle="1" w:styleId="50">
    <w:name w:val="批注框文本 字符"/>
    <w:basedOn w:val="30"/>
    <w:link w:val="17"/>
    <w:semiHidden/>
    <w:qFormat/>
    <w:uiPriority w:val="99"/>
    <w:rPr>
      <w:kern w:val="2"/>
      <w:sz w:val="18"/>
      <w:szCs w:val="18"/>
    </w:rPr>
  </w:style>
  <w:style w:type="paragraph" w:customStyle="1" w:styleId="51">
    <w:name w:val="修订1"/>
    <w:hidden/>
    <w:qFormat/>
    <w:uiPriority w:val="99"/>
    <w:rPr>
      <w:rFonts w:ascii="Times New Roman" w:hAnsi="Times New Roman" w:eastAsia="宋体" w:cs="Times New Roman"/>
      <w:kern w:val="2"/>
      <w:sz w:val="26"/>
      <w:szCs w:val="24"/>
      <w:lang w:val="en-US" w:eastAsia="zh-CN" w:bidi="ar-SA"/>
    </w:rPr>
  </w:style>
  <w:style w:type="paragraph" w:customStyle="1" w:styleId="52">
    <w:name w:val="6"/>
    <w:basedOn w:val="1"/>
    <w:next w:val="1"/>
    <w:link w:val="53"/>
    <w:qFormat/>
    <w:uiPriority w:val="34"/>
    <w:pPr>
      <w:spacing w:line="240" w:lineRule="auto"/>
      <w:ind w:firstLine="420"/>
    </w:pPr>
    <w:rPr>
      <w:rFonts w:ascii="Calibri" w:hAnsi="Calibri"/>
      <w:kern w:val="0"/>
      <w:sz w:val="20"/>
      <w:szCs w:val="20"/>
    </w:rPr>
  </w:style>
  <w:style w:type="character" w:customStyle="1" w:styleId="53">
    <w:name w:val="列表段落 字符"/>
    <w:link w:val="52"/>
    <w:qFormat/>
    <w:uiPriority w:val="34"/>
    <w:rPr>
      <w:rFonts w:ascii="Calibri" w:hAnsi="Calibri" w:eastAsia="宋体" w:cs="Times New Roman"/>
    </w:rPr>
  </w:style>
  <w:style w:type="paragraph" w:customStyle="1" w:styleId="54">
    <w:name w:val="5"/>
    <w:basedOn w:val="1"/>
    <w:next w:val="1"/>
    <w:unhideWhenUsed/>
    <w:qFormat/>
    <w:uiPriority w:val="39"/>
    <w:pPr>
      <w:spacing w:line="240" w:lineRule="auto"/>
      <w:ind w:left="3360" w:leftChars="1600" w:firstLine="0" w:firstLineChars="0"/>
    </w:pPr>
    <w:rPr>
      <w:rFonts w:ascii="等线" w:hAnsi="等线" w:eastAsia="等线"/>
      <w:sz w:val="21"/>
      <w:szCs w:val="22"/>
    </w:rPr>
  </w:style>
  <w:style w:type="paragraph" w:customStyle="1" w:styleId="55">
    <w:name w:val="3"/>
    <w:basedOn w:val="1"/>
    <w:next w:val="1"/>
    <w:qFormat/>
    <w:uiPriority w:val="0"/>
    <w:pPr>
      <w:spacing w:line="240" w:lineRule="auto"/>
      <w:ind w:firstLine="420"/>
    </w:pPr>
    <w:rPr>
      <w:rFonts w:ascii="Calibri" w:hAnsi="Calibri"/>
      <w:sz w:val="21"/>
      <w:szCs w:val="22"/>
    </w:rPr>
  </w:style>
  <w:style w:type="character" w:customStyle="1" w:styleId="56">
    <w:name w:val="标题 1 字符1"/>
    <w:qFormat/>
    <w:uiPriority w:val="0"/>
    <w:rPr>
      <w:rFonts w:ascii="黑体" w:hAnsi="Times New Roman" w:eastAsia="黑体"/>
      <w:bCs/>
      <w:kern w:val="44"/>
      <w:sz w:val="28"/>
      <w:szCs w:val="28"/>
    </w:rPr>
  </w:style>
  <w:style w:type="character" w:customStyle="1" w:styleId="57">
    <w:name w:val="标题 2 字符1"/>
    <w:qFormat/>
    <w:uiPriority w:val="9"/>
    <w:rPr>
      <w:rFonts w:ascii="Arial" w:hAnsi="Arial" w:eastAsia="黑体" w:cs="Times New Roman"/>
      <w:b/>
      <w:bCs/>
      <w:sz w:val="32"/>
      <w:szCs w:val="32"/>
    </w:rPr>
  </w:style>
  <w:style w:type="character" w:customStyle="1" w:styleId="58">
    <w:name w:val="标题 3 字符1"/>
    <w:qFormat/>
    <w:uiPriority w:val="9"/>
    <w:rPr>
      <w:rFonts w:ascii="Times New Roman" w:hAnsi="Times New Roman" w:eastAsia="宋体" w:cs="Times New Roman"/>
      <w:b/>
      <w:sz w:val="32"/>
      <w:szCs w:val="20"/>
    </w:rPr>
  </w:style>
  <w:style w:type="character" w:customStyle="1" w:styleId="59">
    <w:name w:val="标题 4 字符1"/>
    <w:qFormat/>
    <w:uiPriority w:val="9"/>
    <w:rPr>
      <w:rFonts w:ascii="Arial" w:hAnsi="Arial" w:eastAsia="黑体" w:cs="Times New Roman"/>
      <w:b/>
      <w:bCs/>
      <w:sz w:val="28"/>
      <w:szCs w:val="28"/>
    </w:rPr>
  </w:style>
  <w:style w:type="character" w:customStyle="1" w:styleId="60">
    <w:name w:val="标题 5 字符1"/>
    <w:qFormat/>
    <w:uiPriority w:val="9"/>
    <w:rPr>
      <w:rFonts w:ascii="宋体" w:hAnsi="宋体" w:eastAsia="宋体" w:cs="Times New Roman"/>
      <w:i/>
      <w:iCs/>
      <w:color w:val="FF0000"/>
      <w:sz w:val="28"/>
      <w:szCs w:val="28"/>
    </w:rPr>
  </w:style>
  <w:style w:type="character" w:customStyle="1" w:styleId="61">
    <w:name w:val="标题 6 字符1"/>
    <w:qFormat/>
    <w:uiPriority w:val="9"/>
    <w:rPr>
      <w:rFonts w:ascii="宋体" w:hAnsi="宋体" w:eastAsia="宋体" w:cs="Times New Roman"/>
      <w:i/>
      <w:iCs/>
      <w:color w:val="FF0000"/>
      <w:kern w:val="0"/>
      <w:sz w:val="28"/>
      <w:szCs w:val="28"/>
    </w:rPr>
  </w:style>
  <w:style w:type="character" w:customStyle="1" w:styleId="62">
    <w:name w:val="标题 7 字符1"/>
    <w:qFormat/>
    <w:uiPriority w:val="9"/>
    <w:rPr>
      <w:rFonts w:ascii="宋体" w:hAnsi="Times New Roman" w:eastAsia="宋体" w:cs="Times New Roman"/>
      <w:b/>
      <w:bCs/>
      <w:sz w:val="24"/>
      <w:szCs w:val="24"/>
    </w:rPr>
  </w:style>
  <w:style w:type="character" w:customStyle="1" w:styleId="63">
    <w:name w:val="标题 8 字符1"/>
    <w:qFormat/>
    <w:uiPriority w:val="9"/>
    <w:rPr>
      <w:rFonts w:ascii="Arial" w:hAnsi="Arial" w:eastAsia="黑体" w:cs="Times New Roman"/>
      <w:sz w:val="24"/>
      <w:szCs w:val="20"/>
    </w:rPr>
  </w:style>
  <w:style w:type="character" w:customStyle="1" w:styleId="64">
    <w:name w:val="标题 9 字符1"/>
    <w:qFormat/>
    <w:uiPriority w:val="9"/>
    <w:rPr>
      <w:rFonts w:ascii="Arial" w:hAnsi="Arial" w:eastAsia="黑体" w:cs="Times New Roman"/>
      <w:sz w:val="28"/>
      <w:szCs w:val="21"/>
    </w:rPr>
  </w:style>
  <w:style w:type="paragraph" w:customStyle="1" w:styleId="65">
    <w:name w:val="2"/>
    <w:basedOn w:val="1"/>
    <w:next w:val="1"/>
    <w:qFormat/>
    <w:uiPriority w:val="0"/>
    <w:pPr>
      <w:spacing w:line="240" w:lineRule="auto"/>
      <w:ind w:firstLine="420"/>
    </w:pPr>
    <w:rPr>
      <w:rFonts w:ascii="Calibri" w:hAnsi="Calibri"/>
      <w:sz w:val="21"/>
      <w:szCs w:val="22"/>
    </w:rPr>
  </w:style>
  <w:style w:type="character" w:customStyle="1" w:styleId="66">
    <w:name w:val="标题 字符2"/>
    <w:link w:val="24"/>
    <w:qFormat/>
    <w:uiPriority w:val="0"/>
    <w:rPr>
      <w:rFonts w:ascii="Arial" w:hAnsi="Arial" w:eastAsia="等线" w:cs="Arial"/>
      <w:b/>
      <w:bCs/>
      <w:kern w:val="2"/>
      <w:sz w:val="32"/>
      <w:szCs w:val="32"/>
    </w:rPr>
  </w:style>
  <w:style w:type="character" w:customStyle="1" w:styleId="67">
    <w:name w:val="标题 Char"/>
    <w:basedOn w:val="30"/>
    <w:qFormat/>
    <w:uiPriority w:val="0"/>
    <w:rPr>
      <w:rFonts w:asciiTheme="majorHAnsi" w:hAnsiTheme="majorHAnsi" w:cstheme="majorBidi"/>
      <w:b/>
      <w:bCs/>
      <w:kern w:val="2"/>
      <w:sz w:val="32"/>
      <w:szCs w:val="32"/>
    </w:rPr>
  </w:style>
  <w:style w:type="character" w:customStyle="1" w:styleId="68">
    <w:name w:val="标题 1 字符"/>
    <w:qFormat/>
    <w:uiPriority w:val="9"/>
    <w:rPr>
      <w:rFonts w:ascii="Calibri" w:hAnsi="Calibri" w:eastAsia="宋体" w:cs="Times New Roman"/>
      <w:b/>
      <w:bCs/>
      <w:kern w:val="44"/>
      <w:sz w:val="44"/>
      <w:szCs w:val="44"/>
    </w:rPr>
  </w:style>
  <w:style w:type="character" w:customStyle="1" w:styleId="69">
    <w:name w:val="标题 2 字符"/>
    <w:qFormat/>
    <w:uiPriority w:val="0"/>
    <w:rPr>
      <w:rFonts w:ascii="等线 Light" w:hAnsi="等线 Light" w:eastAsia="等线 Light" w:cs="Times New Roman"/>
      <w:b/>
      <w:bCs/>
      <w:sz w:val="32"/>
      <w:szCs w:val="32"/>
    </w:rPr>
  </w:style>
  <w:style w:type="character" w:customStyle="1" w:styleId="70">
    <w:name w:val="标题 3 字符"/>
    <w:qFormat/>
    <w:uiPriority w:val="99"/>
    <w:rPr>
      <w:rFonts w:ascii="Calibri" w:hAnsi="Calibri" w:eastAsia="宋体" w:cs="Times New Roman"/>
      <w:b/>
      <w:bCs/>
      <w:sz w:val="32"/>
      <w:szCs w:val="32"/>
    </w:rPr>
  </w:style>
  <w:style w:type="character" w:customStyle="1" w:styleId="71">
    <w:name w:val="标题 4 字符"/>
    <w:qFormat/>
    <w:uiPriority w:val="99"/>
    <w:rPr>
      <w:rFonts w:ascii="等线 Light" w:hAnsi="等线 Light" w:eastAsia="等线 Light" w:cs="Times New Roman"/>
      <w:b/>
      <w:bCs/>
      <w:sz w:val="28"/>
      <w:szCs w:val="28"/>
    </w:rPr>
  </w:style>
  <w:style w:type="character" w:customStyle="1" w:styleId="72">
    <w:name w:val="标题 5 字符"/>
    <w:qFormat/>
    <w:uiPriority w:val="9"/>
    <w:rPr>
      <w:rFonts w:ascii="Calibri" w:hAnsi="Calibri" w:eastAsia="宋体" w:cs="Times New Roman"/>
      <w:b/>
      <w:bCs/>
      <w:sz w:val="28"/>
      <w:szCs w:val="28"/>
    </w:rPr>
  </w:style>
  <w:style w:type="character" w:customStyle="1" w:styleId="73">
    <w:name w:val="标题 6 字符"/>
    <w:qFormat/>
    <w:uiPriority w:val="9"/>
    <w:rPr>
      <w:rFonts w:ascii="等线 Light" w:hAnsi="等线 Light" w:eastAsia="等线 Light" w:cs="Times New Roman"/>
      <w:b/>
      <w:bCs/>
      <w:sz w:val="24"/>
      <w:szCs w:val="24"/>
    </w:rPr>
  </w:style>
  <w:style w:type="character" w:customStyle="1" w:styleId="74">
    <w:name w:val="标题 7 字符"/>
    <w:qFormat/>
    <w:uiPriority w:val="0"/>
    <w:rPr>
      <w:rFonts w:ascii="Calibri" w:hAnsi="Calibri" w:eastAsia="宋体" w:cs="Times New Roman"/>
      <w:b/>
      <w:bCs/>
      <w:sz w:val="24"/>
      <w:szCs w:val="24"/>
    </w:rPr>
  </w:style>
  <w:style w:type="character" w:customStyle="1" w:styleId="75">
    <w:name w:val="标题 8 字符"/>
    <w:qFormat/>
    <w:uiPriority w:val="9"/>
    <w:rPr>
      <w:rFonts w:ascii="等线 Light" w:hAnsi="等线 Light" w:eastAsia="等线 Light" w:cs="Times New Roman"/>
      <w:sz w:val="24"/>
      <w:szCs w:val="24"/>
    </w:rPr>
  </w:style>
  <w:style w:type="character" w:customStyle="1" w:styleId="76">
    <w:name w:val="标题 9 字符"/>
    <w:qFormat/>
    <w:uiPriority w:val="9"/>
    <w:rPr>
      <w:rFonts w:ascii="等线 Light" w:hAnsi="等线 Light" w:eastAsia="等线 Light" w:cs="Times New Roman"/>
      <w:szCs w:val="21"/>
    </w:rPr>
  </w:style>
  <w:style w:type="character" w:customStyle="1" w:styleId="77">
    <w:name w:val="标题4 Char Char"/>
    <w:qFormat/>
    <w:uiPriority w:val="0"/>
    <w:rPr>
      <w:rFonts w:ascii="宋体" w:hAnsi="宋体" w:eastAsia="宋体" w:cs="宋体"/>
      <w:b/>
      <w:bCs/>
      <w:sz w:val="28"/>
      <w:szCs w:val="28"/>
      <w:lang w:val="en-US" w:eastAsia="zh-CN"/>
    </w:rPr>
  </w:style>
  <w:style w:type="character" w:customStyle="1" w:styleId="78">
    <w:name w:val="标题 1 Char Char Char"/>
    <w:qFormat/>
    <w:uiPriority w:val="0"/>
    <w:rPr>
      <w:rFonts w:ascii="宋体" w:eastAsia="宋体"/>
      <w:b/>
      <w:color w:val="000000"/>
      <w:kern w:val="32"/>
      <w:sz w:val="32"/>
      <w:lang w:val="en-US" w:eastAsia="zh-CN"/>
    </w:rPr>
  </w:style>
  <w:style w:type="character" w:customStyle="1" w:styleId="79">
    <w:name w:val="标题 4 Char Char"/>
    <w:qFormat/>
    <w:uiPriority w:val="0"/>
    <w:rPr>
      <w:rFonts w:ascii="Arial" w:hAnsi="Arial" w:eastAsia="黑体"/>
      <w:b/>
      <w:kern w:val="2"/>
      <w:sz w:val="28"/>
      <w:lang w:val="en-US" w:eastAsia="zh-CN" w:bidi="ar-SA"/>
    </w:rPr>
  </w:style>
  <w:style w:type="character" w:customStyle="1" w:styleId="80">
    <w:name w:val="标题2 说明书格式 Char"/>
    <w:link w:val="81"/>
    <w:qFormat/>
    <w:uiPriority w:val="0"/>
    <w:rPr>
      <w:b/>
      <w:bCs/>
      <w:sz w:val="28"/>
      <w:szCs w:val="28"/>
      <w:lang w:val="zh-CN"/>
    </w:rPr>
  </w:style>
  <w:style w:type="paragraph" w:customStyle="1" w:styleId="81">
    <w:name w:val="标题2 说明书格式"/>
    <w:basedOn w:val="1"/>
    <w:link w:val="80"/>
    <w:qFormat/>
    <w:uiPriority w:val="0"/>
    <w:pPr>
      <w:keepNext/>
      <w:keepLines/>
      <w:adjustRightInd w:val="0"/>
      <w:snapToGrid w:val="0"/>
      <w:spacing w:before="240" w:line="360" w:lineRule="auto"/>
      <w:ind w:left="104" w:leftChars="37" w:firstLine="0" w:firstLineChars="0"/>
      <w:outlineLvl w:val="1"/>
    </w:pPr>
    <w:rPr>
      <w:b/>
      <w:bCs/>
      <w:kern w:val="0"/>
      <w:sz w:val="28"/>
      <w:szCs w:val="28"/>
      <w:lang w:val="zh-CN"/>
    </w:rPr>
  </w:style>
  <w:style w:type="character" w:customStyle="1" w:styleId="82">
    <w:name w:val="标题3-rw Char"/>
    <w:qFormat/>
    <w:locked/>
    <w:uiPriority w:val="0"/>
    <w:rPr>
      <w:rFonts w:ascii="Times New Roman" w:hAnsi="Times New Roman" w:eastAsia="黑体" w:cs="Times New Roman"/>
      <w:b/>
      <w:bCs/>
      <w:sz w:val="28"/>
      <w:szCs w:val="28"/>
    </w:rPr>
  </w:style>
  <w:style w:type="character" w:customStyle="1" w:styleId="83">
    <w:name w:val="标题 1 宋体 三号 Char Char Char Char"/>
    <w:qFormat/>
    <w:uiPriority w:val="0"/>
    <w:rPr>
      <w:rFonts w:ascii="宋体" w:hAnsi="宋体" w:eastAsia="宋体"/>
      <w:b/>
      <w:kern w:val="44"/>
      <w:sz w:val="32"/>
      <w:lang w:val="en-US" w:eastAsia="zh-CN" w:bidi="ar-SA"/>
    </w:rPr>
  </w:style>
  <w:style w:type="character" w:customStyle="1" w:styleId="84">
    <w:name w:val="标题 41"/>
    <w:qFormat/>
    <w:uiPriority w:val="0"/>
    <w:rPr>
      <w:rFonts w:eastAsia="宋体"/>
      <w:sz w:val="24"/>
      <w:lang w:val="en-US" w:eastAsia="zh-CN"/>
    </w:rPr>
  </w:style>
  <w:style w:type="character" w:customStyle="1" w:styleId="85">
    <w:name w:val="标题 9 Char2"/>
    <w:qFormat/>
    <w:uiPriority w:val="0"/>
    <w:rPr>
      <w:rFonts w:ascii="Arial" w:hAnsi="Arial" w:eastAsia="黑体"/>
      <w:kern w:val="2"/>
      <w:sz w:val="21"/>
      <w:szCs w:val="21"/>
      <w:lang w:bidi="ar-SA"/>
    </w:rPr>
  </w:style>
  <w:style w:type="character" w:customStyle="1" w:styleId="86">
    <w:name w:val="标题 Char1"/>
    <w:qFormat/>
    <w:uiPriority w:val="0"/>
    <w:rPr>
      <w:rFonts w:ascii="Cambria" w:hAnsi="Cambria" w:cs="Times New Roman"/>
      <w:b/>
      <w:bCs/>
      <w:kern w:val="2"/>
      <w:sz w:val="32"/>
      <w:szCs w:val="32"/>
    </w:rPr>
  </w:style>
  <w:style w:type="character" w:customStyle="1" w:styleId="87">
    <w:name w:val="正式文本 Char"/>
    <w:link w:val="88"/>
    <w:qFormat/>
    <w:uiPriority w:val="0"/>
    <w:rPr>
      <w:rFonts w:ascii="宋体" w:hAnsi="Arial Narrow"/>
      <w:sz w:val="28"/>
      <w:szCs w:val="24"/>
    </w:rPr>
  </w:style>
  <w:style w:type="paragraph" w:customStyle="1" w:styleId="88">
    <w:name w:val="正式文本"/>
    <w:basedOn w:val="1"/>
    <w:link w:val="87"/>
    <w:qFormat/>
    <w:uiPriority w:val="0"/>
    <w:pPr>
      <w:spacing w:line="540" w:lineRule="exact"/>
    </w:pPr>
    <w:rPr>
      <w:rFonts w:ascii="宋体" w:hAnsi="Arial Narrow"/>
      <w:kern w:val="0"/>
      <w:sz w:val="28"/>
    </w:rPr>
  </w:style>
  <w:style w:type="character" w:customStyle="1" w:styleId="89">
    <w:name w:val="标题 53"/>
    <w:qFormat/>
    <w:uiPriority w:val="0"/>
    <w:rPr>
      <w:rFonts w:eastAsia="宋体"/>
      <w:sz w:val="24"/>
      <w:lang w:val="en-US" w:eastAsia="zh-CN"/>
    </w:rPr>
  </w:style>
  <w:style w:type="character" w:customStyle="1" w:styleId="90">
    <w:name w:val="标题 6 Char1"/>
    <w:qFormat/>
    <w:uiPriority w:val="0"/>
    <w:rPr>
      <w:rFonts w:ascii="Cambria" w:hAnsi="Cambria" w:eastAsia="宋体" w:cs="Times New Roman"/>
      <w:b/>
      <w:bCs/>
      <w:kern w:val="2"/>
      <w:sz w:val="24"/>
      <w:szCs w:val="24"/>
    </w:rPr>
  </w:style>
  <w:style w:type="character" w:customStyle="1" w:styleId="91">
    <w:name w:val="标题 9 Char1"/>
    <w:qFormat/>
    <w:uiPriority w:val="0"/>
    <w:rPr>
      <w:rFonts w:ascii="Cambria" w:hAnsi="Cambria" w:eastAsia="宋体" w:cs="Times New Roman"/>
      <w:kern w:val="2"/>
      <w:sz w:val="21"/>
      <w:szCs w:val="21"/>
    </w:rPr>
  </w:style>
  <w:style w:type="character" w:customStyle="1" w:styleId="92">
    <w:name w:val="标题 8 Char1"/>
    <w:qFormat/>
    <w:uiPriority w:val="0"/>
    <w:rPr>
      <w:rFonts w:ascii="Cambria" w:hAnsi="Cambria" w:eastAsia="宋体" w:cs="Times New Roman"/>
      <w:kern w:val="2"/>
      <w:sz w:val="24"/>
      <w:szCs w:val="24"/>
    </w:rPr>
  </w:style>
  <w:style w:type="character" w:customStyle="1" w:styleId="93">
    <w:name w:val="标题 2[858D7CFB-ED40-4347-BF05-701D383B685F]"/>
    <w:qFormat/>
    <w:uiPriority w:val="0"/>
    <w:rPr>
      <w:rFonts w:ascii="Arial" w:hAnsi="Arial" w:eastAsia="黑体"/>
      <w:bCs/>
      <w:sz w:val="24"/>
      <w:szCs w:val="32"/>
    </w:rPr>
  </w:style>
  <w:style w:type="character" w:customStyle="1" w:styleId="94">
    <w:name w:val="标题 1 宋体 三号 Char Char Char"/>
    <w:link w:val="95"/>
    <w:qFormat/>
    <w:uiPriority w:val="0"/>
    <w:rPr>
      <w:rFonts w:ascii="宋体" w:hAnsi="宋体"/>
      <w:b/>
      <w:kern w:val="44"/>
      <w:sz w:val="32"/>
    </w:rPr>
  </w:style>
  <w:style w:type="paragraph" w:customStyle="1" w:styleId="95">
    <w:name w:val="标题 1 宋体 三号 Char Char"/>
    <w:basedOn w:val="3"/>
    <w:link w:val="94"/>
    <w:qFormat/>
    <w:uiPriority w:val="0"/>
    <w:pPr>
      <w:numPr>
        <w:numId w:val="0"/>
      </w:numPr>
      <w:tabs>
        <w:tab w:val="left" w:pos="425"/>
        <w:tab w:val="left" w:pos="786"/>
      </w:tabs>
      <w:spacing w:before="340" w:after="330" w:line="360" w:lineRule="auto"/>
      <w:ind w:left="425" w:hanging="425"/>
    </w:pPr>
    <w:rPr>
      <w:rFonts w:ascii="宋体" w:hAnsi="宋体"/>
      <w:bCs w:val="0"/>
      <w:szCs w:val="20"/>
    </w:rPr>
  </w:style>
  <w:style w:type="character" w:customStyle="1" w:styleId="96">
    <w:name w:val="标题1 Char Char"/>
    <w:qFormat/>
    <w:uiPriority w:val="0"/>
    <w:rPr>
      <w:rFonts w:ascii="黑体" w:eastAsia="黑体"/>
      <w:spacing w:val="-10"/>
      <w:kern w:val="44"/>
      <w:sz w:val="36"/>
      <w:szCs w:val="36"/>
      <w:lang w:val="en-US" w:eastAsia="zh-CN" w:bidi="ar-SA"/>
    </w:rPr>
  </w:style>
  <w:style w:type="character" w:customStyle="1" w:styleId="97">
    <w:name w:val="标题 2YHY Char"/>
    <w:link w:val="98"/>
    <w:qFormat/>
    <w:uiPriority w:val="0"/>
    <w:rPr>
      <w:rFonts w:eastAsia="黑体"/>
      <w:b/>
      <w:bCs/>
      <w:color w:val="000000"/>
      <w:sz w:val="28"/>
      <w:szCs w:val="28"/>
      <w:lang w:val="zh-CN"/>
    </w:rPr>
  </w:style>
  <w:style w:type="paragraph" w:customStyle="1" w:styleId="98">
    <w:name w:val="标题 2YHY"/>
    <w:basedOn w:val="4"/>
    <w:next w:val="1"/>
    <w:link w:val="97"/>
    <w:qFormat/>
    <w:uiPriority w:val="0"/>
    <w:pPr>
      <w:keepNext w:val="0"/>
      <w:keepLines w:val="0"/>
      <w:widowControl/>
      <w:numPr>
        <w:ilvl w:val="0"/>
        <w:numId w:val="0"/>
      </w:numPr>
      <w:tabs>
        <w:tab w:val="left" w:pos="651"/>
        <w:tab w:val="left" w:pos="786"/>
      </w:tabs>
      <w:spacing w:before="50" w:beforeLines="50" w:after="50" w:afterLines="50" w:line="360" w:lineRule="auto"/>
      <w:ind w:left="651" w:hanging="567" w:hangingChars="200"/>
    </w:pPr>
    <w:rPr>
      <w:rFonts w:ascii="Times New Roman" w:hAnsi="Times New Roman" w:eastAsia="黑体"/>
      <w:color w:val="000000"/>
      <w:kern w:val="0"/>
      <w:sz w:val="28"/>
      <w:szCs w:val="28"/>
      <w:lang w:val="zh-CN"/>
    </w:rPr>
  </w:style>
  <w:style w:type="character" w:customStyle="1" w:styleId="99">
    <w:name w:val="标题 14 Char"/>
    <w:qFormat/>
    <w:uiPriority w:val="0"/>
    <w:rPr>
      <w:rFonts w:ascii="Arial" w:hAnsi="Arial" w:eastAsia="黑体"/>
      <w:b/>
      <w:bCs/>
      <w:kern w:val="2"/>
      <w:sz w:val="28"/>
      <w:szCs w:val="28"/>
      <w:lang w:val="en-US" w:eastAsia="zh-CN" w:bidi="ar-SA"/>
    </w:rPr>
  </w:style>
  <w:style w:type="character" w:customStyle="1" w:styleId="100">
    <w:name w:val="标题 32"/>
    <w:qFormat/>
    <w:uiPriority w:val="0"/>
    <w:rPr>
      <w:rFonts w:eastAsia="宋体"/>
      <w:b/>
      <w:snapToGrid/>
      <w:color w:val="000000"/>
      <w:kern w:val="24"/>
      <w:sz w:val="24"/>
      <w:lang w:val="en-US" w:eastAsia="zh-CN" w:bidi="ar-SA"/>
    </w:rPr>
  </w:style>
  <w:style w:type="character" w:customStyle="1" w:styleId="101">
    <w:name w:val="标题 2YHY Char Char"/>
    <w:qFormat/>
    <w:uiPriority w:val="0"/>
    <w:rPr>
      <w:rFonts w:eastAsia="黑体" w:cs="Arial Unicode MS"/>
      <w:b/>
      <w:bCs/>
      <w:color w:val="000000"/>
      <w:sz w:val="28"/>
      <w:szCs w:val="28"/>
    </w:rPr>
  </w:style>
  <w:style w:type="character" w:customStyle="1" w:styleId="102">
    <w:name w:val="标题 7 Char1"/>
    <w:qFormat/>
    <w:uiPriority w:val="0"/>
    <w:rPr>
      <w:b/>
      <w:bCs/>
      <w:kern w:val="2"/>
      <w:sz w:val="24"/>
      <w:szCs w:val="24"/>
    </w:rPr>
  </w:style>
  <w:style w:type="character" w:customStyle="1" w:styleId="103">
    <w:name w:val="标题2-rw Char Char"/>
    <w:link w:val="104"/>
    <w:qFormat/>
    <w:uiPriority w:val="0"/>
    <w:rPr>
      <w:rFonts w:eastAsia="黑体"/>
      <w:bCs/>
      <w:sz w:val="32"/>
      <w:szCs w:val="18"/>
      <w:lang w:val="zh-CN"/>
    </w:rPr>
  </w:style>
  <w:style w:type="paragraph" w:customStyle="1" w:styleId="104">
    <w:name w:val="标题2-rw"/>
    <w:basedOn w:val="4"/>
    <w:next w:val="1"/>
    <w:link w:val="103"/>
    <w:qFormat/>
    <w:uiPriority w:val="0"/>
    <w:pPr>
      <w:numPr>
        <w:ilvl w:val="0"/>
        <w:numId w:val="0"/>
      </w:numPr>
      <w:tabs>
        <w:tab w:val="left" w:pos="680"/>
      </w:tabs>
      <w:spacing w:before="240" w:after="240" w:line="360" w:lineRule="auto"/>
      <w:ind w:left="680" w:hanging="680"/>
    </w:pPr>
    <w:rPr>
      <w:rFonts w:ascii="Times New Roman" w:hAnsi="Times New Roman" w:eastAsia="黑体"/>
      <w:b w:val="0"/>
      <w:kern w:val="0"/>
      <w:sz w:val="32"/>
      <w:szCs w:val="18"/>
      <w:lang w:val="zh-CN"/>
    </w:rPr>
  </w:style>
  <w:style w:type="character" w:customStyle="1" w:styleId="105">
    <w:name w:val="首行缩进2字符 Char"/>
    <w:qFormat/>
    <w:uiPriority w:val="0"/>
    <w:rPr>
      <w:rFonts w:eastAsia="宋体"/>
      <w:szCs w:val="24"/>
    </w:rPr>
  </w:style>
  <w:style w:type="character" w:customStyle="1" w:styleId="106">
    <w:name w:val="标题 4 字符2"/>
    <w:link w:val="6"/>
    <w:qFormat/>
    <w:uiPriority w:val="0"/>
    <w:rPr>
      <w:rFonts w:ascii="Times New Roman" w:hAnsi="Times New Roman" w:eastAsia="宋体"/>
      <w:b/>
      <w:bCs/>
      <w:kern w:val="2"/>
      <w:sz w:val="26"/>
      <w:szCs w:val="26"/>
    </w:rPr>
  </w:style>
  <w:style w:type="character" w:customStyle="1" w:styleId="107">
    <w:name w:val="标题3 Char1"/>
    <w:link w:val="108"/>
    <w:qFormat/>
    <w:uiPriority w:val="0"/>
    <w:rPr>
      <w:rFonts w:eastAsia="黑体"/>
      <w:color w:val="000000"/>
      <w:sz w:val="28"/>
    </w:rPr>
  </w:style>
  <w:style w:type="paragraph" w:customStyle="1" w:styleId="108">
    <w:name w:val="标题3"/>
    <w:link w:val="107"/>
    <w:qFormat/>
    <w:uiPriority w:val="0"/>
    <w:pPr>
      <w:tabs>
        <w:tab w:val="left" w:pos="420"/>
      </w:tabs>
      <w:snapToGrid w:val="0"/>
      <w:spacing w:before="120" w:after="120" w:line="336" w:lineRule="auto"/>
      <w:ind w:left="420" w:hanging="420"/>
      <w:jc w:val="both"/>
    </w:pPr>
    <w:rPr>
      <w:rFonts w:ascii="Times New Roman" w:hAnsi="Times New Roman" w:eastAsia="黑体" w:cs="Times New Roman"/>
      <w:color w:val="000000"/>
      <w:sz w:val="28"/>
      <w:lang w:val="en-US" w:eastAsia="zh-CN" w:bidi="ar-SA"/>
    </w:rPr>
  </w:style>
  <w:style w:type="character" w:customStyle="1" w:styleId="109">
    <w:name w:val="标题1"/>
    <w:qFormat/>
    <w:uiPriority w:val="0"/>
  </w:style>
  <w:style w:type="character" w:customStyle="1" w:styleId="110">
    <w:name w:val="标题 Char2"/>
    <w:qFormat/>
    <w:uiPriority w:val="0"/>
    <w:rPr>
      <w:rFonts w:ascii="Calibri Light" w:hAnsi="Calibri Light" w:eastAsia="宋体" w:cs="Times New Roman"/>
      <w:b/>
      <w:bCs/>
      <w:sz w:val="32"/>
      <w:szCs w:val="32"/>
    </w:rPr>
  </w:style>
  <w:style w:type="character" w:customStyle="1" w:styleId="111">
    <w:name w:val="标题 3 Char2"/>
    <w:qFormat/>
    <w:uiPriority w:val="0"/>
    <w:rPr>
      <w:rFonts w:ascii="宋体" w:hAnsi="Times New Roman"/>
      <w:bCs/>
      <w:kern w:val="2"/>
      <w:sz w:val="28"/>
      <w:szCs w:val="32"/>
    </w:rPr>
  </w:style>
  <w:style w:type="character" w:customStyle="1" w:styleId="112">
    <w:name w:val="标题 6 Char2"/>
    <w:qFormat/>
    <w:uiPriority w:val="0"/>
    <w:rPr>
      <w:rFonts w:ascii="Arial" w:hAnsi="Arial" w:eastAsia="黑体"/>
      <w:b/>
      <w:bCs/>
      <w:kern w:val="2"/>
      <w:sz w:val="24"/>
      <w:szCs w:val="24"/>
      <w:lang w:bidi="ar-SA"/>
    </w:rPr>
  </w:style>
  <w:style w:type="character" w:customStyle="1" w:styleId="113">
    <w:name w:val="标题 8 Char2"/>
    <w:qFormat/>
    <w:uiPriority w:val="0"/>
    <w:rPr>
      <w:rFonts w:ascii="Arial" w:hAnsi="Arial" w:eastAsia="黑体"/>
      <w:kern w:val="2"/>
      <w:sz w:val="24"/>
      <w:szCs w:val="24"/>
      <w:lang w:bidi="ar-SA"/>
    </w:rPr>
  </w:style>
  <w:style w:type="character" w:customStyle="1" w:styleId="114">
    <w:name w:val="标题 7 Char2"/>
    <w:qFormat/>
    <w:uiPriority w:val="0"/>
    <w:rPr>
      <w:rFonts w:eastAsia="宋体"/>
      <w:b/>
      <w:bCs/>
      <w:kern w:val="2"/>
      <w:sz w:val="24"/>
      <w:szCs w:val="24"/>
      <w:lang w:bidi="ar-SA"/>
    </w:rPr>
  </w:style>
  <w:style w:type="character" w:customStyle="1" w:styleId="115">
    <w:name w:val="标题 3 Char1"/>
    <w:qFormat/>
    <w:uiPriority w:val="0"/>
    <w:rPr>
      <w:rFonts w:eastAsia="宋体"/>
      <w:b/>
      <w:bCs/>
      <w:kern w:val="2"/>
      <w:sz w:val="32"/>
      <w:szCs w:val="32"/>
      <w:lang w:val="en-US" w:eastAsia="zh-CN" w:bidi="ar-SA"/>
    </w:rPr>
  </w:style>
  <w:style w:type="character" w:customStyle="1" w:styleId="116">
    <w:name w:val="标题 5 Char2"/>
    <w:qFormat/>
    <w:uiPriority w:val="0"/>
    <w:rPr>
      <w:rFonts w:eastAsia="宋体"/>
      <w:b/>
      <w:bCs/>
      <w:kern w:val="2"/>
      <w:sz w:val="28"/>
      <w:szCs w:val="28"/>
      <w:lang w:bidi="ar-SA"/>
    </w:rPr>
  </w:style>
  <w:style w:type="character" w:customStyle="1" w:styleId="117">
    <w:name w:val="标题 字符"/>
    <w:qFormat/>
    <w:uiPriority w:val="0"/>
    <w:rPr>
      <w:rFonts w:ascii="等线 Light" w:hAnsi="等线 Light" w:eastAsia="等线 Light" w:cs="Times New Roman"/>
      <w:b/>
      <w:bCs/>
      <w:sz w:val="32"/>
      <w:szCs w:val="32"/>
    </w:rPr>
  </w:style>
  <w:style w:type="character" w:customStyle="1" w:styleId="118">
    <w:name w:val="标题12"/>
    <w:qFormat/>
    <w:uiPriority w:val="0"/>
  </w:style>
  <w:style w:type="character" w:customStyle="1" w:styleId="119">
    <w:name w:val="标题3YHY Char"/>
    <w:link w:val="120"/>
    <w:qFormat/>
    <w:uiPriority w:val="0"/>
    <w:rPr>
      <w:b/>
      <w:sz w:val="24"/>
      <w:szCs w:val="24"/>
      <w:lang w:val="zh-CN"/>
    </w:rPr>
  </w:style>
  <w:style w:type="paragraph" w:customStyle="1" w:styleId="120">
    <w:name w:val="标题3YHY"/>
    <w:basedOn w:val="5"/>
    <w:next w:val="6"/>
    <w:link w:val="119"/>
    <w:qFormat/>
    <w:uiPriority w:val="0"/>
    <w:pPr>
      <w:numPr>
        <w:ilvl w:val="0"/>
        <w:numId w:val="0"/>
      </w:numPr>
      <w:tabs>
        <w:tab w:val="left" w:pos="720"/>
        <w:tab w:val="left" w:pos="786"/>
      </w:tabs>
      <w:spacing w:before="50" w:beforeLines="50" w:after="50" w:afterLines="50" w:line="360" w:lineRule="auto"/>
      <w:ind w:left="786" w:hanging="360" w:hangingChars="200"/>
    </w:pPr>
    <w:rPr>
      <w:bCs w:val="0"/>
      <w:kern w:val="0"/>
      <w:sz w:val="24"/>
      <w:szCs w:val="24"/>
      <w:lang w:val="zh-CN"/>
    </w:rPr>
  </w:style>
  <w:style w:type="character" w:customStyle="1" w:styleId="121">
    <w:name w:val="标题2 说明书格式 Char Char"/>
    <w:qFormat/>
    <w:uiPriority w:val="0"/>
    <w:rPr>
      <w:rFonts w:cs="Arial"/>
      <w:b/>
      <w:bCs/>
      <w:sz w:val="28"/>
      <w:szCs w:val="28"/>
    </w:rPr>
  </w:style>
  <w:style w:type="character" w:customStyle="1" w:styleId="122">
    <w:name w:val="标题2 Char Char"/>
    <w:qFormat/>
    <w:uiPriority w:val="0"/>
    <w:rPr>
      <w:rFonts w:ascii="Arial" w:hAnsi="Arial" w:eastAsia="宋体"/>
      <w:b/>
      <w:bCs/>
      <w:kern w:val="2"/>
      <w:sz w:val="32"/>
      <w:szCs w:val="32"/>
      <w:lang w:val="en-US" w:eastAsia="zh-CN" w:bidi="ar-SA"/>
    </w:rPr>
  </w:style>
  <w:style w:type="character" w:customStyle="1" w:styleId="123">
    <w:name w:val="标题5 Char Char"/>
    <w:qFormat/>
    <w:uiPriority w:val="0"/>
    <w:rPr>
      <w:rFonts w:ascii="宋体" w:hAnsi="宋体" w:eastAsia="宋体" w:cs="宋体"/>
      <w:b/>
      <w:bCs/>
      <w:kern w:val="2"/>
      <w:sz w:val="24"/>
      <w:szCs w:val="24"/>
      <w:lang w:val="en-US" w:eastAsia="zh-CN"/>
    </w:rPr>
  </w:style>
  <w:style w:type="character" w:customStyle="1" w:styleId="124">
    <w:name w:val="标题 2[858D7CFB-ED40-4347-BF05-701D383B685F]1"/>
    <w:qFormat/>
    <w:uiPriority w:val="0"/>
    <w:rPr>
      <w:rFonts w:ascii="Arial" w:hAnsi="Arial" w:eastAsia="黑体"/>
      <w:bCs/>
      <w:sz w:val="24"/>
      <w:szCs w:val="32"/>
    </w:rPr>
  </w:style>
  <w:style w:type="character" w:customStyle="1" w:styleId="125">
    <w:name w:val="标题3YHY Char Char"/>
    <w:qFormat/>
    <w:uiPriority w:val="0"/>
    <w:rPr>
      <w:b/>
      <w:kern w:val="2"/>
      <w:sz w:val="24"/>
      <w:szCs w:val="24"/>
    </w:rPr>
  </w:style>
  <w:style w:type="character" w:customStyle="1" w:styleId="126">
    <w:name w:val="标题10"/>
    <w:qFormat/>
    <w:uiPriority w:val="0"/>
  </w:style>
  <w:style w:type="paragraph" w:customStyle="1" w:styleId="127">
    <w:name w:val="标题1新标准"/>
    <w:basedOn w:val="3"/>
    <w:qFormat/>
    <w:uiPriority w:val="0"/>
    <w:pPr>
      <w:numPr>
        <w:numId w:val="0"/>
      </w:numPr>
      <w:tabs>
        <w:tab w:val="left" w:pos="786"/>
      </w:tabs>
      <w:spacing w:before="120" w:after="480" w:line="360" w:lineRule="auto"/>
    </w:pPr>
    <w:rPr>
      <w:rFonts w:ascii="黑体" w:eastAsia="黑体"/>
      <w:b w:val="0"/>
      <w:sz w:val="44"/>
      <w:lang w:val="zh-CN"/>
    </w:rPr>
  </w:style>
  <w:style w:type="paragraph" w:customStyle="1" w:styleId="128">
    <w:name w:val="标题1q"/>
    <w:basedOn w:val="3"/>
    <w:qFormat/>
    <w:uiPriority w:val="0"/>
    <w:pPr>
      <w:tabs>
        <w:tab w:val="left" w:pos="786"/>
        <w:tab w:val="left" w:pos="2322"/>
      </w:tabs>
      <w:spacing w:before="340" w:after="330" w:line="360" w:lineRule="auto"/>
      <w:ind w:left="431" w:firstLine="200"/>
    </w:pPr>
    <w:rPr>
      <w:rFonts w:ascii="宋体" w:hAnsi="宋体" w:cs="宋体"/>
      <w:szCs w:val="32"/>
    </w:rPr>
  </w:style>
  <w:style w:type="character" w:customStyle="1" w:styleId="129">
    <w:name w:val="标题 字符1"/>
    <w:qFormat/>
    <w:uiPriority w:val="0"/>
    <w:rPr>
      <w:rFonts w:ascii="等线 Light" w:hAnsi="等线 Light" w:eastAsia="等线 Light" w:cs="Times New Roman"/>
      <w:b/>
      <w:bCs/>
      <w:sz w:val="32"/>
      <w:szCs w:val="32"/>
    </w:rPr>
  </w:style>
  <w:style w:type="character" w:customStyle="1" w:styleId="130">
    <w:name w:val="批注框文本 字符1"/>
    <w:qFormat/>
    <w:uiPriority w:val="0"/>
    <w:rPr>
      <w:rFonts w:ascii="Calibri" w:hAnsi="Calibri" w:eastAsia="宋体" w:cs="Times New Roman"/>
      <w:sz w:val="18"/>
      <w:szCs w:val="18"/>
    </w:rPr>
  </w:style>
  <w:style w:type="paragraph" w:customStyle="1" w:styleId="131">
    <w:name w:val="标题3新标准"/>
    <w:basedOn w:val="5"/>
    <w:qFormat/>
    <w:uiPriority w:val="0"/>
    <w:pPr>
      <w:numPr>
        <w:ilvl w:val="0"/>
        <w:numId w:val="0"/>
      </w:numPr>
      <w:spacing w:line="560" w:lineRule="exact"/>
      <w:ind w:firstLine="567"/>
    </w:pPr>
    <w:rPr>
      <w:rFonts w:eastAsia="楷体_GB2312"/>
      <w:b w:val="0"/>
      <w:bCs w:val="0"/>
      <w:sz w:val="28"/>
      <w:szCs w:val="28"/>
      <w:lang w:val="zh-CN"/>
    </w:rPr>
  </w:style>
  <w:style w:type="paragraph" w:customStyle="1" w:styleId="132">
    <w:name w:val="标题 2（用）"/>
    <w:basedOn w:val="4"/>
    <w:qFormat/>
    <w:uiPriority w:val="0"/>
    <w:pPr>
      <w:numPr>
        <w:ilvl w:val="0"/>
        <w:numId w:val="0"/>
      </w:numPr>
      <w:tabs>
        <w:tab w:val="left" w:pos="785"/>
      </w:tabs>
      <w:adjustRightInd w:val="0"/>
      <w:snapToGrid w:val="0"/>
      <w:spacing w:before="50" w:beforeLines="50" w:after="25" w:afterLines="25" w:line="336" w:lineRule="auto"/>
      <w:ind w:left="57" w:leftChars="111" w:right="210" w:rightChars="100" w:firstLine="520" w:firstLineChars="185"/>
      <w:jc w:val="center"/>
    </w:pPr>
    <w:rPr>
      <w:rFonts w:ascii="黑体" w:hAnsi="宋体" w:eastAsia="黑体"/>
      <w:bCs w:val="0"/>
      <w:color w:val="000000"/>
      <w:sz w:val="28"/>
      <w:szCs w:val="28"/>
      <w:lang w:val="zh-CN"/>
    </w:rPr>
  </w:style>
  <w:style w:type="paragraph" w:customStyle="1" w:styleId="133">
    <w:name w:val="标题2"/>
    <w:basedOn w:val="1"/>
    <w:qFormat/>
    <w:uiPriority w:val="0"/>
    <w:pPr>
      <w:widowControl/>
      <w:tabs>
        <w:tab w:val="left" w:pos="780"/>
      </w:tabs>
      <w:spacing w:line="360" w:lineRule="auto"/>
      <w:ind w:left="780" w:leftChars="200" w:hanging="360" w:hangingChars="200"/>
      <w:jc w:val="center"/>
    </w:pPr>
    <w:rPr>
      <w:rFonts w:eastAsia="楷体_GB2312"/>
      <w:kern w:val="0"/>
      <w:sz w:val="28"/>
      <w:szCs w:val="26"/>
    </w:rPr>
  </w:style>
  <w:style w:type="paragraph" w:customStyle="1" w:styleId="134">
    <w:name w:val="标题11"/>
    <w:basedOn w:val="4"/>
    <w:qFormat/>
    <w:uiPriority w:val="0"/>
    <w:pPr>
      <w:keepNext w:val="0"/>
      <w:keepLines w:val="0"/>
      <w:numPr>
        <w:ilvl w:val="0"/>
        <w:numId w:val="0"/>
      </w:numPr>
      <w:tabs>
        <w:tab w:val="left" w:pos="786"/>
      </w:tabs>
      <w:adjustRightInd w:val="0"/>
      <w:snapToGrid w:val="0"/>
      <w:spacing w:line="300" w:lineRule="auto"/>
      <w:ind w:left="786" w:hanging="360" w:hangingChars="200"/>
      <w:jc w:val="center"/>
      <w:outlineLvl w:val="9"/>
    </w:pPr>
    <w:rPr>
      <w:rFonts w:ascii="宋体" w:hAnsi="宋体"/>
      <w:b w:val="0"/>
      <w:bCs w:val="0"/>
      <w:sz w:val="24"/>
      <w:szCs w:val="28"/>
    </w:rPr>
  </w:style>
  <w:style w:type="paragraph" w:customStyle="1" w:styleId="135">
    <w:name w:val="标题2新标准"/>
    <w:basedOn w:val="4"/>
    <w:qFormat/>
    <w:uiPriority w:val="0"/>
    <w:pPr>
      <w:numPr>
        <w:ilvl w:val="0"/>
        <w:numId w:val="0"/>
      </w:numPr>
      <w:tabs>
        <w:tab w:val="left" w:pos="785"/>
      </w:tabs>
      <w:spacing w:before="120" w:after="120" w:line="560" w:lineRule="exact"/>
      <w:jc w:val="center"/>
    </w:pPr>
    <w:rPr>
      <w:rFonts w:ascii="Times New Roman" w:hAnsi="Times New Roman"/>
      <w:b w:val="0"/>
      <w:sz w:val="28"/>
      <w:lang w:val="zh-CN"/>
    </w:rPr>
  </w:style>
  <w:style w:type="paragraph" w:customStyle="1" w:styleId="136">
    <w:name w:val="标题4czh"/>
    <w:basedOn w:val="6"/>
    <w:next w:val="1"/>
    <w:qFormat/>
    <w:uiPriority w:val="0"/>
    <w:pPr>
      <w:keepLines/>
      <w:numPr>
        <w:ilvl w:val="0"/>
        <w:numId w:val="0"/>
      </w:numPr>
      <w:spacing w:beforeLines="50" w:afterLines="50" w:line="500" w:lineRule="exact"/>
      <w:ind w:firstLine="482"/>
    </w:pPr>
    <w:rPr>
      <w:rFonts w:eastAsia="宋体"/>
      <w:color w:val="FF0000"/>
      <w:sz w:val="24"/>
      <w:szCs w:val="28"/>
      <w:lang w:val="zh-CN"/>
    </w:rPr>
  </w:style>
  <w:style w:type="paragraph" w:customStyle="1" w:styleId="137">
    <w:name w:val="标题3，小四黑体，6磅"/>
    <w:basedOn w:val="1"/>
    <w:qFormat/>
    <w:uiPriority w:val="0"/>
    <w:pPr>
      <w:keepNext/>
      <w:keepLines/>
      <w:spacing w:before="120" w:after="120" w:line="415" w:lineRule="auto"/>
      <w:ind w:firstLine="0" w:firstLineChars="0"/>
      <w:outlineLvl w:val="2"/>
    </w:pPr>
    <w:rPr>
      <w:rFonts w:ascii="黑体" w:eastAsia="黑体"/>
      <w:b/>
      <w:bCs/>
      <w:sz w:val="24"/>
      <w:szCs w:val="32"/>
    </w:rPr>
  </w:style>
  <w:style w:type="paragraph" w:customStyle="1" w:styleId="138">
    <w:name w:val="标题2，四号黑体，13磅，"/>
    <w:basedOn w:val="4"/>
    <w:qFormat/>
    <w:uiPriority w:val="0"/>
    <w:pPr>
      <w:numPr>
        <w:ilvl w:val="0"/>
        <w:numId w:val="0"/>
      </w:numPr>
      <w:tabs>
        <w:tab w:val="left" w:pos="785"/>
      </w:tabs>
      <w:spacing w:line="360" w:lineRule="auto"/>
    </w:pPr>
    <w:rPr>
      <w:rFonts w:ascii="黑体" w:hAnsi="Times New Roman" w:eastAsia="黑体"/>
      <w:color w:val="FF00FF"/>
      <w:sz w:val="28"/>
    </w:rPr>
  </w:style>
  <w:style w:type="paragraph" w:customStyle="1" w:styleId="139">
    <w:name w:val="标题1，三号黑体，居中，"/>
    <w:basedOn w:val="3"/>
    <w:qFormat/>
    <w:uiPriority w:val="0"/>
    <w:pPr>
      <w:numPr>
        <w:numId w:val="0"/>
      </w:numPr>
      <w:tabs>
        <w:tab w:val="left" w:pos="786"/>
      </w:tabs>
      <w:spacing w:before="340" w:after="330" w:line="578" w:lineRule="auto"/>
    </w:pPr>
    <w:rPr>
      <w:rFonts w:ascii="黑体" w:hAnsi="宋体" w:eastAsia="黑体"/>
    </w:rPr>
  </w:style>
  <w:style w:type="paragraph" w:customStyle="1" w:styleId="140">
    <w:name w:val="标题2，第二标题"/>
    <w:basedOn w:val="1"/>
    <w:next w:val="1"/>
    <w:qFormat/>
    <w:uiPriority w:val="0"/>
    <w:pPr>
      <w:tabs>
        <w:tab w:val="left" w:pos="628"/>
        <w:tab w:val="left" w:pos="1727"/>
        <w:tab w:val="left" w:pos="1884"/>
        <w:tab w:val="left" w:pos="2660"/>
        <w:tab w:val="left" w:pos="5460"/>
      </w:tabs>
      <w:snapToGrid w:val="0"/>
      <w:spacing w:before="93" w:beforeLines="30" w:after="93" w:afterLines="30" w:line="440" w:lineRule="exact"/>
      <w:ind w:firstLine="0" w:firstLineChars="0"/>
      <w:outlineLvl w:val="1"/>
    </w:pPr>
    <w:rPr>
      <w:rFonts w:ascii="Calibri" w:hAnsi="Calibri" w:eastAsia="黑体"/>
      <w:sz w:val="28"/>
      <w:szCs w:val="20"/>
    </w:rPr>
  </w:style>
  <w:style w:type="paragraph" w:customStyle="1" w:styleId="141">
    <w:name w:val="首选正文"/>
    <w:basedOn w:val="1"/>
    <w:qFormat/>
    <w:uiPriority w:val="0"/>
    <w:pPr>
      <w:spacing w:line="460" w:lineRule="exact"/>
    </w:pPr>
    <w:rPr>
      <w:rFonts w:cs="宋体"/>
      <w:sz w:val="24"/>
    </w:rPr>
  </w:style>
  <w:style w:type="paragraph" w:customStyle="1" w:styleId="142">
    <w:name w:val="标题4-rw"/>
    <w:basedOn w:val="6"/>
    <w:qFormat/>
    <w:uiPriority w:val="0"/>
    <w:pPr>
      <w:keepLines/>
      <w:numPr>
        <w:ilvl w:val="0"/>
        <w:numId w:val="0"/>
      </w:numPr>
      <w:tabs>
        <w:tab w:val="left" w:pos="786"/>
        <w:tab w:val="left" w:pos="864"/>
      </w:tabs>
      <w:spacing w:before="80" w:beforeLines="50" w:after="80" w:afterLines="50"/>
      <w:ind w:left="864" w:hanging="864" w:hangingChars="200"/>
    </w:pPr>
    <w:rPr>
      <w:color w:val="FF0000"/>
      <w:sz w:val="24"/>
      <w:szCs w:val="28"/>
      <w:lang w:val="zh-CN"/>
    </w:rPr>
  </w:style>
  <w:style w:type="paragraph" w:customStyle="1" w:styleId="143">
    <w:name w:val="首行缩进正文"/>
    <w:basedOn w:val="1"/>
    <w:qFormat/>
    <w:uiPriority w:val="0"/>
    <w:pPr>
      <w:spacing w:line="460" w:lineRule="exact"/>
      <w:ind w:firstLine="480"/>
    </w:pPr>
    <w:rPr>
      <w:rFonts w:ascii="Calibri" w:hAnsi="Calibri" w:cs="宋体"/>
      <w:color w:val="339966"/>
      <w:sz w:val="24"/>
      <w:szCs w:val="18"/>
    </w:rPr>
  </w:style>
  <w:style w:type="paragraph" w:customStyle="1" w:styleId="144">
    <w:name w:val="首行缩进:  2 字符"/>
    <w:basedOn w:val="1"/>
    <w:qFormat/>
    <w:uiPriority w:val="0"/>
    <w:pPr>
      <w:spacing w:line="300" w:lineRule="auto"/>
      <w:ind w:firstLine="480"/>
    </w:pPr>
    <w:rPr>
      <w:sz w:val="24"/>
      <w:szCs w:val="20"/>
    </w:rPr>
  </w:style>
  <w:style w:type="paragraph" w:customStyle="1" w:styleId="145">
    <w:name w:val="首页脚注"/>
    <w:basedOn w:val="1"/>
    <w:qFormat/>
    <w:uiPriority w:val="0"/>
    <w:pPr>
      <w:keepLines/>
      <w:tabs>
        <w:tab w:val="center" w:pos="4320"/>
      </w:tabs>
      <w:spacing w:line="360" w:lineRule="auto"/>
      <w:ind w:firstLine="0" w:firstLineChars="0"/>
      <w:jc w:val="center"/>
    </w:pPr>
    <w:rPr>
      <w:rFonts w:eastAsia="等线"/>
      <w:sz w:val="28"/>
      <w:szCs w:val="28"/>
    </w:rPr>
  </w:style>
  <w:style w:type="paragraph" w:customStyle="1" w:styleId="146">
    <w:name w:val="标题 22"/>
    <w:basedOn w:val="1"/>
    <w:next w:val="1"/>
    <w:qFormat/>
    <w:uiPriority w:val="0"/>
    <w:pPr>
      <w:keepNext/>
      <w:keepLines/>
      <w:spacing w:before="200" w:after="200" w:line="240" w:lineRule="auto"/>
      <w:ind w:firstLine="0" w:firstLineChars="0"/>
      <w:outlineLvl w:val="1"/>
    </w:pPr>
    <w:rPr>
      <w:rFonts w:ascii="Arial" w:hAnsi="Arial" w:eastAsia="黑体"/>
      <w:bCs/>
      <w:sz w:val="28"/>
      <w:szCs w:val="32"/>
    </w:rPr>
  </w:style>
  <w:style w:type="paragraph" w:customStyle="1" w:styleId="147">
    <w:name w:val="标题1-rw"/>
    <w:basedOn w:val="3"/>
    <w:next w:val="1"/>
    <w:qFormat/>
    <w:uiPriority w:val="0"/>
    <w:pPr>
      <w:numPr>
        <w:numId w:val="0"/>
      </w:numPr>
      <w:tabs>
        <w:tab w:val="left" w:pos="200"/>
        <w:tab w:val="left" w:pos="786"/>
      </w:tabs>
      <w:spacing w:before="320" w:after="320" w:line="360" w:lineRule="auto"/>
      <w:ind w:left="200" w:hanging="200"/>
      <w:jc w:val="both"/>
    </w:pPr>
    <w:rPr>
      <w:rFonts w:eastAsia="黑体" w:cs="宋体"/>
      <w:sz w:val="44"/>
      <w:szCs w:val="20"/>
    </w:rPr>
  </w:style>
  <w:style w:type="paragraph" w:customStyle="1" w:styleId="148">
    <w:name w:val="标题 2 SL CON"/>
    <w:basedOn w:val="1"/>
    <w:next w:val="1"/>
    <w:qFormat/>
    <w:uiPriority w:val="0"/>
    <w:pPr>
      <w:widowControl/>
      <w:tabs>
        <w:tab w:val="left" w:pos="377"/>
        <w:tab w:val="left" w:pos="858"/>
      </w:tabs>
      <w:spacing w:before="100" w:beforeAutospacing="1" w:line="360" w:lineRule="auto"/>
      <w:ind w:left="856" w:hanging="680" w:firstLineChars="0"/>
      <w:outlineLvl w:val="1"/>
    </w:pPr>
    <w:rPr>
      <w:rFonts w:eastAsia="黑体" w:cs="宋体"/>
      <w:kern w:val="0"/>
      <w:sz w:val="28"/>
      <w:szCs w:val="28"/>
    </w:rPr>
  </w:style>
  <w:style w:type="paragraph" w:customStyle="1" w:styleId="149">
    <w:name w:val="首行缩进 Char Char"/>
    <w:basedOn w:val="1"/>
    <w:qFormat/>
    <w:uiPriority w:val="0"/>
    <w:pPr>
      <w:snapToGrid w:val="0"/>
      <w:spacing w:line="360" w:lineRule="auto"/>
      <w:ind w:firstLine="499" w:firstLineChars="0"/>
    </w:pPr>
    <w:rPr>
      <w:rFonts w:ascii="宋体"/>
      <w:sz w:val="24"/>
      <w:szCs w:val="20"/>
    </w:rPr>
  </w:style>
  <w:style w:type="paragraph" w:customStyle="1" w:styleId="150">
    <w:name w:val="标题 3 SL CON"/>
    <w:basedOn w:val="1"/>
    <w:next w:val="1"/>
    <w:qFormat/>
    <w:uiPriority w:val="0"/>
    <w:pPr>
      <w:keepNext/>
      <w:keepLines/>
      <w:widowControl/>
      <w:tabs>
        <w:tab w:val="left" w:pos="377"/>
        <w:tab w:val="left" w:pos="850"/>
        <w:tab w:val="left" w:pos="960"/>
      </w:tabs>
      <w:spacing w:before="100" w:beforeAutospacing="1" w:line="360" w:lineRule="auto"/>
      <w:ind w:left="850" w:hanging="681" w:firstLineChars="0"/>
      <w:outlineLvl w:val="2"/>
    </w:pPr>
    <w:rPr>
      <w:rFonts w:eastAsia="黑体" w:cs="宋体"/>
      <w:kern w:val="0"/>
      <w:sz w:val="24"/>
    </w:rPr>
  </w:style>
  <w:style w:type="paragraph" w:customStyle="1" w:styleId="151">
    <w:name w:val="标题1lql"/>
    <w:basedOn w:val="1"/>
    <w:qFormat/>
    <w:uiPriority w:val="0"/>
    <w:pPr>
      <w:keepNext/>
      <w:keepLines/>
      <w:spacing w:before="120" w:beforeLines="50" w:after="120" w:afterLines="50" w:line="360" w:lineRule="auto"/>
      <w:outlineLvl w:val="0"/>
    </w:pPr>
    <w:rPr>
      <w:rFonts w:ascii="宋体" w:eastAsia="黑体" w:cs="宋体"/>
      <w:kern w:val="44"/>
      <w:sz w:val="30"/>
      <w:szCs w:val="20"/>
    </w:rPr>
  </w:style>
  <w:style w:type="paragraph" w:customStyle="1" w:styleId="152">
    <w:name w:val="标题 1.1.1"/>
    <w:basedOn w:val="153"/>
    <w:qFormat/>
    <w:uiPriority w:val="0"/>
    <w:pPr>
      <w:tabs>
        <w:tab w:val="left" w:pos="786"/>
      </w:tabs>
    </w:pPr>
  </w:style>
  <w:style w:type="paragraph" w:customStyle="1" w:styleId="153">
    <w:name w:val="标题 1.1"/>
    <w:basedOn w:val="3"/>
    <w:qFormat/>
    <w:uiPriority w:val="0"/>
    <w:pPr>
      <w:numPr>
        <w:numId w:val="0"/>
      </w:numPr>
      <w:tabs>
        <w:tab w:val="left" w:pos="786"/>
      </w:tabs>
      <w:spacing w:before="340" w:after="330" w:line="578" w:lineRule="auto"/>
      <w:jc w:val="both"/>
    </w:pPr>
    <w:rPr>
      <w:sz w:val="44"/>
      <w:lang w:val="zh-CN"/>
    </w:rPr>
  </w:style>
  <w:style w:type="paragraph" w:customStyle="1" w:styleId="154">
    <w:name w:val="标题 4() + 宋体 小三 非加粗 居中 段前: 12 磅 段后: ..."/>
    <w:basedOn w:val="6"/>
    <w:qFormat/>
    <w:uiPriority w:val="0"/>
    <w:pPr>
      <w:keepLines/>
      <w:numPr>
        <w:ilvl w:val="0"/>
        <w:numId w:val="0"/>
      </w:numPr>
      <w:spacing w:before="240" w:beforeLines="50" w:after="240" w:afterLines="50" w:line="440" w:lineRule="exact"/>
      <w:jc w:val="center"/>
    </w:pPr>
    <w:rPr>
      <w:rFonts w:ascii="宋体" w:hAnsi="宋体" w:eastAsia="宋体"/>
      <w:color w:val="FF0000"/>
      <w:sz w:val="30"/>
    </w:rPr>
  </w:style>
  <w:style w:type="paragraph" w:customStyle="1" w:styleId="155">
    <w:name w:val="标题 5 + 黑体 四号 首行缩进:  0 厘米 段前: 0.5 行 段后: 0.5 行 行距: 固定值 22 磅"/>
    <w:basedOn w:val="8"/>
    <w:qFormat/>
    <w:uiPriority w:val="0"/>
    <w:pPr>
      <w:numPr>
        <w:ilvl w:val="0"/>
        <w:numId w:val="0"/>
      </w:numPr>
      <w:tabs>
        <w:tab w:val="left" w:pos="360"/>
      </w:tabs>
      <w:spacing w:beforeLines="50" w:afterLines="50" w:line="440" w:lineRule="exact"/>
      <w:ind w:left="360"/>
      <w:textAlignment w:val="auto"/>
    </w:pPr>
    <w:rPr>
      <w:rFonts w:ascii="黑体" w:eastAsia="黑体"/>
      <w:b w:val="0"/>
      <w:kern w:val="2"/>
    </w:rPr>
  </w:style>
  <w:style w:type="paragraph" w:customStyle="1" w:styleId="156">
    <w:name w:val="标题 1 + 宋体 小四 居中"/>
    <w:basedOn w:val="3"/>
    <w:qFormat/>
    <w:uiPriority w:val="0"/>
    <w:pPr>
      <w:numPr>
        <w:numId w:val="0"/>
      </w:numPr>
      <w:tabs>
        <w:tab w:val="left" w:pos="360"/>
        <w:tab w:val="left" w:pos="786"/>
      </w:tabs>
      <w:spacing w:before="34" w:beforeLines="10" w:after="34" w:afterLines="10" w:line="360" w:lineRule="auto"/>
      <w:textAlignment w:val="baseline"/>
    </w:pPr>
    <w:rPr>
      <w:rFonts w:ascii="宋体" w:hAnsi="宋体" w:cs="宋体"/>
      <w:kern w:val="24"/>
      <w:sz w:val="24"/>
      <w:szCs w:val="20"/>
    </w:rPr>
  </w:style>
  <w:style w:type="paragraph" w:customStyle="1" w:styleId="157">
    <w:name w:val="标题 4 宋体"/>
    <w:basedOn w:val="6"/>
    <w:next w:val="1"/>
    <w:qFormat/>
    <w:uiPriority w:val="0"/>
    <w:pPr>
      <w:keepLines/>
      <w:numPr>
        <w:ilvl w:val="0"/>
        <w:numId w:val="0"/>
      </w:numPr>
      <w:tabs>
        <w:tab w:val="left" w:pos="786"/>
        <w:tab w:val="left" w:pos="1064"/>
        <w:tab w:val="left" w:pos="3018"/>
      </w:tabs>
      <w:adjustRightInd w:val="0"/>
      <w:snapToGrid w:val="0"/>
      <w:ind w:left="540" w:hanging="540" w:hangingChars="200"/>
    </w:pPr>
    <w:rPr>
      <w:rFonts w:ascii="宋体" w:eastAsia="宋体"/>
      <w:color w:val="FF0000"/>
      <w:sz w:val="24"/>
      <w:szCs w:val="24"/>
    </w:rPr>
  </w:style>
  <w:style w:type="paragraph" w:customStyle="1" w:styleId="158">
    <w:name w:val="标题33"/>
    <w:basedOn w:val="5"/>
    <w:qFormat/>
    <w:uiPriority w:val="0"/>
    <w:pPr>
      <w:numPr>
        <w:ilvl w:val="0"/>
        <w:numId w:val="0"/>
      </w:numPr>
      <w:adjustRightInd w:val="0"/>
      <w:snapToGrid w:val="0"/>
      <w:spacing w:before="50" w:beforeLines="50" w:afterLines="50" w:line="360" w:lineRule="auto"/>
    </w:pPr>
    <w:rPr>
      <w:rFonts w:eastAsia="黑体"/>
      <w:b w:val="0"/>
      <w:bCs w:val="0"/>
      <w:spacing w:val="2"/>
      <w:sz w:val="28"/>
      <w:szCs w:val="20"/>
    </w:rPr>
  </w:style>
  <w:style w:type="paragraph" w:customStyle="1" w:styleId="159">
    <w:name w:val="标题 5 + 黑体"/>
    <w:basedOn w:val="5"/>
    <w:qFormat/>
    <w:uiPriority w:val="0"/>
    <w:pPr>
      <w:numPr>
        <w:ilvl w:val="0"/>
        <w:numId w:val="0"/>
      </w:numPr>
      <w:spacing w:before="50" w:beforeLines="50" w:afterLines="50" w:line="420" w:lineRule="atLeast"/>
    </w:pPr>
    <w:rPr>
      <w:rFonts w:ascii="黑体" w:hAnsi="宋体" w:eastAsia="黑体"/>
      <w:b w:val="0"/>
      <w:kern w:val="0"/>
      <w:sz w:val="24"/>
      <w:szCs w:val="24"/>
      <w:lang w:val="zh-CN"/>
    </w:rPr>
  </w:style>
  <w:style w:type="paragraph" w:customStyle="1" w:styleId="160">
    <w:name w:val="标题 31"/>
    <w:basedOn w:val="1"/>
    <w:next w:val="1"/>
    <w:qFormat/>
    <w:uiPriority w:val="0"/>
    <w:pPr>
      <w:keepNext/>
      <w:keepLines/>
      <w:spacing w:line="360" w:lineRule="auto"/>
      <w:ind w:firstLine="0" w:firstLineChars="0"/>
      <w:outlineLvl w:val="2"/>
    </w:pPr>
    <w:rPr>
      <w:rFonts w:ascii="宋体" w:hAnsi="宋体"/>
      <w:bCs/>
      <w:sz w:val="28"/>
      <w:szCs w:val="32"/>
    </w:rPr>
  </w:style>
  <w:style w:type="character" w:customStyle="1" w:styleId="161">
    <w:name w:val="批注文字 字符"/>
    <w:basedOn w:val="30"/>
    <w:link w:val="14"/>
    <w:qFormat/>
    <w:uiPriority w:val="0"/>
    <w:rPr>
      <w:kern w:val="2"/>
      <w:sz w:val="26"/>
      <w:szCs w:val="24"/>
    </w:rPr>
  </w:style>
  <w:style w:type="character" w:customStyle="1" w:styleId="162">
    <w:name w:val="批注主题 字符"/>
    <w:basedOn w:val="161"/>
    <w:link w:val="25"/>
    <w:semiHidden/>
    <w:qFormat/>
    <w:uiPriority w:val="99"/>
    <w:rPr>
      <w:b/>
      <w:bCs/>
      <w:kern w:val="2"/>
      <w:sz w:val="26"/>
      <w:szCs w:val="24"/>
    </w:rPr>
  </w:style>
  <w:style w:type="character" w:customStyle="1" w:styleId="163">
    <w:name w:val="正文文本 字符"/>
    <w:link w:val="2"/>
    <w:qFormat/>
    <w:uiPriority w:val="0"/>
    <w:rPr>
      <w:kern w:val="2"/>
      <w:sz w:val="28"/>
      <w:lang w:val="zh-CN" w:eastAsia="zh-CN"/>
    </w:rPr>
  </w:style>
  <w:style w:type="character" w:customStyle="1" w:styleId="164">
    <w:name w:val="正文文本 Char"/>
    <w:basedOn w:val="30"/>
    <w:semiHidden/>
    <w:qFormat/>
    <w:uiPriority w:val="99"/>
    <w:rPr>
      <w:kern w:val="2"/>
      <w:sz w:val="26"/>
      <w:szCs w:val="24"/>
    </w:rPr>
  </w:style>
  <w:style w:type="paragraph" w:styleId="165">
    <w:name w:val="List Paragraph"/>
    <w:basedOn w:val="1"/>
    <w:qFormat/>
    <w:uiPriority w:val="34"/>
    <w:pPr>
      <w:ind w:firstLine="420"/>
    </w:pPr>
  </w:style>
  <w:style w:type="paragraph" w:customStyle="1" w:styleId="166">
    <w:name w:val="！正文A"/>
    <w:basedOn w:val="1"/>
    <w:qFormat/>
    <w:uiPriority w:val="0"/>
    <w:pPr>
      <w:tabs>
        <w:tab w:val="left" w:pos="4144"/>
      </w:tabs>
      <w:snapToGrid w:val="0"/>
      <w:spacing w:line="360" w:lineRule="auto"/>
    </w:pPr>
    <w:rPr>
      <w:rFonts w:ascii="Calibri" w:hAnsi="Calibri"/>
      <w:color w:val="000000"/>
      <w:sz w:val="24"/>
    </w:rPr>
  </w:style>
  <w:style w:type="paragraph" w:customStyle="1" w:styleId="167">
    <w:name w:val="Table Paragraph"/>
    <w:basedOn w:val="1"/>
    <w:qFormat/>
    <w:uiPriority w:val="1"/>
    <w:pPr>
      <w:autoSpaceDE w:val="0"/>
      <w:autoSpaceDN w:val="0"/>
      <w:spacing w:line="240" w:lineRule="auto"/>
      <w:ind w:firstLine="0" w:firstLineChars="0"/>
      <w:jc w:val="center"/>
    </w:pPr>
    <w:rPr>
      <w:rFonts w:eastAsia="Times New Roman"/>
      <w:kern w:val="0"/>
      <w:sz w:val="22"/>
      <w:szCs w:val="22"/>
      <w:lang w:eastAsia="en-US"/>
    </w:rPr>
  </w:style>
  <w:style w:type="paragraph" w:customStyle="1" w:styleId="168">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169">
    <w:name w:val="font5"/>
    <w:basedOn w:val="1"/>
    <w:qFormat/>
    <w:uiPriority w:val="0"/>
    <w:pPr>
      <w:widowControl/>
      <w:spacing w:before="100" w:beforeAutospacing="1" w:after="100" w:afterAutospacing="1" w:line="240" w:lineRule="auto"/>
      <w:ind w:firstLine="0" w:firstLineChars="0"/>
      <w:jc w:val="left"/>
    </w:pPr>
    <w:rPr>
      <w:rFonts w:ascii="宋体" w:hAnsi="宋体" w:cs="宋体"/>
      <w:kern w:val="0"/>
      <w:sz w:val="18"/>
      <w:szCs w:val="18"/>
    </w:rPr>
  </w:style>
  <w:style w:type="paragraph" w:customStyle="1" w:styleId="170">
    <w:name w:val="font6"/>
    <w:basedOn w:val="1"/>
    <w:qFormat/>
    <w:uiPriority w:val="0"/>
    <w:pPr>
      <w:widowControl/>
      <w:spacing w:before="100" w:beforeAutospacing="1" w:after="100" w:afterAutospacing="1" w:line="240" w:lineRule="auto"/>
      <w:ind w:firstLine="0" w:firstLineChars="0"/>
      <w:jc w:val="left"/>
    </w:pPr>
    <w:rPr>
      <w:rFonts w:ascii="宋体" w:hAnsi="宋体" w:cs="宋体"/>
      <w:kern w:val="0"/>
      <w:sz w:val="21"/>
      <w:szCs w:val="21"/>
    </w:rPr>
  </w:style>
  <w:style w:type="paragraph" w:customStyle="1" w:styleId="171">
    <w:name w:val="font7"/>
    <w:basedOn w:val="1"/>
    <w:qFormat/>
    <w:uiPriority w:val="0"/>
    <w:pPr>
      <w:widowControl/>
      <w:spacing w:before="100" w:beforeAutospacing="1" w:after="100" w:afterAutospacing="1" w:line="240" w:lineRule="auto"/>
      <w:ind w:firstLine="0" w:firstLineChars="0"/>
      <w:jc w:val="left"/>
    </w:pPr>
    <w:rPr>
      <w:kern w:val="0"/>
      <w:sz w:val="21"/>
      <w:szCs w:val="21"/>
    </w:rPr>
  </w:style>
  <w:style w:type="paragraph" w:customStyle="1" w:styleId="172">
    <w:name w:val="font8"/>
    <w:basedOn w:val="1"/>
    <w:qFormat/>
    <w:uiPriority w:val="0"/>
    <w:pPr>
      <w:widowControl/>
      <w:spacing w:before="100" w:beforeAutospacing="1" w:after="100" w:afterAutospacing="1" w:line="240" w:lineRule="auto"/>
      <w:ind w:firstLine="0" w:firstLineChars="0"/>
      <w:jc w:val="left"/>
    </w:pPr>
    <w:rPr>
      <w:kern w:val="0"/>
      <w:sz w:val="22"/>
      <w:szCs w:val="22"/>
    </w:rPr>
  </w:style>
  <w:style w:type="paragraph" w:customStyle="1" w:styleId="173">
    <w:name w:val="font9"/>
    <w:basedOn w:val="1"/>
    <w:qFormat/>
    <w:uiPriority w:val="0"/>
    <w:pPr>
      <w:widowControl/>
      <w:spacing w:before="100" w:beforeAutospacing="1" w:after="100" w:afterAutospacing="1" w:line="240" w:lineRule="auto"/>
      <w:ind w:firstLine="0" w:firstLineChars="0"/>
      <w:jc w:val="left"/>
    </w:pPr>
    <w:rPr>
      <w:rFonts w:ascii="宋体" w:hAnsi="宋体" w:cs="宋体"/>
      <w:kern w:val="0"/>
      <w:sz w:val="22"/>
      <w:szCs w:val="22"/>
    </w:rPr>
  </w:style>
  <w:style w:type="paragraph" w:customStyle="1" w:styleId="174">
    <w:name w:val="font10"/>
    <w:basedOn w:val="1"/>
    <w:qFormat/>
    <w:uiPriority w:val="0"/>
    <w:pPr>
      <w:widowControl/>
      <w:spacing w:before="100" w:beforeAutospacing="1" w:after="100" w:afterAutospacing="1" w:line="240" w:lineRule="auto"/>
      <w:ind w:firstLine="0" w:firstLineChars="0"/>
      <w:jc w:val="left"/>
    </w:pPr>
    <w:rPr>
      <w:rFonts w:ascii="宋体" w:hAnsi="宋体" w:cs="宋体"/>
      <w:kern w:val="0"/>
      <w:sz w:val="22"/>
      <w:szCs w:val="22"/>
    </w:rPr>
  </w:style>
  <w:style w:type="paragraph" w:customStyle="1" w:styleId="175">
    <w:name w:val="xl1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kern w:val="0"/>
      <w:sz w:val="21"/>
      <w:szCs w:val="21"/>
    </w:rPr>
  </w:style>
  <w:style w:type="paragraph" w:customStyle="1" w:styleId="176">
    <w:name w:val="xl1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kern w:val="0"/>
      <w:sz w:val="21"/>
      <w:szCs w:val="21"/>
    </w:rPr>
  </w:style>
  <w:style w:type="paragraph" w:customStyle="1" w:styleId="177">
    <w:name w:val="xl1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kern w:val="0"/>
      <w:sz w:val="21"/>
      <w:szCs w:val="21"/>
    </w:rPr>
  </w:style>
  <w:style w:type="paragraph" w:customStyle="1" w:styleId="178">
    <w:name w:val="xl14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kern w:val="0"/>
      <w:sz w:val="21"/>
      <w:szCs w:val="21"/>
    </w:rPr>
  </w:style>
  <w:style w:type="paragraph" w:customStyle="1" w:styleId="179">
    <w:name w:val="xl14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kern w:val="0"/>
      <w:sz w:val="21"/>
      <w:szCs w:val="21"/>
    </w:rPr>
  </w:style>
  <w:style w:type="paragraph" w:customStyle="1" w:styleId="180">
    <w:name w:val="xl14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kern w:val="0"/>
      <w:sz w:val="24"/>
    </w:rPr>
  </w:style>
  <w:style w:type="paragraph" w:customStyle="1" w:styleId="181">
    <w:name w:val="xl14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kern w:val="0"/>
      <w:sz w:val="24"/>
    </w:rPr>
  </w:style>
  <w:style w:type="paragraph" w:customStyle="1" w:styleId="182">
    <w:name w:val="xl1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kern w:val="0"/>
      <w:sz w:val="24"/>
    </w:rPr>
  </w:style>
  <w:style w:type="paragraph" w:customStyle="1" w:styleId="183">
    <w:name w:val="xl1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kern w:val="0"/>
      <w:sz w:val="24"/>
    </w:rPr>
  </w:style>
  <w:style w:type="paragraph" w:customStyle="1" w:styleId="184">
    <w:name w:val="xl1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kern w:val="0"/>
      <w:sz w:val="24"/>
    </w:rPr>
  </w:style>
  <w:style w:type="paragraph" w:customStyle="1" w:styleId="185">
    <w:name w:val="xl1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cs="宋体"/>
      <w:kern w:val="0"/>
      <w:sz w:val="24"/>
    </w:rPr>
  </w:style>
  <w:style w:type="paragraph" w:customStyle="1" w:styleId="186">
    <w:name w:val="xl1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cs="宋体"/>
      <w:kern w:val="0"/>
      <w:sz w:val="21"/>
      <w:szCs w:val="21"/>
    </w:rPr>
  </w:style>
  <w:style w:type="paragraph" w:customStyle="1" w:styleId="187">
    <w:name w:val="font11"/>
    <w:basedOn w:val="1"/>
    <w:qFormat/>
    <w:uiPriority w:val="0"/>
    <w:pPr>
      <w:widowControl/>
      <w:spacing w:before="100" w:beforeAutospacing="1" w:after="100" w:afterAutospacing="1" w:line="240" w:lineRule="auto"/>
      <w:ind w:firstLine="0" w:firstLineChars="0"/>
      <w:jc w:val="left"/>
    </w:pPr>
    <w:rPr>
      <w:kern w:val="0"/>
      <w:sz w:val="20"/>
      <w:szCs w:val="20"/>
    </w:rPr>
  </w:style>
  <w:style w:type="paragraph" w:customStyle="1" w:styleId="188">
    <w:name w:val="font12"/>
    <w:basedOn w:val="1"/>
    <w:qFormat/>
    <w:uiPriority w:val="0"/>
    <w:pPr>
      <w:widowControl/>
      <w:spacing w:before="100" w:beforeAutospacing="1" w:after="100" w:afterAutospacing="1" w:line="240" w:lineRule="auto"/>
      <w:ind w:firstLine="0" w:firstLineChars="0"/>
      <w:jc w:val="left"/>
    </w:pPr>
    <w:rPr>
      <w:rFonts w:ascii="宋体" w:hAnsi="宋体" w:cs="宋体"/>
      <w:kern w:val="0"/>
      <w:sz w:val="22"/>
      <w:szCs w:val="22"/>
    </w:rPr>
  </w:style>
  <w:style w:type="paragraph" w:customStyle="1" w:styleId="189">
    <w:name w:val="xl1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cs="宋体"/>
      <w:kern w:val="0"/>
      <w:sz w:val="20"/>
      <w:szCs w:val="20"/>
    </w:rPr>
  </w:style>
  <w:style w:type="paragraph" w:customStyle="1" w:styleId="190">
    <w:name w:val="xl14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cs="宋体"/>
      <w:kern w:val="0"/>
      <w:sz w:val="21"/>
      <w:szCs w:val="21"/>
    </w:rPr>
  </w:style>
  <w:style w:type="paragraph" w:customStyle="1" w:styleId="191">
    <w:name w:val="xl1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kern w:val="0"/>
      <w:sz w:val="21"/>
      <w:szCs w:val="21"/>
    </w:rPr>
  </w:style>
  <w:style w:type="paragraph" w:customStyle="1" w:styleId="192">
    <w:name w:val="xl1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kern w:val="0"/>
      <w:sz w:val="24"/>
    </w:rPr>
  </w:style>
  <w:style w:type="paragraph" w:customStyle="1" w:styleId="193">
    <w:name w:val="xl1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kern w:val="0"/>
      <w:sz w:val="24"/>
    </w:rPr>
  </w:style>
  <w:style w:type="paragraph" w:customStyle="1" w:styleId="194">
    <w:name w:val="xl15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kern w:val="0"/>
      <w:sz w:val="24"/>
    </w:rPr>
  </w:style>
  <w:style w:type="paragraph" w:customStyle="1" w:styleId="195">
    <w:name w:val="xl15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kern w:val="0"/>
      <w:sz w:val="24"/>
    </w:rPr>
  </w:style>
  <w:style w:type="character" w:customStyle="1" w:styleId="196">
    <w:name w:val="普通(网站) 字符"/>
    <w:link w:val="23"/>
    <w:qFormat/>
    <w:uiPriority w:val="0"/>
    <w:rPr>
      <w:rFonts w:ascii="宋体" w:hAnsi="宋体" w:cs="宋体"/>
      <w:sz w:val="24"/>
      <w:szCs w:val="24"/>
    </w:rPr>
  </w:style>
  <w:style w:type="paragraph" w:customStyle="1" w:styleId="197">
    <w:name w:val="样式7"/>
    <w:basedOn w:val="1"/>
    <w:link w:val="198"/>
    <w:qFormat/>
    <w:uiPriority w:val="0"/>
    <w:pPr>
      <w:widowControl/>
      <w:jc w:val="center"/>
    </w:pPr>
    <w:rPr>
      <w:szCs w:val="26"/>
    </w:rPr>
  </w:style>
  <w:style w:type="character" w:customStyle="1" w:styleId="198">
    <w:name w:val="样式7 Char"/>
    <w:link w:val="197"/>
    <w:qFormat/>
    <w:uiPriority w:val="0"/>
    <w:rPr>
      <w:kern w:val="2"/>
      <w:sz w:val="26"/>
      <w:szCs w:val="26"/>
    </w:rPr>
  </w:style>
  <w:style w:type="paragraph" w:customStyle="1" w:styleId="199">
    <w:name w:val="表格-S"/>
    <w:basedOn w:val="1"/>
    <w:qFormat/>
    <w:uiPriority w:val="0"/>
    <w:pPr>
      <w:spacing w:line="320" w:lineRule="exact"/>
      <w:ind w:firstLine="0" w:firstLineChars="0"/>
    </w:pPr>
    <w:rPr>
      <w:sz w:val="21"/>
    </w:rPr>
  </w:style>
  <w:style w:type="paragraph" w:customStyle="1" w:styleId="200">
    <w:name w:val="表格文字-中煤"/>
    <w:basedOn w:val="1"/>
    <w:next w:val="1"/>
    <w:qFormat/>
    <w:uiPriority w:val="0"/>
    <w:pPr>
      <w:widowControl/>
      <w:autoSpaceDE w:val="0"/>
      <w:autoSpaceDN w:val="0"/>
      <w:adjustRightInd w:val="0"/>
      <w:snapToGrid w:val="0"/>
      <w:spacing w:line="240" w:lineRule="auto"/>
      <w:jc w:val="center"/>
    </w:pPr>
    <w:rPr>
      <w:rFonts w:eastAsia="Times New Roman"/>
      <w:kern w:val="0"/>
      <w:sz w:val="22"/>
      <w:szCs w:val="21"/>
      <w:lang w:val="zh-CN"/>
    </w:rPr>
  </w:style>
  <w:style w:type="paragraph" w:customStyle="1" w:styleId="201">
    <w:name w:val="样式13"/>
    <w:qFormat/>
    <w:uiPriority w:val="0"/>
    <w:pPr>
      <w:widowControl w:val="0"/>
      <w:spacing w:line="480" w:lineRule="exact"/>
      <w:ind w:firstLine="200" w:firstLineChars="200"/>
      <w:jc w:val="both"/>
    </w:pPr>
    <w:rPr>
      <w:rFonts w:ascii="Times New Roman" w:hAnsi="Times New Roman" w:eastAsia="宋体" w:cs="Times New Roman"/>
      <w:kern w:val="2"/>
      <w:sz w:val="26"/>
      <w:szCs w:val="26"/>
      <w:lang w:val="en-US" w:eastAsia="zh-CN" w:bidi="ar-SA"/>
    </w:rPr>
  </w:style>
  <w:style w:type="paragraph" w:customStyle="1" w:styleId="202">
    <w:name w:val="表格样式"/>
    <w:basedOn w:val="1"/>
    <w:qFormat/>
    <w:uiPriority w:val="0"/>
    <w:pPr>
      <w:widowControl/>
      <w:spacing w:line="240" w:lineRule="auto"/>
      <w:ind w:firstLine="0" w:firstLineChars="0"/>
      <w:jc w:val="center"/>
    </w:pPr>
    <w:rPr>
      <w:kern w:val="0"/>
      <w:sz w:val="22"/>
      <w:szCs w:val="26"/>
    </w:rPr>
  </w:style>
  <w:style w:type="paragraph" w:customStyle="1" w:styleId="203">
    <w:name w:val="表文煤矿排版"/>
    <w:basedOn w:val="1"/>
    <w:next w:val="1"/>
    <w:qFormat/>
    <w:uiPriority w:val="0"/>
    <w:pPr>
      <w:adjustRightInd w:val="0"/>
      <w:snapToGrid w:val="0"/>
      <w:spacing w:line="240" w:lineRule="auto"/>
      <w:ind w:firstLine="0" w:firstLineChars="0"/>
      <w:jc w:val="center"/>
    </w:pPr>
    <w:rPr>
      <w:sz w:val="22"/>
      <w:szCs w:val="22"/>
    </w:rPr>
  </w:style>
  <w:style w:type="paragraph" w:customStyle="1" w:styleId="204">
    <w:name w:val="0环评正文"/>
    <w:basedOn w:val="1"/>
    <w:qFormat/>
    <w:uiPriority w:val="0"/>
  </w:style>
  <w:style w:type="character" w:customStyle="1" w:styleId="205">
    <w:name w:val="15"/>
    <w:qFormat/>
    <w:uiPriority w:val="0"/>
    <w:rPr>
      <w:rFonts w:hint="default" w:ascii="Times New Roman" w:hAnsi="Times New Roman" w:cs="Times New Roman"/>
      <w:color w:val="0070C0"/>
      <w:kern w:val="2"/>
      <w:sz w:val="26"/>
      <w:szCs w:val="26"/>
    </w:rPr>
  </w:style>
  <w:style w:type="paragraph" w:customStyle="1" w:styleId="206">
    <w:name w:val="zm图"/>
    <w:basedOn w:val="1"/>
    <w:qFormat/>
    <w:uiPriority w:val="0"/>
    <w:pPr>
      <w:adjustRightInd w:val="0"/>
      <w:snapToGrid w:val="0"/>
      <w:spacing w:line="240" w:lineRule="auto"/>
      <w:ind w:firstLine="0" w:firstLineChars="0"/>
      <w:jc w:val="center"/>
    </w:pPr>
    <w:rPr>
      <w:rFonts w:ascii="宋体"/>
      <w:color w:val="0070C0"/>
      <w:kern w:val="0"/>
      <w:szCs w:val="26"/>
    </w:rPr>
  </w:style>
  <w:style w:type="character" w:customStyle="1" w:styleId="207">
    <w:name w:val="font21"/>
    <w:basedOn w:val="30"/>
    <w:qFormat/>
    <w:uiPriority w:val="0"/>
    <w:rPr>
      <w:rFonts w:hint="eastAsia" w:ascii="宋体" w:hAnsi="宋体" w:eastAsia="宋体" w:cs="宋体"/>
      <w:color w:val="0000FF"/>
      <w:sz w:val="22"/>
      <w:szCs w:val="22"/>
      <w:u w:val="none"/>
    </w:rPr>
  </w:style>
  <w:style w:type="paragraph" w:styleId="208">
    <w:name w:val="No Spacing"/>
    <w:basedOn w:val="1"/>
    <w:next w:val="1"/>
    <w:qFormat/>
    <w:uiPriority w:val="99"/>
    <w:rPr>
      <w:sz w:val="21"/>
    </w:rPr>
  </w:style>
  <w:style w:type="table" w:customStyle="1" w:styleId="209">
    <w:name w:val="Table Normal"/>
    <w:unhideWhenUsed/>
    <w:qFormat/>
    <w:uiPriority w:val="0"/>
    <w:tblPr>
      <w:tblCellMar>
        <w:top w:w="0" w:type="dxa"/>
        <w:left w:w="0" w:type="dxa"/>
        <w:bottom w:w="0" w:type="dxa"/>
        <w:right w:w="0" w:type="dxa"/>
      </w:tblCellMar>
    </w:tblPr>
  </w:style>
  <w:style w:type="character" w:customStyle="1" w:styleId="210">
    <w:name w:val="checkbox"/>
    <w:basedOn w:val="30"/>
    <w:qFormat/>
    <w:uiPriority w:val="0"/>
  </w:style>
  <w:style w:type="character" w:customStyle="1" w:styleId="211">
    <w:name w:val="font01"/>
    <w:basedOn w:val="30"/>
    <w:qFormat/>
    <w:uiPriority w:val="0"/>
    <w:rPr>
      <w:rFonts w:hint="eastAsia" w:ascii="宋体" w:hAnsi="宋体" w:eastAsia="宋体" w:cs="宋体"/>
      <w:color w:val="000000"/>
      <w:sz w:val="22"/>
      <w:szCs w:val="22"/>
      <w:u w:val="none"/>
    </w:rPr>
  </w:style>
  <w:style w:type="paragraph" w:customStyle="1" w:styleId="212">
    <w:name w:val="@济宁正文"/>
    <w:basedOn w:val="213"/>
    <w:qFormat/>
    <w:uiPriority w:val="99"/>
  </w:style>
  <w:style w:type="paragraph" w:customStyle="1" w:styleId="213">
    <w:name w:val="▲正文"/>
    <w:basedOn w:val="1"/>
    <w:qFormat/>
    <w:uiPriority w:val="99"/>
    <w:pPr>
      <w:widowControl/>
      <w:spacing w:line="360" w:lineRule="auto"/>
      <w:ind w:firstLine="480"/>
    </w:pPr>
    <w:rPr>
      <w:lang w:val="en-GB"/>
    </w:rPr>
  </w:style>
  <w:style w:type="paragraph" w:customStyle="1" w:styleId="214">
    <w:name w:val="样式9"/>
    <w:basedOn w:val="1"/>
    <w:qFormat/>
    <w:uiPriority w:val="0"/>
  </w:style>
  <w:style w:type="paragraph" w:customStyle="1" w:styleId="215">
    <w:name w:val="样式5"/>
    <w:basedOn w:val="1"/>
    <w:qFormat/>
    <w:uiPriority w:val="0"/>
    <w:pPr>
      <w:ind w:firstLine="520"/>
    </w:pPr>
  </w:style>
  <w:style w:type="paragraph" w:customStyle="1" w:styleId="216">
    <w:name w:val="！表前空格"/>
    <w:basedOn w:val="1"/>
    <w:qFormat/>
    <w:uiPriority w:val="0"/>
    <w:pPr>
      <w:adjustRightInd w:val="0"/>
      <w:snapToGrid w:val="0"/>
      <w:spacing w:line="240" w:lineRule="auto"/>
      <w:jc w:val="center"/>
    </w:pPr>
    <w:rPr>
      <w:bCs/>
      <w:szCs w:val="28"/>
    </w:rPr>
  </w:style>
  <w:style w:type="paragraph" w:customStyle="1" w:styleId="217">
    <w:name w:val="表标题X"/>
    <w:basedOn w:val="1"/>
    <w:qFormat/>
    <w:uiPriority w:val="0"/>
    <w:pPr>
      <w:numPr>
        <w:ilvl w:val="4"/>
        <w:numId w:val="2"/>
      </w:numPr>
      <w:adjustRightInd w:val="0"/>
      <w:snapToGrid w:val="0"/>
      <w:spacing w:line="240" w:lineRule="auto"/>
      <w:jc w:val="center"/>
    </w:pPr>
    <w:rPr>
      <w:b/>
      <w:color w:val="000000"/>
    </w:rPr>
  </w:style>
  <w:style w:type="paragraph" w:customStyle="1" w:styleId="218">
    <w:name w:val="表头"/>
    <w:basedOn w:val="26"/>
    <w:next w:val="1"/>
    <w:qFormat/>
    <w:uiPriority w:val="0"/>
    <w:pPr>
      <w:spacing w:before="100" w:beforeLines="100"/>
      <w:ind w:firstLine="0" w:firstLineChars="0"/>
      <w:jc w:val="center"/>
    </w:pPr>
  </w:style>
  <w:style w:type="paragraph" w:customStyle="1" w:styleId="219">
    <w:name w:val="表格-HF"/>
    <w:basedOn w:val="1"/>
    <w:qFormat/>
    <w:uiPriority w:val="2"/>
    <w:pPr>
      <w:jc w:val="center"/>
    </w:pPr>
    <w:rPr>
      <w:sz w:val="21"/>
      <w:szCs w:val="21"/>
    </w:rPr>
  </w:style>
  <w:style w:type="paragraph" w:customStyle="1" w:styleId="220">
    <w:name w:val="图表名"/>
    <w:basedOn w:val="1"/>
    <w:qFormat/>
    <w:uiPriority w:val="0"/>
    <w:pPr>
      <w:widowControl/>
      <w:adjustRightInd w:val="0"/>
      <w:spacing w:after="120" w:line="312" w:lineRule="atLeast"/>
      <w:jc w:val="center"/>
      <w:textAlignment w:val="baseline"/>
    </w:pPr>
    <w:rPr>
      <w:rFonts w:ascii="楷体" w:hAnsi="华文新魏" w:eastAsia="Verdana" w:cs="Arial"/>
      <w:kern w:val="0"/>
      <w:sz w:val="24"/>
      <w:szCs w:val="20"/>
    </w:rPr>
  </w:style>
  <w:style w:type="paragraph" w:customStyle="1" w:styleId="221">
    <w:name w:val="正文（中铁长江公司）"/>
    <w:basedOn w:val="1"/>
    <w:qFormat/>
    <w:uiPriority w:val="0"/>
    <w:pPr>
      <w:adjustRightInd w:val="0"/>
      <w:snapToGrid w:val="0"/>
      <w:spacing w:line="500" w:lineRule="exact"/>
    </w:pPr>
    <w:rPr>
      <w:rFonts w:ascii="宋体" w:hAnsi="宋体"/>
      <w:color w:val="000000"/>
      <w:kern w:val="0"/>
      <w:sz w:val="24"/>
    </w:rPr>
  </w:style>
  <w:style w:type="paragraph" w:customStyle="1" w:styleId="222">
    <w:name w:val="陈正文"/>
    <w:basedOn w:val="1"/>
    <w:qFormat/>
    <w:uiPriority w:val="0"/>
    <w:pPr>
      <w:snapToGrid w:val="0"/>
      <w:spacing w:line="360" w:lineRule="auto"/>
    </w:pPr>
    <w:rPr>
      <w:rFonts w:ascii="宋体" w:hAnsi="宋体"/>
    </w:rPr>
  </w:style>
  <w:style w:type="paragraph" w:customStyle="1" w:styleId="223">
    <w:name w:val="表文"/>
    <w:basedOn w:val="1"/>
    <w:qFormat/>
    <w:uiPriority w:val="0"/>
    <w:pPr>
      <w:autoSpaceDE w:val="0"/>
      <w:autoSpaceDN w:val="0"/>
      <w:adjustRightInd w:val="0"/>
      <w:spacing w:before="20"/>
      <w:textAlignment w:val="baseline"/>
    </w:pPr>
    <w:rPr>
      <w:sz w:val="20"/>
      <w:szCs w:val="20"/>
    </w:rPr>
  </w:style>
  <w:style w:type="paragraph" w:customStyle="1" w:styleId="224">
    <w:name w:val="11111"/>
    <w:basedOn w:val="1"/>
    <w:qFormat/>
    <w:uiPriority w:val="0"/>
    <w:pPr>
      <w:keepLines/>
      <w:spacing w:line="500" w:lineRule="exact"/>
    </w:pPr>
  </w:style>
  <w:style w:type="paragraph" w:customStyle="1" w:styleId="225">
    <w:name w:val="jh正文"/>
    <w:basedOn w:val="1"/>
    <w:qFormat/>
    <w:uiPriority w:val="0"/>
    <w:pPr>
      <w:spacing w:line="440" w:lineRule="exact"/>
      <w:ind w:firstLine="480" w:firstLineChars="200"/>
    </w:pPr>
    <w:rPr>
      <w:rFonts w:eastAsia="等线"/>
      <w:kern w:val="2"/>
      <w:szCs w:val="24"/>
    </w:rPr>
  </w:style>
  <w:style w:type="paragraph" w:customStyle="1" w:styleId="226">
    <w:name w:val="d表格"/>
    <w:qFormat/>
    <w:uiPriority w:val="0"/>
    <w:pPr>
      <w:widowControl w:val="0"/>
      <w:adjustRightInd w:val="0"/>
      <w:snapToGrid w:val="0"/>
      <w:spacing w:before="30" w:beforeLines="30" w:after="30" w:afterLines="30"/>
      <w:jc w:val="center"/>
    </w:pPr>
    <w:rPr>
      <w:rFonts w:ascii="Times New Roman" w:hAnsi="Times New Roman" w:eastAsia="宋体" w:cs="Times New Roman"/>
      <w:sz w:val="21"/>
      <w:szCs w:val="21"/>
      <w:lang w:val="en-US" w:eastAsia="zh-CN" w:bidi="ar-SA"/>
    </w:rPr>
  </w:style>
  <w:style w:type="paragraph" w:customStyle="1" w:styleId="227">
    <w:name w:val="表格"/>
    <w:basedOn w:val="1"/>
    <w:qFormat/>
    <w:uiPriority w:val="0"/>
    <w:pPr>
      <w:adjustRightInd w:val="0"/>
      <w:snapToGrid w:val="0"/>
      <w:jc w:val="center"/>
    </w:pPr>
    <w:rPr>
      <w:snapToGrid w:val="0"/>
      <w:color w:val="000000"/>
      <w:sz w:val="21"/>
    </w:rPr>
  </w:style>
  <w:style w:type="paragraph" w:customStyle="1" w:styleId="228">
    <w:name w:val="内容正文"/>
    <w:qFormat/>
    <w:uiPriority w:val="0"/>
    <w:pPr>
      <w:tabs>
        <w:tab w:val="left" w:pos="2835"/>
      </w:tabs>
      <w:spacing w:line="500" w:lineRule="exact"/>
      <w:ind w:firstLine="480" w:firstLineChars="200"/>
      <w:contextualSpacing/>
      <w:jc w:val="both"/>
    </w:pPr>
    <w:rPr>
      <w:rFonts w:ascii="Times New Roman" w:hAnsi="Times New Roman" w:eastAsia="宋体" w:cs="Times New Roman"/>
      <w:kern w:val="2"/>
      <w:sz w:val="24"/>
      <w:szCs w:val="24"/>
      <w:lang w:val="en-US" w:eastAsia="zh-CN" w:bidi="ar-SA"/>
    </w:rPr>
  </w:style>
  <w:style w:type="paragraph" w:customStyle="1" w:styleId="229">
    <w:name w:val="表 头"/>
    <w:basedOn w:val="1"/>
    <w:qFormat/>
    <w:uiPriority w:val="0"/>
    <w:pPr>
      <w:spacing w:line="460" w:lineRule="exact"/>
      <w:jc w:val="center"/>
      <w:textAlignment w:val="baseline"/>
    </w:pPr>
    <w:rPr>
      <w:rFonts w:eastAsia="黑体"/>
      <w:b/>
      <w:szCs w:val="24"/>
      <w:u w:val="single"/>
    </w:rPr>
  </w:style>
  <w:style w:type="paragraph" w:customStyle="1" w:styleId="230">
    <w:name w:val="标题 3+"/>
    <w:basedOn w:val="5"/>
    <w:qFormat/>
    <w:uiPriority w:val="0"/>
    <w:pPr>
      <w:keepNext w:val="0"/>
      <w:keepLines w:val="0"/>
      <w:adjustRightInd w:val="0"/>
      <w:snapToGrid w:val="0"/>
      <w:spacing w:before="60" w:after="60" w:line="460" w:lineRule="exact"/>
      <w:textAlignment w:val="baseline"/>
    </w:pPr>
    <w:rPr>
      <w:rFonts w:eastAsia="黑体"/>
      <w:b w:val="0"/>
      <w:spacing w:val="-4"/>
      <w:sz w:val="24"/>
      <w:szCs w:val="24"/>
      <w:lang w:val="en-US" w:eastAsia="zh-CN"/>
    </w:rPr>
  </w:style>
  <w:style w:type="paragraph" w:customStyle="1" w:styleId="231">
    <w:name w:val="表标题h"/>
    <w:next w:val="1"/>
    <w:qFormat/>
    <w:uiPriority w:val="0"/>
    <w:pPr>
      <w:snapToGrid w:val="0"/>
      <w:spacing w:line="360" w:lineRule="auto"/>
      <w:jc w:val="center"/>
    </w:pPr>
    <w:rPr>
      <w:rFonts w:ascii="Times New Roman" w:hAnsi="Times New Roman" w:eastAsia="黑体" w:cs="Courier New"/>
      <w:kern w:val="2"/>
      <w:sz w:val="24"/>
      <w:szCs w:val="24"/>
      <w:lang w:val="en-US" w:eastAsia="zh-CN" w:bidi="ar-SA"/>
    </w:rPr>
  </w:style>
  <w:style w:type="paragraph" w:customStyle="1" w:styleId="232">
    <w:name w:val="标题 4 水电"/>
    <w:basedOn w:val="6"/>
    <w:qFormat/>
    <w:uiPriority w:val="0"/>
    <w:pPr>
      <w:numPr>
        <w:ilvl w:val="3"/>
        <w:numId w:val="0"/>
      </w:numPr>
      <w:tabs>
        <w:tab w:val="left" w:pos="1260"/>
      </w:tabs>
      <w:snapToGrid w:val="0"/>
      <w:spacing w:before="0" w:after="0" w:line="460" w:lineRule="exact"/>
    </w:pPr>
    <w:rPr>
      <w:rFonts w:ascii="Times New Roman" w:hAnsi="Times New Roman" w:eastAsia="宋体" w:cs="Arial"/>
      <w:kern w:val="2"/>
      <w:sz w:val="24"/>
      <w:szCs w:val="24"/>
      <w:lang w:val="en-US" w:eastAsia="zh-CN"/>
    </w:rPr>
  </w:style>
  <w:style w:type="paragraph" w:customStyle="1" w:styleId="233">
    <w:name w:val="样式2图标题"/>
    <w:basedOn w:val="1"/>
    <w:next w:val="1"/>
    <w:qFormat/>
    <w:uiPriority w:val="0"/>
    <w:pPr>
      <w:autoSpaceDE w:val="0"/>
      <w:autoSpaceDN w:val="0"/>
      <w:adjustRightInd w:val="0"/>
      <w:spacing w:before="120" w:beforeLines="50" w:after="120" w:afterLines="50"/>
      <w:jc w:val="center"/>
    </w:pPr>
    <w:rPr>
      <w:rFonts w:eastAsia="黑体"/>
      <w:szCs w:val="32"/>
    </w:rPr>
  </w:style>
  <w:style w:type="paragraph" w:customStyle="1" w:styleId="234">
    <w:name w:val="默认"/>
    <w:qFormat/>
    <w:uiPriority w:val="0"/>
    <w:rPr>
      <w:rFonts w:ascii="Helvetica" w:hAnsi="Helvetica" w:eastAsia="Helvetica" w:cs="Helvetica"/>
      <w:color w:val="000000"/>
      <w:sz w:val="22"/>
      <w:szCs w:val="22"/>
      <w:lang w:val="en-US" w:eastAsia="zh-CN" w:bidi="ar-SA"/>
    </w:rPr>
  </w:style>
  <w:style w:type="paragraph" w:customStyle="1" w:styleId="235">
    <w:name w:val="Table Text"/>
    <w:basedOn w:val="1"/>
    <w:semiHidden/>
    <w:qFormat/>
    <w:uiPriority w:val="0"/>
    <w:rPr>
      <w:rFonts w:ascii="宋体" w:hAnsi="宋体" w:eastAsia="宋体" w:cs="宋体"/>
      <w:sz w:val="22"/>
      <w:szCs w:val="22"/>
      <w:lang w:val="en-US" w:eastAsia="en-US" w:bidi="ar-SA"/>
    </w:rPr>
  </w:style>
  <w:style w:type="character" w:customStyle="1" w:styleId="236">
    <w:name w:val="样式 表格1 + 自动设置 Char"/>
    <w:basedOn w:val="237"/>
    <w:link w:val="239"/>
    <w:qFormat/>
    <w:uiPriority w:val="0"/>
  </w:style>
  <w:style w:type="character" w:customStyle="1" w:styleId="237">
    <w:name w:val="表格1 Char"/>
    <w:link w:val="238"/>
    <w:qFormat/>
    <w:uiPriority w:val="0"/>
    <w:rPr>
      <w:rFonts w:eastAsia="仿宋_GB2312"/>
      <w:color w:val="FF0000"/>
      <w:sz w:val="21"/>
      <w:szCs w:val="21"/>
    </w:rPr>
  </w:style>
  <w:style w:type="paragraph" w:customStyle="1" w:styleId="238">
    <w:name w:val="表格1"/>
    <w:basedOn w:val="1"/>
    <w:link w:val="237"/>
    <w:qFormat/>
    <w:uiPriority w:val="0"/>
    <w:pPr>
      <w:spacing w:line="360" w:lineRule="auto"/>
      <w:jc w:val="center"/>
    </w:pPr>
    <w:rPr>
      <w:rFonts w:eastAsia="仿宋_GB2312"/>
      <w:color w:val="FF0000"/>
      <w:sz w:val="21"/>
      <w:szCs w:val="21"/>
    </w:rPr>
  </w:style>
  <w:style w:type="paragraph" w:customStyle="1" w:styleId="239">
    <w:name w:val="样式 表格1 + 自动设置"/>
    <w:basedOn w:val="238"/>
    <w:link w:val="236"/>
    <w:qFormat/>
    <w:uiPriority w:val="0"/>
  </w:style>
  <w:style w:type="paragraph" w:customStyle="1" w:styleId="240">
    <w:name w:val="表文排版"/>
    <w:basedOn w:val="2"/>
    <w:qFormat/>
    <w:uiPriority w:val="0"/>
    <w:pPr>
      <w:adjustRightInd w:val="0"/>
      <w:snapToGrid w:val="0"/>
      <w:spacing w:after="0"/>
      <w:jc w:val="center"/>
    </w:pPr>
    <w:rPr>
      <w:sz w:val="22"/>
      <w:szCs w:val="24"/>
    </w:rPr>
  </w:style>
  <w:style w:type="paragraph" w:customStyle="1" w:styleId="241">
    <w:name w:val="表内文字"/>
    <w:basedOn w:val="1"/>
    <w:qFormat/>
    <w:uiPriority w:val="0"/>
    <w:pPr>
      <w:spacing w:line="312" w:lineRule="exact"/>
      <w:jc w:val="center"/>
    </w:pPr>
    <w:rPr>
      <w:rFonts w:ascii="Times New Roman" w:hAnsi="Times New Roman" w:eastAsia="仿宋"/>
      <w:szCs w:val="21"/>
    </w:rPr>
  </w:style>
  <w:style w:type="character" w:customStyle="1" w:styleId="242">
    <w:name w:val="font31"/>
    <w:basedOn w:val="30"/>
    <w:qFormat/>
    <w:uiPriority w:val="0"/>
    <w:rPr>
      <w:rFonts w:hint="default" w:ascii="Times New Roman" w:hAnsi="Times New Roman" w:cs="Times New Roman"/>
      <w:color w:val="000000"/>
      <w:sz w:val="22"/>
      <w:szCs w:val="22"/>
      <w:u w:val="none"/>
      <w:vertAlign w:val="superscript"/>
    </w:rPr>
  </w:style>
  <w:style w:type="paragraph" w:customStyle="1" w:styleId="243">
    <w:name w:val="表格文字内容"/>
    <w:basedOn w:val="22"/>
    <w:qFormat/>
    <w:uiPriority w:val="0"/>
    <w:pPr>
      <w:spacing w:line="240" w:lineRule="exact"/>
      <w:ind w:firstLine="0" w:firstLineChars="0"/>
      <w:jc w:val="center"/>
    </w:pPr>
    <w:rPr>
      <w:sz w:val="18"/>
      <w:szCs w:val="20"/>
    </w:rPr>
  </w:style>
  <w:style w:type="table" w:customStyle="1" w:styleId="244">
    <w:name w:val="网格型12"/>
    <w:basedOn w:val="28"/>
    <w:qFormat/>
    <w:uiPriority w:val="0"/>
    <w:pPr>
      <w:keepNext w:val="0"/>
      <w:keepLines w:val="0"/>
      <w:widowControl/>
      <w:suppressLineNumbers w:val="0"/>
      <w:spacing w:before="0" w:beforeAutospacing="0" w:after="0" w:afterAutospacing="0"/>
      <w:ind w:left="0" w:right="0"/>
    </w:pPr>
    <w:rPr>
      <w:rFonts w:hint="default" w:ascii="Calibri" w:hAnsi="Calibri" w:cs="Calibri"/>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tcPr>
      <w:tcBorders>
        <w:top w:val="single" w:color="000000" w:sz="4" w:space="0"/>
        <w:left w:val="single" w:color="000000" w:sz="4" w:space="0"/>
        <w:bottom w:val="single" w:color="000000" w:sz="4" w:space="0"/>
        <w:right w:val="single" w:color="000000" w:sz="4" w:space="0"/>
      </w:tcBorders>
    </w:tcPr>
  </w:style>
</w:styles>
</file>

<file path=word/_rels/document.xml.rels><?xml version="1.0" encoding="UTF-8" standalone="yes"?>
<Relationships xmlns="http://schemas.openxmlformats.org/package/2006/relationships"><Relationship Id="rId98" Type="http://schemas.openxmlformats.org/officeDocument/2006/relationships/fontTable" Target="fontTable.xml"/><Relationship Id="rId97" Type="http://schemas.openxmlformats.org/officeDocument/2006/relationships/customXml" Target="../customXml/item2.xml"/><Relationship Id="rId96" Type="http://schemas.openxmlformats.org/officeDocument/2006/relationships/numbering" Target="numbering.xml"/><Relationship Id="rId95" Type="http://schemas.openxmlformats.org/officeDocument/2006/relationships/customXml" Target="../customXml/item1.xml"/><Relationship Id="rId94" Type="http://schemas.openxmlformats.org/officeDocument/2006/relationships/image" Target="media/image70.png"/><Relationship Id="rId93" Type="http://schemas.openxmlformats.org/officeDocument/2006/relationships/image" Target="media/image69.png"/><Relationship Id="rId92" Type="http://schemas.openxmlformats.org/officeDocument/2006/relationships/oleObject" Target="embeddings/oleObject5.bin"/><Relationship Id="rId91" Type="http://schemas.openxmlformats.org/officeDocument/2006/relationships/image" Target="media/image68.jpeg"/><Relationship Id="rId90" Type="http://schemas.openxmlformats.org/officeDocument/2006/relationships/image" Target="media/image67.png"/><Relationship Id="rId9" Type="http://schemas.openxmlformats.org/officeDocument/2006/relationships/footer" Target="footer2.xml"/><Relationship Id="rId89" Type="http://schemas.openxmlformats.org/officeDocument/2006/relationships/image" Target="media/image66.emf"/><Relationship Id="rId88" Type="http://schemas.openxmlformats.org/officeDocument/2006/relationships/image" Target="media/image65.png"/><Relationship Id="rId87" Type="http://schemas.openxmlformats.org/officeDocument/2006/relationships/image" Target="media/image64.wmf"/><Relationship Id="rId86" Type="http://schemas.openxmlformats.org/officeDocument/2006/relationships/image" Target="media/image63.wmf"/><Relationship Id="rId85" Type="http://schemas.openxmlformats.org/officeDocument/2006/relationships/image" Target="media/image62.png"/><Relationship Id="rId84" Type="http://schemas.openxmlformats.org/officeDocument/2006/relationships/image" Target="media/image61.jpeg"/><Relationship Id="rId83" Type="http://schemas.openxmlformats.org/officeDocument/2006/relationships/image" Target="media/image60.png"/><Relationship Id="rId82" Type="http://schemas.openxmlformats.org/officeDocument/2006/relationships/image" Target="media/image59.wmf"/><Relationship Id="rId81" Type="http://schemas.openxmlformats.org/officeDocument/2006/relationships/oleObject" Target="embeddings/oleObject4.bin"/><Relationship Id="rId80" Type="http://schemas.openxmlformats.org/officeDocument/2006/relationships/image" Target="media/image58.wmf"/><Relationship Id="rId8" Type="http://schemas.openxmlformats.org/officeDocument/2006/relationships/footer" Target="footer1.xml"/><Relationship Id="rId79" Type="http://schemas.openxmlformats.org/officeDocument/2006/relationships/oleObject" Target="embeddings/oleObject3.bin"/><Relationship Id="rId78" Type="http://schemas.openxmlformats.org/officeDocument/2006/relationships/image" Target="media/image57.wmf"/><Relationship Id="rId77" Type="http://schemas.openxmlformats.org/officeDocument/2006/relationships/oleObject" Target="embeddings/oleObject2.bin"/><Relationship Id="rId76" Type="http://schemas.openxmlformats.org/officeDocument/2006/relationships/image" Target="media/image56.jpeg"/><Relationship Id="rId75" Type="http://schemas.openxmlformats.org/officeDocument/2006/relationships/image" Target="media/image55.jpeg"/><Relationship Id="rId74" Type="http://schemas.openxmlformats.org/officeDocument/2006/relationships/image" Target="media/image54.png"/><Relationship Id="rId73" Type="http://schemas.openxmlformats.org/officeDocument/2006/relationships/image" Target="media/image53.jpeg"/><Relationship Id="rId72" Type="http://schemas.openxmlformats.org/officeDocument/2006/relationships/image" Target="media/image52.png"/><Relationship Id="rId71" Type="http://schemas.openxmlformats.org/officeDocument/2006/relationships/image" Target="media/image51.png"/><Relationship Id="rId70" Type="http://schemas.openxmlformats.org/officeDocument/2006/relationships/image" Target="media/image50.png"/><Relationship Id="rId7" Type="http://schemas.openxmlformats.org/officeDocument/2006/relationships/header" Target="header3.xml"/><Relationship Id="rId69" Type="http://schemas.openxmlformats.org/officeDocument/2006/relationships/image" Target="media/image49.png"/><Relationship Id="rId68" Type="http://schemas.openxmlformats.org/officeDocument/2006/relationships/image" Target="media/image48.jpeg"/><Relationship Id="rId67" Type="http://schemas.openxmlformats.org/officeDocument/2006/relationships/image" Target="media/image47.jpeg"/><Relationship Id="rId66" Type="http://schemas.openxmlformats.org/officeDocument/2006/relationships/image" Target="media/image46.png"/><Relationship Id="rId65" Type="http://schemas.openxmlformats.org/officeDocument/2006/relationships/image" Target="media/image45.png"/><Relationship Id="rId64" Type="http://schemas.openxmlformats.org/officeDocument/2006/relationships/image" Target="media/image44.jpeg"/><Relationship Id="rId63" Type="http://schemas.openxmlformats.org/officeDocument/2006/relationships/image" Target="media/image43.jpeg"/><Relationship Id="rId62" Type="http://schemas.openxmlformats.org/officeDocument/2006/relationships/image" Target="media/image42.jpeg"/><Relationship Id="rId61" Type="http://schemas.openxmlformats.org/officeDocument/2006/relationships/image" Target="media/image41.png"/><Relationship Id="rId60" Type="http://schemas.openxmlformats.org/officeDocument/2006/relationships/image" Target="media/image40.png"/><Relationship Id="rId6" Type="http://schemas.openxmlformats.org/officeDocument/2006/relationships/header" Target="header2.xml"/><Relationship Id="rId59" Type="http://schemas.openxmlformats.org/officeDocument/2006/relationships/image" Target="media/image39.jpeg"/><Relationship Id="rId58" Type="http://schemas.openxmlformats.org/officeDocument/2006/relationships/image" Target="media/image38.png"/><Relationship Id="rId57" Type="http://schemas.openxmlformats.org/officeDocument/2006/relationships/image" Target="../../../../ADMINI~1/AppData/Local/Temp/ksohtml12524/wps99.png" TargetMode="External"/><Relationship Id="rId56" Type="http://schemas.openxmlformats.org/officeDocument/2006/relationships/image" Target="media/image37.png"/><Relationship Id="rId55" Type="http://schemas.openxmlformats.org/officeDocument/2006/relationships/image" Target="media/image36.jpeg"/><Relationship Id="rId54" Type="http://schemas.openxmlformats.org/officeDocument/2006/relationships/image" Target="media/image35.jpeg"/><Relationship Id="rId53" Type="http://schemas.openxmlformats.org/officeDocument/2006/relationships/image" Target="media/image34.jpeg"/><Relationship Id="rId52" Type="http://schemas.openxmlformats.org/officeDocument/2006/relationships/image" Target="media/image33.jpeg"/><Relationship Id="rId51" Type="http://schemas.openxmlformats.org/officeDocument/2006/relationships/image" Target="media/image32.jpeg"/><Relationship Id="rId50" Type="http://schemas.openxmlformats.org/officeDocument/2006/relationships/image" Target="media/image31.jpeg"/><Relationship Id="rId5" Type="http://schemas.openxmlformats.org/officeDocument/2006/relationships/header" Target="header1.xml"/><Relationship Id="rId49" Type="http://schemas.openxmlformats.org/officeDocument/2006/relationships/image" Target="media/image30.jpeg"/><Relationship Id="rId48" Type="http://schemas.openxmlformats.org/officeDocument/2006/relationships/image" Target="media/image29.jpeg"/><Relationship Id="rId47" Type="http://schemas.openxmlformats.org/officeDocument/2006/relationships/image" Target="media/image28.jpeg"/><Relationship Id="rId46" Type="http://schemas.openxmlformats.org/officeDocument/2006/relationships/image" Target="media/image27.jpeg"/><Relationship Id="rId45" Type="http://schemas.openxmlformats.org/officeDocument/2006/relationships/image" Target="media/image26.jpeg"/><Relationship Id="rId44" Type="http://schemas.openxmlformats.org/officeDocument/2006/relationships/image" Target="media/image25.jpeg"/><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png"/><Relationship Id="rId40" Type="http://schemas.openxmlformats.org/officeDocument/2006/relationships/image" Target="media/image21.png"/><Relationship Id="rId4" Type="http://schemas.openxmlformats.org/officeDocument/2006/relationships/endnotes" Target="endnotes.xml"/><Relationship Id="rId39" Type="http://schemas.openxmlformats.org/officeDocument/2006/relationships/image" Target="media/image20.png"/><Relationship Id="rId38" Type="http://schemas.openxmlformats.org/officeDocument/2006/relationships/image" Target="media/image19.png"/><Relationship Id="rId37" Type="http://schemas.openxmlformats.org/officeDocument/2006/relationships/image" Target="media/image18.jpeg"/><Relationship Id="rId36" Type="http://schemas.openxmlformats.org/officeDocument/2006/relationships/image" Target="media/image17.jpeg"/><Relationship Id="rId35" Type="http://schemas.openxmlformats.org/officeDocument/2006/relationships/image" Target="media/image16.jpeg"/><Relationship Id="rId34" Type="http://schemas.openxmlformats.org/officeDocument/2006/relationships/chart" Target="charts/chart4.xml"/><Relationship Id="rId33" Type="http://schemas.openxmlformats.org/officeDocument/2006/relationships/chart" Target="charts/chart3.xml"/><Relationship Id="rId32" Type="http://schemas.openxmlformats.org/officeDocument/2006/relationships/chart" Target="charts/chart2.xml"/><Relationship Id="rId31" Type="http://schemas.openxmlformats.org/officeDocument/2006/relationships/chart" Target="charts/chart1.xml"/><Relationship Id="rId30" Type="http://schemas.openxmlformats.org/officeDocument/2006/relationships/image" Target="media/image15.png"/><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image" Target="media/image13.jpeg"/><Relationship Id="rId27" Type="http://schemas.openxmlformats.org/officeDocument/2006/relationships/image" Target="media/image12.png"/><Relationship Id="rId26" Type="http://schemas.openxmlformats.org/officeDocument/2006/relationships/image" Target="media/image11.emf"/><Relationship Id="rId25" Type="http://schemas.openxmlformats.org/officeDocument/2006/relationships/oleObject" Target="embeddings/oleObject1.bin"/><Relationship Id="rId24" Type="http://schemas.openxmlformats.org/officeDocument/2006/relationships/image" Target="media/image10.png"/><Relationship Id="rId23" Type="http://schemas.openxmlformats.org/officeDocument/2006/relationships/image" Target="media/image9.jpe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jpe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G:\2025\4-&#28205;&#27825;&#33337;&#38392;\&#35745;&#31639;.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G:\2025\4-&#28205;&#27825;&#33337;&#38392;\&#35745;&#31639;.xlsx"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G:\2025\4-&#28205;&#27825;&#33337;&#38392;\&#35745;&#3163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G:\2025\4-&#28205;&#27825;&#33337;&#38392;\1-&#36164;&#26009;\&#28205;&#27825;&#26530;&#32445;&#25552;&#20379;&#36164;&#26009;\2024&#24180;&#30005;&#24230;&#32479;&#35745;%20-%20&#21103;&#2641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spc="0" baseline="0">
                <a:solidFill>
                  <a:schemeClr val="tx1">
                    <a:lumMod val="65000"/>
                    <a:lumOff val="35000"/>
                  </a:schemeClr>
                </a:solidFill>
                <a:latin typeface="+mn-lt"/>
                <a:ea typeface="+mn-ea"/>
                <a:cs typeface="+mn-cs"/>
              </a:defRPr>
            </a:pPr>
            <a:r>
              <a:rPr lang="en-US" altLang="zh-CN"/>
              <a:t>COD</a:t>
            </a:r>
            <a:endParaRPr lang="en-US" altLang="zh-CN"/>
          </a:p>
        </c:rich>
      </c:tx>
      <c:layout/>
      <c:overlay val="0"/>
      <c:spPr>
        <a:noFill/>
        <a:ln>
          <a:noFill/>
        </a:ln>
        <a:effectLst/>
      </c:spPr>
    </c:title>
    <c:autoTitleDeleted val="0"/>
    <c:plotArea>
      <c:layout/>
      <c:lineChart>
        <c:grouping val="standard"/>
        <c:varyColors val="0"/>
        <c:ser>
          <c:idx val="0"/>
          <c:order val="0"/>
          <c:tx>
            <c:strRef>
              <c:f>[计算.xlsx]地表水例行监测!$B$2</c:f>
              <c:strCache>
                <c:ptCount val="1"/>
                <c:pt idx="0">
                  <c:v>渭沱电站库区</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elete val="1"/>
          </c:dLbls>
          <c:cat>
            <c:strRef>
              <c:f>[计算.xlsx]地表水例行监测!$D$1:$H$1</c:f>
              <c:strCache>
                <c:ptCount val="5"/>
                <c:pt idx="0">
                  <c:v>2019年</c:v>
                </c:pt>
                <c:pt idx="1">
                  <c:v>2020年</c:v>
                </c:pt>
                <c:pt idx="2">
                  <c:v>2021年</c:v>
                </c:pt>
                <c:pt idx="3">
                  <c:v>2022年</c:v>
                </c:pt>
                <c:pt idx="4">
                  <c:v>2023年</c:v>
                </c:pt>
              </c:strCache>
            </c:strRef>
          </c:cat>
          <c:val>
            <c:numRef>
              <c:f>[计算.xlsx]地表水例行监测!$D$2:$H$2</c:f>
              <c:numCache>
                <c:formatCode>General</c:formatCode>
                <c:ptCount val="5"/>
                <c:pt idx="0">
                  <c:v>11</c:v>
                </c:pt>
                <c:pt idx="1">
                  <c:v>12</c:v>
                </c:pt>
              </c:numCache>
            </c:numRef>
          </c:val>
          <c:smooth val="0"/>
        </c:ser>
        <c:ser>
          <c:idx val="2"/>
          <c:order val="1"/>
          <c:tx>
            <c:strRef>
              <c:f>[计算.xlsx]地表水例行监测!$B$8</c:f>
              <c:strCache>
                <c:ptCount val="1"/>
                <c:pt idx="0">
                  <c:v>大桥断面</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[计算.xlsx]地表水例行监测!$D$1:$H$1</c:f>
              <c:strCache>
                <c:ptCount val="5"/>
                <c:pt idx="0">
                  <c:v>2019年</c:v>
                </c:pt>
                <c:pt idx="1">
                  <c:v>2020年</c:v>
                </c:pt>
                <c:pt idx="2">
                  <c:v>2021年</c:v>
                </c:pt>
                <c:pt idx="3">
                  <c:v>2022年</c:v>
                </c:pt>
                <c:pt idx="4">
                  <c:v>2023年</c:v>
                </c:pt>
              </c:strCache>
            </c:strRef>
          </c:cat>
          <c:val>
            <c:numRef>
              <c:f>[计算.xlsx]地表水例行监测!$D$8:$H$8</c:f>
              <c:numCache>
                <c:formatCode>General</c:formatCode>
                <c:ptCount val="5"/>
                <c:pt idx="0">
                  <c:v>14.25</c:v>
                </c:pt>
                <c:pt idx="1">
                  <c:v>14.3</c:v>
                </c:pt>
                <c:pt idx="2">
                  <c:v>13.5</c:v>
                </c:pt>
                <c:pt idx="3">
                  <c:v>11.5</c:v>
                </c:pt>
                <c:pt idx="4">
                  <c:v>9.6</c:v>
                </c:pt>
              </c:numCache>
            </c:numRef>
          </c:val>
          <c:smooth val="0"/>
        </c:ser>
        <c:ser>
          <c:idx val="1"/>
          <c:order val="2"/>
          <c:tx>
            <c:strRef>
              <c:f>"标准值"</c:f>
              <c:strCache>
                <c:ptCount val="1"/>
                <c:pt idx="0">
                  <c:v>标准值</c:v>
                </c:pt>
              </c:strCache>
            </c:strRef>
          </c:tx>
          <c:spPr>
            <a:ln w="12700" cap="rnd" cmpd="sng">
              <a:solidFill>
                <a:schemeClr val="accent2"/>
              </a:solidFill>
              <a:prstDash val="sysDash"/>
              <a:round/>
            </a:ln>
            <a:effectLst/>
            <a:sp3d contourW="12700"/>
          </c:spPr>
          <c:marker>
            <c:symbol val="circle"/>
            <c:size val="5"/>
            <c:spPr>
              <a:solidFill>
                <a:schemeClr val="accent2"/>
              </a:solidFill>
              <a:ln w="9525">
                <a:solidFill>
                  <a:schemeClr val="accent2"/>
                </a:solidFill>
              </a:ln>
              <a:effectLst/>
            </c:spPr>
          </c:marker>
          <c:dLbls>
            <c:delete val="1"/>
          </c:dLbls>
          <c:cat>
            <c:strRef>
              <c:f>[计算.xlsx]地表水例行监测!$D$1:$H$1</c:f>
              <c:strCache>
                <c:ptCount val="5"/>
                <c:pt idx="0">
                  <c:v>2019年</c:v>
                </c:pt>
                <c:pt idx="1">
                  <c:v>2020年</c:v>
                </c:pt>
                <c:pt idx="2">
                  <c:v>2021年</c:v>
                </c:pt>
                <c:pt idx="3">
                  <c:v>2022年</c:v>
                </c:pt>
                <c:pt idx="4">
                  <c:v>2023年</c:v>
                </c:pt>
              </c:strCache>
            </c:strRef>
          </c:cat>
          <c:val>
            <c:numRef>
              <c:f>[计算.xlsx]地表水例行监测!$D$3:$H$3</c:f>
              <c:numCache>
                <c:formatCode>General</c:formatCode>
                <c:ptCount val="5"/>
                <c:pt idx="0">
                  <c:v>20</c:v>
                </c:pt>
                <c:pt idx="1">
                  <c:v>20</c:v>
                </c:pt>
                <c:pt idx="2">
                  <c:v>20</c:v>
                </c:pt>
                <c:pt idx="3">
                  <c:v>20</c:v>
                </c:pt>
                <c:pt idx="4">
                  <c:v>20</c:v>
                </c:pt>
              </c:numCache>
            </c:numRef>
          </c:val>
          <c:smooth val="0"/>
        </c:ser>
        <c:dLbls>
          <c:showLegendKey val="0"/>
          <c:showVal val="0"/>
          <c:showCatName val="0"/>
          <c:showSerName val="0"/>
          <c:showPercent val="0"/>
          <c:showBubbleSize val="0"/>
        </c:dLbls>
        <c:marker val="1"/>
        <c:smooth val="0"/>
        <c:axId val="74721933"/>
        <c:axId val="288798190"/>
      </c:lineChart>
      <c:catAx>
        <c:axId val="74721933"/>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88798190"/>
        <c:crosses val="autoZero"/>
        <c:auto val="1"/>
        <c:lblAlgn val="ctr"/>
        <c:lblOffset val="100"/>
        <c:noMultiLvlLbl val="0"/>
      </c:catAx>
      <c:valAx>
        <c:axId val="28879819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4721933"/>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spc="0" baseline="0">
                <a:solidFill>
                  <a:schemeClr val="tx1">
                    <a:lumMod val="65000"/>
                    <a:lumOff val="35000"/>
                  </a:schemeClr>
                </a:solidFill>
                <a:latin typeface="+mn-lt"/>
                <a:ea typeface="+mn-ea"/>
                <a:cs typeface="+mn-cs"/>
              </a:defRPr>
            </a:pPr>
            <a:r>
              <a:rPr altLang="en-US"/>
              <a:t>氨氮</a:t>
            </a:r>
            <a:endParaRPr altLang="en-US"/>
          </a:p>
        </c:rich>
      </c:tx>
      <c:layout/>
      <c:overlay val="0"/>
      <c:spPr>
        <a:noFill/>
        <a:ln>
          <a:noFill/>
        </a:ln>
        <a:effectLst/>
      </c:spPr>
    </c:title>
    <c:autoTitleDeleted val="0"/>
    <c:plotArea>
      <c:layout/>
      <c:lineChart>
        <c:grouping val="standard"/>
        <c:varyColors val="0"/>
        <c:ser>
          <c:idx val="0"/>
          <c:order val="0"/>
          <c:tx>
            <c:strRef>
              <c:f>[计算.xlsx]地表水例行监测!$B$2</c:f>
              <c:strCache>
                <c:ptCount val="1"/>
                <c:pt idx="0">
                  <c:v>渭沱电站库区</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elete val="1"/>
          </c:dLbls>
          <c:cat>
            <c:strRef>
              <c:f>[计算.xlsx]地表水例行监测!$D$1:$H$1</c:f>
              <c:strCache>
                <c:ptCount val="5"/>
                <c:pt idx="0">
                  <c:v>2019年</c:v>
                </c:pt>
                <c:pt idx="1">
                  <c:v>2020年</c:v>
                </c:pt>
                <c:pt idx="2">
                  <c:v>2021年</c:v>
                </c:pt>
                <c:pt idx="3">
                  <c:v>2022年</c:v>
                </c:pt>
                <c:pt idx="4">
                  <c:v>2023年</c:v>
                </c:pt>
              </c:strCache>
            </c:strRef>
          </c:cat>
          <c:val>
            <c:numRef>
              <c:f>[计算.xlsx]地表水例行监测!$D$4:$H$4</c:f>
              <c:numCache>
                <c:formatCode>General</c:formatCode>
                <c:ptCount val="5"/>
                <c:pt idx="0">
                  <c:v>0.43</c:v>
                </c:pt>
                <c:pt idx="1">
                  <c:v>0.16</c:v>
                </c:pt>
                <c:pt idx="2">
                  <c:v>0.24</c:v>
                </c:pt>
                <c:pt idx="3">
                  <c:v>0.23</c:v>
                </c:pt>
                <c:pt idx="4">
                  <c:v>0.16</c:v>
                </c:pt>
              </c:numCache>
            </c:numRef>
          </c:val>
          <c:smooth val="0"/>
        </c:ser>
        <c:ser>
          <c:idx val="2"/>
          <c:order val="1"/>
          <c:tx>
            <c:strRef>
              <c:f>[计算.xlsx]地表水例行监测!$B$8</c:f>
              <c:strCache>
                <c:ptCount val="1"/>
                <c:pt idx="0">
                  <c:v>大桥断面</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[计算.xlsx]地表水例行监测!$D$1:$H$1</c:f>
              <c:strCache>
                <c:ptCount val="5"/>
                <c:pt idx="0">
                  <c:v>2019年</c:v>
                </c:pt>
                <c:pt idx="1">
                  <c:v>2020年</c:v>
                </c:pt>
                <c:pt idx="2">
                  <c:v>2021年</c:v>
                </c:pt>
                <c:pt idx="3">
                  <c:v>2022年</c:v>
                </c:pt>
                <c:pt idx="4">
                  <c:v>2023年</c:v>
                </c:pt>
              </c:strCache>
            </c:strRef>
          </c:cat>
          <c:val>
            <c:numRef>
              <c:f>[计算.xlsx]地表水例行监测!$D$10:$H$10</c:f>
              <c:numCache>
                <c:formatCode>General</c:formatCode>
                <c:ptCount val="5"/>
                <c:pt idx="0">
                  <c:v>0.2275</c:v>
                </c:pt>
                <c:pt idx="1">
                  <c:v>0.2</c:v>
                </c:pt>
                <c:pt idx="2">
                  <c:v>0.25</c:v>
                </c:pt>
                <c:pt idx="3">
                  <c:v>0.19</c:v>
                </c:pt>
                <c:pt idx="4">
                  <c:v>0.18</c:v>
                </c:pt>
              </c:numCache>
            </c:numRef>
          </c:val>
          <c:smooth val="0"/>
        </c:ser>
        <c:ser>
          <c:idx val="1"/>
          <c:order val="2"/>
          <c:tx>
            <c:strRef>
              <c:f>"标准值"</c:f>
              <c:strCache>
                <c:ptCount val="1"/>
                <c:pt idx="0">
                  <c:v>标准值</c:v>
                </c:pt>
              </c:strCache>
            </c:strRef>
          </c:tx>
          <c:spPr>
            <a:ln w="12700" cap="rnd" cmpd="sng">
              <a:solidFill>
                <a:schemeClr val="accent2"/>
              </a:solidFill>
              <a:prstDash val="dash"/>
              <a:round/>
            </a:ln>
            <a:effectLst/>
            <a:sp3d contourW="12700"/>
          </c:spPr>
          <c:marker>
            <c:symbol val="circle"/>
            <c:size val="5"/>
            <c:spPr>
              <a:solidFill>
                <a:schemeClr val="accent2"/>
              </a:solidFill>
              <a:ln w="9525">
                <a:solidFill>
                  <a:schemeClr val="accent2"/>
                </a:solidFill>
              </a:ln>
              <a:effectLst/>
            </c:spPr>
          </c:marker>
          <c:dLbls>
            <c:delete val="1"/>
          </c:dLbls>
          <c:cat>
            <c:strRef>
              <c:f>[计算.xlsx]地表水例行监测!$D$1:$H$1</c:f>
              <c:strCache>
                <c:ptCount val="5"/>
                <c:pt idx="0">
                  <c:v>2019年</c:v>
                </c:pt>
                <c:pt idx="1">
                  <c:v>2020年</c:v>
                </c:pt>
                <c:pt idx="2">
                  <c:v>2021年</c:v>
                </c:pt>
                <c:pt idx="3">
                  <c:v>2022年</c:v>
                </c:pt>
                <c:pt idx="4">
                  <c:v>2023年</c:v>
                </c:pt>
              </c:strCache>
            </c:strRef>
          </c:cat>
          <c:val>
            <c:numRef>
              <c:f>[计算.xlsx]地表水例行监测!$D$5:$H$5</c:f>
              <c:numCache>
                <c:formatCode>General</c:formatCode>
                <c:ptCount val="5"/>
                <c:pt idx="0">
                  <c:v>1</c:v>
                </c:pt>
                <c:pt idx="1">
                  <c:v>1</c:v>
                </c:pt>
                <c:pt idx="2">
                  <c:v>1</c:v>
                </c:pt>
                <c:pt idx="3">
                  <c:v>1</c:v>
                </c:pt>
                <c:pt idx="4">
                  <c:v>1</c:v>
                </c:pt>
              </c:numCache>
            </c:numRef>
          </c:val>
          <c:smooth val="0"/>
        </c:ser>
        <c:dLbls>
          <c:showLegendKey val="0"/>
          <c:showVal val="0"/>
          <c:showCatName val="0"/>
          <c:showSerName val="0"/>
          <c:showPercent val="0"/>
          <c:showBubbleSize val="0"/>
        </c:dLbls>
        <c:marker val="1"/>
        <c:smooth val="0"/>
        <c:axId val="74721933"/>
        <c:axId val="288798190"/>
      </c:lineChart>
      <c:catAx>
        <c:axId val="74721933"/>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88798190"/>
        <c:crosses val="autoZero"/>
        <c:auto val="1"/>
        <c:lblAlgn val="ctr"/>
        <c:lblOffset val="100"/>
        <c:noMultiLvlLbl val="0"/>
      </c:catAx>
      <c:valAx>
        <c:axId val="28879819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4721933"/>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spc="0" baseline="0">
                <a:solidFill>
                  <a:schemeClr val="tx1">
                    <a:lumMod val="65000"/>
                    <a:lumOff val="35000"/>
                  </a:schemeClr>
                </a:solidFill>
                <a:latin typeface="+mn-lt"/>
                <a:ea typeface="+mn-ea"/>
                <a:cs typeface="+mn-cs"/>
              </a:defRPr>
            </a:pPr>
            <a:r>
              <a:rPr lang="en-US" altLang="zh-CN"/>
              <a:t>TP</a:t>
            </a:r>
            <a:endParaRPr lang="en-US" altLang="zh-CN"/>
          </a:p>
        </c:rich>
      </c:tx>
      <c:layout/>
      <c:overlay val="0"/>
      <c:spPr>
        <a:noFill/>
        <a:ln>
          <a:noFill/>
        </a:ln>
        <a:effectLst/>
      </c:spPr>
    </c:title>
    <c:autoTitleDeleted val="0"/>
    <c:plotArea>
      <c:layout/>
      <c:lineChart>
        <c:grouping val="standard"/>
        <c:varyColors val="0"/>
        <c:ser>
          <c:idx val="0"/>
          <c:order val="0"/>
          <c:tx>
            <c:strRef>
              <c:f>[计算.xlsx]地表水例行监测!$B$2</c:f>
              <c:strCache>
                <c:ptCount val="1"/>
                <c:pt idx="0">
                  <c:v>渭沱电站库区</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elete val="1"/>
          </c:dLbls>
          <c:cat>
            <c:strRef>
              <c:f>[计算.xlsx]地表水例行监测!$D$1:$H$1</c:f>
              <c:strCache>
                <c:ptCount val="5"/>
                <c:pt idx="0">
                  <c:v>2019年</c:v>
                </c:pt>
                <c:pt idx="1">
                  <c:v>2020年</c:v>
                </c:pt>
                <c:pt idx="2">
                  <c:v>2021年</c:v>
                </c:pt>
                <c:pt idx="3">
                  <c:v>2022年</c:v>
                </c:pt>
                <c:pt idx="4">
                  <c:v>2023年</c:v>
                </c:pt>
              </c:strCache>
            </c:strRef>
          </c:cat>
          <c:val>
            <c:numRef>
              <c:f>[计算.xlsx]地表水例行监测!$D$6:$H$6</c:f>
              <c:numCache>
                <c:formatCode>General</c:formatCode>
                <c:ptCount val="5"/>
                <c:pt idx="0">
                  <c:v>0.08</c:v>
                </c:pt>
                <c:pt idx="1">
                  <c:v>0.08</c:v>
                </c:pt>
                <c:pt idx="2">
                  <c:v>0.05</c:v>
                </c:pt>
                <c:pt idx="3">
                  <c:v>0.045</c:v>
                </c:pt>
                <c:pt idx="4">
                  <c:v>0.06</c:v>
                </c:pt>
              </c:numCache>
            </c:numRef>
          </c:val>
          <c:smooth val="0"/>
        </c:ser>
        <c:ser>
          <c:idx val="2"/>
          <c:order val="1"/>
          <c:tx>
            <c:strRef>
              <c:f>[计算.xlsx]地表水例行监测!$B$8</c:f>
              <c:strCache>
                <c:ptCount val="1"/>
                <c:pt idx="0">
                  <c:v>大桥断面</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[计算.xlsx]地表水例行监测!$D$1:$H$1</c:f>
              <c:strCache>
                <c:ptCount val="5"/>
                <c:pt idx="0">
                  <c:v>2019年</c:v>
                </c:pt>
                <c:pt idx="1">
                  <c:v>2020年</c:v>
                </c:pt>
                <c:pt idx="2">
                  <c:v>2021年</c:v>
                </c:pt>
                <c:pt idx="3">
                  <c:v>2022年</c:v>
                </c:pt>
                <c:pt idx="4">
                  <c:v>2023年</c:v>
                </c:pt>
              </c:strCache>
            </c:strRef>
          </c:cat>
          <c:val>
            <c:numRef>
              <c:f>[计算.xlsx]地表水例行监测!$D$12:$H$12</c:f>
              <c:numCache>
                <c:formatCode>General</c:formatCode>
                <c:ptCount val="5"/>
                <c:pt idx="0">
                  <c:v>0.115</c:v>
                </c:pt>
                <c:pt idx="1">
                  <c:v>0.057</c:v>
                </c:pt>
                <c:pt idx="2">
                  <c:v>0.074</c:v>
                </c:pt>
                <c:pt idx="3">
                  <c:v>0.075</c:v>
                </c:pt>
                <c:pt idx="4">
                  <c:v>0.068</c:v>
                </c:pt>
              </c:numCache>
            </c:numRef>
          </c:val>
          <c:smooth val="0"/>
        </c:ser>
        <c:ser>
          <c:idx val="1"/>
          <c:order val="2"/>
          <c:tx>
            <c:strRef>
              <c:f>"标准值（湖库）"</c:f>
              <c:strCache>
                <c:ptCount val="1"/>
                <c:pt idx="0">
                  <c:v>标准值（湖库）</c:v>
                </c:pt>
              </c:strCache>
            </c:strRef>
          </c:tx>
          <c:spPr>
            <a:ln w="12700" cap="rnd" cmpd="sng">
              <a:solidFill>
                <a:schemeClr val="accent2"/>
              </a:solidFill>
              <a:prstDash val="dash"/>
              <a:round/>
            </a:ln>
            <a:effectLst/>
            <a:sp3d contourW="12700"/>
          </c:spPr>
          <c:marker>
            <c:symbol val="circle"/>
            <c:size val="5"/>
            <c:spPr>
              <a:solidFill>
                <a:schemeClr val="accent2"/>
              </a:solidFill>
              <a:ln w="9525">
                <a:solidFill>
                  <a:schemeClr val="accent2"/>
                </a:solidFill>
              </a:ln>
              <a:effectLst/>
            </c:spPr>
          </c:marker>
          <c:dLbls>
            <c:delete val="1"/>
          </c:dLbls>
          <c:cat>
            <c:strRef>
              <c:f>[计算.xlsx]地表水例行监测!$D$1:$H$1</c:f>
              <c:strCache>
                <c:ptCount val="5"/>
                <c:pt idx="0">
                  <c:v>2019年</c:v>
                </c:pt>
                <c:pt idx="1">
                  <c:v>2020年</c:v>
                </c:pt>
                <c:pt idx="2">
                  <c:v>2021年</c:v>
                </c:pt>
                <c:pt idx="3">
                  <c:v>2022年</c:v>
                </c:pt>
                <c:pt idx="4">
                  <c:v>2023年</c:v>
                </c:pt>
              </c:strCache>
            </c:strRef>
          </c:cat>
          <c:val>
            <c:numRef>
              <c:f>[计算.xlsx]地表水例行监测!$D$7:$H$7</c:f>
              <c:numCache>
                <c:formatCode>General</c:formatCode>
                <c:ptCount val="5"/>
                <c:pt idx="0">
                  <c:v>0.05</c:v>
                </c:pt>
                <c:pt idx="1">
                  <c:v>0.05</c:v>
                </c:pt>
                <c:pt idx="2">
                  <c:v>0.05</c:v>
                </c:pt>
                <c:pt idx="3">
                  <c:v>0.05</c:v>
                </c:pt>
                <c:pt idx="4">
                  <c:v>0.05</c:v>
                </c:pt>
              </c:numCache>
            </c:numRef>
          </c:val>
          <c:smooth val="0"/>
        </c:ser>
        <c:ser>
          <c:idx val="3"/>
          <c:order val="3"/>
          <c:tx>
            <c:strRef>
              <c:f>"标准值（河流）"</c:f>
              <c:strCache>
                <c:ptCount val="1"/>
                <c:pt idx="0">
                  <c:v>标准值（河流）</c:v>
                </c:pt>
              </c:strCache>
            </c:strRef>
          </c:tx>
          <c:spPr>
            <a:ln w="12700" cap="rnd" cmpd="sng">
              <a:solidFill>
                <a:schemeClr val="accent4"/>
              </a:solidFill>
              <a:prstDash val="dash"/>
              <a:round/>
            </a:ln>
            <a:effectLst/>
            <a:sp3d contourW="12700"/>
          </c:spPr>
          <c:marker>
            <c:symbol val="circle"/>
            <c:size val="5"/>
            <c:spPr>
              <a:solidFill>
                <a:schemeClr val="accent4"/>
              </a:solidFill>
              <a:ln w="9525">
                <a:solidFill>
                  <a:schemeClr val="accent4"/>
                </a:solidFill>
              </a:ln>
              <a:effectLst/>
            </c:spPr>
          </c:marker>
          <c:dLbls>
            <c:delete val="1"/>
          </c:dLbls>
          <c:cat>
            <c:strRef>
              <c:f>[计算.xlsx]地表水例行监测!$D$1:$H$1</c:f>
              <c:strCache>
                <c:ptCount val="5"/>
                <c:pt idx="0">
                  <c:v>2019年</c:v>
                </c:pt>
                <c:pt idx="1">
                  <c:v>2020年</c:v>
                </c:pt>
                <c:pt idx="2">
                  <c:v>2021年</c:v>
                </c:pt>
                <c:pt idx="3">
                  <c:v>2022年</c:v>
                </c:pt>
                <c:pt idx="4">
                  <c:v>2023年</c:v>
                </c:pt>
              </c:strCache>
            </c:strRef>
          </c:cat>
          <c:val>
            <c:numRef>
              <c:f>[计算.xlsx]地表水例行监测!$D$13:$H$13</c:f>
              <c:numCache>
                <c:formatCode>General</c:formatCode>
                <c:ptCount val="5"/>
                <c:pt idx="0">
                  <c:v>0.2</c:v>
                </c:pt>
                <c:pt idx="1">
                  <c:v>0.2</c:v>
                </c:pt>
                <c:pt idx="2">
                  <c:v>0.2</c:v>
                </c:pt>
                <c:pt idx="3">
                  <c:v>0.2</c:v>
                </c:pt>
                <c:pt idx="4">
                  <c:v>0.2</c:v>
                </c:pt>
              </c:numCache>
            </c:numRef>
          </c:val>
          <c:smooth val="0"/>
        </c:ser>
        <c:dLbls>
          <c:showLegendKey val="0"/>
          <c:showVal val="0"/>
          <c:showCatName val="0"/>
          <c:showSerName val="0"/>
          <c:showPercent val="0"/>
          <c:showBubbleSize val="0"/>
        </c:dLbls>
        <c:marker val="1"/>
        <c:smooth val="0"/>
        <c:axId val="74721933"/>
        <c:axId val="288798190"/>
      </c:lineChart>
      <c:catAx>
        <c:axId val="74721933"/>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88798190"/>
        <c:crosses val="autoZero"/>
        <c:auto val="1"/>
        <c:lblAlgn val="ctr"/>
        <c:lblOffset val="100"/>
        <c:noMultiLvlLbl val="0"/>
      </c:catAx>
      <c:valAx>
        <c:axId val="28879819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4721933"/>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'[2024年电度统计 - 副本.xls]2024.01'!$C$1</c:f>
              <c:strCache>
                <c:ptCount val="1"/>
                <c:pt idx="0">
                  <c:v>上游水位</c:v>
                </c:pt>
              </c:strCache>
            </c:strRef>
          </c:tx>
          <c:spPr>
            <a:ln w="12700" cap="rnd" cmpd="sng" algn="ctr">
              <a:solidFill>
                <a:srgbClr val="FF0000"/>
              </a:solidFill>
              <a:prstDash val="solid"/>
              <a:round/>
            </a:ln>
            <a:effectLst/>
            <a:sp3d contourW="12700"/>
          </c:spPr>
          <c:marker>
            <c:symbol val="none"/>
          </c:marker>
          <c:dLbls>
            <c:delete val="1"/>
          </c:dLbls>
          <c:cat>
            <c:numRef>
              <c:f>'[2024年电度统计 - 副本.xls]2024.01'!$A$3:$A$368</c:f>
              <c:numCache>
                <c:formatCode>m"月"d"日"</c:formatCode>
                <c:ptCount val="366"/>
                <c:pt idx="0" c:formatCode="m&quot;月&quot;d&quot;日&quot;">
                  <c:v>45292</c:v>
                </c:pt>
                <c:pt idx="1" c:formatCode="m&quot;月&quot;d&quot;日&quot;">
                  <c:v>45293</c:v>
                </c:pt>
                <c:pt idx="2" c:formatCode="m&quot;月&quot;d&quot;日&quot;">
                  <c:v>45294</c:v>
                </c:pt>
                <c:pt idx="3" c:formatCode="m&quot;月&quot;d&quot;日&quot;">
                  <c:v>45295</c:v>
                </c:pt>
                <c:pt idx="4" c:formatCode="m&quot;月&quot;d&quot;日&quot;">
                  <c:v>45296</c:v>
                </c:pt>
                <c:pt idx="5" c:formatCode="m&quot;月&quot;d&quot;日&quot;">
                  <c:v>45297</c:v>
                </c:pt>
                <c:pt idx="6" c:formatCode="m&quot;月&quot;d&quot;日&quot;">
                  <c:v>45298</c:v>
                </c:pt>
                <c:pt idx="7" c:formatCode="m&quot;月&quot;d&quot;日&quot;">
                  <c:v>45299</c:v>
                </c:pt>
                <c:pt idx="8" c:formatCode="m&quot;月&quot;d&quot;日&quot;">
                  <c:v>45300</c:v>
                </c:pt>
                <c:pt idx="9" c:formatCode="m&quot;月&quot;d&quot;日&quot;">
                  <c:v>45301</c:v>
                </c:pt>
                <c:pt idx="10" c:formatCode="m&quot;月&quot;d&quot;日&quot;">
                  <c:v>45302</c:v>
                </c:pt>
                <c:pt idx="11" c:formatCode="m&quot;月&quot;d&quot;日&quot;">
                  <c:v>45303</c:v>
                </c:pt>
                <c:pt idx="12" c:formatCode="m&quot;月&quot;d&quot;日&quot;">
                  <c:v>45304</c:v>
                </c:pt>
                <c:pt idx="13" c:formatCode="m&quot;月&quot;d&quot;日&quot;">
                  <c:v>45305</c:v>
                </c:pt>
                <c:pt idx="14" c:formatCode="m&quot;月&quot;d&quot;日&quot;">
                  <c:v>45306</c:v>
                </c:pt>
                <c:pt idx="15" c:formatCode="m&quot;月&quot;d&quot;日&quot;">
                  <c:v>45307</c:v>
                </c:pt>
                <c:pt idx="16" c:formatCode="m&quot;月&quot;d&quot;日&quot;">
                  <c:v>45308</c:v>
                </c:pt>
                <c:pt idx="17" c:formatCode="m&quot;月&quot;d&quot;日&quot;">
                  <c:v>45309</c:v>
                </c:pt>
                <c:pt idx="18" c:formatCode="m&quot;月&quot;d&quot;日&quot;">
                  <c:v>45310</c:v>
                </c:pt>
                <c:pt idx="19" c:formatCode="m&quot;月&quot;d&quot;日&quot;">
                  <c:v>45311</c:v>
                </c:pt>
                <c:pt idx="20" c:formatCode="m&quot;月&quot;d&quot;日&quot;">
                  <c:v>45312</c:v>
                </c:pt>
                <c:pt idx="21" c:formatCode="m&quot;月&quot;d&quot;日&quot;">
                  <c:v>45313</c:v>
                </c:pt>
                <c:pt idx="22" c:formatCode="m&quot;月&quot;d&quot;日&quot;">
                  <c:v>45314</c:v>
                </c:pt>
                <c:pt idx="23" c:formatCode="m&quot;月&quot;d&quot;日&quot;">
                  <c:v>45315</c:v>
                </c:pt>
                <c:pt idx="24" c:formatCode="m&quot;月&quot;d&quot;日&quot;">
                  <c:v>45316</c:v>
                </c:pt>
                <c:pt idx="25" c:formatCode="m&quot;月&quot;d&quot;日&quot;">
                  <c:v>45317</c:v>
                </c:pt>
                <c:pt idx="26" c:formatCode="m&quot;月&quot;d&quot;日&quot;">
                  <c:v>45318</c:v>
                </c:pt>
                <c:pt idx="27" c:formatCode="m&quot;月&quot;d&quot;日&quot;">
                  <c:v>45319</c:v>
                </c:pt>
                <c:pt idx="28" c:formatCode="m&quot;月&quot;d&quot;日&quot;">
                  <c:v>45320</c:v>
                </c:pt>
                <c:pt idx="29" c:formatCode="m&quot;月&quot;d&quot;日&quot;">
                  <c:v>45321</c:v>
                </c:pt>
                <c:pt idx="30" c:formatCode="m&quot;月&quot;d&quot;日&quot;">
                  <c:v>45322</c:v>
                </c:pt>
                <c:pt idx="31" c:formatCode="m&quot;月&quot;d&quot;日&quot;">
                  <c:v>45323</c:v>
                </c:pt>
                <c:pt idx="32" c:formatCode="m&quot;月&quot;d&quot;日&quot;">
                  <c:v>45324</c:v>
                </c:pt>
                <c:pt idx="33" c:formatCode="m&quot;月&quot;d&quot;日&quot;">
                  <c:v>45325</c:v>
                </c:pt>
                <c:pt idx="34" c:formatCode="m&quot;月&quot;d&quot;日&quot;">
                  <c:v>45326</c:v>
                </c:pt>
                <c:pt idx="35" c:formatCode="m&quot;月&quot;d&quot;日&quot;">
                  <c:v>45327</c:v>
                </c:pt>
                <c:pt idx="36" c:formatCode="m&quot;月&quot;d&quot;日&quot;">
                  <c:v>45328</c:v>
                </c:pt>
                <c:pt idx="37" c:formatCode="m&quot;月&quot;d&quot;日&quot;">
                  <c:v>45329</c:v>
                </c:pt>
                <c:pt idx="38" c:formatCode="m&quot;月&quot;d&quot;日&quot;">
                  <c:v>45330</c:v>
                </c:pt>
                <c:pt idx="39" c:formatCode="m&quot;月&quot;d&quot;日&quot;">
                  <c:v>45331</c:v>
                </c:pt>
                <c:pt idx="40" c:formatCode="m&quot;月&quot;d&quot;日&quot;">
                  <c:v>45332</c:v>
                </c:pt>
                <c:pt idx="41" c:formatCode="m&quot;月&quot;d&quot;日&quot;">
                  <c:v>45333</c:v>
                </c:pt>
                <c:pt idx="42" c:formatCode="m&quot;月&quot;d&quot;日&quot;">
                  <c:v>45334</c:v>
                </c:pt>
                <c:pt idx="43" c:formatCode="m&quot;月&quot;d&quot;日&quot;">
                  <c:v>45335</c:v>
                </c:pt>
                <c:pt idx="44" c:formatCode="m&quot;月&quot;d&quot;日&quot;">
                  <c:v>45336</c:v>
                </c:pt>
                <c:pt idx="45" c:formatCode="m&quot;月&quot;d&quot;日&quot;">
                  <c:v>45337</c:v>
                </c:pt>
                <c:pt idx="46" c:formatCode="m&quot;月&quot;d&quot;日&quot;">
                  <c:v>45338</c:v>
                </c:pt>
                <c:pt idx="47" c:formatCode="m&quot;月&quot;d&quot;日&quot;">
                  <c:v>45339</c:v>
                </c:pt>
                <c:pt idx="48" c:formatCode="m&quot;月&quot;d&quot;日&quot;">
                  <c:v>45340</c:v>
                </c:pt>
                <c:pt idx="49" c:formatCode="m&quot;月&quot;d&quot;日&quot;">
                  <c:v>45341</c:v>
                </c:pt>
                <c:pt idx="50" c:formatCode="m&quot;月&quot;d&quot;日&quot;">
                  <c:v>45342</c:v>
                </c:pt>
                <c:pt idx="51" c:formatCode="m&quot;月&quot;d&quot;日&quot;">
                  <c:v>45343</c:v>
                </c:pt>
                <c:pt idx="52" c:formatCode="m&quot;月&quot;d&quot;日&quot;">
                  <c:v>45344</c:v>
                </c:pt>
                <c:pt idx="53" c:formatCode="m&quot;月&quot;d&quot;日&quot;">
                  <c:v>45345</c:v>
                </c:pt>
                <c:pt idx="54" c:formatCode="m&quot;月&quot;d&quot;日&quot;">
                  <c:v>45346</c:v>
                </c:pt>
                <c:pt idx="55" c:formatCode="m&quot;月&quot;d&quot;日&quot;">
                  <c:v>45347</c:v>
                </c:pt>
                <c:pt idx="56" c:formatCode="m&quot;月&quot;d&quot;日&quot;">
                  <c:v>45348</c:v>
                </c:pt>
                <c:pt idx="57" c:formatCode="m&quot;月&quot;d&quot;日&quot;">
                  <c:v>45349</c:v>
                </c:pt>
                <c:pt idx="58" c:formatCode="m&quot;月&quot;d&quot;日&quot;">
                  <c:v>45350</c:v>
                </c:pt>
                <c:pt idx="59" c:formatCode="m&quot;月&quot;d&quot;日&quot;">
                  <c:v>45351</c:v>
                </c:pt>
                <c:pt idx="60" c:formatCode="m&quot;月&quot;d&quot;日&quot;">
                  <c:v>45352</c:v>
                </c:pt>
                <c:pt idx="61" c:formatCode="m&quot;月&quot;d&quot;日&quot;">
                  <c:v>45353</c:v>
                </c:pt>
                <c:pt idx="62" c:formatCode="m&quot;月&quot;d&quot;日&quot;">
                  <c:v>45354</c:v>
                </c:pt>
                <c:pt idx="63" c:formatCode="m&quot;月&quot;d&quot;日&quot;">
                  <c:v>45355</c:v>
                </c:pt>
                <c:pt idx="64" c:formatCode="m&quot;月&quot;d&quot;日&quot;">
                  <c:v>45356</c:v>
                </c:pt>
                <c:pt idx="65" c:formatCode="m&quot;月&quot;d&quot;日&quot;">
                  <c:v>45357</c:v>
                </c:pt>
                <c:pt idx="66" c:formatCode="m&quot;月&quot;d&quot;日&quot;">
                  <c:v>45358</c:v>
                </c:pt>
                <c:pt idx="67" c:formatCode="m&quot;月&quot;d&quot;日&quot;">
                  <c:v>45359</c:v>
                </c:pt>
                <c:pt idx="68" c:formatCode="m&quot;月&quot;d&quot;日&quot;">
                  <c:v>45360</c:v>
                </c:pt>
                <c:pt idx="69" c:formatCode="m&quot;月&quot;d&quot;日&quot;">
                  <c:v>45361</c:v>
                </c:pt>
                <c:pt idx="70" c:formatCode="m&quot;月&quot;d&quot;日&quot;">
                  <c:v>45362</c:v>
                </c:pt>
                <c:pt idx="71" c:formatCode="m&quot;月&quot;d&quot;日&quot;">
                  <c:v>45363</c:v>
                </c:pt>
                <c:pt idx="72" c:formatCode="m&quot;月&quot;d&quot;日&quot;">
                  <c:v>45364</c:v>
                </c:pt>
                <c:pt idx="73" c:formatCode="m&quot;月&quot;d&quot;日&quot;">
                  <c:v>45365</c:v>
                </c:pt>
                <c:pt idx="74" c:formatCode="m&quot;月&quot;d&quot;日&quot;">
                  <c:v>45366</c:v>
                </c:pt>
                <c:pt idx="75" c:formatCode="m&quot;月&quot;d&quot;日&quot;">
                  <c:v>45367</c:v>
                </c:pt>
                <c:pt idx="76" c:formatCode="m&quot;月&quot;d&quot;日&quot;">
                  <c:v>45368</c:v>
                </c:pt>
                <c:pt idx="77" c:formatCode="m&quot;月&quot;d&quot;日&quot;">
                  <c:v>45369</c:v>
                </c:pt>
                <c:pt idx="78" c:formatCode="m&quot;月&quot;d&quot;日&quot;">
                  <c:v>45370</c:v>
                </c:pt>
                <c:pt idx="79" c:formatCode="m&quot;月&quot;d&quot;日&quot;">
                  <c:v>45371</c:v>
                </c:pt>
                <c:pt idx="80" c:formatCode="m&quot;月&quot;d&quot;日&quot;">
                  <c:v>45372</c:v>
                </c:pt>
                <c:pt idx="81" c:formatCode="m&quot;月&quot;d&quot;日&quot;">
                  <c:v>45373</c:v>
                </c:pt>
                <c:pt idx="82" c:formatCode="m&quot;月&quot;d&quot;日&quot;">
                  <c:v>45374</c:v>
                </c:pt>
                <c:pt idx="83" c:formatCode="m&quot;月&quot;d&quot;日&quot;">
                  <c:v>45375</c:v>
                </c:pt>
                <c:pt idx="84" c:formatCode="m&quot;月&quot;d&quot;日&quot;">
                  <c:v>45376</c:v>
                </c:pt>
                <c:pt idx="85" c:formatCode="m&quot;月&quot;d&quot;日&quot;">
                  <c:v>45377</c:v>
                </c:pt>
                <c:pt idx="86" c:formatCode="m&quot;月&quot;d&quot;日&quot;">
                  <c:v>45378</c:v>
                </c:pt>
                <c:pt idx="87" c:formatCode="m&quot;月&quot;d&quot;日&quot;">
                  <c:v>45379</c:v>
                </c:pt>
                <c:pt idx="88" c:formatCode="m&quot;月&quot;d&quot;日&quot;">
                  <c:v>45380</c:v>
                </c:pt>
                <c:pt idx="89" c:formatCode="m&quot;月&quot;d&quot;日&quot;">
                  <c:v>45381</c:v>
                </c:pt>
                <c:pt idx="90" c:formatCode="m&quot;月&quot;d&quot;日&quot;">
                  <c:v>45382</c:v>
                </c:pt>
                <c:pt idx="91" c:formatCode="m&quot;月&quot;d&quot;日&quot;">
                  <c:v>45383</c:v>
                </c:pt>
                <c:pt idx="92" c:formatCode="m&quot;月&quot;d&quot;日&quot;">
                  <c:v>45384</c:v>
                </c:pt>
                <c:pt idx="93" c:formatCode="m&quot;月&quot;d&quot;日&quot;">
                  <c:v>45385</c:v>
                </c:pt>
                <c:pt idx="94" c:formatCode="m&quot;月&quot;d&quot;日&quot;">
                  <c:v>45386</c:v>
                </c:pt>
                <c:pt idx="95" c:formatCode="m&quot;月&quot;d&quot;日&quot;">
                  <c:v>45387</c:v>
                </c:pt>
                <c:pt idx="96" c:formatCode="m&quot;月&quot;d&quot;日&quot;">
                  <c:v>45388</c:v>
                </c:pt>
                <c:pt idx="97" c:formatCode="m&quot;月&quot;d&quot;日&quot;">
                  <c:v>45389</c:v>
                </c:pt>
                <c:pt idx="98" c:formatCode="m&quot;月&quot;d&quot;日&quot;">
                  <c:v>45390</c:v>
                </c:pt>
                <c:pt idx="99" c:formatCode="m&quot;月&quot;d&quot;日&quot;">
                  <c:v>45391</c:v>
                </c:pt>
                <c:pt idx="100" c:formatCode="m&quot;月&quot;d&quot;日&quot;">
                  <c:v>45392</c:v>
                </c:pt>
                <c:pt idx="101" c:formatCode="m&quot;月&quot;d&quot;日&quot;">
                  <c:v>45393</c:v>
                </c:pt>
                <c:pt idx="102" c:formatCode="m&quot;月&quot;d&quot;日&quot;">
                  <c:v>45394</c:v>
                </c:pt>
                <c:pt idx="103" c:formatCode="m&quot;月&quot;d&quot;日&quot;">
                  <c:v>45395</c:v>
                </c:pt>
                <c:pt idx="104" c:formatCode="m&quot;月&quot;d&quot;日&quot;">
                  <c:v>45396</c:v>
                </c:pt>
                <c:pt idx="105" c:formatCode="m&quot;月&quot;d&quot;日&quot;">
                  <c:v>45397</c:v>
                </c:pt>
                <c:pt idx="106" c:formatCode="m&quot;月&quot;d&quot;日&quot;">
                  <c:v>45398</c:v>
                </c:pt>
                <c:pt idx="107" c:formatCode="m&quot;月&quot;d&quot;日&quot;">
                  <c:v>45399</c:v>
                </c:pt>
                <c:pt idx="108" c:formatCode="m&quot;月&quot;d&quot;日&quot;">
                  <c:v>45400</c:v>
                </c:pt>
                <c:pt idx="109" c:formatCode="m&quot;月&quot;d&quot;日&quot;">
                  <c:v>45401</c:v>
                </c:pt>
                <c:pt idx="110" c:formatCode="m&quot;月&quot;d&quot;日&quot;">
                  <c:v>45402</c:v>
                </c:pt>
                <c:pt idx="111" c:formatCode="m&quot;月&quot;d&quot;日&quot;">
                  <c:v>45403</c:v>
                </c:pt>
                <c:pt idx="112" c:formatCode="m&quot;月&quot;d&quot;日&quot;">
                  <c:v>45404</c:v>
                </c:pt>
                <c:pt idx="113" c:formatCode="m&quot;月&quot;d&quot;日&quot;">
                  <c:v>45405</c:v>
                </c:pt>
                <c:pt idx="114" c:formatCode="m&quot;月&quot;d&quot;日&quot;">
                  <c:v>45406</c:v>
                </c:pt>
                <c:pt idx="115" c:formatCode="m&quot;月&quot;d&quot;日&quot;">
                  <c:v>45407</c:v>
                </c:pt>
                <c:pt idx="116" c:formatCode="m&quot;月&quot;d&quot;日&quot;">
                  <c:v>45408</c:v>
                </c:pt>
                <c:pt idx="117" c:formatCode="m&quot;月&quot;d&quot;日&quot;">
                  <c:v>45409</c:v>
                </c:pt>
                <c:pt idx="118" c:formatCode="m&quot;月&quot;d&quot;日&quot;">
                  <c:v>45410</c:v>
                </c:pt>
                <c:pt idx="119" c:formatCode="m&quot;月&quot;d&quot;日&quot;">
                  <c:v>45411</c:v>
                </c:pt>
                <c:pt idx="120" c:formatCode="m&quot;月&quot;d&quot;日&quot;">
                  <c:v>45412</c:v>
                </c:pt>
                <c:pt idx="121" c:formatCode="m&quot;月&quot;d&quot;日&quot;">
                  <c:v>45413</c:v>
                </c:pt>
                <c:pt idx="122" c:formatCode="m&quot;月&quot;d&quot;日&quot;">
                  <c:v>45414</c:v>
                </c:pt>
                <c:pt idx="123" c:formatCode="m&quot;月&quot;d&quot;日&quot;">
                  <c:v>45415</c:v>
                </c:pt>
                <c:pt idx="124" c:formatCode="m&quot;月&quot;d&quot;日&quot;">
                  <c:v>45416</c:v>
                </c:pt>
                <c:pt idx="125" c:formatCode="m&quot;月&quot;d&quot;日&quot;">
                  <c:v>45417</c:v>
                </c:pt>
                <c:pt idx="126" c:formatCode="m&quot;月&quot;d&quot;日&quot;">
                  <c:v>45418</c:v>
                </c:pt>
                <c:pt idx="127" c:formatCode="m&quot;月&quot;d&quot;日&quot;">
                  <c:v>45419</c:v>
                </c:pt>
                <c:pt idx="128" c:formatCode="m&quot;月&quot;d&quot;日&quot;">
                  <c:v>45420</c:v>
                </c:pt>
                <c:pt idx="129" c:formatCode="m&quot;月&quot;d&quot;日&quot;">
                  <c:v>45421</c:v>
                </c:pt>
                <c:pt idx="130" c:formatCode="m&quot;月&quot;d&quot;日&quot;">
                  <c:v>45422</c:v>
                </c:pt>
                <c:pt idx="131" c:formatCode="m&quot;月&quot;d&quot;日&quot;">
                  <c:v>45423</c:v>
                </c:pt>
                <c:pt idx="132" c:formatCode="m&quot;月&quot;d&quot;日&quot;">
                  <c:v>45424</c:v>
                </c:pt>
                <c:pt idx="133" c:formatCode="m&quot;月&quot;d&quot;日&quot;">
                  <c:v>45425</c:v>
                </c:pt>
                <c:pt idx="134" c:formatCode="m&quot;月&quot;d&quot;日&quot;">
                  <c:v>45426</c:v>
                </c:pt>
                <c:pt idx="135" c:formatCode="m&quot;月&quot;d&quot;日&quot;">
                  <c:v>45427</c:v>
                </c:pt>
                <c:pt idx="136" c:formatCode="m&quot;月&quot;d&quot;日&quot;">
                  <c:v>45428</c:v>
                </c:pt>
                <c:pt idx="137" c:formatCode="m&quot;月&quot;d&quot;日&quot;">
                  <c:v>45429</c:v>
                </c:pt>
                <c:pt idx="138" c:formatCode="m&quot;月&quot;d&quot;日&quot;">
                  <c:v>45430</c:v>
                </c:pt>
                <c:pt idx="139" c:formatCode="m&quot;月&quot;d&quot;日&quot;">
                  <c:v>45431</c:v>
                </c:pt>
                <c:pt idx="140" c:formatCode="m&quot;月&quot;d&quot;日&quot;">
                  <c:v>45432</c:v>
                </c:pt>
                <c:pt idx="141" c:formatCode="m&quot;月&quot;d&quot;日&quot;">
                  <c:v>45433</c:v>
                </c:pt>
                <c:pt idx="142" c:formatCode="m&quot;月&quot;d&quot;日&quot;">
                  <c:v>45434</c:v>
                </c:pt>
                <c:pt idx="143" c:formatCode="m&quot;月&quot;d&quot;日&quot;">
                  <c:v>45435</c:v>
                </c:pt>
                <c:pt idx="144" c:formatCode="m&quot;月&quot;d&quot;日&quot;">
                  <c:v>45436</c:v>
                </c:pt>
                <c:pt idx="145" c:formatCode="m&quot;月&quot;d&quot;日&quot;">
                  <c:v>45437</c:v>
                </c:pt>
                <c:pt idx="146" c:formatCode="m&quot;月&quot;d&quot;日&quot;">
                  <c:v>45438</c:v>
                </c:pt>
                <c:pt idx="147" c:formatCode="m&quot;月&quot;d&quot;日&quot;">
                  <c:v>45439</c:v>
                </c:pt>
                <c:pt idx="148" c:formatCode="m&quot;月&quot;d&quot;日&quot;">
                  <c:v>45440</c:v>
                </c:pt>
                <c:pt idx="149" c:formatCode="m&quot;月&quot;d&quot;日&quot;">
                  <c:v>45441</c:v>
                </c:pt>
                <c:pt idx="150" c:formatCode="m&quot;月&quot;d&quot;日&quot;">
                  <c:v>45442</c:v>
                </c:pt>
                <c:pt idx="151" c:formatCode="m&quot;月&quot;d&quot;日&quot;">
                  <c:v>45443</c:v>
                </c:pt>
                <c:pt idx="152" c:formatCode="m&quot;月&quot;d&quot;日&quot;">
                  <c:v>45444</c:v>
                </c:pt>
                <c:pt idx="153" c:formatCode="m&quot;月&quot;d&quot;日&quot;">
                  <c:v>45445</c:v>
                </c:pt>
                <c:pt idx="154" c:formatCode="m&quot;月&quot;d&quot;日&quot;">
                  <c:v>45446</c:v>
                </c:pt>
                <c:pt idx="155" c:formatCode="m&quot;月&quot;d&quot;日&quot;">
                  <c:v>45447</c:v>
                </c:pt>
                <c:pt idx="156" c:formatCode="m&quot;月&quot;d&quot;日&quot;">
                  <c:v>45448</c:v>
                </c:pt>
                <c:pt idx="157" c:formatCode="m&quot;月&quot;d&quot;日&quot;">
                  <c:v>45449</c:v>
                </c:pt>
                <c:pt idx="158" c:formatCode="m&quot;月&quot;d&quot;日&quot;">
                  <c:v>45450</c:v>
                </c:pt>
                <c:pt idx="159" c:formatCode="m&quot;月&quot;d&quot;日&quot;">
                  <c:v>45451</c:v>
                </c:pt>
                <c:pt idx="160" c:formatCode="m&quot;月&quot;d&quot;日&quot;">
                  <c:v>45452</c:v>
                </c:pt>
                <c:pt idx="161" c:formatCode="m&quot;月&quot;d&quot;日&quot;">
                  <c:v>45453</c:v>
                </c:pt>
                <c:pt idx="162" c:formatCode="m&quot;月&quot;d&quot;日&quot;">
                  <c:v>45454</c:v>
                </c:pt>
                <c:pt idx="163" c:formatCode="m&quot;月&quot;d&quot;日&quot;">
                  <c:v>45455</c:v>
                </c:pt>
                <c:pt idx="164" c:formatCode="m&quot;月&quot;d&quot;日&quot;">
                  <c:v>45456</c:v>
                </c:pt>
                <c:pt idx="165" c:formatCode="m&quot;月&quot;d&quot;日&quot;">
                  <c:v>45457</c:v>
                </c:pt>
                <c:pt idx="166" c:formatCode="m&quot;月&quot;d&quot;日&quot;">
                  <c:v>45458</c:v>
                </c:pt>
                <c:pt idx="167" c:formatCode="m&quot;月&quot;d&quot;日&quot;">
                  <c:v>45459</c:v>
                </c:pt>
                <c:pt idx="168" c:formatCode="m&quot;月&quot;d&quot;日&quot;">
                  <c:v>45460</c:v>
                </c:pt>
                <c:pt idx="169" c:formatCode="m&quot;月&quot;d&quot;日&quot;">
                  <c:v>45461</c:v>
                </c:pt>
                <c:pt idx="170" c:formatCode="m&quot;月&quot;d&quot;日&quot;">
                  <c:v>45462</c:v>
                </c:pt>
                <c:pt idx="171" c:formatCode="m&quot;月&quot;d&quot;日&quot;">
                  <c:v>45463</c:v>
                </c:pt>
                <c:pt idx="172" c:formatCode="m&quot;月&quot;d&quot;日&quot;">
                  <c:v>45464</c:v>
                </c:pt>
                <c:pt idx="173" c:formatCode="m&quot;月&quot;d&quot;日&quot;">
                  <c:v>45465</c:v>
                </c:pt>
                <c:pt idx="174" c:formatCode="m&quot;月&quot;d&quot;日&quot;">
                  <c:v>45466</c:v>
                </c:pt>
                <c:pt idx="175" c:formatCode="m&quot;月&quot;d&quot;日&quot;">
                  <c:v>45467</c:v>
                </c:pt>
                <c:pt idx="176" c:formatCode="m&quot;月&quot;d&quot;日&quot;">
                  <c:v>45468</c:v>
                </c:pt>
                <c:pt idx="177" c:formatCode="m&quot;月&quot;d&quot;日&quot;">
                  <c:v>45469</c:v>
                </c:pt>
                <c:pt idx="178" c:formatCode="m&quot;月&quot;d&quot;日&quot;">
                  <c:v>45470</c:v>
                </c:pt>
                <c:pt idx="179" c:formatCode="m&quot;月&quot;d&quot;日&quot;">
                  <c:v>45471</c:v>
                </c:pt>
                <c:pt idx="180" c:formatCode="m&quot;月&quot;d&quot;日&quot;">
                  <c:v>45472</c:v>
                </c:pt>
                <c:pt idx="181" c:formatCode="m&quot;月&quot;d&quot;日&quot;">
                  <c:v>45473</c:v>
                </c:pt>
                <c:pt idx="182" c:formatCode="m&quot;月&quot;d&quot;日&quot;">
                  <c:v>45474</c:v>
                </c:pt>
                <c:pt idx="183" c:formatCode="m&quot;月&quot;d&quot;日&quot;">
                  <c:v>45475</c:v>
                </c:pt>
                <c:pt idx="184" c:formatCode="m&quot;月&quot;d&quot;日&quot;">
                  <c:v>45476</c:v>
                </c:pt>
                <c:pt idx="185" c:formatCode="m&quot;月&quot;d&quot;日&quot;">
                  <c:v>45477</c:v>
                </c:pt>
                <c:pt idx="186" c:formatCode="m&quot;月&quot;d&quot;日&quot;">
                  <c:v>45478</c:v>
                </c:pt>
                <c:pt idx="187" c:formatCode="m&quot;月&quot;d&quot;日&quot;">
                  <c:v>45479</c:v>
                </c:pt>
                <c:pt idx="188" c:formatCode="m&quot;月&quot;d&quot;日&quot;">
                  <c:v>45480</c:v>
                </c:pt>
                <c:pt idx="189" c:formatCode="m&quot;月&quot;d&quot;日&quot;">
                  <c:v>45481</c:v>
                </c:pt>
                <c:pt idx="190" c:formatCode="m&quot;月&quot;d&quot;日&quot;">
                  <c:v>45482</c:v>
                </c:pt>
                <c:pt idx="191" c:formatCode="m&quot;月&quot;d&quot;日&quot;">
                  <c:v>45483</c:v>
                </c:pt>
                <c:pt idx="192" c:formatCode="m&quot;月&quot;d&quot;日&quot;">
                  <c:v>45484</c:v>
                </c:pt>
                <c:pt idx="193" c:formatCode="m&quot;月&quot;d&quot;日&quot;">
                  <c:v>45485</c:v>
                </c:pt>
                <c:pt idx="194" c:formatCode="m&quot;月&quot;d&quot;日&quot;">
                  <c:v>45486</c:v>
                </c:pt>
                <c:pt idx="195" c:formatCode="m&quot;月&quot;d&quot;日&quot;">
                  <c:v>45487</c:v>
                </c:pt>
                <c:pt idx="196" c:formatCode="m&quot;月&quot;d&quot;日&quot;">
                  <c:v>45488</c:v>
                </c:pt>
                <c:pt idx="197" c:formatCode="m&quot;月&quot;d&quot;日&quot;">
                  <c:v>45489</c:v>
                </c:pt>
                <c:pt idx="198" c:formatCode="m&quot;月&quot;d&quot;日&quot;">
                  <c:v>45490</c:v>
                </c:pt>
                <c:pt idx="199" c:formatCode="m&quot;月&quot;d&quot;日&quot;">
                  <c:v>45491</c:v>
                </c:pt>
                <c:pt idx="200" c:formatCode="m&quot;月&quot;d&quot;日&quot;">
                  <c:v>45492</c:v>
                </c:pt>
                <c:pt idx="201" c:formatCode="m&quot;月&quot;d&quot;日&quot;">
                  <c:v>45493</c:v>
                </c:pt>
                <c:pt idx="202" c:formatCode="m&quot;月&quot;d&quot;日&quot;">
                  <c:v>45494</c:v>
                </c:pt>
                <c:pt idx="203" c:formatCode="m&quot;月&quot;d&quot;日&quot;">
                  <c:v>45495</c:v>
                </c:pt>
                <c:pt idx="204" c:formatCode="m&quot;月&quot;d&quot;日&quot;">
                  <c:v>45496</c:v>
                </c:pt>
                <c:pt idx="205" c:formatCode="m&quot;月&quot;d&quot;日&quot;">
                  <c:v>45497</c:v>
                </c:pt>
                <c:pt idx="206" c:formatCode="m&quot;月&quot;d&quot;日&quot;">
                  <c:v>45498</c:v>
                </c:pt>
                <c:pt idx="207" c:formatCode="m&quot;月&quot;d&quot;日&quot;">
                  <c:v>45499</c:v>
                </c:pt>
                <c:pt idx="208" c:formatCode="m&quot;月&quot;d&quot;日&quot;">
                  <c:v>45500</c:v>
                </c:pt>
                <c:pt idx="209" c:formatCode="m&quot;月&quot;d&quot;日&quot;">
                  <c:v>45501</c:v>
                </c:pt>
                <c:pt idx="210" c:formatCode="m&quot;月&quot;d&quot;日&quot;">
                  <c:v>45502</c:v>
                </c:pt>
                <c:pt idx="211" c:formatCode="m&quot;月&quot;d&quot;日&quot;">
                  <c:v>45503</c:v>
                </c:pt>
                <c:pt idx="212" c:formatCode="m&quot;月&quot;d&quot;日&quot;">
                  <c:v>45504</c:v>
                </c:pt>
                <c:pt idx="213" c:formatCode="m&quot;月&quot;d&quot;日&quot;">
                  <c:v>45505</c:v>
                </c:pt>
                <c:pt idx="214" c:formatCode="m&quot;月&quot;d&quot;日&quot;">
                  <c:v>45506</c:v>
                </c:pt>
                <c:pt idx="215" c:formatCode="m&quot;月&quot;d&quot;日&quot;">
                  <c:v>45507</c:v>
                </c:pt>
                <c:pt idx="216" c:formatCode="m&quot;月&quot;d&quot;日&quot;">
                  <c:v>45508</c:v>
                </c:pt>
                <c:pt idx="217" c:formatCode="m&quot;月&quot;d&quot;日&quot;">
                  <c:v>45509</c:v>
                </c:pt>
                <c:pt idx="218" c:formatCode="m&quot;月&quot;d&quot;日&quot;">
                  <c:v>45510</c:v>
                </c:pt>
                <c:pt idx="219" c:formatCode="m&quot;月&quot;d&quot;日&quot;">
                  <c:v>45511</c:v>
                </c:pt>
                <c:pt idx="220" c:formatCode="m&quot;月&quot;d&quot;日&quot;">
                  <c:v>45512</c:v>
                </c:pt>
                <c:pt idx="221" c:formatCode="m&quot;月&quot;d&quot;日&quot;">
                  <c:v>45513</c:v>
                </c:pt>
                <c:pt idx="222" c:formatCode="m&quot;月&quot;d&quot;日&quot;">
                  <c:v>45514</c:v>
                </c:pt>
                <c:pt idx="223" c:formatCode="m&quot;月&quot;d&quot;日&quot;">
                  <c:v>45515</c:v>
                </c:pt>
                <c:pt idx="224" c:formatCode="m&quot;月&quot;d&quot;日&quot;">
                  <c:v>45516</c:v>
                </c:pt>
                <c:pt idx="225" c:formatCode="m&quot;月&quot;d&quot;日&quot;">
                  <c:v>45517</c:v>
                </c:pt>
                <c:pt idx="226" c:formatCode="m&quot;月&quot;d&quot;日&quot;">
                  <c:v>45518</c:v>
                </c:pt>
                <c:pt idx="227" c:formatCode="m&quot;月&quot;d&quot;日&quot;">
                  <c:v>45519</c:v>
                </c:pt>
                <c:pt idx="228" c:formatCode="m&quot;月&quot;d&quot;日&quot;">
                  <c:v>45520</c:v>
                </c:pt>
                <c:pt idx="229" c:formatCode="m&quot;月&quot;d&quot;日&quot;">
                  <c:v>45521</c:v>
                </c:pt>
                <c:pt idx="230" c:formatCode="m&quot;月&quot;d&quot;日&quot;">
                  <c:v>45522</c:v>
                </c:pt>
                <c:pt idx="231" c:formatCode="m&quot;月&quot;d&quot;日&quot;">
                  <c:v>45523</c:v>
                </c:pt>
                <c:pt idx="232" c:formatCode="m&quot;月&quot;d&quot;日&quot;">
                  <c:v>45524</c:v>
                </c:pt>
                <c:pt idx="233" c:formatCode="m&quot;月&quot;d&quot;日&quot;">
                  <c:v>45525</c:v>
                </c:pt>
                <c:pt idx="234" c:formatCode="m&quot;月&quot;d&quot;日&quot;">
                  <c:v>45526</c:v>
                </c:pt>
                <c:pt idx="235" c:formatCode="m&quot;月&quot;d&quot;日&quot;">
                  <c:v>45527</c:v>
                </c:pt>
                <c:pt idx="236" c:formatCode="m&quot;月&quot;d&quot;日&quot;">
                  <c:v>45528</c:v>
                </c:pt>
                <c:pt idx="237" c:formatCode="m&quot;月&quot;d&quot;日&quot;">
                  <c:v>45529</c:v>
                </c:pt>
                <c:pt idx="238" c:formatCode="m&quot;月&quot;d&quot;日&quot;">
                  <c:v>45530</c:v>
                </c:pt>
                <c:pt idx="239" c:formatCode="m&quot;月&quot;d&quot;日&quot;">
                  <c:v>45531</c:v>
                </c:pt>
                <c:pt idx="240" c:formatCode="m&quot;月&quot;d&quot;日&quot;">
                  <c:v>45532</c:v>
                </c:pt>
                <c:pt idx="241" c:formatCode="m&quot;月&quot;d&quot;日&quot;">
                  <c:v>45533</c:v>
                </c:pt>
                <c:pt idx="242" c:formatCode="m&quot;月&quot;d&quot;日&quot;">
                  <c:v>45534</c:v>
                </c:pt>
                <c:pt idx="243" c:formatCode="m&quot;月&quot;d&quot;日&quot;">
                  <c:v>45535</c:v>
                </c:pt>
                <c:pt idx="244" c:formatCode="m&quot;月&quot;d&quot;日&quot;">
                  <c:v>45536</c:v>
                </c:pt>
                <c:pt idx="245" c:formatCode="m&quot;月&quot;d&quot;日&quot;">
                  <c:v>45537</c:v>
                </c:pt>
                <c:pt idx="246" c:formatCode="m&quot;月&quot;d&quot;日&quot;">
                  <c:v>45538</c:v>
                </c:pt>
                <c:pt idx="247" c:formatCode="m&quot;月&quot;d&quot;日&quot;">
                  <c:v>45539</c:v>
                </c:pt>
                <c:pt idx="248" c:formatCode="m&quot;月&quot;d&quot;日&quot;">
                  <c:v>45540</c:v>
                </c:pt>
                <c:pt idx="249" c:formatCode="m&quot;月&quot;d&quot;日&quot;">
                  <c:v>45541</c:v>
                </c:pt>
                <c:pt idx="250" c:formatCode="m&quot;月&quot;d&quot;日&quot;">
                  <c:v>45542</c:v>
                </c:pt>
                <c:pt idx="251" c:formatCode="m&quot;月&quot;d&quot;日&quot;">
                  <c:v>45543</c:v>
                </c:pt>
                <c:pt idx="252" c:formatCode="m&quot;月&quot;d&quot;日&quot;">
                  <c:v>45544</c:v>
                </c:pt>
                <c:pt idx="253" c:formatCode="m&quot;月&quot;d&quot;日&quot;">
                  <c:v>45545</c:v>
                </c:pt>
                <c:pt idx="254" c:formatCode="m&quot;月&quot;d&quot;日&quot;">
                  <c:v>45546</c:v>
                </c:pt>
                <c:pt idx="255" c:formatCode="m&quot;月&quot;d&quot;日&quot;">
                  <c:v>45547</c:v>
                </c:pt>
                <c:pt idx="256" c:formatCode="m&quot;月&quot;d&quot;日&quot;">
                  <c:v>45548</c:v>
                </c:pt>
                <c:pt idx="257" c:formatCode="m&quot;月&quot;d&quot;日&quot;">
                  <c:v>45549</c:v>
                </c:pt>
                <c:pt idx="258" c:formatCode="m&quot;月&quot;d&quot;日&quot;">
                  <c:v>45550</c:v>
                </c:pt>
                <c:pt idx="259" c:formatCode="m&quot;月&quot;d&quot;日&quot;">
                  <c:v>45551</c:v>
                </c:pt>
                <c:pt idx="260" c:formatCode="m&quot;月&quot;d&quot;日&quot;">
                  <c:v>45552</c:v>
                </c:pt>
                <c:pt idx="261" c:formatCode="m&quot;月&quot;d&quot;日&quot;">
                  <c:v>45553</c:v>
                </c:pt>
                <c:pt idx="262" c:formatCode="m&quot;月&quot;d&quot;日&quot;">
                  <c:v>45554</c:v>
                </c:pt>
                <c:pt idx="263" c:formatCode="m&quot;月&quot;d&quot;日&quot;">
                  <c:v>45555</c:v>
                </c:pt>
                <c:pt idx="264" c:formatCode="m&quot;月&quot;d&quot;日&quot;">
                  <c:v>45556</c:v>
                </c:pt>
                <c:pt idx="265" c:formatCode="m&quot;月&quot;d&quot;日&quot;">
                  <c:v>45557</c:v>
                </c:pt>
                <c:pt idx="266" c:formatCode="m&quot;月&quot;d&quot;日&quot;">
                  <c:v>45558</c:v>
                </c:pt>
                <c:pt idx="267" c:formatCode="m&quot;月&quot;d&quot;日&quot;">
                  <c:v>45559</c:v>
                </c:pt>
                <c:pt idx="268" c:formatCode="m&quot;月&quot;d&quot;日&quot;">
                  <c:v>45560</c:v>
                </c:pt>
                <c:pt idx="269" c:formatCode="m&quot;月&quot;d&quot;日&quot;">
                  <c:v>45561</c:v>
                </c:pt>
                <c:pt idx="270" c:formatCode="m&quot;月&quot;d&quot;日&quot;">
                  <c:v>45562</c:v>
                </c:pt>
                <c:pt idx="271" c:formatCode="m&quot;月&quot;d&quot;日&quot;">
                  <c:v>45563</c:v>
                </c:pt>
                <c:pt idx="272" c:formatCode="m&quot;月&quot;d&quot;日&quot;">
                  <c:v>45564</c:v>
                </c:pt>
                <c:pt idx="273" c:formatCode="m&quot;月&quot;d&quot;日&quot;">
                  <c:v>45565</c:v>
                </c:pt>
                <c:pt idx="274" c:formatCode="m&quot;月&quot;d&quot;日&quot;">
                  <c:v>45566</c:v>
                </c:pt>
                <c:pt idx="275" c:formatCode="m&quot;月&quot;d&quot;日&quot;">
                  <c:v>45567</c:v>
                </c:pt>
                <c:pt idx="276" c:formatCode="m&quot;月&quot;d&quot;日&quot;">
                  <c:v>45568</c:v>
                </c:pt>
                <c:pt idx="277" c:formatCode="m&quot;月&quot;d&quot;日&quot;">
                  <c:v>45569</c:v>
                </c:pt>
                <c:pt idx="278" c:formatCode="m&quot;月&quot;d&quot;日&quot;">
                  <c:v>45570</c:v>
                </c:pt>
                <c:pt idx="279" c:formatCode="m&quot;月&quot;d&quot;日&quot;">
                  <c:v>45571</c:v>
                </c:pt>
                <c:pt idx="280" c:formatCode="m&quot;月&quot;d&quot;日&quot;">
                  <c:v>45572</c:v>
                </c:pt>
                <c:pt idx="281" c:formatCode="m&quot;月&quot;d&quot;日&quot;">
                  <c:v>45573</c:v>
                </c:pt>
                <c:pt idx="282" c:formatCode="m&quot;月&quot;d&quot;日&quot;">
                  <c:v>45574</c:v>
                </c:pt>
                <c:pt idx="283" c:formatCode="m&quot;月&quot;d&quot;日&quot;">
                  <c:v>45575</c:v>
                </c:pt>
                <c:pt idx="284" c:formatCode="m&quot;月&quot;d&quot;日&quot;">
                  <c:v>45576</c:v>
                </c:pt>
                <c:pt idx="285" c:formatCode="m&quot;月&quot;d&quot;日&quot;">
                  <c:v>45577</c:v>
                </c:pt>
                <c:pt idx="286" c:formatCode="m&quot;月&quot;d&quot;日&quot;">
                  <c:v>45578</c:v>
                </c:pt>
                <c:pt idx="287" c:formatCode="m&quot;月&quot;d&quot;日&quot;">
                  <c:v>45579</c:v>
                </c:pt>
                <c:pt idx="288" c:formatCode="m&quot;月&quot;d&quot;日&quot;">
                  <c:v>45580</c:v>
                </c:pt>
                <c:pt idx="289" c:formatCode="m&quot;月&quot;d&quot;日&quot;">
                  <c:v>45581</c:v>
                </c:pt>
                <c:pt idx="290" c:formatCode="m&quot;月&quot;d&quot;日&quot;">
                  <c:v>45582</c:v>
                </c:pt>
                <c:pt idx="291" c:formatCode="m&quot;月&quot;d&quot;日&quot;">
                  <c:v>45583</c:v>
                </c:pt>
                <c:pt idx="292" c:formatCode="m&quot;月&quot;d&quot;日&quot;">
                  <c:v>45584</c:v>
                </c:pt>
                <c:pt idx="293" c:formatCode="m&quot;月&quot;d&quot;日&quot;">
                  <c:v>45585</c:v>
                </c:pt>
                <c:pt idx="294" c:formatCode="m&quot;月&quot;d&quot;日&quot;">
                  <c:v>45586</c:v>
                </c:pt>
                <c:pt idx="295" c:formatCode="m&quot;月&quot;d&quot;日&quot;">
                  <c:v>45587</c:v>
                </c:pt>
                <c:pt idx="296" c:formatCode="m&quot;月&quot;d&quot;日&quot;">
                  <c:v>45588</c:v>
                </c:pt>
                <c:pt idx="297" c:formatCode="m&quot;月&quot;d&quot;日&quot;">
                  <c:v>45589</c:v>
                </c:pt>
                <c:pt idx="298" c:formatCode="m&quot;月&quot;d&quot;日&quot;">
                  <c:v>45590</c:v>
                </c:pt>
                <c:pt idx="299" c:formatCode="m&quot;月&quot;d&quot;日&quot;">
                  <c:v>45591</c:v>
                </c:pt>
                <c:pt idx="300" c:formatCode="m&quot;月&quot;d&quot;日&quot;">
                  <c:v>45592</c:v>
                </c:pt>
                <c:pt idx="301" c:formatCode="m&quot;月&quot;d&quot;日&quot;">
                  <c:v>45593</c:v>
                </c:pt>
                <c:pt idx="302" c:formatCode="m&quot;月&quot;d&quot;日&quot;">
                  <c:v>45594</c:v>
                </c:pt>
                <c:pt idx="303" c:formatCode="m&quot;月&quot;d&quot;日&quot;">
                  <c:v>45595</c:v>
                </c:pt>
                <c:pt idx="304" c:formatCode="m&quot;月&quot;d&quot;日&quot;">
                  <c:v>45596</c:v>
                </c:pt>
                <c:pt idx="305" c:formatCode="m&quot;月&quot;d&quot;日&quot;">
                  <c:v>45597</c:v>
                </c:pt>
                <c:pt idx="306" c:formatCode="m&quot;月&quot;d&quot;日&quot;">
                  <c:v>45598</c:v>
                </c:pt>
                <c:pt idx="307" c:formatCode="m&quot;月&quot;d&quot;日&quot;">
                  <c:v>45599</c:v>
                </c:pt>
                <c:pt idx="308" c:formatCode="m&quot;月&quot;d&quot;日&quot;">
                  <c:v>45600</c:v>
                </c:pt>
                <c:pt idx="309" c:formatCode="m&quot;月&quot;d&quot;日&quot;">
                  <c:v>45601</c:v>
                </c:pt>
                <c:pt idx="310" c:formatCode="m&quot;月&quot;d&quot;日&quot;">
                  <c:v>45602</c:v>
                </c:pt>
                <c:pt idx="311" c:formatCode="m&quot;月&quot;d&quot;日&quot;">
                  <c:v>45603</c:v>
                </c:pt>
                <c:pt idx="312" c:formatCode="m&quot;月&quot;d&quot;日&quot;">
                  <c:v>45604</c:v>
                </c:pt>
                <c:pt idx="313" c:formatCode="m&quot;月&quot;d&quot;日&quot;">
                  <c:v>45605</c:v>
                </c:pt>
                <c:pt idx="314" c:formatCode="m&quot;月&quot;d&quot;日&quot;">
                  <c:v>45606</c:v>
                </c:pt>
                <c:pt idx="315" c:formatCode="m&quot;月&quot;d&quot;日&quot;">
                  <c:v>45607</c:v>
                </c:pt>
                <c:pt idx="316" c:formatCode="m&quot;月&quot;d&quot;日&quot;">
                  <c:v>45608</c:v>
                </c:pt>
                <c:pt idx="317" c:formatCode="m&quot;月&quot;d&quot;日&quot;">
                  <c:v>45609</c:v>
                </c:pt>
                <c:pt idx="318" c:formatCode="m&quot;月&quot;d&quot;日&quot;">
                  <c:v>45610</c:v>
                </c:pt>
                <c:pt idx="319" c:formatCode="m&quot;月&quot;d&quot;日&quot;">
                  <c:v>45611</c:v>
                </c:pt>
                <c:pt idx="320" c:formatCode="m&quot;月&quot;d&quot;日&quot;">
                  <c:v>45612</c:v>
                </c:pt>
                <c:pt idx="321" c:formatCode="m&quot;月&quot;d&quot;日&quot;">
                  <c:v>45613</c:v>
                </c:pt>
                <c:pt idx="322" c:formatCode="m&quot;月&quot;d&quot;日&quot;">
                  <c:v>45614</c:v>
                </c:pt>
                <c:pt idx="323" c:formatCode="m&quot;月&quot;d&quot;日&quot;">
                  <c:v>45615</c:v>
                </c:pt>
                <c:pt idx="324" c:formatCode="m&quot;月&quot;d&quot;日&quot;">
                  <c:v>45616</c:v>
                </c:pt>
                <c:pt idx="325" c:formatCode="m&quot;月&quot;d&quot;日&quot;">
                  <c:v>45617</c:v>
                </c:pt>
                <c:pt idx="326" c:formatCode="m&quot;月&quot;d&quot;日&quot;">
                  <c:v>45618</c:v>
                </c:pt>
                <c:pt idx="327" c:formatCode="m&quot;月&quot;d&quot;日&quot;">
                  <c:v>45619</c:v>
                </c:pt>
                <c:pt idx="328" c:formatCode="m&quot;月&quot;d&quot;日&quot;">
                  <c:v>45620</c:v>
                </c:pt>
                <c:pt idx="329" c:formatCode="m&quot;月&quot;d&quot;日&quot;">
                  <c:v>45621</c:v>
                </c:pt>
                <c:pt idx="330" c:formatCode="m&quot;月&quot;d&quot;日&quot;">
                  <c:v>45622</c:v>
                </c:pt>
                <c:pt idx="331" c:formatCode="m&quot;月&quot;d&quot;日&quot;">
                  <c:v>45623</c:v>
                </c:pt>
                <c:pt idx="332" c:formatCode="m&quot;月&quot;d&quot;日&quot;">
                  <c:v>45624</c:v>
                </c:pt>
                <c:pt idx="333" c:formatCode="m&quot;月&quot;d&quot;日&quot;">
                  <c:v>45625</c:v>
                </c:pt>
                <c:pt idx="334" c:formatCode="m&quot;月&quot;d&quot;日&quot;">
                  <c:v>45626</c:v>
                </c:pt>
                <c:pt idx="335" c:formatCode="m&quot;月&quot;d&quot;日&quot;">
                  <c:v>45627</c:v>
                </c:pt>
                <c:pt idx="336" c:formatCode="m&quot;月&quot;d&quot;日&quot;">
                  <c:v>45628</c:v>
                </c:pt>
                <c:pt idx="337" c:formatCode="m&quot;月&quot;d&quot;日&quot;">
                  <c:v>45629</c:v>
                </c:pt>
                <c:pt idx="338" c:formatCode="m&quot;月&quot;d&quot;日&quot;">
                  <c:v>45630</c:v>
                </c:pt>
                <c:pt idx="339" c:formatCode="m&quot;月&quot;d&quot;日&quot;">
                  <c:v>45631</c:v>
                </c:pt>
                <c:pt idx="340" c:formatCode="m&quot;月&quot;d&quot;日&quot;">
                  <c:v>45632</c:v>
                </c:pt>
                <c:pt idx="341" c:formatCode="m&quot;月&quot;d&quot;日&quot;">
                  <c:v>45633</c:v>
                </c:pt>
                <c:pt idx="342" c:formatCode="m&quot;月&quot;d&quot;日&quot;">
                  <c:v>45634</c:v>
                </c:pt>
                <c:pt idx="343" c:formatCode="m&quot;月&quot;d&quot;日&quot;">
                  <c:v>45635</c:v>
                </c:pt>
                <c:pt idx="344" c:formatCode="m&quot;月&quot;d&quot;日&quot;">
                  <c:v>45636</c:v>
                </c:pt>
                <c:pt idx="345" c:formatCode="m&quot;月&quot;d&quot;日&quot;">
                  <c:v>45637</c:v>
                </c:pt>
                <c:pt idx="346" c:formatCode="m&quot;月&quot;d&quot;日&quot;">
                  <c:v>45638</c:v>
                </c:pt>
                <c:pt idx="347" c:formatCode="m&quot;月&quot;d&quot;日&quot;">
                  <c:v>45639</c:v>
                </c:pt>
                <c:pt idx="348" c:formatCode="m&quot;月&quot;d&quot;日&quot;">
                  <c:v>45640</c:v>
                </c:pt>
                <c:pt idx="349" c:formatCode="m&quot;月&quot;d&quot;日&quot;">
                  <c:v>45641</c:v>
                </c:pt>
                <c:pt idx="350" c:formatCode="m&quot;月&quot;d&quot;日&quot;">
                  <c:v>45642</c:v>
                </c:pt>
                <c:pt idx="351" c:formatCode="m&quot;月&quot;d&quot;日&quot;">
                  <c:v>45643</c:v>
                </c:pt>
                <c:pt idx="352" c:formatCode="m&quot;月&quot;d&quot;日&quot;">
                  <c:v>45644</c:v>
                </c:pt>
                <c:pt idx="353" c:formatCode="m&quot;月&quot;d&quot;日&quot;">
                  <c:v>45645</c:v>
                </c:pt>
                <c:pt idx="354" c:formatCode="m&quot;月&quot;d&quot;日&quot;">
                  <c:v>45646</c:v>
                </c:pt>
                <c:pt idx="355" c:formatCode="m&quot;月&quot;d&quot;日&quot;">
                  <c:v>45647</c:v>
                </c:pt>
                <c:pt idx="356" c:formatCode="m&quot;月&quot;d&quot;日&quot;">
                  <c:v>45648</c:v>
                </c:pt>
                <c:pt idx="357" c:formatCode="m&quot;月&quot;d&quot;日&quot;">
                  <c:v>45649</c:v>
                </c:pt>
                <c:pt idx="358" c:formatCode="m&quot;月&quot;d&quot;日&quot;">
                  <c:v>45650</c:v>
                </c:pt>
                <c:pt idx="359" c:formatCode="m&quot;月&quot;d&quot;日&quot;">
                  <c:v>45651</c:v>
                </c:pt>
                <c:pt idx="360" c:formatCode="m&quot;月&quot;d&quot;日&quot;">
                  <c:v>45652</c:v>
                </c:pt>
                <c:pt idx="361" c:formatCode="m&quot;月&quot;d&quot;日&quot;">
                  <c:v>45653</c:v>
                </c:pt>
                <c:pt idx="362" c:formatCode="m&quot;月&quot;d&quot;日&quot;">
                  <c:v>45654</c:v>
                </c:pt>
                <c:pt idx="363" c:formatCode="m&quot;月&quot;d&quot;日&quot;">
                  <c:v>45655</c:v>
                </c:pt>
                <c:pt idx="364" c:formatCode="m&quot;月&quot;d&quot;日&quot;">
                  <c:v>45656</c:v>
                </c:pt>
                <c:pt idx="365" c:formatCode="m&quot;月&quot;d&quot;日&quot;">
                  <c:v>45657</c:v>
                </c:pt>
              </c:numCache>
            </c:numRef>
          </c:cat>
          <c:val>
            <c:numRef>
              <c:f>'[2024年电度统计 - 副本.xls]2024.01'!$C$3:$C$368</c:f>
              <c:numCache>
                <c:formatCode>0.00_ </c:formatCode>
                <c:ptCount val="366"/>
                <c:pt idx="0">
                  <c:v>205.75</c:v>
                </c:pt>
                <c:pt idx="1">
                  <c:v>205.84</c:v>
                </c:pt>
                <c:pt idx="2">
                  <c:v>205.79</c:v>
                </c:pt>
                <c:pt idx="3">
                  <c:v>205.83</c:v>
                </c:pt>
                <c:pt idx="4">
                  <c:v>205.79</c:v>
                </c:pt>
                <c:pt idx="5">
                  <c:v>205.83</c:v>
                </c:pt>
                <c:pt idx="6">
                  <c:v>205.78</c:v>
                </c:pt>
                <c:pt idx="7">
                  <c:v>205.84</c:v>
                </c:pt>
                <c:pt idx="8">
                  <c:v>205.72</c:v>
                </c:pt>
                <c:pt idx="9">
                  <c:v>205.89</c:v>
                </c:pt>
                <c:pt idx="10">
                  <c:v>205.85</c:v>
                </c:pt>
                <c:pt idx="11">
                  <c:v>205.84</c:v>
                </c:pt>
                <c:pt idx="12">
                  <c:v>205.74</c:v>
                </c:pt>
                <c:pt idx="13">
                  <c:v>205.84</c:v>
                </c:pt>
                <c:pt idx="14">
                  <c:v>205.79</c:v>
                </c:pt>
                <c:pt idx="15">
                  <c:v>205.81</c:v>
                </c:pt>
                <c:pt idx="16">
                  <c:v>205.66</c:v>
                </c:pt>
                <c:pt idx="17">
                  <c:v>205.74</c:v>
                </c:pt>
                <c:pt idx="18">
                  <c:v>205.74</c:v>
                </c:pt>
                <c:pt idx="19">
                  <c:v>205.78</c:v>
                </c:pt>
                <c:pt idx="20">
                  <c:v>205.73</c:v>
                </c:pt>
                <c:pt idx="21">
                  <c:v>205.8</c:v>
                </c:pt>
                <c:pt idx="22">
                  <c:v>205.77</c:v>
                </c:pt>
                <c:pt idx="23">
                  <c:v>205.84</c:v>
                </c:pt>
                <c:pt idx="24">
                  <c:v>205.87</c:v>
                </c:pt>
                <c:pt idx="25">
                  <c:v>205.88</c:v>
                </c:pt>
                <c:pt idx="26">
                  <c:v>205.8</c:v>
                </c:pt>
                <c:pt idx="27">
                  <c:v>205.91</c:v>
                </c:pt>
                <c:pt idx="28">
                  <c:v>205.79</c:v>
                </c:pt>
                <c:pt idx="29">
                  <c:v>205.77</c:v>
                </c:pt>
                <c:pt idx="30" c:formatCode="General">
                  <c:v>205.81</c:v>
                </c:pt>
                <c:pt idx="31">
                  <c:v>205.8</c:v>
                </c:pt>
                <c:pt idx="32">
                  <c:v>205.85</c:v>
                </c:pt>
                <c:pt idx="33">
                  <c:v>205.87</c:v>
                </c:pt>
                <c:pt idx="34">
                  <c:v>205.88</c:v>
                </c:pt>
                <c:pt idx="35">
                  <c:v>205.88</c:v>
                </c:pt>
                <c:pt idx="36">
                  <c:v>205.88</c:v>
                </c:pt>
                <c:pt idx="37">
                  <c:v>205.8</c:v>
                </c:pt>
                <c:pt idx="38">
                  <c:v>205.88</c:v>
                </c:pt>
                <c:pt idx="39">
                  <c:v>205.87</c:v>
                </c:pt>
                <c:pt idx="40">
                  <c:v>205.81</c:v>
                </c:pt>
                <c:pt idx="41">
                  <c:v>205.84</c:v>
                </c:pt>
                <c:pt idx="42">
                  <c:v>205.89</c:v>
                </c:pt>
                <c:pt idx="43">
                  <c:v>205.85</c:v>
                </c:pt>
                <c:pt idx="44">
                  <c:v>205.89</c:v>
                </c:pt>
                <c:pt idx="45">
                  <c:v>205.93</c:v>
                </c:pt>
                <c:pt idx="46">
                  <c:v>205.82</c:v>
                </c:pt>
                <c:pt idx="47">
                  <c:v>205.8</c:v>
                </c:pt>
                <c:pt idx="48">
                  <c:v>205.83</c:v>
                </c:pt>
                <c:pt idx="49">
                  <c:v>205.88</c:v>
                </c:pt>
                <c:pt idx="50">
                  <c:v>205.88</c:v>
                </c:pt>
                <c:pt idx="51">
                  <c:v>205.86</c:v>
                </c:pt>
                <c:pt idx="52">
                  <c:v>205.88</c:v>
                </c:pt>
                <c:pt idx="53">
                  <c:v>205.89</c:v>
                </c:pt>
                <c:pt idx="54">
                  <c:v>205.9</c:v>
                </c:pt>
                <c:pt idx="55">
                  <c:v>205.85</c:v>
                </c:pt>
                <c:pt idx="56">
                  <c:v>205.76</c:v>
                </c:pt>
                <c:pt idx="57">
                  <c:v>205.77</c:v>
                </c:pt>
                <c:pt idx="58">
                  <c:v>205.69</c:v>
                </c:pt>
                <c:pt idx="59">
                  <c:v>205.76</c:v>
                </c:pt>
                <c:pt idx="60">
                  <c:v>205.78</c:v>
                </c:pt>
                <c:pt idx="61">
                  <c:v>205.81</c:v>
                </c:pt>
                <c:pt idx="62">
                  <c:v>205.76</c:v>
                </c:pt>
                <c:pt idx="63">
                  <c:v>205.78</c:v>
                </c:pt>
                <c:pt idx="64">
                  <c:v>205.79</c:v>
                </c:pt>
                <c:pt idx="65">
                  <c:v>205.78</c:v>
                </c:pt>
                <c:pt idx="66">
                  <c:v>205.69</c:v>
                </c:pt>
                <c:pt idx="67">
                  <c:v>205.78</c:v>
                </c:pt>
                <c:pt idx="68">
                  <c:v>205.77</c:v>
                </c:pt>
                <c:pt idx="69">
                  <c:v>205.8</c:v>
                </c:pt>
                <c:pt idx="70">
                  <c:v>205.79</c:v>
                </c:pt>
                <c:pt idx="71">
                  <c:v>205.77</c:v>
                </c:pt>
                <c:pt idx="72">
                  <c:v>205.78</c:v>
                </c:pt>
                <c:pt idx="73">
                  <c:v>205.51</c:v>
                </c:pt>
                <c:pt idx="74">
                  <c:v>205.36</c:v>
                </c:pt>
                <c:pt idx="75">
                  <c:v>205.73</c:v>
                </c:pt>
                <c:pt idx="76">
                  <c:v>205.79</c:v>
                </c:pt>
                <c:pt idx="77">
                  <c:v>205.72</c:v>
                </c:pt>
                <c:pt idx="78">
                  <c:v>205.83</c:v>
                </c:pt>
                <c:pt idx="79">
                  <c:v>205.82</c:v>
                </c:pt>
                <c:pt idx="80">
                  <c:v>205.75</c:v>
                </c:pt>
                <c:pt idx="81">
                  <c:v>205.77</c:v>
                </c:pt>
                <c:pt idx="82">
                  <c:v>205.79</c:v>
                </c:pt>
                <c:pt idx="83">
                  <c:v>205.81</c:v>
                </c:pt>
                <c:pt idx="84">
                  <c:v>205.79</c:v>
                </c:pt>
                <c:pt idx="85">
                  <c:v>205.79</c:v>
                </c:pt>
                <c:pt idx="86">
                  <c:v>205.78</c:v>
                </c:pt>
                <c:pt idx="87">
                  <c:v>205.73</c:v>
                </c:pt>
                <c:pt idx="88">
                  <c:v>205.76</c:v>
                </c:pt>
                <c:pt idx="89">
                  <c:v>205.79</c:v>
                </c:pt>
                <c:pt idx="90" c:formatCode="General">
                  <c:v>205.71</c:v>
                </c:pt>
                <c:pt idx="91">
                  <c:v>205.48</c:v>
                </c:pt>
                <c:pt idx="92">
                  <c:v>205.42</c:v>
                </c:pt>
                <c:pt idx="93">
                  <c:v>205.72</c:v>
                </c:pt>
                <c:pt idx="94">
                  <c:v>205.76</c:v>
                </c:pt>
                <c:pt idx="95">
                  <c:v>205.78</c:v>
                </c:pt>
                <c:pt idx="96">
                  <c:v>205.6</c:v>
                </c:pt>
                <c:pt idx="97">
                  <c:v>205.71</c:v>
                </c:pt>
                <c:pt idx="98">
                  <c:v>205.75</c:v>
                </c:pt>
                <c:pt idx="99">
                  <c:v>205.69</c:v>
                </c:pt>
                <c:pt idx="100">
                  <c:v>205.8</c:v>
                </c:pt>
                <c:pt idx="101">
                  <c:v>206.1</c:v>
                </c:pt>
                <c:pt idx="102">
                  <c:v>206.1</c:v>
                </c:pt>
                <c:pt idx="103">
                  <c:v>206.04</c:v>
                </c:pt>
                <c:pt idx="104">
                  <c:v>205.8</c:v>
                </c:pt>
                <c:pt idx="105">
                  <c:v>205.83</c:v>
                </c:pt>
                <c:pt idx="106">
                  <c:v>206.4</c:v>
                </c:pt>
                <c:pt idx="107">
                  <c:v>206.1</c:v>
                </c:pt>
                <c:pt idx="108">
                  <c:v>206.16</c:v>
                </c:pt>
                <c:pt idx="109">
                  <c:v>206.18</c:v>
                </c:pt>
                <c:pt idx="110">
                  <c:v>206.38</c:v>
                </c:pt>
                <c:pt idx="111">
                  <c:v>206.24</c:v>
                </c:pt>
                <c:pt idx="112">
                  <c:v>206.38</c:v>
                </c:pt>
                <c:pt idx="113">
                  <c:v>206.37</c:v>
                </c:pt>
                <c:pt idx="114">
                  <c:v>206.08</c:v>
                </c:pt>
                <c:pt idx="115">
                  <c:v>206.16</c:v>
                </c:pt>
                <c:pt idx="116">
                  <c:v>205.92</c:v>
                </c:pt>
                <c:pt idx="117">
                  <c:v>205.91</c:v>
                </c:pt>
                <c:pt idx="118">
                  <c:v>205.7</c:v>
                </c:pt>
                <c:pt idx="119">
                  <c:v>206.28</c:v>
                </c:pt>
                <c:pt idx="120">
                  <c:v>206.38</c:v>
                </c:pt>
                <c:pt idx="121">
                  <c:v>206.3</c:v>
                </c:pt>
                <c:pt idx="122">
                  <c:v>206.33</c:v>
                </c:pt>
                <c:pt idx="123">
                  <c:v>205.89</c:v>
                </c:pt>
                <c:pt idx="124">
                  <c:v>205.82</c:v>
                </c:pt>
                <c:pt idx="125">
                  <c:v>206.05</c:v>
                </c:pt>
                <c:pt idx="126">
                  <c:v>205.56</c:v>
                </c:pt>
                <c:pt idx="127">
                  <c:v>205.9</c:v>
                </c:pt>
                <c:pt idx="128">
                  <c:v>205.83</c:v>
                </c:pt>
                <c:pt idx="129">
                  <c:v>205.95</c:v>
                </c:pt>
                <c:pt idx="130">
                  <c:v>205.89</c:v>
                </c:pt>
                <c:pt idx="131">
                  <c:v>205.82</c:v>
                </c:pt>
                <c:pt idx="132">
                  <c:v>205.89</c:v>
                </c:pt>
                <c:pt idx="133">
                  <c:v>205.84</c:v>
                </c:pt>
                <c:pt idx="134">
                  <c:v>205.8</c:v>
                </c:pt>
                <c:pt idx="135">
                  <c:v>205.85</c:v>
                </c:pt>
                <c:pt idx="136">
                  <c:v>205.72</c:v>
                </c:pt>
                <c:pt idx="137">
                  <c:v>205.7</c:v>
                </c:pt>
                <c:pt idx="138">
                  <c:v>205.73</c:v>
                </c:pt>
                <c:pt idx="139">
                  <c:v>205.7</c:v>
                </c:pt>
                <c:pt idx="140">
                  <c:v>205.78</c:v>
                </c:pt>
                <c:pt idx="141">
                  <c:v>205.8</c:v>
                </c:pt>
                <c:pt idx="142">
                  <c:v>205.81</c:v>
                </c:pt>
                <c:pt idx="143">
                  <c:v>205.78</c:v>
                </c:pt>
                <c:pt idx="144">
                  <c:v>205.84</c:v>
                </c:pt>
                <c:pt idx="145">
                  <c:v>205.88</c:v>
                </c:pt>
                <c:pt idx="146">
                  <c:v>205.77</c:v>
                </c:pt>
                <c:pt idx="147">
                  <c:v>205.72</c:v>
                </c:pt>
                <c:pt idx="148">
                  <c:v>206.05</c:v>
                </c:pt>
                <c:pt idx="149">
                  <c:v>206.14</c:v>
                </c:pt>
                <c:pt idx="150">
                  <c:v>205.87</c:v>
                </c:pt>
                <c:pt idx="151">
                  <c:v>205.88</c:v>
                </c:pt>
                <c:pt idx="152">
                  <c:v>206.24</c:v>
                </c:pt>
                <c:pt idx="153">
                  <c:v>206</c:v>
                </c:pt>
                <c:pt idx="154">
                  <c:v>206.03</c:v>
                </c:pt>
                <c:pt idx="155">
                  <c:v>206.01</c:v>
                </c:pt>
                <c:pt idx="156">
                  <c:v>205.59</c:v>
                </c:pt>
                <c:pt idx="157">
                  <c:v>205.33</c:v>
                </c:pt>
                <c:pt idx="158">
                  <c:v>205.44</c:v>
                </c:pt>
                <c:pt idx="159">
                  <c:v>205.71</c:v>
                </c:pt>
                <c:pt idx="160">
                  <c:v>205.58</c:v>
                </c:pt>
                <c:pt idx="161">
                  <c:v>205.77</c:v>
                </c:pt>
                <c:pt idx="162">
                  <c:v>205.81</c:v>
                </c:pt>
                <c:pt idx="163">
                  <c:v>205.32</c:v>
                </c:pt>
                <c:pt idx="164">
                  <c:v>205.63</c:v>
                </c:pt>
                <c:pt idx="165">
                  <c:v>205.32</c:v>
                </c:pt>
                <c:pt idx="166">
                  <c:v>205.52</c:v>
                </c:pt>
                <c:pt idx="167">
                  <c:v>205.35</c:v>
                </c:pt>
                <c:pt idx="168">
                  <c:v>205.22</c:v>
                </c:pt>
                <c:pt idx="169">
                  <c:v>205.24</c:v>
                </c:pt>
                <c:pt idx="170">
                  <c:v>205.32</c:v>
                </c:pt>
                <c:pt idx="171">
                  <c:v>205.32</c:v>
                </c:pt>
                <c:pt idx="172">
                  <c:v>205.29</c:v>
                </c:pt>
                <c:pt idx="173">
                  <c:v>205.31</c:v>
                </c:pt>
                <c:pt idx="174">
                  <c:v>205.36</c:v>
                </c:pt>
                <c:pt idx="175">
                  <c:v>205.3</c:v>
                </c:pt>
                <c:pt idx="176">
                  <c:v>205.29</c:v>
                </c:pt>
                <c:pt idx="177">
                  <c:v>205.41</c:v>
                </c:pt>
                <c:pt idx="178">
                  <c:v>205.32</c:v>
                </c:pt>
                <c:pt idx="179">
                  <c:v>205.34</c:v>
                </c:pt>
                <c:pt idx="180">
                  <c:v>205.31</c:v>
                </c:pt>
                <c:pt idx="181">
                  <c:v>205.25</c:v>
                </c:pt>
                <c:pt idx="182">
                  <c:v>205.4</c:v>
                </c:pt>
                <c:pt idx="183">
                  <c:v>205.4</c:v>
                </c:pt>
                <c:pt idx="184">
                  <c:v>205.47</c:v>
                </c:pt>
                <c:pt idx="185">
                  <c:v>205.28</c:v>
                </c:pt>
                <c:pt idx="186">
                  <c:v>206.15</c:v>
                </c:pt>
                <c:pt idx="187">
                  <c:v>206.4</c:v>
                </c:pt>
                <c:pt idx="188">
                  <c:v>206.06</c:v>
                </c:pt>
                <c:pt idx="189">
                  <c:v>205.84</c:v>
                </c:pt>
                <c:pt idx="190">
                  <c:v>206.32</c:v>
                </c:pt>
                <c:pt idx="191">
                  <c:v>205.99</c:v>
                </c:pt>
                <c:pt idx="192">
                  <c:v>206.1</c:v>
                </c:pt>
                <c:pt idx="193">
                  <c:v>206.4</c:v>
                </c:pt>
                <c:pt idx="194">
                  <c:v>206.28</c:v>
                </c:pt>
                <c:pt idx="195">
                  <c:v>206.28</c:v>
                </c:pt>
                <c:pt idx="196">
                  <c:v>206.01</c:v>
                </c:pt>
                <c:pt idx="197">
                  <c:v>206.33</c:v>
                </c:pt>
                <c:pt idx="198">
                  <c:v>206.92</c:v>
                </c:pt>
                <c:pt idx="199">
                  <c:v>206.4</c:v>
                </c:pt>
                <c:pt idx="200">
                  <c:v>206.24</c:v>
                </c:pt>
                <c:pt idx="201">
                  <c:v>206.23</c:v>
                </c:pt>
                <c:pt idx="202">
                  <c:v>206.41</c:v>
                </c:pt>
                <c:pt idx="203">
                  <c:v>206.44</c:v>
                </c:pt>
                <c:pt idx="204">
                  <c:v>206.33</c:v>
                </c:pt>
                <c:pt idx="205">
                  <c:v>207.85</c:v>
                </c:pt>
                <c:pt idx="206">
                  <c:v>206.33</c:v>
                </c:pt>
                <c:pt idx="207">
                  <c:v>206.22</c:v>
                </c:pt>
                <c:pt idx="208">
                  <c:v>206.25</c:v>
                </c:pt>
                <c:pt idx="209">
                  <c:v>206.35</c:v>
                </c:pt>
                <c:pt idx="210">
                  <c:v>206.41</c:v>
                </c:pt>
                <c:pt idx="211">
                  <c:v>206.41</c:v>
                </c:pt>
                <c:pt idx="212" c:formatCode="General">
                  <c:v>206.32</c:v>
                </c:pt>
                <c:pt idx="213">
                  <c:v>206.35</c:v>
                </c:pt>
                <c:pt idx="214">
                  <c:v>206.2</c:v>
                </c:pt>
                <c:pt idx="215">
                  <c:v>206.2</c:v>
                </c:pt>
                <c:pt idx="216">
                  <c:v>206.44</c:v>
                </c:pt>
                <c:pt idx="217">
                  <c:v>206.25</c:v>
                </c:pt>
                <c:pt idx="218">
                  <c:v>206.38</c:v>
                </c:pt>
                <c:pt idx="219">
                  <c:v>206.36</c:v>
                </c:pt>
                <c:pt idx="220">
                  <c:v>206.32</c:v>
                </c:pt>
                <c:pt idx="221">
                  <c:v>206</c:v>
                </c:pt>
                <c:pt idx="222">
                  <c:v>206.25</c:v>
                </c:pt>
                <c:pt idx="223">
                  <c:v>206.43</c:v>
                </c:pt>
                <c:pt idx="224">
                  <c:v>206.35</c:v>
                </c:pt>
                <c:pt idx="225">
                  <c:v>206.11</c:v>
                </c:pt>
                <c:pt idx="226">
                  <c:v>206.33</c:v>
                </c:pt>
                <c:pt idx="227">
                  <c:v>206.03</c:v>
                </c:pt>
                <c:pt idx="228">
                  <c:v>205.97</c:v>
                </c:pt>
                <c:pt idx="229">
                  <c:v>206.37</c:v>
                </c:pt>
                <c:pt idx="230">
                  <c:v>205.97</c:v>
                </c:pt>
                <c:pt idx="231">
                  <c:v>205.97</c:v>
                </c:pt>
                <c:pt idx="232">
                  <c:v>205.99</c:v>
                </c:pt>
                <c:pt idx="233">
                  <c:v>205.88</c:v>
                </c:pt>
                <c:pt idx="234">
                  <c:v>205.94</c:v>
                </c:pt>
                <c:pt idx="235">
                  <c:v>205.94</c:v>
                </c:pt>
                <c:pt idx="236">
                  <c:v>205.96</c:v>
                </c:pt>
                <c:pt idx="237">
                  <c:v>205.81</c:v>
                </c:pt>
                <c:pt idx="238">
                  <c:v>205.82</c:v>
                </c:pt>
                <c:pt idx="239">
                  <c:v>205.87</c:v>
                </c:pt>
                <c:pt idx="240">
                  <c:v>205.8</c:v>
                </c:pt>
                <c:pt idx="241">
                  <c:v>205.76</c:v>
                </c:pt>
                <c:pt idx="242">
                  <c:v>205.82</c:v>
                </c:pt>
                <c:pt idx="243" c:formatCode="General">
                  <c:v>205.84</c:v>
                </c:pt>
                <c:pt idx="244">
                  <c:v>205.78</c:v>
                </c:pt>
                <c:pt idx="245">
                  <c:v>205.81</c:v>
                </c:pt>
                <c:pt idx="246">
                  <c:v>205.92</c:v>
                </c:pt>
                <c:pt idx="247">
                  <c:v>205.96</c:v>
                </c:pt>
                <c:pt idx="248">
                  <c:v>205.88</c:v>
                </c:pt>
                <c:pt idx="249">
                  <c:v>205.84</c:v>
                </c:pt>
                <c:pt idx="250">
                  <c:v>206.1</c:v>
                </c:pt>
                <c:pt idx="251">
                  <c:v>206.13</c:v>
                </c:pt>
                <c:pt idx="252">
                  <c:v>205.98</c:v>
                </c:pt>
                <c:pt idx="253">
                  <c:v>206.4</c:v>
                </c:pt>
                <c:pt idx="254">
                  <c:v>206.38</c:v>
                </c:pt>
                <c:pt idx="255">
                  <c:v>206.4</c:v>
                </c:pt>
                <c:pt idx="256">
                  <c:v>206.34</c:v>
                </c:pt>
                <c:pt idx="257">
                  <c:v>206.33</c:v>
                </c:pt>
                <c:pt idx="258">
                  <c:v>206.43</c:v>
                </c:pt>
                <c:pt idx="259">
                  <c:v>206.36</c:v>
                </c:pt>
                <c:pt idx="260">
                  <c:v>206.43</c:v>
                </c:pt>
                <c:pt idx="261">
                  <c:v>206.45</c:v>
                </c:pt>
                <c:pt idx="262">
                  <c:v>206.33</c:v>
                </c:pt>
                <c:pt idx="263">
                  <c:v>206.14</c:v>
                </c:pt>
                <c:pt idx="264">
                  <c:v>206.2</c:v>
                </c:pt>
                <c:pt idx="265">
                  <c:v>206.38</c:v>
                </c:pt>
                <c:pt idx="266">
                  <c:v>206.15</c:v>
                </c:pt>
                <c:pt idx="267">
                  <c:v>206.16</c:v>
                </c:pt>
                <c:pt idx="268">
                  <c:v>206.25</c:v>
                </c:pt>
                <c:pt idx="269">
                  <c:v>206.06</c:v>
                </c:pt>
                <c:pt idx="270">
                  <c:v>205.91</c:v>
                </c:pt>
                <c:pt idx="271">
                  <c:v>206.1</c:v>
                </c:pt>
                <c:pt idx="272">
                  <c:v>206.38</c:v>
                </c:pt>
                <c:pt idx="273">
                  <c:v>206.16</c:v>
                </c:pt>
                <c:pt idx="274">
                  <c:v>206.35</c:v>
                </c:pt>
                <c:pt idx="275">
                  <c:v>206.2</c:v>
                </c:pt>
                <c:pt idx="276">
                  <c:v>206.43</c:v>
                </c:pt>
                <c:pt idx="277">
                  <c:v>206.39</c:v>
                </c:pt>
                <c:pt idx="278">
                  <c:v>206.25</c:v>
                </c:pt>
                <c:pt idx="279">
                  <c:v>206.3</c:v>
                </c:pt>
                <c:pt idx="280">
                  <c:v>205.94</c:v>
                </c:pt>
                <c:pt idx="281">
                  <c:v>205.92</c:v>
                </c:pt>
                <c:pt idx="282">
                  <c:v>205.8</c:v>
                </c:pt>
                <c:pt idx="283">
                  <c:v>205.85</c:v>
                </c:pt>
                <c:pt idx="284">
                  <c:v>205.76</c:v>
                </c:pt>
                <c:pt idx="285">
                  <c:v>205.95</c:v>
                </c:pt>
                <c:pt idx="286">
                  <c:v>206.06</c:v>
                </c:pt>
                <c:pt idx="287">
                  <c:v>206.33</c:v>
                </c:pt>
                <c:pt idx="288">
                  <c:v>205.88</c:v>
                </c:pt>
                <c:pt idx="289">
                  <c:v>205.85</c:v>
                </c:pt>
                <c:pt idx="290">
                  <c:v>206.33</c:v>
                </c:pt>
                <c:pt idx="291">
                  <c:v>206.01</c:v>
                </c:pt>
                <c:pt idx="292">
                  <c:v>206.45</c:v>
                </c:pt>
                <c:pt idx="293">
                  <c:v>206.38</c:v>
                </c:pt>
                <c:pt idx="294">
                  <c:v>206.4</c:v>
                </c:pt>
                <c:pt idx="295">
                  <c:v>206.36</c:v>
                </c:pt>
                <c:pt idx="296">
                  <c:v>206.34</c:v>
                </c:pt>
                <c:pt idx="297">
                  <c:v>206.12</c:v>
                </c:pt>
                <c:pt idx="298">
                  <c:v>206.28</c:v>
                </c:pt>
                <c:pt idx="299">
                  <c:v>206.01</c:v>
                </c:pt>
                <c:pt idx="300">
                  <c:v>206.18</c:v>
                </c:pt>
                <c:pt idx="301">
                  <c:v>206</c:v>
                </c:pt>
                <c:pt idx="302">
                  <c:v>205.75</c:v>
                </c:pt>
                <c:pt idx="303">
                  <c:v>205.82</c:v>
                </c:pt>
                <c:pt idx="304" c:formatCode="General">
                  <c:v>205.85</c:v>
                </c:pt>
                <c:pt idx="305">
                  <c:v>206.26</c:v>
                </c:pt>
                <c:pt idx="306">
                  <c:v>205.75</c:v>
                </c:pt>
                <c:pt idx="307">
                  <c:v>205.91</c:v>
                </c:pt>
                <c:pt idx="308">
                  <c:v>205.77</c:v>
                </c:pt>
                <c:pt idx="309">
                  <c:v>205.79</c:v>
                </c:pt>
                <c:pt idx="310">
                  <c:v>205.8</c:v>
                </c:pt>
                <c:pt idx="311">
                  <c:v>205.81</c:v>
                </c:pt>
                <c:pt idx="312">
                  <c:v>205.92</c:v>
                </c:pt>
                <c:pt idx="313">
                  <c:v>205.79</c:v>
                </c:pt>
                <c:pt idx="314">
                  <c:v>205.86</c:v>
                </c:pt>
                <c:pt idx="315">
                  <c:v>205.88</c:v>
                </c:pt>
                <c:pt idx="316">
                  <c:v>205.78</c:v>
                </c:pt>
                <c:pt idx="317">
                  <c:v>205.82</c:v>
                </c:pt>
                <c:pt idx="318">
                  <c:v>205.79</c:v>
                </c:pt>
                <c:pt idx="319">
                  <c:v>205.89</c:v>
                </c:pt>
                <c:pt idx="320">
                  <c:v>205.89</c:v>
                </c:pt>
                <c:pt idx="321">
                  <c:v>205.81</c:v>
                </c:pt>
                <c:pt idx="322">
                  <c:v>205.64</c:v>
                </c:pt>
                <c:pt idx="323">
                  <c:v>205.8</c:v>
                </c:pt>
                <c:pt idx="324">
                  <c:v>205.81</c:v>
                </c:pt>
                <c:pt idx="325">
                  <c:v>205.91</c:v>
                </c:pt>
                <c:pt idx="326">
                  <c:v>205.93</c:v>
                </c:pt>
                <c:pt idx="327">
                  <c:v>205.79</c:v>
                </c:pt>
                <c:pt idx="328">
                  <c:v>205.78</c:v>
                </c:pt>
                <c:pt idx="329">
                  <c:v>205.89</c:v>
                </c:pt>
                <c:pt idx="330">
                  <c:v>205.82</c:v>
                </c:pt>
                <c:pt idx="331">
                  <c:v>205.85</c:v>
                </c:pt>
                <c:pt idx="332">
                  <c:v>205.88</c:v>
                </c:pt>
                <c:pt idx="333">
                  <c:v>205.93</c:v>
                </c:pt>
                <c:pt idx="334">
                  <c:v>205.89</c:v>
                </c:pt>
                <c:pt idx="335">
                  <c:v>205.78</c:v>
                </c:pt>
                <c:pt idx="336">
                  <c:v>205.87</c:v>
                </c:pt>
                <c:pt idx="337">
                  <c:v>205.91</c:v>
                </c:pt>
                <c:pt idx="338">
                  <c:v>205.79</c:v>
                </c:pt>
                <c:pt idx="339">
                  <c:v>205.84</c:v>
                </c:pt>
                <c:pt idx="340">
                  <c:v>205.81</c:v>
                </c:pt>
                <c:pt idx="341">
                  <c:v>205.83</c:v>
                </c:pt>
                <c:pt idx="342">
                  <c:v>205.88</c:v>
                </c:pt>
                <c:pt idx="343">
                  <c:v>205.85</c:v>
                </c:pt>
                <c:pt idx="344">
                  <c:v>205.83</c:v>
                </c:pt>
                <c:pt idx="345">
                  <c:v>205.83</c:v>
                </c:pt>
                <c:pt idx="346">
                  <c:v>205.89</c:v>
                </c:pt>
                <c:pt idx="347">
                  <c:v>205.84</c:v>
                </c:pt>
                <c:pt idx="348">
                  <c:v>205.89</c:v>
                </c:pt>
                <c:pt idx="349">
                  <c:v>205.85</c:v>
                </c:pt>
                <c:pt idx="350">
                  <c:v>205.71</c:v>
                </c:pt>
                <c:pt idx="351">
                  <c:v>205.62</c:v>
                </c:pt>
                <c:pt idx="352">
                  <c:v>205.66</c:v>
                </c:pt>
                <c:pt idx="353">
                  <c:v>205.58</c:v>
                </c:pt>
                <c:pt idx="354">
                  <c:v>205.52</c:v>
                </c:pt>
                <c:pt idx="355">
                  <c:v>205.57</c:v>
                </c:pt>
                <c:pt idx="356">
                  <c:v>205.5</c:v>
                </c:pt>
                <c:pt idx="357">
                  <c:v>205.5</c:v>
                </c:pt>
                <c:pt idx="358">
                  <c:v>205.5</c:v>
                </c:pt>
                <c:pt idx="359">
                  <c:v>205.74</c:v>
                </c:pt>
                <c:pt idx="360">
                  <c:v>205.74</c:v>
                </c:pt>
                <c:pt idx="361">
                  <c:v>205.75</c:v>
                </c:pt>
                <c:pt idx="362">
                  <c:v>205.88</c:v>
                </c:pt>
                <c:pt idx="363">
                  <c:v>205.9</c:v>
                </c:pt>
                <c:pt idx="364">
                  <c:v>205.71</c:v>
                </c:pt>
                <c:pt idx="365" c:formatCode="General">
                  <c:v>205.74</c:v>
                </c:pt>
              </c:numCache>
            </c:numRef>
          </c:val>
          <c:smooth val="0"/>
        </c:ser>
        <c:ser>
          <c:idx val="1"/>
          <c:order val="1"/>
          <c:tx>
            <c:strRef>
              <c:f>'[2024年电度统计 - 副本.xls]2024.01'!$D$1</c:f>
              <c:strCache>
                <c:ptCount val="1"/>
                <c:pt idx="0">
                  <c:v>下游水位</c:v>
                </c:pt>
              </c:strCache>
            </c:strRef>
          </c:tx>
          <c:spPr>
            <a:ln w="12700" cap="rnd" cmpd="sng" algn="ctr">
              <a:solidFill>
                <a:schemeClr val="accent2"/>
              </a:solidFill>
              <a:prstDash val="solid"/>
              <a:round/>
            </a:ln>
            <a:effectLst/>
            <a:sp3d contourW="12700"/>
          </c:spPr>
          <c:marker>
            <c:symbol val="none"/>
          </c:marker>
          <c:dLbls>
            <c:delete val="1"/>
          </c:dLbls>
          <c:cat>
            <c:numRef>
              <c:f>'[2024年电度统计 - 副本.xls]2024.01'!$A$3:$A$368</c:f>
              <c:numCache>
                <c:formatCode>m"月"d"日"</c:formatCode>
                <c:ptCount val="366"/>
                <c:pt idx="0" c:formatCode="m&quot;月&quot;d&quot;日&quot;">
                  <c:v>45292</c:v>
                </c:pt>
                <c:pt idx="1" c:formatCode="m&quot;月&quot;d&quot;日&quot;">
                  <c:v>45293</c:v>
                </c:pt>
                <c:pt idx="2" c:formatCode="m&quot;月&quot;d&quot;日&quot;">
                  <c:v>45294</c:v>
                </c:pt>
                <c:pt idx="3" c:formatCode="m&quot;月&quot;d&quot;日&quot;">
                  <c:v>45295</c:v>
                </c:pt>
                <c:pt idx="4" c:formatCode="m&quot;月&quot;d&quot;日&quot;">
                  <c:v>45296</c:v>
                </c:pt>
                <c:pt idx="5" c:formatCode="m&quot;月&quot;d&quot;日&quot;">
                  <c:v>45297</c:v>
                </c:pt>
                <c:pt idx="6" c:formatCode="m&quot;月&quot;d&quot;日&quot;">
                  <c:v>45298</c:v>
                </c:pt>
                <c:pt idx="7" c:formatCode="m&quot;月&quot;d&quot;日&quot;">
                  <c:v>45299</c:v>
                </c:pt>
                <c:pt idx="8" c:formatCode="m&quot;月&quot;d&quot;日&quot;">
                  <c:v>45300</c:v>
                </c:pt>
                <c:pt idx="9" c:formatCode="m&quot;月&quot;d&quot;日&quot;">
                  <c:v>45301</c:v>
                </c:pt>
                <c:pt idx="10" c:formatCode="m&quot;月&quot;d&quot;日&quot;">
                  <c:v>45302</c:v>
                </c:pt>
                <c:pt idx="11" c:formatCode="m&quot;月&quot;d&quot;日&quot;">
                  <c:v>45303</c:v>
                </c:pt>
                <c:pt idx="12" c:formatCode="m&quot;月&quot;d&quot;日&quot;">
                  <c:v>45304</c:v>
                </c:pt>
                <c:pt idx="13" c:formatCode="m&quot;月&quot;d&quot;日&quot;">
                  <c:v>45305</c:v>
                </c:pt>
                <c:pt idx="14" c:formatCode="m&quot;月&quot;d&quot;日&quot;">
                  <c:v>45306</c:v>
                </c:pt>
                <c:pt idx="15" c:formatCode="m&quot;月&quot;d&quot;日&quot;">
                  <c:v>45307</c:v>
                </c:pt>
                <c:pt idx="16" c:formatCode="m&quot;月&quot;d&quot;日&quot;">
                  <c:v>45308</c:v>
                </c:pt>
                <c:pt idx="17" c:formatCode="m&quot;月&quot;d&quot;日&quot;">
                  <c:v>45309</c:v>
                </c:pt>
                <c:pt idx="18" c:formatCode="m&quot;月&quot;d&quot;日&quot;">
                  <c:v>45310</c:v>
                </c:pt>
                <c:pt idx="19" c:formatCode="m&quot;月&quot;d&quot;日&quot;">
                  <c:v>45311</c:v>
                </c:pt>
                <c:pt idx="20" c:formatCode="m&quot;月&quot;d&quot;日&quot;">
                  <c:v>45312</c:v>
                </c:pt>
                <c:pt idx="21" c:formatCode="m&quot;月&quot;d&quot;日&quot;">
                  <c:v>45313</c:v>
                </c:pt>
                <c:pt idx="22" c:formatCode="m&quot;月&quot;d&quot;日&quot;">
                  <c:v>45314</c:v>
                </c:pt>
                <c:pt idx="23" c:formatCode="m&quot;月&quot;d&quot;日&quot;">
                  <c:v>45315</c:v>
                </c:pt>
                <c:pt idx="24" c:formatCode="m&quot;月&quot;d&quot;日&quot;">
                  <c:v>45316</c:v>
                </c:pt>
                <c:pt idx="25" c:formatCode="m&quot;月&quot;d&quot;日&quot;">
                  <c:v>45317</c:v>
                </c:pt>
                <c:pt idx="26" c:formatCode="m&quot;月&quot;d&quot;日&quot;">
                  <c:v>45318</c:v>
                </c:pt>
                <c:pt idx="27" c:formatCode="m&quot;月&quot;d&quot;日&quot;">
                  <c:v>45319</c:v>
                </c:pt>
                <c:pt idx="28" c:formatCode="m&quot;月&quot;d&quot;日&quot;">
                  <c:v>45320</c:v>
                </c:pt>
                <c:pt idx="29" c:formatCode="m&quot;月&quot;d&quot;日&quot;">
                  <c:v>45321</c:v>
                </c:pt>
                <c:pt idx="30" c:formatCode="m&quot;月&quot;d&quot;日&quot;">
                  <c:v>45322</c:v>
                </c:pt>
                <c:pt idx="31" c:formatCode="m&quot;月&quot;d&quot;日&quot;">
                  <c:v>45323</c:v>
                </c:pt>
                <c:pt idx="32" c:formatCode="m&quot;月&quot;d&quot;日&quot;">
                  <c:v>45324</c:v>
                </c:pt>
                <c:pt idx="33" c:formatCode="m&quot;月&quot;d&quot;日&quot;">
                  <c:v>45325</c:v>
                </c:pt>
                <c:pt idx="34" c:formatCode="m&quot;月&quot;d&quot;日&quot;">
                  <c:v>45326</c:v>
                </c:pt>
                <c:pt idx="35" c:formatCode="m&quot;月&quot;d&quot;日&quot;">
                  <c:v>45327</c:v>
                </c:pt>
                <c:pt idx="36" c:formatCode="m&quot;月&quot;d&quot;日&quot;">
                  <c:v>45328</c:v>
                </c:pt>
                <c:pt idx="37" c:formatCode="m&quot;月&quot;d&quot;日&quot;">
                  <c:v>45329</c:v>
                </c:pt>
                <c:pt idx="38" c:formatCode="m&quot;月&quot;d&quot;日&quot;">
                  <c:v>45330</c:v>
                </c:pt>
                <c:pt idx="39" c:formatCode="m&quot;月&quot;d&quot;日&quot;">
                  <c:v>45331</c:v>
                </c:pt>
                <c:pt idx="40" c:formatCode="m&quot;月&quot;d&quot;日&quot;">
                  <c:v>45332</c:v>
                </c:pt>
                <c:pt idx="41" c:formatCode="m&quot;月&quot;d&quot;日&quot;">
                  <c:v>45333</c:v>
                </c:pt>
                <c:pt idx="42" c:formatCode="m&quot;月&quot;d&quot;日&quot;">
                  <c:v>45334</c:v>
                </c:pt>
                <c:pt idx="43" c:formatCode="m&quot;月&quot;d&quot;日&quot;">
                  <c:v>45335</c:v>
                </c:pt>
                <c:pt idx="44" c:formatCode="m&quot;月&quot;d&quot;日&quot;">
                  <c:v>45336</c:v>
                </c:pt>
                <c:pt idx="45" c:formatCode="m&quot;月&quot;d&quot;日&quot;">
                  <c:v>45337</c:v>
                </c:pt>
                <c:pt idx="46" c:formatCode="m&quot;月&quot;d&quot;日&quot;">
                  <c:v>45338</c:v>
                </c:pt>
                <c:pt idx="47" c:formatCode="m&quot;月&quot;d&quot;日&quot;">
                  <c:v>45339</c:v>
                </c:pt>
                <c:pt idx="48" c:formatCode="m&quot;月&quot;d&quot;日&quot;">
                  <c:v>45340</c:v>
                </c:pt>
                <c:pt idx="49" c:formatCode="m&quot;月&quot;d&quot;日&quot;">
                  <c:v>45341</c:v>
                </c:pt>
                <c:pt idx="50" c:formatCode="m&quot;月&quot;d&quot;日&quot;">
                  <c:v>45342</c:v>
                </c:pt>
                <c:pt idx="51" c:formatCode="m&quot;月&quot;d&quot;日&quot;">
                  <c:v>45343</c:v>
                </c:pt>
                <c:pt idx="52" c:formatCode="m&quot;月&quot;d&quot;日&quot;">
                  <c:v>45344</c:v>
                </c:pt>
                <c:pt idx="53" c:formatCode="m&quot;月&quot;d&quot;日&quot;">
                  <c:v>45345</c:v>
                </c:pt>
                <c:pt idx="54" c:formatCode="m&quot;月&quot;d&quot;日&quot;">
                  <c:v>45346</c:v>
                </c:pt>
                <c:pt idx="55" c:formatCode="m&quot;月&quot;d&quot;日&quot;">
                  <c:v>45347</c:v>
                </c:pt>
                <c:pt idx="56" c:formatCode="m&quot;月&quot;d&quot;日&quot;">
                  <c:v>45348</c:v>
                </c:pt>
                <c:pt idx="57" c:formatCode="m&quot;月&quot;d&quot;日&quot;">
                  <c:v>45349</c:v>
                </c:pt>
                <c:pt idx="58" c:formatCode="m&quot;月&quot;d&quot;日&quot;">
                  <c:v>45350</c:v>
                </c:pt>
                <c:pt idx="59" c:formatCode="m&quot;月&quot;d&quot;日&quot;">
                  <c:v>45351</c:v>
                </c:pt>
                <c:pt idx="60" c:formatCode="m&quot;月&quot;d&quot;日&quot;">
                  <c:v>45352</c:v>
                </c:pt>
                <c:pt idx="61" c:formatCode="m&quot;月&quot;d&quot;日&quot;">
                  <c:v>45353</c:v>
                </c:pt>
                <c:pt idx="62" c:formatCode="m&quot;月&quot;d&quot;日&quot;">
                  <c:v>45354</c:v>
                </c:pt>
                <c:pt idx="63" c:formatCode="m&quot;月&quot;d&quot;日&quot;">
                  <c:v>45355</c:v>
                </c:pt>
                <c:pt idx="64" c:formatCode="m&quot;月&quot;d&quot;日&quot;">
                  <c:v>45356</c:v>
                </c:pt>
                <c:pt idx="65" c:formatCode="m&quot;月&quot;d&quot;日&quot;">
                  <c:v>45357</c:v>
                </c:pt>
                <c:pt idx="66" c:formatCode="m&quot;月&quot;d&quot;日&quot;">
                  <c:v>45358</c:v>
                </c:pt>
                <c:pt idx="67" c:formatCode="m&quot;月&quot;d&quot;日&quot;">
                  <c:v>45359</c:v>
                </c:pt>
                <c:pt idx="68" c:formatCode="m&quot;月&quot;d&quot;日&quot;">
                  <c:v>45360</c:v>
                </c:pt>
                <c:pt idx="69" c:formatCode="m&quot;月&quot;d&quot;日&quot;">
                  <c:v>45361</c:v>
                </c:pt>
                <c:pt idx="70" c:formatCode="m&quot;月&quot;d&quot;日&quot;">
                  <c:v>45362</c:v>
                </c:pt>
                <c:pt idx="71" c:formatCode="m&quot;月&quot;d&quot;日&quot;">
                  <c:v>45363</c:v>
                </c:pt>
                <c:pt idx="72" c:formatCode="m&quot;月&quot;d&quot;日&quot;">
                  <c:v>45364</c:v>
                </c:pt>
                <c:pt idx="73" c:formatCode="m&quot;月&quot;d&quot;日&quot;">
                  <c:v>45365</c:v>
                </c:pt>
                <c:pt idx="74" c:formatCode="m&quot;月&quot;d&quot;日&quot;">
                  <c:v>45366</c:v>
                </c:pt>
                <c:pt idx="75" c:formatCode="m&quot;月&quot;d&quot;日&quot;">
                  <c:v>45367</c:v>
                </c:pt>
                <c:pt idx="76" c:formatCode="m&quot;月&quot;d&quot;日&quot;">
                  <c:v>45368</c:v>
                </c:pt>
                <c:pt idx="77" c:formatCode="m&quot;月&quot;d&quot;日&quot;">
                  <c:v>45369</c:v>
                </c:pt>
                <c:pt idx="78" c:formatCode="m&quot;月&quot;d&quot;日&quot;">
                  <c:v>45370</c:v>
                </c:pt>
                <c:pt idx="79" c:formatCode="m&quot;月&quot;d&quot;日&quot;">
                  <c:v>45371</c:v>
                </c:pt>
                <c:pt idx="80" c:formatCode="m&quot;月&quot;d&quot;日&quot;">
                  <c:v>45372</c:v>
                </c:pt>
                <c:pt idx="81" c:formatCode="m&quot;月&quot;d&quot;日&quot;">
                  <c:v>45373</c:v>
                </c:pt>
                <c:pt idx="82" c:formatCode="m&quot;月&quot;d&quot;日&quot;">
                  <c:v>45374</c:v>
                </c:pt>
                <c:pt idx="83" c:formatCode="m&quot;月&quot;d&quot;日&quot;">
                  <c:v>45375</c:v>
                </c:pt>
                <c:pt idx="84" c:formatCode="m&quot;月&quot;d&quot;日&quot;">
                  <c:v>45376</c:v>
                </c:pt>
                <c:pt idx="85" c:formatCode="m&quot;月&quot;d&quot;日&quot;">
                  <c:v>45377</c:v>
                </c:pt>
                <c:pt idx="86" c:formatCode="m&quot;月&quot;d&quot;日&quot;">
                  <c:v>45378</c:v>
                </c:pt>
                <c:pt idx="87" c:formatCode="m&quot;月&quot;d&quot;日&quot;">
                  <c:v>45379</c:v>
                </c:pt>
                <c:pt idx="88" c:formatCode="m&quot;月&quot;d&quot;日&quot;">
                  <c:v>45380</c:v>
                </c:pt>
                <c:pt idx="89" c:formatCode="m&quot;月&quot;d&quot;日&quot;">
                  <c:v>45381</c:v>
                </c:pt>
                <c:pt idx="90" c:formatCode="m&quot;月&quot;d&quot;日&quot;">
                  <c:v>45382</c:v>
                </c:pt>
                <c:pt idx="91" c:formatCode="m&quot;月&quot;d&quot;日&quot;">
                  <c:v>45383</c:v>
                </c:pt>
                <c:pt idx="92" c:formatCode="m&quot;月&quot;d&quot;日&quot;">
                  <c:v>45384</c:v>
                </c:pt>
                <c:pt idx="93" c:formatCode="m&quot;月&quot;d&quot;日&quot;">
                  <c:v>45385</c:v>
                </c:pt>
                <c:pt idx="94" c:formatCode="m&quot;月&quot;d&quot;日&quot;">
                  <c:v>45386</c:v>
                </c:pt>
                <c:pt idx="95" c:formatCode="m&quot;月&quot;d&quot;日&quot;">
                  <c:v>45387</c:v>
                </c:pt>
                <c:pt idx="96" c:formatCode="m&quot;月&quot;d&quot;日&quot;">
                  <c:v>45388</c:v>
                </c:pt>
                <c:pt idx="97" c:formatCode="m&quot;月&quot;d&quot;日&quot;">
                  <c:v>45389</c:v>
                </c:pt>
                <c:pt idx="98" c:formatCode="m&quot;月&quot;d&quot;日&quot;">
                  <c:v>45390</c:v>
                </c:pt>
                <c:pt idx="99" c:formatCode="m&quot;月&quot;d&quot;日&quot;">
                  <c:v>45391</c:v>
                </c:pt>
                <c:pt idx="100" c:formatCode="m&quot;月&quot;d&quot;日&quot;">
                  <c:v>45392</c:v>
                </c:pt>
                <c:pt idx="101" c:formatCode="m&quot;月&quot;d&quot;日&quot;">
                  <c:v>45393</c:v>
                </c:pt>
                <c:pt idx="102" c:formatCode="m&quot;月&quot;d&quot;日&quot;">
                  <c:v>45394</c:v>
                </c:pt>
                <c:pt idx="103" c:formatCode="m&quot;月&quot;d&quot;日&quot;">
                  <c:v>45395</c:v>
                </c:pt>
                <c:pt idx="104" c:formatCode="m&quot;月&quot;d&quot;日&quot;">
                  <c:v>45396</c:v>
                </c:pt>
                <c:pt idx="105" c:formatCode="m&quot;月&quot;d&quot;日&quot;">
                  <c:v>45397</c:v>
                </c:pt>
                <c:pt idx="106" c:formatCode="m&quot;月&quot;d&quot;日&quot;">
                  <c:v>45398</c:v>
                </c:pt>
                <c:pt idx="107" c:formatCode="m&quot;月&quot;d&quot;日&quot;">
                  <c:v>45399</c:v>
                </c:pt>
                <c:pt idx="108" c:formatCode="m&quot;月&quot;d&quot;日&quot;">
                  <c:v>45400</c:v>
                </c:pt>
                <c:pt idx="109" c:formatCode="m&quot;月&quot;d&quot;日&quot;">
                  <c:v>45401</c:v>
                </c:pt>
                <c:pt idx="110" c:formatCode="m&quot;月&quot;d&quot;日&quot;">
                  <c:v>45402</c:v>
                </c:pt>
                <c:pt idx="111" c:formatCode="m&quot;月&quot;d&quot;日&quot;">
                  <c:v>45403</c:v>
                </c:pt>
                <c:pt idx="112" c:formatCode="m&quot;月&quot;d&quot;日&quot;">
                  <c:v>45404</c:v>
                </c:pt>
                <c:pt idx="113" c:formatCode="m&quot;月&quot;d&quot;日&quot;">
                  <c:v>45405</c:v>
                </c:pt>
                <c:pt idx="114" c:formatCode="m&quot;月&quot;d&quot;日&quot;">
                  <c:v>45406</c:v>
                </c:pt>
                <c:pt idx="115" c:formatCode="m&quot;月&quot;d&quot;日&quot;">
                  <c:v>45407</c:v>
                </c:pt>
                <c:pt idx="116" c:formatCode="m&quot;月&quot;d&quot;日&quot;">
                  <c:v>45408</c:v>
                </c:pt>
                <c:pt idx="117" c:formatCode="m&quot;月&quot;d&quot;日&quot;">
                  <c:v>45409</c:v>
                </c:pt>
                <c:pt idx="118" c:formatCode="m&quot;月&quot;d&quot;日&quot;">
                  <c:v>45410</c:v>
                </c:pt>
                <c:pt idx="119" c:formatCode="m&quot;月&quot;d&quot;日&quot;">
                  <c:v>45411</c:v>
                </c:pt>
                <c:pt idx="120" c:formatCode="m&quot;月&quot;d&quot;日&quot;">
                  <c:v>45412</c:v>
                </c:pt>
                <c:pt idx="121" c:formatCode="m&quot;月&quot;d&quot;日&quot;">
                  <c:v>45413</c:v>
                </c:pt>
                <c:pt idx="122" c:formatCode="m&quot;月&quot;d&quot;日&quot;">
                  <c:v>45414</c:v>
                </c:pt>
                <c:pt idx="123" c:formatCode="m&quot;月&quot;d&quot;日&quot;">
                  <c:v>45415</c:v>
                </c:pt>
                <c:pt idx="124" c:formatCode="m&quot;月&quot;d&quot;日&quot;">
                  <c:v>45416</c:v>
                </c:pt>
                <c:pt idx="125" c:formatCode="m&quot;月&quot;d&quot;日&quot;">
                  <c:v>45417</c:v>
                </c:pt>
                <c:pt idx="126" c:formatCode="m&quot;月&quot;d&quot;日&quot;">
                  <c:v>45418</c:v>
                </c:pt>
                <c:pt idx="127" c:formatCode="m&quot;月&quot;d&quot;日&quot;">
                  <c:v>45419</c:v>
                </c:pt>
                <c:pt idx="128" c:formatCode="m&quot;月&quot;d&quot;日&quot;">
                  <c:v>45420</c:v>
                </c:pt>
                <c:pt idx="129" c:formatCode="m&quot;月&quot;d&quot;日&quot;">
                  <c:v>45421</c:v>
                </c:pt>
                <c:pt idx="130" c:formatCode="m&quot;月&quot;d&quot;日&quot;">
                  <c:v>45422</c:v>
                </c:pt>
                <c:pt idx="131" c:formatCode="m&quot;月&quot;d&quot;日&quot;">
                  <c:v>45423</c:v>
                </c:pt>
                <c:pt idx="132" c:formatCode="m&quot;月&quot;d&quot;日&quot;">
                  <c:v>45424</c:v>
                </c:pt>
                <c:pt idx="133" c:formatCode="m&quot;月&quot;d&quot;日&quot;">
                  <c:v>45425</c:v>
                </c:pt>
                <c:pt idx="134" c:formatCode="m&quot;月&quot;d&quot;日&quot;">
                  <c:v>45426</c:v>
                </c:pt>
                <c:pt idx="135" c:formatCode="m&quot;月&quot;d&quot;日&quot;">
                  <c:v>45427</c:v>
                </c:pt>
                <c:pt idx="136" c:formatCode="m&quot;月&quot;d&quot;日&quot;">
                  <c:v>45428</c:v>
                </c:pt>
                <c:pt idx="137" c:formatCode="m&quot;月&quot;d&quot;日&quot;">
                  <c:v>45429</c:v>
                </c:pt>
                <c:pt idx="138" c:formatCode="m&quot;月&quot;d&quot;日&quot;">
                  <c:v>45430</c:v>
                </c:pt>
                <c:pt idx="139" c:formatCode="m&quot;月&quot;d&quot;日&quot;">
                  <c:v>45431</c:v>
                </c:pt>
                <c:pt idx="140" c:formatCode="m&quot;月&quot;d&quot;日&quot;">
                  <c:v>45432</c:v>
                </c:pt>
                <c:pt idx="141" c:formatCode="m&quot;月&quot;d&quot;日&quot;">
                  <c:v>45433</c:v>
                </c:pt>
                <c:pt idx="142" c:formatCode="m&quot;月&quot;d&quot;日&quot;">
                  <c:v>45434</c:v>
                </c:pt>
                <c:pt idx="143" c:formatCode="m&quot;月&quot;d&quot;日&quot;">
                  <c:v>45435</c:v>
                </c:pt>
                <c:pt idx="144" c:formatCode="m&quot;月&quot;d&quot;日&quot;">
                  <c:v>45436</c:v>
                </c:pt>
                <c:pt idx="145" c:formatCode="m&quot;月&quot;d&quot;日&quot;">
                  <c:v>45437</c:v>
                </c:pt>
                <c:pt idx="146" c:formatCode="m&quot;月&quot;d&quot;日&quot;">
                  <c:v>45438</c:v>
                </c:pt>
                <c:pt idx="147" c:formatCode="m&quot;月&quot;d&quot;日&quot;">
                  <c:v>45439</c:v>
                </c:pt>
                <c:pt idx="148" c:formatCode="m&quot;月&quot;d&quot;日&quot;">
                  <c:v>45440</c:v>
                </c:pt>
                <c:pt idx="149" c:formatCode="m&quot;月&quot;d&quot;日&quot;">
                  <c:v>45441</c:v>
                </c:pt>
                <c:pt idx="150" c:formatCode="m&quot;月&quot;d&quot;日&quot;">
                  <c:v>45442</c:v>
                </c:pt>
                <c:pt idx="151" c:formatCode="m&quot;月&quot;d&quot;日&quot;">
                  <c:v>45443</c:v>
                </c:pt>
                <c:pt idx="152" c:formatCode="m&quot;月&quot;d&quot;日&quot;">
                  <c:v>45444</c:v>
                </c:pt>
                <c:pt idx="153" c:formatCode="m&quot;月&quot;d&quot;日&quot;">
                  <c:v>45445</c:v>
                </c:pt>
                <c:pt idx="154" c:formatCode="m&quot;月&quot;d&quot;日&quot;">
                  <c:v>45446</c:v>
                </c:pt>
                <c:pt idx="155" c:formatCode="m&quot;月&quot;d&quot;日&quot;">
                  <c:v>45447</c:v>
                </c:pt>
                <c:pt idx="156" c:formatCode="m&quot;月&quot;d&quot;日&quot;">
                  <c:v>45448</c:v>
                </c:pt>
                <c:pt idx="157" c:formatCode="m&quot;月&quot;d&quot;日&quot;">
                  <c:v>45449</c:v>
                </c:pt>
                <c:pt idx="158" c:formatCode="m&quot;月&quot;d&quot;日&quot;">
                  <c:v>45450</c:v>
                </c:pt>
                <c:pt idx="159" c:formatCode="m&quot;月&quot;d&quot;日&quot;">
                  <c:v>45451</c:v>
                </c:pt>
                <c:pt idx="160" c:formatCode="m&quot;月&quot;d&quot;日&quot;">
                  <c:v>45452</c:v>
                </c:pt>
                <c:pt idx="161" c:formatCode="m&quot;月&quot;d&quot;日&quot;">
                  <c:v>45453</c:v>
                </c:pt>
                <c:pt idx="162" c:formatCode="m&quot;月&quot;d&quot;日&quot;">
                  <c:v>45454</c:v>
                </c:pt>
                <c:pt idx="163" c:formatCode="m&quot;月&quot;d&quot;日&quot;">
                  <c:v>45455</c:v>
                </c:pt>
                <c:pt idx="164" c:formatCode="m&quot;月&quot;d&quot;日&quot;">
                  <c:v>45456</c:v>
                </c:pt>
                <c:pt idx="165" c:formatCode="m&quot;月&quot;d&quot;日&quot;">
                  <c:v>45457</c:v>
                </c:pt>
                <c:pt idx="166" c:formatCode="m&quot;月&quot;d&quot;日&quot;">
                  <c:v>45458</c:v>
                </c:pt>
                <c:pt idx="167" c:formatCode="m&quot;月&quot;d&quot;日&quot;">
                  <c:v>45459</c:v>
                </c:pt>
                <c:pt idx="168" c:formatCode="m&quot;月&quot;d&quot;日&quot;">
                  <c:v>45460</c:v>
                </c:pt>
                <c:pt idx="169" c:formatCode="m&quot;月&quot;d&quot;日&quot;">
                  <c:v>45461</c:v>
                </c:pt>
                <c:pt idx="170" c:formatCode="m&quot;月&quot;d&quot;日&quot;">
                  <c:v>45462</c:v>
                </c:pt>
                <c:pt idx="171" c:formatCode="m&quot;月&quot;d&quot;日&quot;">
                  <c:v>45463</c:v>
                </c:pt>
                <c:pt idx="172" c:formatCode="m&quot;月&quot;d&quot;日&quot;">
                  <c:v>45464</c:v>
                </c:pt>
                <c:pt idx="173" c:formatCode="m&quot;月&quot;d&quot;日&quot;">
                  <c:v>45465</c:v>
                </c:pt>
                <c:pt idx="174" c:formatCode="m&quot;月&quot;d&quot;日&quot;">
                  <c:v>45466</c:v>
                </c:pt>
                <c:pt idx="175" c:formatCode="m&quot;月&quot;d&quot;日&quot;">
                  <c:v>45467</c:v>
                </c:pt>
                <c:pt idx="176" c:formatCode="m&quot;月&quot;d&quot;日&quot;">
                  <c:v>45468</c:v>
                </c:pt>
                <c:pt idx="177" c:formatCode="m&quot;月&quot;d&quot;日&quot;">
                  <c:v>45469</c:v>
                </c:pt>
                <c:pt idx="178" c:formatCode="m&quot;月&quot;d&quot;日&quot;">
                  <c:v>45470</c:v>
                </c:pt>
                <c:pt idx="179" c:formatCode="m&quot;月&quot;d&quot;日&quot;">
                  <c:v>45471</c:v>
                </c:pt>
                <c:pt idx="180" c:formatCode="m&quot;月&quot;d&quot;日&quot;">
                  <c:v>45472</c:v>
                </c:pt>
                <c:pt idx="181" c:formatCode="m&quot;月&quot;d&quot;日&quot;">
                  <c:v>45473</c:v>
                </c:pt>
                <c:pt idx="182" c:formatCode="m&quot;月&quot;d&quot;日&quot;">
                  <c:v>45474</c:v>
                </c:pt>
                <c:pt idx="183" c:formatCode="m&quot;月&quot;d&quot;日&quot;">
                  <c:v>45475</c:v>
                </c:pt>
                <c:pt idx="184" c:formatCode="m&quot;月&quot;d&quot;日&quot;">
                  <c:v>45476</c:v>
                </c:pt>
                <c:pt idx="185" c:formatCode="m&quot;月&quot;d&quot;日&quot;">
                  <c:v>45477</c:v>
                </c:pt>
                <c:pt idx="186" c:formatCode="m&quot;月&quot;d&quot;日&quot;">
                  <c:v>45478</c:v>
                </c:pt>
                <c:pt idx="187" c:formatCode="m&quot;月&quot;d&quot;日&quot;">
                  <c:v>45479</c:v>
                </c:pt>
                <c:pt idx="188" c:formatCode="m&quot;月&quot;d&quot;日&quot;">
                  <c:v>45480</c:v>
                </c:pt>
                <c:pt idx="189" c:formatCode="m&quot;月&quot;d&quot;日&quot;">
                  <c:v>45481</c:v>
                </c:pt>
                <c:pt idx="190" c:formatCode="m&quot;月&quot;d&quot;日&quot;">
                  <c:v>45482</c:v>
                </c:pt>
                <c:pt idx="191" c:formatCode="m&quot;月&quot;d&quot;日&quot;">
                  <c:v>45483</c:v>
                </c:pt>
                <c:pt idx="192" c:formatCode="m&quot;月&quot;d&quot;日&quot;">
                  <c:v>45484</c:v>
                </c:pt>
                <c:pt idx="193" c:formatCode="m&quot;月&quot;d&quot;日&quot;">
                  <c:v>45485</c:v>
                </c:pt>
                <c:pt idx="194" c:formatCode="m&quot;月&quot;d&quot;日&quot;">
                  <c:v>45486</c:v>
                </c:pt>
                <c:pt idx="195" c:formatCode="m&quot;月&quot;d&quot;日&quot;">
                  <c:v>45487</c:v>
                </c:pt>
                <c:pt idx="196" c:formatCode="m&quot;月&quot;d&quot;日&quot;">
                  <c:v>45488</c:v>
                </c:pt>
                <c:pt idx="197" c:formatCode="m&quot;月&quot;d&quot;日&quot;">
                  <c:v>45489</c:v>
                </c:pt>
                <c:pt idx="198" c:formatCode="m&quot;月&quot;d&quot;日&quot;">
                  <c:v>45490</c:v>
                </c:pt>
                <c:pt idx="199" c:formatCode="m&quot;月&quot;d&quot;日&quot;">
                  <c:v>45491</c:v>
                </c:pt>
                <c:pt idx="200" c:formatCode="m&quot;月&quot;d&quot;日&quot;">
                  <c:v>45492</c:v>
                </c:pt>
                <c:pt idx="201" c:formatCode="m&quot;月&quot;d&quot;日&quot;">
                  <c:v>45493</c:v>
                </c:pt>
                <c:pt idx="202" c:formatCode="m&quot;月&quot;d&quot;日&quot;">
                  <c:v>45494</c:v>
                </c:pt>
                <c:pt idx="203" c:formatCode="m&quot;月&quot;d&quot;日&quot;">
                  <c:v>45495</c:v>
                </c:pt>
                <c:pt idx="204" c:formatCode="m&quot;月&quot;d&quot;日&quot;">
                  <c:v>45496</c:v>
                </c:pt>
                <c:pt idx="205" c:formatCode="m&quot;月&quot;d&quot;日&quot;">
                  <c:v>45497</c:v>
                </c:pt>
                <c:pt idx="206" c:formatCode="m&quot;月&quot;d&quot;日&quot;">
                  <c:v>45498</c:v>
                </c:pt>
                <c:pt idx="207" c:formatCode="m&quot;月&quot;d&quot;日&quot;">
                  <c:v>45499</c:v>
                </c:pt>
                <c:pt idx="208" c:formatCode="m&quot;月&quot;d&quot;日&quot;">
                  <c:v>45500</c:v>
                </c:pt>
                <c:pt idx="209" c:formatCode="m&quot;月&quot;d&quot;日&quot;">
                  <c:v>45501</c:v>
                </c:pt>
                <c:pt idx="210" c:formatCode="m&quot;月&quot;d&quot;日&quot;">
                  <c:v>45502</c:v>
                </c:pt>
                <c:pt idx="211" c:formatCode="m&quot;月&quot;d&quot;日&quot;">
                  <c:v>45503</c:v>
                </c:pt>
                <c:pt idx="212" c:formatCode="m&quot;月&quot;d&quot;日&quot;">
                  <c:v>45504</c:v>
                </c:pt>
                <c:pt idx="213" c:formatCode="m&quot;月&quot;d&quot;日&quot;">
                  <c:v>45505</c:v>
                </c:pt>
                <c:pt idx="214" c:formatCode="m&quot;月&quot;d&quot;日&quot;">
                  <c:v>45506</c:v>
                </c:pt>
                <c:pt idx="215" c:formatCode="m&quot;月&quot;d&quot;日&quot;">
                  <c:v>45507</c:v>
                </c:pt>
                <c:pt idx="216" c:formatCode="m&quot;月&quot;d&quot;日&quot;">
                  <c:v>45508</c:v>
                </c:pt>
                <c:pt idx="217" c:formatCode="m&quot;月&quot;d&quot;日&quot;">
                  <c:v>45509</c:v>
                </c:pt>
                <c:pt idx="218" c:formatCode="m&quot;月&quot;d&quot;日&quot;">
                  <c:v>45510</c:v>
                </c:pt>
                <c:pt idx="219" c:formatCode="m&quot;月&quot;d&quot;日&quot;">
                  <c:v>45511</c:v>
                </c:pt>
                <c:pt idx="220" c:formatCode="m&quot;月&quot;d&quot;日&quot;">
                  <c:v>45512</c:v>
                </c:pt>
                <c:pt idx="221" c:formatCode="m&quot;月&quot;d&quot;日&quot;">
                  <c:v>45513</c:v>
                </c:pt>
                <c:pt idx="222" c:formatCode="m&quot;月&quot;d&quot;日&quot;">
                  <c:v>45514</c:v>
                </c:pt>
                <c:pt idx="223" c:formatCode="m&quot;月&quot;d&quot;日&quot;">
                  <c:v>45515</c:v>
                </c:pt>
                <c:pt idx="224" c:formatCode="m&quot;月&quot;d&quot;日&quot;">
                  <c:v>45516</c:v>
                </c:pt>
                <c:pt idx="225" c:formatCode="m&quot;月&quot;d&quot;日&quot;">
                  <c:v>45517</c:v>
                </c:pt>
                <c:pt idx="226" c:formatCode="m&quot;月&quot;d&quot;日&quot;">
                  <c:v>45518</c:v>
                </c:pt>
                <c:pt idx="227" c:formatCode="m&quot;月&quot;d&quot;日&quot;">
                  <c:v>45519</c:v>
                </c:pt>
                <c:pt idx="228" c:formatCode="m&quot;月&quot;d&quot;日&quot;">
                  <c:v>45520</c:v>
                </c:pt>
                <c:pt idx="229" c:formatCode="m&quot;月&quot;d&quot;日&quot;">
                  <c:v>45521</c:v>
                </c:pt>
                <c:pt idx="230" c:formatCode="m&quot;月&quot;d&quot;日&quot;">
                  <c:v>45522</c:v>
                </c:pt>
                <c:pt idx="231" c:formatCode="m&quot;月&quot;d&quot;日&quot;">
                  <c:v>45523</c:v>
                </c:pt>
                <c:pt idx="232" c:formatCode="m&quot;月&quot;d&quot;日&quot;">
                  <c:v>45524</c:v>
                </c:pt>
                <c:pt idx="233" c:formatCode="m&quot;月&quot;d&quot;日&quot;">
                  <c:v>45525</c:v>
                </c:pt>
                <c:pt idx="234" c:formatCode="m&quot;月&quot;d&quot;日&quot;">
                  <c:v>45526</c:v>
                </c:pt>
                <c:pt idx="235" c:formatCode="m&quot;月&quot;d&quot;日&quot;">
                  <c:v>45527</c:v>
                </c:pt>
                <c:pt idx="236" c:formatCode="m&quot;月&quot;d&quot;日&quot;">
                  <c:v>45528</c:v>
                </c:pt>
                <c:pt idx="237" c:formatCode="m&quot;月&quot;d&quot;日&quot;">
                  <c:v>45529</c:v>
                </c:pt>
                <c:pt idx="238" c:formatCode="m&quot;月&quot;d&quot;日&quot;">
                  <c:v>45530</c:v>
                </c:pt>
                <c:pt idx="239" c:formatCode="m&quot;月&quot;d&quot;日&quot;">
                  <c:v>45531</c:v>
                </c:pt>
                <c:pt idx="240" c:formatCode="m&quot;月&quot;d&quot;日&quot;">
                  <c:v>45532</c:v>
                </c:pt>
                <c:pt idx="241" c:formatCode="m&quot;月&quot;d&quot;日&quot;">
                  <c:v>45533</c:v>
                </c:pt>
                <c:pt idx="242" c:formatCode="m&quot;月&quot;d&quot;日&quot;">
                  <c:v>45534</c:v>
                </c:pt>
                <c:pt idx="243" c:formatCode="m&quot;月&quot;d&quot;日&quot;">
                  <c:v>45535</c:v>
                </c:pt>
                <c:pt idx="244" c:formatCode="m&quot;月&quot;d&quot;日&quot;">
                  <c:v>45536</c:v>
                </c:pt>
                <c:pt idx="245" c:formatCode="m&quot;月&quot;d&quot;日&quot;">
                  <c:v>45537</c:v>
                </c:pt>
                <c:pt idx="246" c:formatCode="m&quot;月&quot;d&quot;日&quot;">
                  <c:v>45538</c:v>
                </c:pt>
                <c:pt idx="247" c:formatCode="m&quot;月&quot;d&quot;日&quot;">
                  <c:v>45539</c:v>
                </c:pt>
                <c:pt idx="248" c:formatCode="m&quot;月&quot;d&quot;日&quot;">
                  <c:v>45540</c:v>
                </c:pt>
                <c:pt idx="249" c:formatCode="m&quot;月&quot;d&quot;日&quot;">
                  <c:v>45541</c:v>
                </c:pt>
                <c:pt idx="250" c:formatCode="m&quot;月&quot;d&quot;日&quot;">
                  <c:v>45542</c:v>
                </c:pt>
                <c:pt idx="251" c:formatCode="m&quot;月&quot;d&quot;日&quot;">
                  <c:v>45543</c:v>
                </c:pt>
                <c:pt idx="252" c:formatCode="m&quot;月&quot;d&quot;日&quot;">
                  <c:v>45544</c:v>
                </c:pt>
                <c:pt idx="253" c:formatCode="m&quot;月&quot;d&quot;日&quot;">
                  <c:v>45545</c:v>
                </c:pt>
                <c:pt idx="254" c:formatCode="m&quot;月&quot;d&quot;日&quot;">
                  <c:v>45546</c:v>
                </c:pt>
                <c:pt idx="255" c:formatCode="m&quot;月&quot;d&quot;日&quot;">
                  <c:v>45547</c:v>
                </c:pt>
                <c:pt idx="256" c:formatCode="m&quot;月&quot;d&quot;日&quot;">
                  <c:v>45548</c:v>
                </c:pt>
                <c:pt idx="257" c:formatCode="m&quot;月&quot;d&quot;日&quot;">
                  <c:v>45549</c:v>
                </c:pt>
                <c:pt idx="258" c:formatCode="m&quot;月&quot;d&quot;日&quot;">
                  <c:v>45550</c:v>
                </c:pt>
                <c:pt idx="259" c:formatCode="m&quot;月&quot;d&quot;日&quot;">
                  <c:v>45551</c:v>
                </c:pt>
                <c:pt idx="260" c:formatCode="m&quot;月&quot;d&quot;日&quot;">
                  <c:v>45552</c:v>
                </c:pt>
                <c:pt idx="261" c:formatCode="m&quot;月&quot;d&quot;日&quot;">
                  <c:v>45553</c:v>
                </c:pt>
                <c:pt idx="262" c:formatCode="m&quot;月&quot;d&quot;日&quot;">
                  <c:v>45554</c:v>
                </c:pt>
                <c:pt idx="263" c:formatCode="m&quot;月&quot;d&quot;日&quot;">
                  <c:v>45555</c:v>
                </c:pt>
                <c:pt idx="264" c:formatCode="m&quot;月&quot;d&quot;日&quot;">
                  <c:v>45556</c:v>
                </c:pt>
                <c:pt idx="265" c:formatCode="m&quot;月&quot;d&quot;日&quot;">
                  <c:v>45557</c:v>
                </c:pt>
                <c:pt idx="266" c:formatCode="m&quot;月&quot;d&quot;日&quot;">
                  <c:v>45558</c:v>
                </c:pt>
                <c:pt idx="267" c:formatCode="m&quot;月&quot;d&quot;日&quot;">
                  <c:v>45559</c:v>
                </c:pt>
                <c:pt idx="268" c:formatCode="m&quot;月&quot;d&quot;日&quot;">
                  <c:v>45560</c:v>
                </c:pt>
                <c:pt idx="269" c:formatCode="m&quot;月&quot;d&quot;日&quot;">
                  <c:v>45561</c:v>
                </c:pt>
                <c:pt idx="270" c:formatCode="m&quot;月&quot;d&quot;日&quot;">
                  <c:v>45562</c:v>
                </c:pt>
                <c:pt idx="271" c:formatCode="m&quot;月&quot;d&quot;日&quot;">
                  <c:v>45563</c:v>
                </c:pt>
                <c:pt idx="272" c:formatCode="m&quot;月&quot;d&quot;日&quot;">
                  <c:v>45564</c:v>
                </c:pt>
                <c:pt idx="273" c:formatCode="m&quot;月&quot;d&quot;日&quot;">
                  <c:v>45565</c:v>
                </c:pt>
                <c:pt idx="274" c:formatCode="m&quot;月&quot;d&quot;日&quot;">
                  <c:v>45566</c:v>
                </c:pt>
                <c:pt idx="275" c:formatCode="m&quot;月&quot;d&quot;日&quot;">
                  <c:v>45567</c:v>
                </c:pt>
                <c:pt idx="276" c:formatCode="m&quot;月&quot;d&quot;日&quot;">
                  <c:v>45568</c:v>
                </c:pt>
                <c:pt idx="277" c:formatCode="m&quot;月&quot;d&quot;日&quot;">
                  <c:v>45569</c:v>
                </c:pt>
                <c:pt idx="278" c:formatCode="m&quot;月&quot;d&quot;日&quot;">
                  <c:v>45570</c:v>
                </c:pt>
                <c:pt idx="279" c:formatCode="m&quot;月&quot;d&quot;日&quot;">
                  <c:v>45571</c:v>
                </c:pt>
                <c:pt idx="280" c:formatCode="m&quot;月&quot;d&quot;日&quot;">
                  <c:v>45572</c:v>
                </c:pt>
                <c:pt idx="281" c:formatCode="m&quot;月&quot;d&quot;日&quot;">
                  <c:v>45573</c:v>
                </c:pt>
                <c:pt idx="282" c:formatCode="m&quot;月&quot;d&quot;日&quot;">
                  <c:v>45574</c:v>
                </c:pt>
                <c:pt idx="283" c:formatCode="m&quot;月&quot;d&quot;日&quot;">
                  <c:v>45575</c:v>
                </c:pt>
                <c:pt idx="284" c:formatCode="m&quot;月&quot;d&quot;日&quot;">
                  <c:v>45576</c:v>
                </c:pt>
                <c:pt idx="285" c:formatCode="m&quot;月&quot;d&quot;日&quot;">
                  <c:v>45577</c:v>
                </c:pt>
                <c:pt idx="286" c:formatCode="m&quot;月&quot;d&quot;日&quot;">
                  <c:v>45578</c:v>
                </c:pt>
                <c:pt idx="287" c:formatCode="m&quot;月&quot;d&quot;日&quot;">
                  <c:v>45579</c:v>
                </c:pt>
                <c:pt idx="288" c:formatCode="m&quot;月&quot;d&quot;日&quot;">
                  <c:v>45580</c:v>
                </c:pt>
                <c:pt idx="289" c:formatCode="m&quot;月&quot;d&quot;日&quot;">
                  <c:v>45581</c:v>
                </c:pt>
                <c:pt idx="290" c:formatCode="m&quot;月&quot;d&quot;日&quot;">
                  <c:v>45582</c:v>
                </c:pt>
                <c:pt idx="291" c:formatCode="m&quot;月&quot;d&quot;日&quot;">
                  <c:v>45583</c:v>
                </c:pt>
                <c:pt idx="292" c:formatCode="m&quot;月&quot;d&quot;日&quot;">
                  <c:v>45584</c:v>
                </c:pt>
                <c:pt idx="293" c:formatCode="m&quot;月&quot;d&quot;日&quot;">
                  <c:v>45585</c:v>
                </c:pt>
                <c:pt idx="294" c:formatCode="m&quot;月&quot;d&quot;日&quot;">
                  <c:v>45586</c:v>
                </c:pt>
                <c:pt idx="295" c:formatCode="m&quot;月&quot;d&quot;日&quot;">
                  <c:v>45587</c:v>
                </c:pt>
                <c:pt idx="296" c:formatCode="m&quot;月&quot;d&quot;日&quot;">
                  <c:v>45588</c:v>
                </c:pt>
                <c:pt idx="297" c:formatCode="m&quot;月&quot;d&quot;日&quot;">
                  <c:v>45589</c:v>
                </c:pt>
                <c:pt idx="298" c:formatCode="m&quot;月&quot;d&quot;日&quot;">
                  <c:v>45590</c:v>
                </c:pt>
                <c:pt idx="299" c:formatCode="m&quot;月&quot;d&quot;日&quot;">
                  <c:v>45591</c:v>
                </c:pt>
                <c:pt idx="300" c:formatCode="m&quot;月&quot;d&quot;日&quot;">
                  <c:v>45592</c:v>
                </c:pt>
                <c:pt idx="301" c:formatCode="m&quot;月&quot;d&quot;日&quot;">
                  <c:v>45593</c:v>
                </c:pt>
                <c:pt idx="302" c:formatCode="m&quot;月&quot;d&quot;日&quot;">
                  <c:v>45594</c:v>
                </c:pt>
                <c:pt idx="303" c:formatCode="m&quot;月&quot;d&quot;日&quot;">
                  <c:v>45595</c:v>
                </c:pt>
                <c:pt idx="304" c:formatCode="m&quot;月&quot;d&quot;日&quot;">
                  <c:v>45596</c:v>
                </c:pt>
                <c:pt idx="305" c:formatCode="m&quot;月&quot;d&quot;日&quot;">
                  <c:v>45597</c:v>
                </c:pt>
                <c:pt idx="306" c:formatCode="m&quot;月&quot;d&quot;日&quot;">
                  <c:v>45598</c:v>
                </c:pt>
                <c:pt idx="307" c:formatCode="m&quot;月&quot;d&quot;日&quot;">
                  <c:v>45599</c:v>
                </c:pt>
                <c:pt idx="308" c:formatCode="m&quot;月&quot;d&quot;日&quot;">
                  <c:v>45600</c:v>
                </c:pt>
                <c:pt idx="309" c:formatCode="m&quot;月&quot;d&quot;日&quot;">
                  <c:v>45601</c:v>
                </c:pt>
                <c:pt idx="310" c:formatCode="m&quot;月&quot;d&quot;日&quot;">
                  <c:v>45602</c:v>
                </c:pt>
                <c:pt idx="311" c:formatCode="m&quot;月&quot;d&quot;日&quot;">
                  <c:v>45603</c:v>
                </c:pt>
                <c:pt idx="312" c:formatCode="m&quot;月&quot;d&quot;日&quot;">
                  <c:v>45604</c:v>
                </c:pt>
                <c:pt idx="313" c:formatCode="m&quot;月&quot;d&quot;日&quot;">
                  <c:v>45605</c:v>
                </c:pt>
                <c:pt idx="314" c:formatCode="m&quot;月&quot;d&quot;日&quot;">
                  <c:v>45606</c:v>
                </c:pt>
                <c:pt idx="315" c:formatCode="m&quot;月&quot;d&quot;日&quot;">
                  <c:v>45607</c:v>
                </c:pt>
                <c:pt idx="316" c:formatCode="m&quot;月&quot;d&quot;日&quot;">
                  <c:v>45608</c:v>
                </c:pt>
                <c:pt idx="317" c:formatCode="m&quot;月&quot;d&quot;日&quot;">
                  <c:v>45609</c:v>
                </c:pt>
                <c:pt idx="318" c:formatCode="m&quot;月&quot;d&quot;日&quot;">
                  <c:v>45610</c:v>
                </c:pt>
                <c:pt idx="319" c:formatCode="m&quot;月&quot;d&quot;日&quot;">
                  <c:v>45611</c:v>
                </c:pt>
                <c:pt idx="320" c:formatCode="m&quot;月&quot;d&quot;日&quot;">
                  <c:v>45612</c:v>
                </c:pt>
                <c:pt idx="321" c:formatCode="m&quot;月&quot;d&quot;日&quot;">
                  <c:v>45613</c:v>
                </c:pt>
                <c:pt idx="322" c:formatCode="m&quot;月&quot;d&quot;日&quot;">
                  <c:v>45614</c:v>
                </c:pt>
                <c:pt idx="323" c:formatCode="m&quot;月&quot;d&quot;日&quot;">
                  <c:v>45615</c:v>
                </c:pt>
                <c:pt idx="324" c:formatCode="m&quot;月&quot;d&quot;日&quot;">
                  <c:v>45616</c:v>
                </c:pt>
                <c:pt idx="325" c:formatCode="m&quot;月&quot;d&quot;日&quot;">
                  <c:v>45617</c:v>
                </c:pt>
                <c:pt idx="326" c:formatCode="m&quot;月&quot;d&quot;日&quot;">
                  <c:v>45618</c:v>
                </c:pt>
                <c:pt idx="327" c:formatCode="m&quot;月&quot;d&quot;日&quot;">
                  <c:v>45619</c:v>
                </c:pt>
                <c:pt idx="328" c:formatCode="m&quot;月&quot;d&quot;日&quot;">
                  <c:v>45620</c:v>
                </c:pt>
                <c:pt idx="329" c:formatCode="m&quot;月&quot;d&quot;日&quot;">
                  <c:v>45621</c:v>
                </c:pt>
                <c:pt idx="330" c:formatCode="m&quot;月&quot;d&quot;日&quot;">
                  <c:v>45622</c:v>
                </c:pt>
                <c:pt idx="331" c:formatCode="m&quot;月&quot;d&quot;日&quot;">
                  <c:v>45623</c:v>
                </c:pt>
                <c:pt idx="332" c:formatCode="m&quot;月&quot;d&quot;日&quot;">
                  <c:v>45624</c:v>
                </c:pt>
                <c:pt idx="333" c:formatCode="m&quot;月&quot;d&quot;日&quot;">
                  <c:v>45625</c:v>
                </c:pt>
                <c:pt idx="334" c:formatCode="m&quot;月&quot;d&quot;日&quot;">
                  <c:v>45626</c:v>
                </c:pt>
                <c:pt idx="335" c:formatCode="m&quot;月&quot;d&quot;日&quot;">
                  <c:v>45627</c:v>
                </c:pt>
                <c:pt idx="336" c:formatCode="m&quot;月&quot;d&quot;日&quot;">
                  <c:v>45628</c:v>
                </c:pt>
                <c:pt idx="337" c:formatCode="m&quot;月&quot;d&quot;日&quot;">
                  <c:v>45629</c:v>
                </c:pt>
                <c:pt idx="338" c:formatCode="m&quot;月&quot;d&quot;日&quot;">
                  <c:v>45630</c:v>
                </c:pt>
                <c:pt idx="339" c:formatCode="m&quot;月&quot;d&quot;日&quot;">
                  <c:v>45631</c:v>
                </c:pt>
                <c:pt idx="340" c:formatCode="m&quot;月&quot;d&quot;日&quot;">
                  <c:v>45632</c:v>
                </c:pt>
                <c:pt idx="341" c:formatCode="m&quot;月&quot;d&quot;日&quot;">
                  <c:v>45633</c:v>
                </c:pt>
                <c:pt idx="342" c:formatCode="m&quot;月&quot;d&quot;日&quot;">
                  <c:v>45634</c:v>
                </c:pt>
                <c:pt idx="343" c:formatCode="m&quot;月&quot;d&quot;日&quot;">
                  <c:v>45635</c:v>
                </c:pt>
                <c:pt idx="344" c:formatCode="m&quot;月&quot;d&quot;日&quot;">
                  <c:v>45636</c:v>
                </c:pt>
                <c:pt idx="345" c:formatCode="m&quot;月&quot;d&quot;日&quot;">
                  <c:v>45637</c:v>
                </c:pt>
                <c:pt idx="346" c:formatCode="m&quot;月&quot;d&quot;日&quot;">
                  <c:v>45638</c:v>
                </c:pt>
                <c:pt idx="347" c:formatCode="m&quot;月&quot;d&quot;日&quot;">
                  <c:v>45639</c:v>
                </c:pt>
                <c:pt idx="348" c:formatCode="m&quot;月&quot;d&quot;日&quot;">
                  <c:v>45640</c:v>
                </c:pt>
                <c:pt idx="349" c:formatCode="m&quot;月&quot;d&quot;日&quot;">
                  <c:v>45641</c:v>
                </c:pt>
                <c:pt idx="350" c:formatCode="m&quot;月&quot;d&quot;日&quot;">
                  <c:v>45642</c:v>
                </c:pt>
                <c:pt idx="351" c:formatCode="m&quot;月&quot;d&quot;日&quot;">
                  <c:v>45643</c:v>
                </c:pt>
                <c:pt idx="352" c:formatCode="m&quot;月&quot;d&quot;日&quot;">
                  <c:v>45644</c:v>
                </c:pt>
                <c:pt idx="353" c:formatCode="m&quot;月&quot;d&quot;日&quot;">
                  <c:v>45645</c:v>
                </c:pt>
                <c:pt idx="354" c:formatCode="m&quot;月&quot;d&quot;日&quot;">
                  <c:v>45646</c:v>
                </c:pt>
                <c:pt idx="355" c:formatCode="m&quot;月&quot;d&quot;日&quot;">
                  <c:v>45647</c:v>
                </c:pt>
                <c:pt idx="356" c:formatCode="m&quot;月&quot;d&quot;日&quot;">
                  <c:v>45648</c:v>
                </c:pt>
                <c:pt idx="357" c:formatCode="m&quot;月&quot;d&quot;日&quot;">
                  <c:v>45649</c:v>
                </c:pt>
                <c:pt idx="358" c:formatCode="m&quot;月&quot;d&quot;日&quot;">
                  <c:v>45650</c:v>
                </c:pt>
                <c:pt idx="359" c:formatCode="m&quot;月&quot;d&quot;日&quot;">
                  <c:v>45651</c:v>
                </c:pt>
                <c:pt idx="360" c:formatCode="m&quot;月&quot;d&quot;日&quot;">
                  <c:v>45652</c:v>
                </c:pt>
                <c:pt idx="361" c:formatCode="m&quot;月&quot;d&quot;日&quot;">
                  <c:v>45653</c:v>
                </c:pt>
                <c:pt idx="362" c:formatCode="m&quot;月&quot;d&quot;日&quot;">
                  <c:v>45654</c:v>
                </c:pt>
                <c:pt idx="363" c:formatCode="m&quot;月&quot;d&quot;日&quot;">
                  <c:v>45655</c:v>
                </c:pt>
                <c:pt idx="364" c:formatCode="m&quot;月&quot;d&quot;日&quot;">
                  <c:v>45656</c:v>
                </c:pt>
                <c:pt idx="365" c:formatCode="m&quot;月&quot;d&quot;日&quot;">
                  <c:v>45657</c:v>
                </c:pt>
              </c:numCache>
            </c:numRef>
          </c:cat>
          <c:val>
            <c:numRef>
              <c:f>'[2024年电度统计 - 副本.xls]2024.01'!$D$3:$D$368</c:f>
              <c:numCache>
                <c:formatCode>General</c:formatCode>
                <c:ptCount val="366"/>
                <c:pt idx="0">
                  <c:v>202.31</c:v>
                </c:pt>
                <c:pt idx="1" c:formatCode="0.00_ ">
                  <c:v>202.51</c:v>
                </c:pt>
                <c:pt idx="2" c:formatCode="0.00_ ">
                  <c:v>202.93</c:v>
                </c:pt>
                <c:pt idx="3" c:formatCode="0.00_ ">
                  <c:v>202.4</c:v>
                </c:pt>
                <c:pt idx="4" c:formatCode="0.00_ ">
                  <c:v>202.57</c:v>
                </c:pt>
                <c:pt idx="5" c:formatCode="0.00_ ">
                  <c:v>202.14</c:v>
                </c:pt>
                <c:pt idx="6" c:formatCode="0.00_ ">
                  <c:v>202.16</c:v>
                </c:pt>
                <c:pt idx="7" c:formatCode="0.00_ ">
                  <c:v>202.25</c:v>
                </c:pt>
                <c:pt idx="8" c:formatCode="0.00_ ">
                  <c:v>202.42</c:v>
                </c:pt>
                <c:pt idx="9" c:formatCode="0.00_ ">
                  <c:v>202.39</c:v>
                </c:pt>
                <c:pt idx="10" c:formatCode="0.00_ ">
                  <c:v>202.41</c:v>
                </c:pt>
                <c:pt idx="11" c:formatCode="0.00_ ">
                  <c:v>202.54</c:v>
                </c:pt>
                <c:pt idx="12" c:formatCode="0.00_ ">
                  <c:v>202.7</c:v>
                </c:pt>
                <c:pt idx="13" c:formatCode="0.00_ ">
                  <c:v>202.42</c:v>
                </c:pt>
                <c:pt idx="14" c:formatCode="0.00_ ">
                  <c:v>202.09</c:v>
                </c:pt>
                <c:pt idx="15" c:formatCode="0.00_ ">
                  <c:v>202.33</c:v>
                </c:pt>
                <c:pt idx="16" c:formatCode="0.00_ ">
                  <c:v>202.46</c:v>
                </c:pt>
                <c:pt idx="17" c:formatCode="0.00_ ">
                  <c:v>202.47</c:v>
                </c:pt>
                <c:pt idx="18" c:formatCode="0.00_ ">
                  <c:v>202.16</c:v>
                </c:pt>
                <c:pt idx="19" c:formatCode="0.00_ ">
                  <c:v>202.08</c:v>
                </c:pt>
                <c:pt idx="20" c:formatCode="0.00_ ">
                  <c:v>202.3</c:v>
                </c:pt>
                <c:pt idx="21" c:formatCode="0.00_ ">
                  <c:v>202.49</c:v>
                </c:pt>
                <c:pt idx="22" c:formatCode="0.00_ ">
                  <c:v>202.55</c:v>
                </c:pt>
                <c:pt idx="23" c:formatCode="0.00_ ">
                  <c:v>202.43</c:v>
                </c:pt>
                <c:pt idx="24" c:formatCode="0.00_ ">
                  <c:v>202.65</c:v>
                </c:pt>
                <c:pt idx="25" c:formatCode="0.00_ ">
                  <c:v>202.43</c:v>
                </c:pt>
                <c:pt idx="26" c:formatCode="0.00_ ">
                  <c:v>202.4</c:v>
                </c:pt>
                <c:pt idx="27" c:formatCode="0.00_ ">
                  <c:v>202.32</c:v>
                </c:pt>
                <c:pt idx="28" c:formatCode="0.00_ ">
                  <c:v>202.61</c:v>
                </c:pt>
                <c:pt idx="29" c:formatCode="0.00_ ">
                  <c:v>202.75</c:v>
                </c:pt>
                <c:pt idx="30">
                  <c:v>202.51</c:v>
                </c:pt>
                <c:pt idx="31">
                  <c:v>202.36</c:v>
                </c:pt>
                <c:pt idx="32" c:formatCode="0.00_ ">
                  <c:v>202.31</c:v>
                </c:pt>
                <c:pt idx="33" c:formatCode="0.00_ ">
                  <c:v>202.34</c:v>
                </c:pt>
                <c:pt idx="34" c:formatCode="0.00_ ">
                  <c:v>202.58</c:v>
                </c:pt>
                <c:pt idx="35" c:formatCode="0.00_ ">
                  <c:v>202.58</c:v>
                </c:pt>
                <c:pt idx="36" c:formatCode="0.00_ ">
                  <c:v>202.51</c:v>
                </c:pt>
                <c:pt idx="37" c:formatCode="0.00_ ">
                  <c:v>202.57</c:v>
                </c:pt>
                <c:pt idx="38" c:formatCode="0.00_ ">
                  <c:v>202.46</c:v>
                </c:pt>
                <c:pt idx="39" c:formatCode="0.00_ ">
                  <c:v>202.25</c:v>
                </c:pt>
                <c:pt idx="40" c:formatCode="0.00_ ">
                  <c:v>202.53</c:v>
                </c:pt>
                <c:pt idx="41" c:formatCode="0.00_ ">
                  <c:v>202.56</c:v>
                </c:pt>
                <c:pt idx="42" c:formatCode="0.00_ ">
                  <c:v>202.47</c:v>
                </c:pt>
                <c:pt idx="43" c:formatCode="0.00_ ">
                  <c:v>202.48</c:v>
                </c:pt>
                <c:pt idx="44" c:formatCode="0.00_ ">
                  <c:v>202.41</c:v>
                </c:pt>
                <c:pt idx="45" c:formatCode="0.00_ ">
                  <c:v>202.39</c:v>
                </c:pt>
                <c:pt idx="46" c:formatCode="0.00_ ">
                  <c:v>202.59</c:v>
                </c:pt>
                <c:pt idx="47" c:formatCode="0.00_ ">
                  <c:v>202.57</c:v>
                </c:pt>
                <c:pt idx="48" c:formatCode="0.00_ ">
                  <c:v>202.33</c:v>
                </c:pt>
                <c:pt idx="49" c:formatCode="0.00_ ">
                  <c:v>202.27</c:v>
                </c:pt>
                <c:pt idx="50" c:formatCode="0.00_ ">
                  <c:v>202.09</c:v>
                </c:pt>
                <c:pt idx="51" c:formatCode="0.00_ ">
                  <c:v>202.27</c:v>
                </c:pt>
                <c:pt idx="52" c:formatCode="0.00_ ">
                  <c:v>202.26</c:v>
                </c:pt>
                <c:pt idx="53" c:formatCode="0.00_ ">
                  <c:v>202.42</c:v>
                </c:pt>
                <c:pt idx="54" c:formatCode="0.00_ ">
                  <c:v>202</c:v>
                </c:pt>
                <c:pt idx="55" c:formatCode="0.00_ ">
                  <c:v>202.22</c:v>
                </c:pt>
                <c:pt idx="56" c:formatCode="0.00_ ">
                  <c:v>202.48</c:v>
                </c:pt>
                <c:pt idx="57" c:formatCode="0.00_ ">
                  <c:v>202.69</c:v>
                </c:pt>
                <c:pt idx="58" c:formatCode="0.00_ ">
                  <c:v>202.71</c:v>
                </c:pt>
                <c:pt idx="59" c:formatCode="0.00_ ">
                  <c:v>202.53</c:v>
                </c:pt>
                <c:pt idx="60">
                  <c:v>202.43</c:v>
                </c:pt>
                <c:pt idx="61" c:formatCode="0.00_ ">
                  <c:v>202.53</c:v>
                </c:pt>
                <c:pt idx="62" c:formatCode="0.00_ ">
                  <c:v>202.52</c:v>
                </c:pt>
                <c:pt idx="63" c:formatCode="0.00_ ">
                  <c:v>202.52</c:v>
                </c:pt>
                <c:pt idx="64" c:formatCode="0.00_ ">
                  <c:v>202.52</c:v>
                </c:pt>
                <c:pt idx="65" c:formatCode="0.00_ ">
                  <c:v>202.56</c:v>
                </c:pt>
                <c:pt idx="66" c:formatCode="0.00_ ">
                  <c:v>202.7</c:v>
                </c:pt>
                <c:pt idx="67" c:formatCode="0.00_ ">
                  <c:v>202.56</c:v>
                </c:pt>
                <c:pt idx="68" c:formatCode="0.00_ ">
                  <c:v>202.66</c:v>
                </c:pt>
                <c:pt idx="69" c:formatCode="0.00_ ">
                  <c:v>202.56</c:v>
                </c:pt>
                <c:pt idx="70" c:formatCode="0.00_ ">
                  <c:v>202.15</c:v>
                </c:pt>
                <c:pt idx="71" c:formatCode="0.00_ ">
                  <c:v>202.3</c:v>
                </c:pt>
                <c:pt idx="72" c:formatCode="0.00_ ">
                  <c:v>202.56</c:v>
                </c:pt>
                <c:pt idx="73" c:formatCode="0.00_ ">
                  <c:v>202.64</c:v>
                </c:pt>
                <c:pt idx="74" c:formatCode="0.00_ ">
                  <c:v>202.37</c:v>
                </c:pt>
                <c:pt idx="75" c:formatCode="0.00_ ">
                  <c:v>202.39</c:v>
                </c:pt>
                <c:pt idx="76" c:formatCode="0.00_ ">
                  <c:v>202.53</c:v>
                </c:pt>
                <c:pt idx="77" c:formatCode="0.00_ ">
                  <c:v>202.33</c:v>
                </c:pt>
                <c:pt idx="78" c:formatCode="0.00_ ">
                  <c:v>202.42</c:v>
                </c:pt>
                <c:pt idx="79" c:formatCode="0.00_ ">
                  <c:v>202.3</c:v>
                </c:pt>
                <c:pt idx="80" c:formatCode="0.00_ ">
                  <c:v>202.19</c:v>
                </c:pt>
                <c:pt idx="81" c:formatCode="0.00_ ">
                  <c:v>201.96</c:v>
                </c:pt>
                <c:pt idx="82" c:formatCode="0.00_ ">
                  <c:v>202.02</c:v>
                </c:pt>
                <c:pt idx="83" c:formatCode="0.00_ ">
                  <c:v>202.12</c:v>
                </c:pt>
                <c:pt idx="84" c:formatCode="0.00_ ">
                  <c:v>202.37</c:v>
                </c:pt>
                <c:pt idx="85" c:formatCode="0.00_ ">
                  <c:v>202.66</c:v>
                </c:pt>
                <c:pt idx="86" c:formatCode="0.00_ ">
                  <c:v>202.66</c:v>
                </c:pt>
                <c:pt idx="87" c:formatCode="0.00_ ">
                  <c:v>202.59</c:v>
                </c:pt>
                <c:pt idx="88" c:formatCode="0.00_ ">
                  <c:v>202.63</c:v>
                </c:pt>
                <c:pt idx="89" c:formatCode="0.00_ ">
                  <c:v>202.5</c:v>
                </c:pt>
                <c:pt idx="90">
                  <c:v>202.79</c:v>
                </c:pt>
                <c:pt idx="91">
                  <c:v>202.41</c:v>
                </c:pt>
                <c:pt idx="92" c:formatCode="0.00_ ">
                  <c:v>202.25</c:v>
                </c:pt>
                <c:pt idx="93" c:formatCode="0.00_ ">
                  <c:v>202.3</c:v>
                </c:pt>
                <c:pt idx="94" c:formatCode="0.00_ ">
                  <c:v>202.43</c:v>
                </c:pt>
                <c:pt idx="95" c:formatCode="0.00_ ">
                  <c:v>202.21</c:v>
                </c:pt>
                <c:pt idx="96" c:formatCode="0.00_ ">
                  <c:v>202.4</c:v>
                </c:pt>
                <c:pt idx="97" c:formatCode="0.00_ ">
                  <c:v>202.87</c:v>
                </c:pt>
                <c:pt idx="98" c:formatCode="0.00_ ">
                  <c:v>202.69</c:v>
                </c:pt>
                <c:pt idx="99" c:formatCode="0.00_ ">
                  <c:v>202.61</c:v>
                </c:pt>
                <c:pt idx="100" c:formatCode="0.00_ ">
                  <c:v>202.52</c:v>
                </c:pt>
                <c:pt idx="101" c:formatCode="0.00_ ">
                  <c:v>202.7</c:v>
                </c:pt>
                <c:pt idx="102" c:formatCode="0.00_ ">
                  <c:v>202.5</c:v>
                </c:pt>
                <c:pt idx="103" c:formatCode="0.00_ ">
                  <c:v>202.46</c:v>
                </c:pt>
                <c:pt idx="104" c:formatCode="0.00_ ">
                  <c:v>202.81</c:v>
                </c:pt>
                <c:pt idx="105" c:formatCode="0.00_ ">
                  <c:v>202.59</c:v>
                </c:pt>
                <c:pt idx="106" c:formatCode="0.00_ ">
                  <c:v>202.14</c:v>
                </c:pt>
                <c:pt idx="107" c:formatCode="0.00_ ">
                  <c:v>202.43</c:v>
                </c:pt>
                <c:pt idx="108" c:formatCode="0.00_ ">
                  <c:v>202.25</c:v>
                </c:pt>
                <c:pt idx="109" c:formatCode="0.00_ ">
                  <c:v>202.5</c:v>
                </c:pt>
                <c:pt idx="110" c:formatCode="0.00_ ">
                  <c:v>202.48</c:v>
                </c:pt>
                <c:pt idx="111" c:formatCode="0.00_ ">
                  <c:v>202.15</c:v>
                </c:pt>
                <c:pt idx="112" c:formatCode="0.00_ ">
                  <c:v>202.61</c:v>
                </c:pt>
                <c:pt idx="113" c:formatCode="0.00_ ">
                  <c:v>202.13</c:v>
                </c:pt>
                <c:pt idx="114" c:formatCode="0.00_ ">
                  <c:v>202.49</c:v>
                </c:pt>
                <c:pt idx="115" c:formatCode="0.00_ ">
                  <c:v>202.47</c:v>
                </c:pt>
                <c:pt idx="116" c:formatCode="0.00_ ">
                  <c:v>202.41</c:v>
                </c:pt>
                <c:pt idx="117" c:formatCode="0.00_ ">
                  <c:v>202.39</c:v>
                </c:pt>
                <c:pt idx="118" c:formatCode="0.00_ ">
                  <c:v>202.54</c:v>
                </c:pt>
                <c:pt idx="119" c:formatCode="0.00_ ">
                  <c:v>202.42</c:v>
                </c:pt>
                <c:pt idx="120" c:formatCode="0.00_ ">
                  <c:v>202.34</c:v>
                </c:pt>
                <c:pt idx="121">
                  <c:v>202.8</c:v>
                </c:pt>
                <c:pt idx="122" c:formatCode="0.00_ ">
                  <c:v>202.73</c:v>
                </c:pt>
                <c:pt idx="123" c:formatCode="0.00_ ">
                  <c:v>202.25</c:v>
                </c:pt>
                <c:pt idx="124" c:formatCode="0.00_ ">
                  <c:v>202.54</c:v>
                </c:pt>
                <c:pt idx="125" c:formatCode="0.00_ ">
                  <c:v>202.4</c:v>
                </c:pt>
                <c:pt idx="126" c:formatCode="0.00_ ">
                  <c:v>202.45</c:v>
                </c:pt>
                <c:pt idx="127" c:formatCode="0.00_ ">
                  <c:v>202.28</c:v>
                </c:pt>
                <c:pt idx="128" c:formatCode="0.00_ ">
                  <c:v>202.46</c:v>
                </c:pt>
                <c:pt idx="129" c:formatCode="0.00_ ">
                  <c:v>202.67</c:v>
                </c:pt>
                <c:pt idx="130" c:formatCode="0.00_ ">
                  <c:v>202.36</c:v>
                </c:pt>
                <c:pt idx="131" c:formatCode="0.00_ ">
                  <c:v>202.31</c:v>
                </c:pt>
                <c:pt idx="132" c:formatCode="0.00_ ">
                  <c:v>202.66</c:v>
                </c:pt>
                <c:pt idx="133" c:formatCode="0.00_ ">
                  <c:v>202.72</c:v>
                </c:pt>
                <c:pt idx="134" c:formatCode="0.00_ ">
                  <c:v>202.72</c:v>
                </c:pt>
                <c:pt idx="135" c:formatCode="0.00_ ">
                  <c:v>202.64</c:v>
                </c:pt>
                <c:pt idx="136" c:formatCode="0.00_ ">
                  <c:v>202.58</c:v>
                </c:pt>
                <c:pt idx="137" c:formatCode="0.00_ ">
                  <c:v>202.47</c:v>
                </c:pt>
                <c:pt idx="138" c:formatCode="0.00_ ">
                  <c:v>202.42</c:v>
                </c:pt>
                <c:pt idx="139" c:formatCode="0.00_ ">
                  <c:v>202.41</c:v>
                </c:pt>
                <c:pt idx="140" c:formatCode="0.00_ ">
                  <c:v>202.78</c:v>
                </c:pt>
                <c:pt idx="141" c:formatCode="0.00_ ">
                  <c:v>202.36</c:v>
                </c:pt>
                <c:pt idx="142" c:formatCode="0.00_ ">
                  <c:v>202.29</c:v>
                </c:pt>
                <c:pt idx="143" c:formatCode="0.00_ ">
                  <c:v>202.38</c:v>
                </c:pt>
                <c:pt idx="144" c:formatCode="0.00_ ">
                  <c:v>202.45</c:v>
                </c:pt>
                <c:pt idx="145" c:formatCode="0.00_ ">
                  <c:v>202.11</c:v>
                </c:pt>
                <c:pt idx="146" c:formatCode="0.00_ ">
                  <c:v>202.4</c:v>
                </c:pt>
                <c:pt idx="147" c:formatCode="0.00_ ">
                  <c:v>202.25</c:v>
                </c:pt>
                <c:pt idx="148" c:formatCode="0.00_ ">
                  <c:v>202.36</c:v>
                </c:pt>
                <c:pt idx="149" c:formatCode="0.00_ ">
                  <c:v>202.34</c:v>
                </c:pt>
                <c:pt idx="150" c:formatCode="0.00_ ">
                  <c:v>202.45</c:v>
                </c:pt>
                <c:pt idx="151" c:formatCode="0.00_ ">
                  <c:v>202.78</c:v>
                </c:pt>
                <c:pt idx="152">
                  <c:v>202.47</c:v>
                </c:pt>
                <c:pt idx="153" c:formatCode="0.00_ ">
                  <c:v>202.17</c:v>
                </c:pt>
                <c:pt idx="154" c:formatCode="0.00_ ">
                  <c:v>201.88</c:v>
                </c:pt>
                <c:pt idx="155" c:formatCode="0.00_ ">
                  <c:v>200.22</c:v>
                </c:pt>
                <c:pt idx="156" c:formatCode="0.00_ ">
                  <c:v>199.9</c:v>
                </c:pt>
                <c:pt idx="157" c:formatCode="0.00_ ">
                  <c:v>200.1</c:v>
                </c:pt>
                <c:pt idx="158" c:formatCode="0.00_ ">
                  <c:v>200.62</c:v>
                </c:pt>
                <c:pt idx="159" c:formatCode="0.00_ ">
                  <c:v>200.75</c:v>
                </c:pt>
                <c:pt idx="160" c:formatCode="0.00_ ">
                  <c:v>200.37</c:v>
                </c:pt>
                <c:pt idx="161" c:formatCode="0.00_ ">
                  <c:v>200.49</c:v>
                </c:pt>
                <c:pt idx="162" c:formatCode="0.00_ ">
                  <c:v>200.47</c:v>
                </c:pt>
                <c:pt idx="163" c:formatCode="0.00_ ">
                  <c:v>200.54</c:v>
                </c:pt>
                <c:pt idx="164" c:formatCode="0.00_ ">
                  <c:v>200.27</c:v>
                </c:pt>
                <c:pt idx="165" c:formatCode="0.00_ ">
                  <c:v>199.98</c:v>
                </c:pt>
                <c:pt idx="166" c:formatCode="0.00_ ">
                  <c:v>200.08</c:v>
                </c:pt>
                <c:pt idx="167" c:formatCode="0.00_ ">
                  <c:v>199.8</c:v>
                </c:pt>
                <c:pt idx="168" c:formatCode="0.00_ ">
                  <c:v>199.8</c:v>
                </c:pt>
                <c:pt idx="169" c:formatCode="0.00_ ">
                  <c:v>199.89</c:v>
                </c:pt>
                <c:pt idx="170" c:formatCode="0.00_ ">
                  <c:v>199.76</c:v>
                </c:pt>
                <c:pt idx="171" c:formatCode="0.00_ ">
                  <c:v>199.89</c:v>
                </c:pt>
                <c:pt idx="172" c:formatCode="0.00_ ">
                  <c:v>199.61</c:v>
                </c:pt>
                <c:pt idx="173" c:formatCode="0.00_ ">
                  <c:v>199.91</c:v>
                </c:pt>
                <c:pt idx="174" c:formatCode="0.00_ ">
                  <c:v>199.86</c:v>
                </c:pt>
                <c:pt idx="175" c:formatCode="0.00_ ">
                  <c:v>199.92</c:v>
                </c:pt>
                <c:pt idx="176" c:formatCode="0.00_ ">
                  <c:v>199.93</c:v>
                </c:pt>
                <c:pt idx="177" c:formatCode="0.00_ ">
                  <c:v>199.63</c:v>
                </c:pt>
                <c:pt idx="178" c:formatCode="0.00_ ">
                  <c:v>199.64</c:v>
                </c:pt>
                <c:pt idx="179" c:formatCode="0.00_ ">
                  <c:v>199.49</c:v>
                </c:pt>
                <c:pt idx="180" c:formatCode="0.00_ ">
                  <c:v>199.75</c:v>
                </c:pt>
                <c:pt idx="181" c:formatCode="0.00_ ">
                  <c:v>199.56</c:v>
                </c:pt>
                <c:pt idx="182">
                  <c:v>199.7</c:v>
                </c:pt>
                <c:pt idx="183" c:formatCode="0.00_ ">
                  <c:v>199.93</c:v>
                </c:pt>
                <c:pt idx="184" c:formatCode="0.00_ ">
                  <c:v>199.9</c:v>
                </c:pt>
                <c:pt idx="185" c:formatCode="0.00_ ">
                  <c:v>200.19</c:v>
                </c:pt>
                <c:pt idx="186" c:formatCode="0.00_ ">
                  <c:v>201.71</c:v>
                </c:pt>
                <c:pt idx="187" c:formatCode="0.00_ ">
                  <c:v>201.82</c:v>
                </c:pt>
                <c:pt idx="188" c:formatCode="0.00_ ">
                  <c:v>200.92</c:v>
                </c:pt>
                <c:pt idx="189" c:formatCode="0.00_ ">
                  <c:v>200.49</c:v>
                </c:pt>
                <c:pt idx="190" c:formatCode="0.00_ ">
                  <c:v>202.25</c:v>
                </c:pt>
                <c:pt idx="191" c:formatCode="0.00_ ">
                  <c:v>202.58</c:v>
                </c:pt>
                <c:pt idx="192" c:formatCode="0.00_ ">
                  <c:v>202.19</c:v>
                </c:pt>
                <c:pt idx="193" c:formatCode="0.00_ ">
                  <c:v>201.33</c:v>
                </c:pt>
                <c:pt idx="194" c:formatCode="0.00_ ">
                  <c:v>201.56</c:v>
                </c:pt>
                <c:pt idx="195" c:formatCode="0.00_ ">
                  <c:v>202.79</c:v>
                </c:pt>
                <c:pt idx="196" c:formatCode="0.00_ ">
                  <c:v>201.3</c:v>
                </c:pt>
                <c:pt idx="197" c:formatCode="0.00_ ">
                  <c:v>201.79</c:v>
                </c:pt>
                <c:pt idx="198" c:formatCode="0.00_ ">
                  <c:v>205.45</c:v>
                </c:pt>
                <c:pt idx="199" c:formatCode="0.00_ ">
                  <c:v>202.48</c:v>
                </c:pt>
                <c:pt idx="200" c:formatCode="0.00_ ">
                  <c:v>201.67</c:v>
                </c:pt>
                <c:pt idx="201" c:formatCode="0.00_ ">
                  <c:v>202.26</c:v>
                </c:pt>
                <c:pt idx="202" c:formatCode="0.00_ ">
                  <c:v>202.66</c:v>
                </c:pt>
                <c:pt idx="203" c:formatCode="0.00_ ">
                  <c:v>202.18</c:v>
                </c:pt>
                <c:pt idx="204" c:formatCode="0.00_ ">
                  <c:v>201.94</c:v>
                </c:pt>
                <c:pt idx="205" c:formatCode="0.00_ ">
                  <c:v>206.22</c:v>
                </c:pt>
                <c:pt idx="206" c:formatCode="0.00_ ">
                  <c:v>203.35</c:v>
                </c:pt>
                <c:pt idx="207" c:formatCode="0.00_ ">
                  <c:v>202.43</c:v>
                </c:pt>
                <c:pt idx="208" c:formatCode="0.00_ ">
                  <c:v>201.75</c:v>
                </c:pt>
                <c:pt idx="209" c:formatCode="0.00_ ">
                  <c:v>201.94</c:v>
                </c:pt>
                <c:pt idx="210" c:formatCode="0.00_ ">
                  <c:v>201.86</c:v>
                </c:pt>
                <c:pt idx="211" c:formatCode="0.00_ ">
                  <c:v>201.77</c:v>
                </c:pt>
                <c:pt idx="212">
                  <c:v>201.69</c:v>
                </c:pt>
                <c:pt idx="213">
                  <c:v>201.55</c:v>
                </c:pt>
                <c:pt idx="214" c:formatCode="0.00_ ">
                  <c:v>201.28</c:v>
                </c:pt>
                <c:pt idx="215" c:formatCode="0.00_ ">
                  <c:v>201.13</c:v>
                </c:pt>
                <c:pt idx="216" c:formatCode="0.00_ ">
                  <c:v>201.95</c:v>
                </c:pt>
                <c:pt idx="217" c:formatCode="0.00_ ">
                  <c:v>201.61</c:v>
                </c:pt>
                <c:pt idx="218" c:formatCode="0.00_ ">
                  <c:v>202.23</c:v>
                </c:pt>
                <c:pt idx="219" c:formatCode="0.00_ ">
                  <c:v>201.87</c:v>
                </c:pt>
                <c:pt idx="220" c:formatCode="0.00_ ">
                  <c:v>202.42</c:v>
                </c:pt>
                <c:pt idx="221" c:formatCode="0.00_ ">
                  <c:v>201.12</c:v>
                </c:pt>
                <c:pt idx="222" c:formatCode="0.00_ ">
                  <c:v>201.18</c:v>
                </c:pt>
                <c:pt idx="223" c:formatCode="0.00_ ">
                  <c:v>202.31</c:v>
                </c:pt>
                <c:pt idx="224" c:formatCode="0.00_ ">
                  <c:v>201.72</c:v>
                </c:pt>
                <c:pt idx="225" c:formatCode="0.00_ ">
                  <c:v>201.85</c:v>
                </c:pt>
                <c:pt idx="226" c:formatCode="0.00_ ">
                  <c:v>202.02</c:v>
                </c:pt>
                <c:pt idx="227" c:formatCode="0.00_ ">
                  <c:v>201.59</c:v>
                </c:pt>
                <c:pt idx="228" c:formatCode="0.00_ ">
                  <c:v>201.71</c:v>
                </c:pt>
                <c:pt idx="229" c:formatCode="0.00_ ">
                  <c:v>201.52</c:v>
                </c:pt>
                <c:pt idx="230" c:formatCode="0.00_ ">
                  <c:v>201.56</c:v>
                </c:pt>
                <c:pt idx="231" c:formatCode="0.00_ ">
                  <c:v>201.82</c:v>
                </c:pt>
                <c:pt idx="232" c:formatCode="0.00_ ">
                  <c:v>201.76</c:v>
                </c:pt>
                <c:pt idx="233" c:formatCode="0.00_ ">
                  <c:v>201.97</c:v>
                </c:pt>
                <c:pt idx="234" c:formatCode="0.00_ ">
                  <c:v>201.92</c:v>
                </c:pt>
                <c:pt idx="235" c:formatCode="0.00_ ">
                  <c:v>201.87</c:v>
                </c:pt>
                <c:pt idx="236" c:formatCode="0.00_ ">
                  <c:v>202.04</c:v>
                </c:pt>
                <c:pt idx="237" c:formatCode="0.00_ ">
                  <c:v>201.9</c:v>
                </c:pt>
                <c:pt idx="238" c:formatCode="0.00_ ">
                  <c:v>201.78</c:v>
                </c:pt>
                <c:pt idx="239" c:formatCode="0.00_ ">
                  <c:v>201.99</c:v>
                </c:pt>
                <c:pt idx="240" c:formatCode="0.00_ ">
                  <c:v>202.16</c:v>
                </c:pt>
                <c:pt idx="241" c:formatCode="0.00_ ">
                  <c:v>202.21</c:v>
                </c:pt>
                <c:pt idx="242" c:formatCode="0.00_ ">
                  <c:v>202.06</c:v>
                </c:pt>
                <c:pt idx="243">
                  <c:v>201.91</c:v>
                </c:pt>
                <c:pt idx="244">
                  <c:v>201.63</c:v>
                </c:pt>
                <c:pt idx="245" c:formatCode="0.00_ ">
                  <c:v>202.1</c:v>
                </c:pt>
                <c:pt idx="246" c:formatCode="0.00_ ">
                  <c:v>202.59</c:v>
                </c:pt>
                <c:pt idx="247" c:formatCode="0.00_ ">
                  <c:v>202.42</c:v>
                </c:pt>
                <c:pt idx="248" c:formatCode="0.00_ ">
                  <c:v>202.36</c:v>
                </c:pt>
                <c:pt idx="249" c:formatCode="0.00_ ">
                  <c:v>202.52</c:v>
                </c:pt>
                <c:pt idx="250" c:formatCode="0.00_ ">
                  <c:v>202.52</c:v>
                </c:pt>
                <c:pt idx="251" c:formatCode="0.00_ ">
                  <c:v>202.55</c:v>
                </c:pt>
                <c:pt idx="252" c:formatCode="0.00_ ">
                  <c:v>202.45</c:v>
                </c:pt>
                <c:pt idx="253" c:formatCode="0.00_ ">
                  <c:v>202.55</c:v>
                </c:pt>
                <c:pt idx="254" c:formatCode="0.00_ ">
                  <c:v>202.52</c:v>
                </c:pt>
                <c:pt idx="255" c:formatCode="0.00_ ">
                  <c:v>202.36</c:v>
                </c:pt>
                <c:pt idx="256" c:formatCode="0.00_ ">
                  <c:v>202.1</c:v>
                </c:pt>
                <c:pt idx="257" c:formatCode="0.00_ ">
                  <c:v>202.25</c:v>
                </c:pt>
                <c:pt idx="258" c:formatCode="0.00_ ">
                  <c:v>203.13</c:v>
                </c:pt>
                <c:pt idx="259" c:formatCode="0.00_ ">
                  <c:v>202.58</c:v>
                </c:pt>
                <c:pt idx="260" c:formatCode="0.00_ ">
                  <c:v>202.18</c:v>
                </c:pt>
                <c:pt idx="261" c:formatCode="0.00_ ">
                  <c:v>202.22</c:v>
                </c:pt>
                <c:pt idx="262" c:formatCode="0.00_ ">
                  <c:v>202.26</c:v>
                </c:pt>
                <c:pt idx="263" c:formatCode="0.00_ ">
                  <c:v>202.47</c:v>
                </c:pt>
                <c:pt idx="264" c:formatCode="0.00_ ">
                  <c:v>202.37</c:v>
                </c:pt>
                <c:pt idx="265" c:formatCode="0.00_ ">
                  <c:v>202.67</c:v>
                </c:pt>
                <c:pt idx="266" c:formatCode="0.00_ ">
                  <c:v>202.41</c:v>
                </c:pt>
                <c:pt idx="267" c:formatCode="0.00_ ">
                  <c:v>202.26</c:v>
                </c:pt>
                <c:pt idx="268" c:formatCode="0.00_ ">
                  <c:v>202.21</c:v>
                </c:pt>
                <c:pt idx="269" c:formatCode="0.00_ ">
                  <c:v>202.52</c:v>
                </c:pt>
                <c:pt idx="270" c:formatCode="0.00_ ">
                  <c:v>202.06</c:v>
                </c:pt>
                <c:pt idx="271" c:formatCode="0.00_ ">
                  <c:v>201.73</c:v>
                </c:pt>
                <c:pt idx="272" c:formatCode="0.00_ ">
                  <c:v>201.45</c:v>
                </c:pt>
                <c:pt idx="273" c:formatCode="0.00_ ">
                  <c:v>201.35</c:v>
                </c:pt>
                <c:pt idx="274">
                  <c:v>201.61</c:v>
                </c:pt>
                <c:pt idx="275" c:formatCode="0.00_ ">
                  <c:v>202.18</c:v>
                </c:pt>
                <c:pt idx="276" c:formatCode="0.00_ ">
                  <c:v>202.77</c:v>
                </c:pt>
                <c:pt idx="277" c:formatCode="0.00_ ">
                  <c:v>201.9</c:v>
                </c:pt>
                <c:pt idx="278" c:formatCode="0.00_ ">
                  <c:v>201.88</c:v>
                </c:pt>
                <c:pt idx="279" c:formatCode="0.00_ ">
                  <c:v>202.45</c:v>
                </c:pt>
                <c:pt idx="280" c:formatCode="0.00_ ">
                  <c:v>202.24</c:v>
                </c:pt>
                <c:pt idx="281" c:formatCode="0.00_ ">
                  <c:v>202.4</c:v>
                </c:pt>
                <c:pt idx="282" c:formatCode="0.00_ ">
                  <c:v>202.35</c:v>
                </c:pt>
                <c:pt idx="283" c:formatCode="0.00_ ">
                  <c:v>202.43</c:v>
                </c:pt>
                <c:pt idx="284" c:formatCode="0.00_ ">
                  <c:v>202.49</c:v>
                </c:pt>
                <c:pt idx="285" c:formatCode="0.00_ ">
                  <c:v>202.29</c:v>
                </c:pt>
                <c:pt idx="286" c:formatCode="0.00_ ">
                  <c:v>202.54</c:v>
                </c:pt>
                <c:pt idx="287" c:formatCode="0.00_ ">
                  <c:v>202.4</c:v>
                </c:pt>
                <c:pt idx="288" c:formatCode="0.00_ ">
                  <c:v>202.54</c:v>
                </c:pt>
                <c:pt idx="289" c:formatCode="0.00_ ">
                  <c:v>202.6</c:v>
                </c:pt>
                <c:pt idx="290" c:formatCode="0.00_ ">
                  <c:v>202.6</c:v>
                </c:pt>
                <c:pt idx="291" c:formatCode="0.00_ ">
                  <c:v>202.55</c:v>
                </c:pt>
                <c:pt idx="292" c:formatCode="0.00_ ">
                  <c:v>202.75</c:v>
                </c:pt>
                <c:pt idx="293" c:formatCode="0.00_ ">
                  <c:v>202.82</c:v>
                </c:pt>
                <c:pt idx="294" c:formatCode="0.00_ ">
                  <c:v>202.96</c:v>
                </c:pt>
                <c:pt idx="295" c:formatCode="0.00_ ">
                  <c:v>202.3</c:v>
                </c:pt>
                <c:pt idx="296" c:formatCode="0.00_ ">
                  <c:v>202.16</c:v>
                </c:pt>
                <c:pt idx="297" c:formatCode="0.00_ ">
                  <c:v>202.57</c:v>
                </c:pt>
                <c:pt idx="298" c:formatCode="0.00_ ">
                  <c:v>202.55</c:v>
                </c:pt>
                <c:pt idx="299" c:formatCode="0.00_ ">
                  <c:v>202.6</c:v>
                </c:pt>
                <c:pt idx="300" c:formatCode="0.00_ ">
                  <c:v>202.4</c:v>
                </c:pt>
                <c:pt idx="301" c:formatCode="0.00_ ">
                  <c:v>202.4</c:v>
                </c:pt>
                <c:pt idx="302" c:formatCode="0.00_ ">
                  <c:v>202.26</c:v>
                </c:pt>
                <c:pt idx="303" c:formatCode="0.00_ ">
                  <c:v>202.06</c:v>
                </c:pt>
                <c:pt idx="304" c:formatCode="0.00_ ">
                  <c:v>202.3</c:v>
                </c:pt>
                <c:pt idx="305">
                  <c:v>202.51</c:v>
                </c:pt>
                <c:pt idx="306" c:formatCode="0.00_ ">
                  <c:v>202.61</c:v>
                </c:pt>
                <c:pt idx="307" c:formatCode="0.00_ ">
                  <c:v>202.47</c:v>
                </c:pt>
                <c:pt idx="308" c:formatCode="0.00_ ">
                  <c:v>202.56</c:v>
                </c:pt>
                <c:pt idx="309" c:formatCode="0.00_ ">
                  <c:v>202.51</c:v>
                </c:pt>
                <c:pt idx="310" c:formatCode="0.00_ ">
                  <c:v>202.6</c:v>
                </c:pt>
                <c:pt idx="311" c:formatCode="0.00_ ">
                  <c:v>202.68</c:v>
                </c:pt>
                <c:pt idx="312" c:formatCode="0.00_ ">
                  <c:v>202.55</c:v>
                </c:pt>
                <c:pt idx="313" c:formatCode="0.00_ ">
                  <c:v>202.59</c:v>
                </c:pt>
                <c:pt idx="314" c:formatCode="0.00_ ">
                  <c:v>202.74</c:v>
                </c:pt>
                <c:pt idx="315" c:formatCode="0.00_ ">
                  <c:v>202.74</c:v>
                </c:pt>
                <c:pt idx="316" c:formatCode="0.00_ ">
                  <c:v>202.51</c:v>
                </c:pt>
                <c:pt idx="317" c:formatCode="0.00_ ">
                  <c:v>202.69</c:v>
                </c:pt>
                <c:pt idx="318" c:formatCode="0.00_ ">
                  <c:v>202.47</c:v>
                </c:pt>
                <c:pt idx="319" c:formatCode="0.00_ ">
                  <c:v>202.34</c:v>
                </c:pt>
                <c:pt idx="320" c:formatCode="0.00_ ">
                  <c:v>202.64</c:v>
                </c:pt>
                <c:pt idx="321" c:formatCode="0.00_ ">
                  <c:v>202.7</c:v>
                </c:pt>
                <c:pt idx="322" c:formatCode="0.00_ ">
                  <c:v>202.76</c:v>
                </c:pt>
                <c:pt idx="323" c:formatCode="0.00_ ">
                  <c:v>202.9</c:v>
                </c:pt>
                <c:pt idx="324" c:formatCode="0.00_ ">
                  <c:v>202.67</c:v>
                </c:pt>
                <c:pt idx="325" c:formatCode="0.00_ ">
                  <c:v>202.63</c:v>
                </c:pt>
                <c:pt idx="326" c:formatCode="0.00_ ">
                  <c:v>202.63</c:v>
                </c:pt>
                <c:pt idx="327" c:formatCode="0.00_ ">
                  <c:v>202.48</c:v>
                </c:pt>
                <c:pt idx="328" c:formatCode="0.00_ ">
                  <c:v>202.5</c:v>
                </c:pt>
                <c:pt idx="329" c:formatCode="0.00_ ">
                  <c:v>202.51</c:v>
                </c:pt>
                <c:pt idx="330" c:formatCode="0.00_ ">
                  <c:v>202.74</c:v>
                </c:pt>
                <c:pt idx="331" c:formatCode="0.00_ ">
                  <c:v>202.74</c:v>
                </c:pt>
                <c:pt idx="332" c:formatCode="0.00_ ">
                  <c:v>202.61</c:v>
                </c:pt>
                <c:pt idx="333" c:formatCode="0.00_ ">
                  <c:v>202.62</c:v>
                </c:pt>
                <c:pt idx="334" c:formatCode="0.00_ ">
                  <c:v>202.41</c:v>
                </c:pt>
                <c:pt idx="335">
                  <c:v>202.46</c:v>
                </c:pt>
                <c:pt idx="336" c:formatCode="0.00_ ">
                  <c:v>202.32</c:v>
                </c:pt>
                <c:pt idx="337" c:formatCode="0.00_ ">
                  <c:v>202.64</c:v>
                </c:pt>
                <c:pt idx="338" c:formatCode="0.00_ ">
                  <c:v>202.59</c:v>
                </c:pt>
                <c:pt idx="339" c:formatCode="0.00_ ">
                  <c:v>202.45</c:v>
                </c:pt>
                <c:pt idx="340" c:formatCode="0.00_ ">
                  <c:v>202.66</c:v>
                </c:pt>
                <c:pt idx="341" c:formatCode="0.00_ ">
                  <c:v>202.81</c:v>
                </c:pt>
                <c:pt idx="342" c:formatCode="0.00_ ">
                  <c:v>202.52</c:v>
                </c:pt>
                <c:pt idx="343" c:formatCode="0.00_ ">
                  <c:v>202.51</c:v>
                </c:pt>
                <c:pt idx="344" c:formatCode="0.00_ ">
                  <c:v>202.49</c:v>
                </c:pt>
                <c:pt idx="345" c:formatCode="0.00_ ">
                  <c:v>202.52</c:v>
                </c:pt>
                <c:pt idx="346" c:formatCode="0.00_ ">
                  <c:v>202.76</c:v>
                </c:pt>
                <c:pt idx="347" c:formatCode="0.00_ ">
                  <c:v>202.45</c:v>
                </c:pt>
                <c:pt idx="348" c:formatCode="0.00_ ">
                  <c:v>202.7</c:v>
                </c:pt>
                <c:pt idx="349" c:formatCode="0.00_ ">
                  <c:v>202.52</c:v>
                </c:pt>
                <c:pt idx="350" c:formatCode="0.00_ ">
                  <c:v>202.53</c:v>
                </c:pt>
                <c:pt idx="351" c:formatCode="0.00_ ">
                  <c:v>202.65</c:v>
                </c:pt>
                <c:pt idx="352" c:formatCode="0.00_ ">
                  <c:v>202.57</c:v>
                </c:pt>
                <c:pt idx="353" c:formatCode="0.00_ ">
                  <c:v>202.71</c:v>
                </c:pt>
                <c:pt idx="354" c:formatCode="0.00_ ">
                  <c:v>202.55</c:v>
                </c:pt>
                <c:pt idx="355" c:formatCode="0.00_ ">
                  <c:v>202.61</c:v>
                </c:pt>
                <c:pt idx="356" c:formatCode="0.00_ ">
                  <c:v>202.7</c:v>
                </c:pt>
                <c:pt idx="357" c:formatCode="0.00_ ">
                  <c:v>202.72</c:v>
                </c:pt>
                <c:pt idx="358" c:formatCode="0.00_ ">
                  <c:v>202.45</c:v>
                </c:pt>
                <c:pt idx="359" c:formatCode="0.00_ ">
                  <c:v>202.29</c:v>
                </c:pt>
                <c:pt idx="360" c:formatCode="0.00_ ">
                  <c:v>202.37</c:v>
                </c:pt>
                <c:pt idx="361" c:formatCode="0.00_ ">
                  <c:v>202.57</c:v>
                </c:pt>
                <c:pt idx="362" c:formatCode="0.00_ ">
                  <c:v>202.69</c:v>
                </c:pt>
                <c:pt idx="363" c:formatCode="0.00_ ">
                  <c:v>202.48</c:v>
                </c:pt>
                <c:pt idx="364" c:formatCode="0.00_ ">
                  <c:v>202.48</c:v>
                </c:pt>
                <c:pt idx="365">
                  <c:v>202.16</c:v>
                </c:pt>
              </c:numCache>
            </c:numRef>
          </c:val>
          <c:smooth val="0"/>
        </c:ser>
        <c:dLbls>
          <c:showLegendKey val="0"/>
          <c:showVal val="0"/>
          <c:showCatName val="0"/>
          <c:showSerName val="0"/>
          <c:showPercent val="0"/>
          <c:showBubbleSize val="0"/>
        </c:dLbls>
        <c:marker val="0"/>
        <c:smooth val="0"/>
        <c:axId val="236040227"/>
        <c:axId val="841193858"/>
      </c:lineChart>
      <c:lineChart>
        <c:grouping val="standard"/>
        <c:varyColors val="0"/>
        <c:ser>
          <c:idx val="2"/>
          <c:order val="2"/>
          <c:tx>
            <c:strRef>
              <c:f>'[2024年电度统计 - 副本.xls]2024.01'!$B$1</c:f>
              <c:strCache>
                <c:ptCount val="1"/>
                <c:pt idx="0">
                  <c:v>出、入库流量</c:v>
                </c:pt>
              </c:strCache>
            </c:strRef>
          </c:tx>
          <c:spPr>
            <a:ln w="12700" cap="rnd" cmpd="sng" algn="ctr">
              <a:solidFill>
                <a:schemeClr val="accent1"/>
              </a:solidFill>
              <a:prstDash val="solid"/>
              <a:round/>
            </a:ln>
            <a:effectLst/>
            <a:sp3d contourW="12700"/>
          </c:spPr>
          <c:marker>
            <c:symbol val="none"/>
          </c:marker>
          <c:dLbls>
            <c:delete val="1"/>
          </c:dLbls>
          <c:cat>
            <c:numRef>
              <c:f>'[2024年电度统计 - 副本.xls]2024.01'!$A$3:$A$368</c:f>
              <c:numCache>
                <c:formatCode>m"月"d"日"</c:formatCode>
                <c:ptCount val="366"/>
                <c:pt idx="0" c:formatCode="m&quot;月&quot;d&quot;日&quot;">
                  <c:v>45292</c:v>
                </c:pt>
                <c:pt idx="1" c:formatCode="m&quot;月&quot;d&quot;日&quot;">
                  <c:v>45293</c:v>
                </c:pt>
                <c:pt idx="2" c:formatCode="m&quot;月&quot;d&quot;日&quot;">
                  <c:v>45294</c:v>
                </c:pt>
                <c:pt idx="3" c:formatCode="m&quot;月&quot;d&quot;日&quot;">
                  <c:v>45295</c:v>
                </c:pt>
                <c:pt idx="4" c:formatCode="m&quot;月&quot;d&quot;日&quot;">
                  <c:v>45296</c:v>
                </c:pt>
                <c:pt idx="5" c:formatCode="m&quot;月&quot;d&quot;日&quot;">
                  <c:v>45297</c:v>
                </c:pt>
                <c:pt idx="6" c:formatCode="m&quot;月&quot;d&quot;日&quot;">
                  <c:v>45298</c:v>
                </c:pt>
                <c:pt idx="7" c:formatCode="m&quot;月&quot;d&quot;日&quot;">
                  <c:v>45299</c:v>
                </c:pt>
                <c:pt idx="8" c:formatCode="m&quot;月&quot;d&quot;日&quot;">
                  <c:v>45300</c:v>
                </c:pt>
                <c:pt idx="9" c:formatCode="m&quot;月&quot;d&quot;日&quot;">
                  <c:v>45301</c:v>
                </c:pt>
                <c:pt idx="10" c:formatCode="m&quot;月&quot;d&quot;日&quot;">
                  <c:v>45302</c:v>
                </c:pt>
                <c:pt idx="11" c:formatCode="m&quot;月&quot;d&quot;日&quot;">
                  <c:v>45303</c:v>
                </c:pt>
                <c:pt idx="12" c:formatCode="m&quot;月&quot;d&quot;日&quot;">
                  <c:v>45304</c:v>
                </c:pt>
                <c:pt idx="13" c:formatCode="m&quot;月&quot;d&quot;日&quot;">
                  <c:v>45305</c:v>
                </c:pt>
                <c:pt idx="14" c:formatCode="m&quot;月&quot;d&quot;日&quot;">
                  <c:v>45306</c:v>
                </c:pt>
                <c:pt idx="15" c:formatCode="m&quot;月&quot;d&quot;日&quot;">
                  <c:v>45307</c:v>
                </c:pt>
                <c:pt idx="16" c:formatCode="m&quot;月&quot;d&quot;日&quot;">
                  <c:v>45308</c:v>
                </c:pt>
                <c:pt idx="17" c:formatCode="m&quot;月&quot;d&quot;日&quot;">
                  <c:v>45309</c:v>
                </c:pt>
                <c:pt idx="18" c:formatCode="m&quot;月&quot;d&quot;日&quot;">
                  <c:v>45310</c:v>
                </c:pt>
                <c:pt idx="19" c:formatCode="m&quot;月&quot;d&quot;日&quot;">
                  <c:v>45311</c:v>
                </c:pt>
                <c:pt idx="20" c:formatCode="m&quot;月&quot;d&quot;日&quot;">
                  <c:v>45312</c:v>
                </c:pt>
                <c:pt idx="21" c:formatCode="m&quot;月&quot;d&quot;日&quot;">
                  <c:v>45313</c:v>
                </c:pt>
                <c:pt idx="22" c:formatCode="m&quot;月&quot;d&quot;日&quot;">
                  <c:v>45314</c:v>
                </c:pt>
                <c:pt idx="23" c:formatCode="m&quot;月&quot;d&quot;日&quot;">
                  <c:v>45315</c:v>
                </c:pt>
                <c:pt idx="24" c:formatCode="m&quot;月&quot;d&quot;日&quot;">
                  <c:v>45316</c:v>
                </c:pt>
                <c:pt idx="25" c:formatCode="m&quot;月&quot;d&quot;日&quot;">
                  <c:v>45317</c:v>
                </c:pt>
                <c:pt idx="26" c:formatCode="m&quot;月&quot;d&quot;日&quot;">
                  <c:v>45318</c:v>
                </c:pt>
                <c:pt idx="27" c:formatCode="m&quot;月&quot;d&quot;日&quot;">
                  <c:v>45319</c:v>
                </c:pt>
                <c:pt idx="28" c:formatCode="m&quot;月&quot;d&quot;日&quot;">
                  <c:v>45320</c:v>
                </c:pt>
                <c:pt idx="29" c:formatCode="m&quot;月&quot;d&quot;日&quot;">
                  <c:v>45321</c:v>
                </c:pt>
                <c:pt idx="30" c:formatCode="m&quot;月&quot;d&quot;日&quot;">
                  <c:v>45322</c:v>
                </c:pt>
                <c:pt idx="31" c:formatCode="m&quot;月&quot;d&quot;日&quot;">
                  <c:v>45323</c:v>
                </c:pt>
                <c:pt idx="32" c:formatCode="m&quot;月&quot;d&quot;日&quot;">
                  <c:v>45324</c:v>
                </c:pt>
                <c:pt idx="33" c:formatCode="m&quot;月&quot;d&quot;日&quot;">
                  <c:v>45325</c:v>
                </c:pt>
                <c:pt idx="34" c:formatCode="m&quot;月&quot;d&quot;日&quot;">
                  <c:v>45326</c:v>
                </c:pt>
                <c:pt idx="35" c:formatCode="m&quot;月&quot;d&quot;日&quot;">
                  <c:v>45327</c:v>
                </c:pt>
                <c:pt idx="36" c:formatCode="m&quot;月&quot;d&quot;日&quot;">
                  <c:v>45328</c:v>
                </c:pt>
                <c:pt idx="37" c:formatCode="m&quot;月&quot;d&quot;日&quot;">
                  <c:v>45329</c:v>
                </c:pt>
                <c:pt idx="38" c:formatCode="m&quot;月&quot;d&quot;日&quot;">
                  <c:v>45330</c:v>
                </c:pt>
                <c:pt idx="39" c:formatCode="m&quot;月&quot;d&quot;日&quot;">
                  <c:v>45331</c:v>
                </c:pt>
                <c:pt idx="40" c:formatCode="m&quot;月&quot;d&quot;日&quot;">
                  <c:v>45332</c:v>
                </c:pt>
                <c:pt idx="41" c:formatCode="m&quot;月&quot;d&quot;日&quot;">
                  <c:v>45333</c:v>
                </c:pt>
                <c:pt idx="42" c:formatCode="m&quot;月&quot;d&quot;日&quot;">
                  <c:v>45334</c:v>
                </c:pt>
                <c:pt idx="43" c:formatCode="m&quot;月&quot;d&quot;日&quot;">
                  <c:v>45335</c:v>
                </c:pt>
                <c:pt idx="44" c:formatCode="m&quot;月&quot;d&quot;日&quot;">
                  <c:v>45336</c:v>
                </c:pt>
                <c:pt idx="45" c:formatCode="m&quot;月&quot;d&quot;日&quot;">
                  <c:v>45337</c:v>
                </c:pt>
                <c:pt idx="46" c:formatCode="m&quot;月&quot;d&quot;日&quot;">
                  <c:v>45338</c:v>
                </c:pt>
                <c:pt idx="47" c:formatCode="m&quot;月&quot;d&quot;日&quot;">
                  <c:v>45339</c:v>
                </c:pt>
                <c:pt idx="48" c:formatCode="m&quot;月&quot;d&quot;日&quot;">
                  <c:v>45340</c:v>
                </c:pt>
                <c:pt idx="49" c:formatCode="m&quot;月&quot;d&quot;日&quot;">
                  <c:v>45341</c:v>
                </c:pt>
                <c:pt idx="50" c:formatCode="m&quot;月&quot;d&quot;日&quot;">
                  <c:v>45342</c:v>
                </c:pt>
                <c:pt idx="51" c:formatCode="m&quot;月&quot;d&quot;日&quot;">
                  <c:v>45343</c:v>
                </c:pt>
                <c:pt idx="52" c:formatCode="m&quot;月&quot;d&quot;日&quot;">
                  <c:v>45344</c:v>
                </c:pt>
                <c:pt idx="53" c:formatCode="m&quot;月&quot;d&quot;日&quot;">
                  <c:v>45345</c:v>
                </c:pt>
                <c:pt idx="54" c:formatCode="m&quot;月&quot;d&quot;日&quot;">
                  <c:v>45346</c:v>
                </c:pt>
                <c:pt idx="55" c:formatCode="m&quot;月&quot;d&quot;日&quot;">
                  <c:v>45347</c:v>
                </c:pt>
                <c:pt idx="56" c:formatCode="m&quot;月&quot;d&quot;日&quot;">
                  <c:v>45348</c:v>
                </c:pt>
                <c:pt idx="57" c:formatCode="m&quot;月&quot;d&quot;日&quot;">
                  <c:v>45349</c:v>
                </c:pt>
                <c:pt idx="58" c:formatCode="m&quot;月&quot;d&quot;日&quot;">
                  <c:v>45350</c:v>
                </c:pt>
                <c:pt idx="59" c:formatCode="m&quot;月&quot;d&quot;日&quot;">
                  <c:v>45351</c:v>
                </c:pt>
                <c:pt idx="60" c:formatCode="m&quot;月&quot;d&quot;日&quot;">
                  <c:v>45352</c:v>
                </c:pt>
                <c:pt idx="61" c:formatCode="m&quot;月&quot;d&quot;日&quot;">
                  <c:v>45353</c:v>
                </c:pt>
                <c:pt idx="62" c:formatCode="m&quot;月&quot;d&quot;日&quot;">
                  <c:v>45354</c:v>
                </c:pt>
                <c:pt idx="63" c:formatCode="m&quot;月&quot;d&quot;日&quot;">
                  <c:v>45355</c:v>
                </c:pt>
                <c:pt idx="64" c:formatCode="m&quot;月&quot;d&quot;日&quot;">
                  <c:v>45356</c:v>
                </c:pt>
                <c:pt idx="65" c:formatCode="m&quot;月&quot;d&quot;日&quot;">
                  <c:v>45357</c:v>
                </c:pt>
                <c:pt idx="66" c:formatCode="m&quot;月&quot;d&quot;日&quot;">
                  <c:v>45358</c:v>
                </c:pt>
                <c:pt idx="67" c:formatCode="m&quot;月&quot;d&quot;日&quot;">
                  <c:v>45359</c:v>
                </c:pt>
                <c:pt idx="68" c:formatCode="m&quot;月&quot;d&quot;日&quot;">
                  <c:v>45360</c:v>
                </c:pt>
                <c:pt idx="69" c:formatCode="m&quot;月&quot;d&quot;日&quot;">
                  <c:v>45361</c:v>
                </c:pt>
                <c:pt idx="70" c:formatCode="m&quot;月&quot;d&quot;日&quot;">
                  <c:v>45362</c:v>
                </c:pt>
                <c:pt idx="71" c:formatCode="m&quot;月&quot;d&quot;日&quot;">
                  <c:v>45363</c:v>
                </c:pt>
                <c:pt idx="72" c:formatCode="m&quot;月&quot;d&quot;日&quot;">
                  <c:v>45364</c:v>
                </c:pt>
                <c:pt idx="73" c:formatCode="m&quot;月&quot;d&quot;日&quot;">
                  <c:v>45365</c:v>
                </c:pt>
                <c:pt idx="74" c:formatCode="m&quot;月&quot;d&quot;日&quot;">
                  <c:v>45366</c:v>
                </c:pt>
                <c:pt idx="75" c:formatCode="m&quot;月&quot;d&quot;日&quot;">
                  <c:v>45367</c:v>
                </c:pt>
                <c:pt idx="76" c:formatCode="m&quot;月&quot;d&quot;日&quot;">
                  <c:v>45368</c:v>
                </c:pt>
                <c:pt idx="77" c:formatCode="m&quot;月&quot;d&quot;日&quot;">
                  <c:v>45369</c:v>
                </c:pt>
                <c:pt idx="78" c:formatCode="m&quot;月&quot;d&quot;日&quot;">
                  <c:v>45370</c:v>
                </c:pt>
                <c:pt idx="79" c:formatCode="m&quot;月&quot;d&quot;日&quot;">
                  <c:v>45371</c:v>
                </c:pt>
                <c:pt idx="80" c:formatCode="m&quot;月&quot;d&quot;日&quot;">
                  <c:v>45372</c:v>
                </c:pt>
                <c:pt idx="81" c:formatCode="m&quot;月&quot;d&quot;日&quot;">
                  <c:v>45373</c:v>
                </c:pt>
                <c:pt idx="82" c:formatCode="m&quot;月&quot;d&quot;日&quot;">
                  <c:v>45374</c:v>
                </c:pt>
                <c:pt idx="83" c:formatCode="m&quot;月&quot;d&quot;日&quot;">
                  <c:v>45375</c:v>
                </c:pt>
                <c:pt idx="84" c:formatCode="m&quot;月&quot;d&quot;日&quot;">
                  <c:v>45376</c:v>
                </c:pt>
                <c:pt idx="85" c:formatCode="m&quot;月&quot;d&quot;日&quot;">
                  <c:v>45377</c:v>
                </c:pt>
                <c:pt idx="86" c:formatCode="m&quot;月&quot;d&quot;日&quot;">
                  <c:v>45378</c:v>
                </c:pt>
                <c:pt idx="87" c:formatCode="m&quot;月&quot;d&quot;日&quot;">
                  <c:v>45379</c:v>
                </c:pt>
                <c:pt idx="88" c:formatCode="m&quot;月&quot;d&quot;日&quot;">
                  <c:v>45380</c:v>
                </c:pt>
                <c:pt idx="89" c:formatCode="m&quot;月&quot;d&quot;日&quot;">
                  <c:v>45381</c:v>
                </c:pt>
                <c:pt idx="90" c:formatCode="m&quot;月&quot;d&quot;日&quot;">
                  <c:v>45382</c:v>
                </c:pt>
                <c:pt idx="91" c:formatCode="m&quot;月&quot;d&quot;日&quot;">
                  <c:v>45383</c:v>
                </c:pt>
                <c:pt idx="92" c:formatCode="m&quot;月&quot;d&quot;日&quot;">
                  <c:v>45384</c:v>
                </c:pt>
                <c:pt idx="93" c:formatCode="m&quot;月&quot;d&quot;日&quot;">
                  <c:v>45385</c:v>
                </c:pt>
                <c:pt idx="94" c:formatCode="m&quot;月&quot;d&quot;日&quot;">
                  <c:v>45386</c:v>
                </c:pt>
                <c:pt idx="95" c:formatCode="m&quot;月&quot;d&quot;日&quot;">
                  <c:v>45387</c:v>
                </c:pt>
                <c:pt idx="96" c:formatCode="m&quot;月&quot;d&quot;日&quot;">
                  <c:v>45388</c:v>
                </c:pt>
                <c:pt idx="97" c:formatCode="m&quot;月&quot;d&quot;日&quot;">
                  <c:v>45389</c:v>
                </c:pt>
                <c:pt idx="98" c:formatCode="m&quot;月&quot;d&quot;日&quot;">
                  <c:v>45390</c:v>
                </c:pt>
                <c:pt idx="99" c:formatCode="m&quot;月&quot;d&quot;日&quot;">
                  <c:v>45391</c:v>
                </c:pt>
                <c:pt idx="100" c:formatCode="m&quot;月&quot;d&quot;日&quot;">
                  <c:v>45392</c:v>
                </c:pt>
                <c:pt idx="101" c:formatCode="m&quot;月&quot;d&quot;日&quot;">
                  <c:v>45393</c:v>
                </c:pt>
                <c:pt idx="102" c:formatCode="m&quot;月&quot;d&quot;日&quot;">
                  <c:v>45394</c:v>
                </c:pt>
                <c:pt idx="103" c:formatCode="m&quot;月&quot;d&quot;日&quot;">
                  <c:v>45395</c:v>
                </c:pt>
                <c:pt idx="104" c:formatCode="m&quot;月&quot;d&quot;日&quot;">
                  <c:v>45396</c:v>
                </c:pt>
                <c:pt idx="105" c:formatCode="m&quot;月&quot;d&quot;日&quot;">
                  <c:v>45397</c:v>
                </c:pt>
                <c:pt idx="106" c:formatCode="m&quot;月&quot;d&quot;日&quot;">
                  <c:v>45398</c:v>
                </c:pt>
                <c:pt idx="107" c:formatCode="m&quot;月&quot;d&quot;日&quot;">
                  <c:v>45399</c:v>
                </c:pt>
                <c:pt idx="108" c:formatCode="m&quot;月&quot;d&quot;日&quot;">
                  <c:v>45400</c:v>
                </c:pt>
                <c:pt idx="109" c:formatCode="m&quot;月&quot;d&quot;日&quot;">
                  <c:v>45401</c:v>
                </c:pt>
                <c:pt idx="110" c:formatCode="m&quot;月&quot;d&quot;日&quot;">
                  <c:v>45402</c:v>
                </c:pt>
                <c:pt idx="111" c:formatCode="m&quot;月&quot;d&quot;日&quot;">
                  <c:v>45403</c:v>
                </c:pt>
                <c:pt idx="112" c:formatCode="m&quot;月&quot;d&quot;日&quot;">
                  <c:v>45404</c:v>
                </c:pt>
                <c:pt idx="113" c:formatCode="m&quot;月&quot;d&quot;日&quot;">
                  <c:v>45405</c:v>
                </c:pt>
                <c:pt idx="114" c:formatCode="m&quot;月&quot;d&quot;日&quot;">
                  <c:v>45406</c:v>
                </c:pt>
                <c:pt idx="115" c:formatCode="m&quot;月&quot;d&quot;日&quot;">
                  <c:v>45407</c:v>
                </c:pt>
                <c:pt idx="116" c:formatCode="m&quot;月&quot;d&quot;日&quot;">
                  <c:v>45408</c:v>
                </c:pt>
                <c:pt idx="117" c:formatCode="m&quot;月&quot;d&quot;日&quot;">
                  <c:v>45409</c:v>
                </c:pt>
                <c:pt idx="118" c:formatCode="m&quot;月&quot;d&quot;日&quot;">
                  <c:v>45410</c:v>
                </c:pt>
                <c:pt idx="119" c:formatCode="m&quot;月&quot;d&quot;日&quot;">
                  <c:v>45411</c:v>
                </c:pt>
                <c:pt idx="120" c:formatCode="m&quot;月&quot;d&quot;日&quot;">
                  <c:v>45412</c:v>
                </c:pt>
                <c:pt idx="121" c:formatCode="m&quot;月&quot;d&quot;日&quot;">
                  <c:v>45413</c:v>
                </c:pt>
                <c:pt idx="122" c:formatCode="m&quot;月&quot;d&quot;日&quot;">
                  <c:v>45414</c:v>
                </c:pt>
                <c:pt idx="123" c:formatCode="m&quot;月&quot;d&quot;日&quot;">
                  <c:v>45415</c:v>
                </c:pt>
                <c:pt idx="124" c:formatCode="m&quot;月&quot;d&quot;日&quot;">
                  <c:v>45416</c:v>
                </c:pt>
                <c:pt idx="125" c:formatCode="m&quot;月&quot;d&quot;日&quot;">
                  <c:v>45417</c:v>
                </c:pt>
                <c:pt idx="126" c:formatCode="m&quot;月&quot;d&quot;日&quot;">
                  <c:v>45418</c:v>
                </c:pt>
                <c:pt idx="127" c:formatCode="m&quot;月&quot;d&quot;日&quot;">
                  <c:v>45419</c:v>
                </c:pt>
                <c:pt idx="128" c:formatCode="m&quot;月&quot;d&quot;日&quot;">
                  <c:v>45420</c:v>
                </c:pt>
                <c:pt idx="129" c:formatCode="m&quot;月&quot;d&quot;日&quot;">
                  <c:v>45421</c:v>
                </c:pt>
                <c:pt idx="130" c:formatCode="m&quot;月&quot;d&quot;日&quot;">
                  <c:v>45422</c:v>
                </c:pt>
                <c:pt idx="131" c:formatCode="m&quot;月&quot;d&quot;日&quot;">
                  <c:v>45423</c:v>
                </c:pt>
                <c:pt idx="132" c:formatCode="m&quot;月&quot;d&quot;日&quot;">
                  <c:v>45424</c:v>
                </c:pt>
                <c:pt idx="133" c:formatCode="m&quot;月&quot;d&quot;日&quot;">
                  <c:v>45425</c:v>
                </c:pt>
                <c:pt idx="134" c:formatCode="m&quot;月&quot;d&quot;日&quot;">
                  <c:v>45426</c:v>
                </c:pt>
                <c:pt idx="135" c:formatCode="m&quot;月&quot;d&quot;日&quot;">
                  <c:v>45427</c:v>
                </c:pt>
                <c:pt idx="136" c:formatCode="m&quot;月&quot;d&quot;日&quot;">
                  <c:v>45428</c:v>
                </c:pt>
                <c:pt idx="137" c:formatCode="m&quot;月&quot;d&quot;日&quot;">
                  <c:v>45429</c:v>
                </c:pt>
                <c:pt idx="138" c:formatCode="m&quot;月&quot;d&quot;日&quot;">
                  <c:v>45430</c:v>
                </c:pt>
                <c:pt idx="139" c:formatCode="m&quot;月&quot;d&quot;日&quot;">
                  <c:v>45431</c:v>
                </c:pt>
                <c:pt idx="140" c:formatCode="m&quot;月&quot;d&quot;日&quot;">
                  <c:v>45432</c:v>
                </c:pt>
                <c:pt idx="141" c:formatCode="m&quot;月&quot;d&quot;日&quot;">
                  <c:v>45433</c:v>
                </c:pt>
                <c:pt idx="142" c:formatCode="m&quot;月&quot;d&quot;日&quot;">
                  <c:v>45434</c:v>
                </c:pt>
                <c:pt idx="143" c:formatCode="m&quot;月&quot;d&quot;日&quot;">
                  <c:v>45435</c:v>
                </c:pt>
                <c:pt idx="144" c:formatCode="m&quot;月&quot;d&quot;日&quot;">
                  <c:v>45436</c:v>
                </c:pt>
                <c:pt idx="145" c:formatCode="m&quot;月&quot;d&quot;日&quot;">
                  <c:v>45437</c:v>
                </c:pt>
                <c:pt idx="146" c:formatCode="m&quot;月&quot;d&quot;日&quot;">
                  <c:v>45438</c:v>
                </c:pt>
                <c:pt idx="147" c:formatCode="m&quot;月&quot;d&quot;日&quot;">
                  <c:v>45439</c:v>
                </c:pt>
                <c:pt idx="148" c:formatCode="m&quot;月&quot;d&quot;日&quot;">
                  <c:v>45440</c:v>
                </c:pt>
                <c:pt idx="149" c:formatCode="m&quot;月&quot;d&quot;日&quot;">
                  <c:v>45441</c:v>
                </c:pt>
                <c:pt idx="150" c:formatCode="m&quot;月&quot;d&quot;日&quot;">
                  <c:v>45442</c:v>
                </c:pt>
                <c:pt idx="151" c:formatCode="m&quot;月&quot;d&quot;日&quot;">
                  <c:v>45443</c:v>
                </c:pt>
                <c:pt idx="152" c:formatCode="m&quot;月&quot;d&quot;日&quot;">
                  <c:v>45444</c:v>
                </c:pt>
                <c:pt idx="153" c:formatCode="m&quot;月&quot;d&quot;日&quot;">
                  <c:v>45445</c:v>
                </c:pt>
                <c:pt idx="154" c:formatCode="m&quot;月&quot;d&quot;日&quot;">
                  <c:v>45446</c:v>
                </c:pt>
                <c:pt idx="155" c:formatCode="m&quot;月&quot;d&quot;日&quot;">
                  <c:v>45447</c:v>
                </c:pt>
                <c:pt idx="156" c:formatCode="m&quot;月&quot;d&quot;日&quot;">
                  <c:v>45448</c:v>
                </c:pt>
                <c:pt idx="157" c:formatCode="m&quot;月&quot;d&quot;日&quot;">
                  <c:v>45449</c:v>
                </c:pt>
                <c:pt idx="158" c:formatCode="m&quot;月&quot;d&quot;日&quot;">
                  <c:v>45450</c:v>
                </c:pt>
                <c:pt idx="159" c:formatCode="m&quot;月&quot;d&quot;日&quot;">
                  <c:v>45451</c:v>
                </c:pt>
                <c:pt idx="160" c:formatCode="m&quot;月&quot;d&quot;日&quot;">
                  <c:v>45452</c:v>
                </c:pt>
                <c:pt idx="161" c:formatCode="m&quot;月&quot;d&quot;日&quot;">
                  <c:v>45453</c:v>
                </c:pt>
                <c:pt idx="162" c:formatCode="m&quot;月&quot;d&quot;日&quot;">
                  <c:v>45454</c:v>
                </c:pt>
                <c:pt idx="163" c:formatCode="m&quot;月&quot;d&quot;日&quot;">
                  <c:v>45455</c:v>
                </c:pt>
                <c:pt idx="164" c:formatCode="m&quot;月&quot;d&quot;日&quot;">
                  <c:v>45456</c:v>
                </c:pt>
                <c:pt idx="165" c:formatCode="m&quot;月&quot;d&quot;日&quot;">
                  <c:v>45457</c:v>
                </c:pt>
                <c:pt idx="166" c:formatCode="m&quot;月&quot;d&quot;日&quot;">
                  <c:v>45458</c:v>
                </c:pt>
                <c:pt idx="167" c:formatCode="m&quot;月&quot;d&quot;日&quot;">
                  <c:v>45459</c:v>
                </c:pt>
                <c:pt idx="168" c:formatCode="m&quot;月&quot;d&quot;日&quot;">
                  <c:v>45460</c:v>
                </c:pt>
                <c:pt idx="169" c:formatCode="m&quot;月&quot;d&quot;日&quot;">
                  <c:v>45461</c:v>
                </c:pt>
                <c:pt idx="170" c:formatCode="m&quot;月&quot;d&quot;日&quot;">
                  <c:v>45462</c:v>
                </c:pt>
                <c:pt idx="171" c:formatCode="m&quot;月&quot;d&quot;日&quot;">
                  <c:v>45463</c:v>
                </c:pt>
                <c:pt idx="172" c:formatCode="m&quot;月&quot;d&quot;日&quot;">
                  <c:v>45464</c:v>
                </c:pt>
                <c:pt idx="173" c:formatCode="m&quot;月&quot;d&quot;日&quot;">
                  <c:v>45465</c:v>
                </c:pt>
                <c:pt idx="174" c:formatCode="m&quot;月&quot;d&quot;日&quot;">
                  <c:v>45466</c:v>
                </c:pt>
                <c:pt idx="175" c:formatCode="m&quot;月&quot;d&quot;日&quot;">
                  <c:v>45467</c:v>
                </c:pt>
                <c:pt idx="176" c:formatCode="m&quot;月&quot;d&quot;日&quot;">
                  <c:v>45468</c:v>
                </c:pt>
                <c:pt idx="177" c:formatCode="m&quot;月&quot;d&quot;日&quot;">
                  <c:v>45469</c:v>
                </c:pt>
                <c:pt idx="178" c:formatCode="m&quot;月&quot;d&quot;日&quot;">
                  <c:v>45470</c:v>
                </c:pt>
                <c:pt idx="179" c:formatCode="m&quot;月&quot;d&quot;日&quot;">
                  <c:v>45471</c:v>
                </c:pt>
                <c:pt idx="180" c:formatCode="m&quot;月&quot;d&quot;日&quot;">
                  <c:v>45472</c:v>
                </c:pt>
                <c:pt idx="181" c:formatCode="m&quot;月&quot;d&quot;日&quot;">
                  <c:v>45473</c:v>
                </c:pt>
                <c:pt idx="182" c:formatCode="m&quot;月&quot;d&quot;日&quot;">
                  <c:v>45474</c:v>
                </c:pt>
                <c:pt idx="183" c:formatCode="m&quot;月&quot;d&quot;日&quot;">
                  <c:v>45475</c:v>
                </c:pt>
                <c:pt idx="184" c:formatCode="m&quot;月&quot;d&quot;日&quot;">
                  <c:v>45476</c:v>
                </c:pt>
                <c:pt idx="185" c:formatCode="m&quot;月&quot;d&quot;日&quot;">
                  <c:v>45477</c:v>
                </c:pt>
                <c:pt idx="186" c:formatCode="m&quot;月&quot;d&quot;日&quot;">
                  <c:v>45478</c:v>
                </c:pt>
                <c:pt idx="187" c:formatCode="m&quot;月&quot;d&quot;日&quot;">
                  <c:v>45479</c:v>
                </c:pt>
                <c:pt idx="188" c:formatCode="m&quot;月&quot;d&quot;日&quot;">
                  <c:v>45480</c:v>
                </c:pt>
                <c:pt idx="189" c:formatCode="m&quot;月&quot;d&quot;日&quot;">
                  <c:v>45481</c:v>
                </c:pt>
                <c:pt idx="190" c:formatCode="m&quot;月&quot;d&quot;日&quot;">
                  <c:v>45482</c:v>
                </c:pt>
                <c:pt idx="191" c:formatCode="m&quot;月&quot;d&quot;日&quot;">
                  <c:v>45483</c:v>
                </c:pt>
                <c:pt idx="192" c:formatCode="m&quot;月&quot;d&quot;日&quot;">
                  <c:v>45484</c:v>
                </c:pt>
                <c:pt idx="193" c:formatCode="m&quot;月&quot;d&quot;日&quot;">
                  <c:v>45485</c:v>
                </c:pt>
                <c:pt idx="194" c:formatCode="m&quot;月&quot;d&quot;日&quot;">
                  <c:v>45486</c:v>
                </c:pt>
                <c:pt idx="195" c:formatCode="m&quot;月&quot;d&quot;日&quot;">
                  <c:v>45487</c:v>
                </c:pt>
                <c:pt idx="196" c:formatCode="m&quot;月&quot;d&quot;日&quot;">
                  <c:v>45488</c:v>
                </c:pt>
                <c:pt idx="197" c:formatCode="m&quot;月&quot;d&quot;日&quot;">
                  <c:v>45489</c:v>
                </c:pt>
                <c:pt idx="198" c:formatCode="m&quot;月&quot;d&quot;日&quot;">
                  <c:v>45490</c:v>
                </c:pt>
                <c:pt idx="199" c:formatCode="m&quot;月&quot;d&quot;日&quot;">
                  <c:v>45491</c:v>
                </c:pt>
                <c:pt idx="200" c:formatCode="m&quot;月&quot;d&quot;日&quot;">
                  <c:v>45492</c:v>
                </c:pt>
                <c:pt idx="201" c:formatCode="m&quot;月&quot;d&quot;日&quot;">
                  <c:v>45493</c:v>
                </c:pt>
                <c:pt idx="202" c:formatCode="m&quot;月&quot;d&quot;日&quot;">
                  <c:v>45494</c:v>
                </c:pt>
                <c:pt idx="203" c:formatCode="m&quot;月&quot;d&quot;日&quot;">
                  <c:v>45495</c:v>
                </c:pt>
                <c:pt idx="204" c:formatCode="m&quot;月&quot;d&quot;日&quot;">
                  <c:v>45496</c:v>
                </c:pt>
                <c:pt idx="205" c:formatCode="m&quot;月&quot;d&quot;日&quot;">
                  <c:v>45497</c:v>
                </c:pt>
                <c:pt idx="206" c:formatCode="m&quot;月&quot;d&quot;日&quot;">
                  <c:v>45498</c:v>
                </c:pt>
                <c:pt idx="207" c:formatCode="m&quot;月&quot;d&quot;日&quot;">
                  <c:v>45499</c:v>
                </c:pt>
                <c:pt idx="208" c:formatCode="m&quot;月&quot;d&quot;日&quot;">
                  <c:v>45500</c:v>
                </c:pt>
                <c:pt idx="209" c:formatCode="m&quot;月&quot;d&quot;日&quot;">
                  <c:v>45501</c:v>
                </c:pt>
                <c:pt idx="210" c:formatCode="m&quot;月&quot;d&quot;日&quot;">
                  <c:v>45502</c:v>
                </c:pt>
                <c:pt idx="211" c:formatCode="m&quot;月&quot;d&quot;日&quot;">
                  <c:v>45503</c:v>
                </c:pt>
                <c:pt idx="212" c:formatCode="m&quot;月&quot;d&quot;日&quot;">
                  <c:v>45504</c:v>
                </c:pt>
                <c:pt idx="213" c:formatCode="m&quot;月&quot;d&quot;日&quot;">
                  <c:v>45505</c:v>
                </c:pt>
                <c:pt idx="214" c:formatCode="m&quot;月&quot;d&quot;日&quot;">
                  <c:v>45506</c:v>
                </c:pt>
                <c:pt idx="215" c:formatCode="m&quot;月&quot;d&quot;日&quot;">
                  <c:v>45507</c:v>
                </c:pt>
                <c:pt idx="216" c:formatCode="m&quot;月&quot;d&quot;日&quot;">
                  <c:v>45508</c:v>
                </c:pt>
                <c:pt idx="217" c:formatCode="m&quot;月&quot;d&quot;日&quot;">
                  <c:v>45509</c:v>
                </c:pt>
                <c:pt idx="218" c:formatCode="m&quot;月&quot;d&quot;日&quot;">
                  <c:v>45510</c:v>
                </c:pt>
                <c:pt idx="219" c:formatCode="m&quot;月&quot;d&quot;日&quot;">
                  <c:v>45511</c:v>
                </c:pt>
                <c:pt idx="220" c:formatCode="m&quot;月&quot;d&quot;日&quot;">
                  <c:v>45512</c:v>
                </c:pt>
                <c:pt idx="221" c:formatCode="m&quot;月&quot;d&quot;日&quot;">
                  <c:v>45513</c:v>
                </c:pt>
                <c:pt idx="222" c:formatCode="m&quot;月&quot;d&quot;日&quot;">
                  <c:v>45514</c:v>
                </c:pt>
                <c:pt idx="223" c:formatCode="m&quot;月&quot;d&quot;日&quot;">
                  <c:v>45515</c:v>
                </c:pt>
                <c:pt idx="224" c:formatCode="m&quot;月&quot;d&quot;日&quot;">
                  <c:v>45516</c:v>
                </c:pt>
                <c:pt idx="225" c:formatCode="m&quot;月&quot;d&quot;日&quot;">
                  <c:v>45517</c:v>
                </c:pt>
                <c:pt idx="226" c:formatCode="m&quot;月&quot;d&quot;日&quot;">
                  <c:v>45518</c:v>
                </c:pt>
                <c:pt idx="227" c:formatCode="m&quot;月&quot;d&quot;日&quot;">
                  <c:v>45519</c:v>
                </c:pt>
                <c:pt idx="228" c:formatCode="m&quot;月&quot;d&quot;日&quot;">
                  <c:v>45520</c:v>
                </c:pt>
                <c:pt idx="229" c:formatCode="m&quot;月&quot;d&quot;日&quot;">
                  <c:v>45521</c:v>
                </c:pt>
                <c:pt idx="230" c:formatCode="m&quot;月&quot;d&quot;日&quot;">
                  <c:v>45522</c:v>
                </c:pt>
                <c:pt idx="231" c:formatCode="m&quot;月&quot;d&quot;日&quot;">
                  <c:v>45523</c:v>
                </c:pt>
                <c:pt idx="232" c:formatCode="m&quot;月&quot;d&quot;日&quot;">
                  <c:v>45524</c:v>
                </c:pt>
                <c:pt idx="233" c:formatCode="m&quot;月&quot;d&quot;日&quot;">
                  <c:v>45525</c:v>
                </c:pt>
                <c:pt idx="234" c:formatCode="m&quot;月&quot;d&quot;日&quot;">
                  <c:v>45526</c:v>
                </c:pt>
                <c:pt idx="235" c:formatCode="m&quot;月&quot;d&quot;日&quot;">
                  <c:v>45527</c:v>
                </c:pt>
                <c:pt idx="236" c:formatCode="m&quot;月&quot;d&quot;日&quot;">
                  <c:v>45528</c:v>
                </c:pt>
                <c:pt idx="237" c:formatCode="m&quot;月&quot;d&quot;日&quot;">
                  <c:v>45529</c:v>
                </c:pt>
                <c:pt idx="238" c:formatCode="m&quot;月&quot;d&quot;日&quot;">
                  <c:v>45530</c:v>
                </c:pt>
                <c:pt idx="239" c:formatCode="m&quot;月&quot;d&quot;日&quot;">
                  <c:v>45531</c:v>
                </c:pt>
                <c:pt idx="240" c:formatCode="m&quot;月&quot;d&quot;日&quot;">
                  <c:v>45532</c:v>
                </c:pt>
                <c:pt idx="241" c:formatCode="m&quot;月&quot;d&quot;日&quot;">
                  <c:v>45533</c:v>
                </c:pt>
                <c:pt idx="242" c:formatCode="m&quot;月&quot;d&quot;日&quot;">
                  <c:v>45534</c:v>
                </c:pt>
                <c:pt idx="243" c:formatCode="m&quot;月&quot;d&quot;日&quot;">
                  <c:v>45535</c:v>
                </c:pt>
                <c:pt idx="244" c:formatCode="m&quot;月&quot;d&quot;日&quot;">
                  <c:v>45536</c:v>
                </c:pt>
                <c:pt idx="245" c:formatCode="m&quot;月&quot;d&quot;日&quot;">
                  <c:v>45537</c:v>
                </c:pt>
                <c:pt idx="246" c:formatCode="m&quot;月&quot;d&quot;日&quot;">
                  <c:v>45538</c:v>
                </c:pt>
                <c:pt idx="247" c:formatCode="m&quot;月&quot;d&quot;日&quot;">
                  <c:v>45539</c:v>
                </c:pt>
                <c:pt idx="248" c:formatCode="m&quot;月&quot;d&quot;日&quot;">
                  <c:v>45540</c:v>
                </c:pt>
                <c:pt idx="249" c:formatCode="m&quot;月&quot;d&quot;日&quot;">
                  <c:v>45541</c:v>
                </c:pt>
                <c:pt idx="250" c:formatCode="m&quot;月&quot;d&quot;日&quot;">
                  <c:v>45542</c:v>
                </c:pt>
                <c:pt idx="251" c:formatCode="m&quot;月&quot;d&quot;日&quot;">
                  <c:v>45543</c:v>
                </c:pt>
                <c:pt idx="252" c:formatCode="m&quot;月&quot;d&quot;日&quot;">
                  <c:v>45544</c:v>
                </c:pt>
                <c:pt idx="253" c:formatCode="m&quot;月&quot;d&quot;日&quot;">
                  <c:v>45545</c:v>
                </c:pt>
                <c:pt idx="254" c:formatCode="m&quot;月&quot;d&quot;日&quot;">
                  <c:v>45546</c:v>
                </c:pt>
                <c:pt idx="255" c:formatCode="m&quot;月&quot;d&quot;日&quot;">
                  <c:v>45547</c:v>
                </c:pt>
                <c:pt idx="256" c:formatCode="m&quot;月&quot;d&quot;日&quot;">
                  <c:v>45548</c:v>
                </c:pt>
                <c:pt idx="257" c:formatCode="m&quot;月&quot;d&quot;日&quot;">
                  <c:v>45549</c:v>
                </c:pt>
                <c:pt idx="258" c:formatCode="m&quot;月&quot;d&quot;日&quot;">
                  <c:v>45550</c:v>
                </c:pt>
                <c:pt idx="259" c:formatCode="m&quot;月&quot;d&quot;日&quot;">
                  <c:v>45551</c:v>
                </c:pt>
                <c:pt idx="260" c:formatCode="m&quot;月&quot;d&quot;日&quot;">
                  <c:v>45552</c:v>
                </c:pt>
                <c:pt idx="261" c:formatCode="m&quot;月&quot;d&quot;日&quot;">
                  <c:v>45553</c:v>
                </c:pt>
                <c:pt idx="262" c:formatCode="m&quot;月&quot;d&quot;日&quot;">
                  <c:v>45554</c:v>
                </c:pt>
                <c:pt idx="263" c:formatCode="m&quot;月&quot;d&quot;日&quot;">
                  <c:v>45555</c:v>
                </c:pt>
                <c:pt idx="264" c:formatCode="m&quot;月&quot;d&quot;日&quot;">
                  <c:v>45556</c:v>
                </c:pt>
                <c:pt idx="265" c:formatCode="m&quot;月&quot;d&quot;日&quot;">
                  <c:v>45557</c:v>
                </c:pt>
                <c:pt idx="266" c:formatCode="m&quot;月&quot;d&quot;日&quot;">
                  <c:v>45558</c:v>
                </c:pt>
                <c:pt idx="267" c:formatCode="m&quot;月&quot;d&quot;日&quot;">
                  <c:v>45559</c:v>
                </c:pt>
                <c:pt idx="268" c:formatCode="m&quot;月&quot;d&quot;日&quot;">
                  <c:v>45560</c:v>
                </c:pt>
                <c:pt idx="269" c:formatCode="m&quot;月&quot;d&quot;日&quot;">
                  <c:v>45561</c:v>
                </c:pt>
                <c:pt idx="270" c:formatCode="m&quot;月&quot;d&quot;日&quot;">
                  <c:v>45562</c:v>
                </c:pt>
                <c:pt idx="271" c:formatCode="m&quot;月&quot;d&quot;日&quot;">
                  <c:v>45563</c:v>
                </c:pt>
                <c:pt idx="272" c:formatCode="m&quot;月&quot;d&quot;日&quot;">
                  <c:v>45564</c:v>
                </c:pt>
                <c:pt idx="273" c:formatCode="m&quot;月&quot;d&quot;日&quot;">
                  <c:v>45565</c:v>
                </c:pt>
                <c:pt idx="274" c:formatCode="m&quot;月&quot;d&quot;日&quot;">
                  <c:v>45566</c:v>
                </c:pt>
                <c:pt idx="275" c:formatCode="m&quot;月&quot;d&quot;日&quot;">
                  <c:v>45567</c:v>
                </c:pt>
                <c:pt idx="276" c:formatCode="m&quot;月&quot;d&quot;日&quot;">
                  <c:v>45568</c:v>
                </c:pt>
                <c:pt idx="277" c:formatCode="m&quot;月&quot;d&quot;日&quot;">
                  <c:v>45569</c:v>
                </c:pt>
                <c:pt idx="278" c:formatCode="m&quot;月&quot;d&quot;日&quot;">
                  <c:v>45570</c:v>
                </c:pt>
                <c:pt idx="279" c:formatCode="m&quot;月&quot;d&quot;日&quot;">
                  <c:v>45571</c:v>
                </c:pt>
                <c:pt idx="280" c:formatCode="m&quot;月&quot;d&quot;日&quot;">
                  <c:v>45572</c:v>
                </c:pt>
                <c:pt idx="281" c:formatCode="m&quot;月&quot;d&quot;日&quot;">
                  <c:v>45573</c:v>
                </c:pt>
                <c:pt idx="282" c:formatCode="m&quot;月&quot;d&quot;日&quot;">
                  <c:v>45574</c:v>
                </c:pt>
                <c:pt idx="283" c:formatCode="m&quot;月&quot;d&quot;日&quot;">
                  <c:v>45575</c:v>
                </c:pt>
                <c:pt idx="284" c:formatCode="m&quot;月&quot;d&quot;日&quot;">
                  <c:v>45576</c:v>
                </c:pt>
                <c:pt idx="285" c:formatCode="m&quot;月&quot;d&quot;日&quot;">
                  <c:v>45577</c:v>
                </c:pt>
                <c:pt idx="286" c:formatCode="m&quot;月&quot;d&quot;日&quot;">
                  <c:v>45578</c:v>
                </c:pt>
                <c:pt idx="287" c:formatCode="m&quot;月&quot;d&quot;日&quot;">
                  <c:v>45579</c:v>
                </c:pt>
                <c:pt idx="288" c:formatCode="m&quot;月&quot;d&quot;日&quot;">
                  <c:v>45580</c:v>
                </c:pt>
                <c:pt idx="289" c:formatCode="m&quot;月&quot;d&quot;日&quot;">
                  <c:v>45581</c:v>
                </c:pt>
                <c:pt idx="290" c:formatCode="m&quot;月&quot;d&quot;日&quot;">
                  <c:v>45582</c:v>
                </c:pt>
                <c:pt idx="291" c:formatCode="m&quot;月&quot;d&quot;日&quot;">
                  <c:v>45583</c:v>
                </c:pt>
                <c:pt idx="292" c:formatCode="m&quot;月&quot;d&quot;日&quot;">
                  <c:v>45584</c:v>
                </c:pt>
                <c:pt idx="293" c:formatCode="m&quot;月&quot;d&quot;日&quot;">
                  <c:v>45585</c:v>
                </c:pt>
                <c:pt idx="294" c:formatCode="m&quot;月&quot;d&quot;日&quot;">
                  <c:v>45586</c:v>
                </c:pt>
                <c:pt idx="295" c:formatCode="m&quot;月&quot;d&quot;日&quot;">
                  <c:v>45587</c:v>
                </c:pt>
                <c:pt idx="296" c:formatCode="m&quot;月&quot;d&quot;日&quot;">
                  <c:v>45588</c:v>
                </c:pt>
                <c:pt idx="297" c:formatCode="m&quot;月&quot;d&quot;日&quot;">
                  <c:v>45589</c:v>
                </c:pt>
                <c:pt idx="298" c:formatCode="m&quot;月&quot;d&quot;日&quot;">
                  <c:v>45590</c:v>
                </c:pt>
                <c:pt idx="299" c:formatCode="m&quot;月&quot;d&quot;日&quot;">
                  <c:v>45591</c:v>
                </c:pt>
                <c:pt idx="300" c:formatCode="m&quot;月&quot;d&quot;日&quot;">
                  <c:v>45592</c:v>
                </c:pt>
                <c:pt idx="301" c:formatCode="m&quot;月&quot;d&quot;日&quot;">
                  <c:v>45593</c:v>
                </c:pt>
                <c:pt idx="302" c:formatCode="m&quot;月&quot;d&quot;日&quot;">
                  <c:v>45594</c:v>
                </c:pt>
                <c:pt idx="303" c:formatCode="m&quot;月&quot;d&quot;日&quot;">
                  <c:v>45595</c:v>
                </c:pt>
                <c:pt idx="304" c:formatCode="m&quot;月&quot;d&quot;日&quot;">
                  <c:v>45596</c:v>
                </c:pt>
                <c:pt idx="305" c:formatCode="m&quot;月&quot;d&quot;日&quot;">
                  <c:v>45597</c:v>
                </c:pt>
                <c:pt idx="306" c:formatCode="m&quot;月&quot;d&quot;日&quot;">
                  <c:v>45598</c:v>
                </c:pt>
                <c:pt idx="307" c:formatCode="m&quot;月&quot;d&quot;日&quot;">
                  <c:v>45599</c:v>
                </c:pt>
                <c:pt idx="308" c:formatCode="m&quot;月&quot;d&quot;日&quot;">
                  <c:v>45600</c:v>
                </c:pt>
                <c:pt idx="309" c:formatCode="m&quot;月&quot;d&quot;日&quot;">
                  <c:v>45601</c:v>
                </c:pt>
                <c:pt idx="310" c:formatCode="m&quot;月&quot;d&quot;日&quot;">
                  <c:v>45602</c:v>
                </c:pt>
                <c:pt idx="311" c:formatCode="m&quot;月&quot;d&quot;日&quot;">
                  <c:v>45603</c:v>
                </c:pt>
                <c:pt idx="312" c:formatCode="m&quot;月&quot;d&quot;日&quot;">
                  <c:v>45604</c:v>
                </c:pt>
                <c:pt idx="313" c:formatCode="m&quot;月&quot;d&quot;日&quot;">
                  <c:v>45605</c:v>
                </c:pt>
                <c:pt idx="314" c:formatCode="m&quot;月&quot;d&quot;日&quot;">
                  <c:v>45606</c:v>
                </c:pt>
                <c:pt idx="315" c:formatCode="m&quot;月&quot;d&quot;日&quot;">
                  <c:v>45607</c:v>
                </c:pt>
                <c:pt idx="316" c:formatCode="m&quot;月&quot;d&quot;日&quot;">
                  <c:v>45608</c:v>
                </c:pt>
                <c:pt idx="317" c:formatCode="m&quot;月&quot;d&quot;日&quot;">
                  <c:v>45609</c:v>
                </c:pt>
                <c:pt idx="318" c:formatCode="m&quot;月&quot;d&quot;日&quot;">
                  <c:v>45610</c:v>
                </c:pt>
                <c:pt idx="319" c:formatCode="m&quot;月&quot;d&quot;日&quot;">
                  <c:v>45611</c:v>
                </c:pt>
                <c:pt idx="320" c:formatCode="m&quot;月&quot;d&quot;日&quot;">
                  <c:v>45612</c:v>
                </c:pt>
                <c:pt idx="321" c:formatCode="m&quot;月&quot;d&quot;日&quot;">
                  <c:v>45613</c:v>
                </c:pt>
                <c:pt idx="322" c:formatCode="m&quot;月&quot;d&quot;日&quot;">
                  <c:v>45614</c:v>
                </c:pt>
                <c:pt idx="323" c:formatCode="m&quot;月&quot;d&quot;日&quot;">
                  <c:v>45615</c:v>
                </c:pt>
                <c:pt idx="324" c:formatCode="m&quot;月&quot;d&quot;日&quot;">
                  <c:v>45616</c:v>
                </c:pt>
                <c:pt idx="325" c:formatCode="m&quot;月&quot;d&quot;日&quot;">
                  <c:v>45617</c:v>
                </c:pt>
                <c:pt idx="326" c:formatCode="m&quot;月&quot;d&quot;日&quot;">
                  <c:v>45618</c:v>
                </c:pt>
                <c:pt idx="327" c:formatCode="m&quot;月&quot;d&quot;日&quot;">
                  <c:v>45619</c:v>
                </c:pt>
                <c:pt idx="328" c:formatCode="m&quot;月&quot;d&quot;日&quot;">
                  <c:v>45620</c:v>
                </c:pt>
                <c:pt idx="329" c:formatCode="m&quot;月&quot;d&quot;日&quot;">
                  <c:v>45621</c:v>
                </c:pt>
                <c:pt idx="330" c:formatCode="m&quot;月&quot;d&quot;日&quot;">
                  <c:v>45622</c:v>
                </c:pt>
                <c:pt idx="331" c:formatCode="m&quot;月&quot;d&quot;日&quot;">
                  <c:v>45623</c:v>
                </c:pt>
                <c:pt idx="332" c:formatCode="m&quot;月&quot;d&quot;日&quot;">
                  <c:v>45624</c:v>
                </c:pt>
                <c:pt idx="333" c:formatCode="m&quot;月&quot;d&quot;日&quot;">
                  <c:v>45625</c:v>
                </c:pt>
                <c:pt idx="334" c:formatCode="m&quot;月&quot;d&quot;日&quot;">
                  <c:v>45626</c:v>
                </c:pt>
                <c:pt idx="335" c:formatCode="m&quot;月&quot;d&quot;日&quot;">
                  <c:v>45627</c:v>
                </c:pt>
                <c:pt idx="336" c:formatCode="m&quot;月&quot;d&quot;日&quot;">
                  <c:v>45628</c:v>
                </c:pt>
                <c:pt idx="337" c:formatCode="m&quot;月&quot;d&quot;日&quot;">
                  <c:v>45629</c:v>
                </c:pt>
                <c:pt idx="338" c:formatCode="m&quot;月&quot;d&quot;日&quot;">
                  <c:v>45630</c:v>
                </c:pt>
                <c:pt idx="339" c:formatCode="m&quot;月&quot;d&quot;日&quot;">
                  <c:v>45631</c:v>
                </c:pt>
                <c:pt idx="340" c:formatCode="m&quot;月&quot;d&quot;日&quot;">
                  <c:v>45632</c:v>
                </c:pt>
                <c:pt idx="341" c:formatCode="m&quot;月&quot;d&quot;日&quot;">
                  <c:v>45633</c:v>
                </c:pt>
                <c:pt idx="342" c:formatCode="m&quot;月&quot;d&quot;日&quot;">
                  <c:v>45634</c:v>
                </c:pt>
                <c:pt idx="343" c:formatCode="m&quot;月&quot;d&quot;日&quot;">
                  <c:v>45635</c:v>
                </c:pt>
                <c:pt idx="344" c:formatCode="m&quot;月&quot;d&quot;日&quot;">
                  <c:v>45636</c:v>
                </c:pt>
                <c:pt idx="345" c:formatCode="m&quot;月&quot;d&quot;日&quot;">
                  <c:v>45637</c:v>
                </c:pt>
                <c:pt idx="346" c:formatCode="m&quot;月&quot;d&quot;日&quot;">
                  <c:v>45638</c:v>
                </c:pt>
                <c:pt idx="347" c:formatCode="m&quot;月&quot;d&quot;日&quot;">
                  <c:v>45639</c:v>
                </c:pt>
                <c:pt idx="348" c:formatCode="m&quot;月&quot;d&quot;日&quot;">
                  <c:v>45640</c:v>
                </c:pt>
                <c:pt idx="349" c:formatCode="m&quot;月&quot;d&quot;日&quot;">
                  <c:v>45641</c:v>
                </c:pt>
                <c:pt idx="350" c:formatCode="m&quot;月&quot;d&quot;日&quot;">
                  <c:v>45642</c:v>
                </c:pt>
                <c:pt idx="351" c:formatCode="m&quot;月&quot;d&quot;日&quot;">
                  <c:v>45643</c:v>
                </c:pt>
                <c:pt idx="352" c:formatCode="m&quot;月&quot;d&quot;日&quot;">
                  <c:v>45644</c:v>
                </c:pt>
                <c:pt idx="353" c:formatCode="m&quot;月&quot;d&quot;日&quot;">
                  <c:v>45645</c:v>
                </c:pt>
                <c:pt idx="354" c:formatCode="m&quot;月&quot;d&quot;日&quot;">
                  <c:v>45646</c:v>
                </c:pt>
                <c:pt idx="355" c:formatCode="m&quot;月&quot;d&quot;日&quot;">
                  <c:v>45647</c:v>
                </c:pt>
                <c:pt idx="356" c:formatCode="m&quot;月&quot;d&quot;日&quot;">
                  <c:v>45648</c:v>
                </c:pt>
                <c:pt idx="357" c:formatCode="m&quot;月&quot;d&quot;日&quot;">
                  <c:v>45649</c:v>
                </c:pt>
                <c:pt idx="358" c:formatCode="m&quot;月&quot;d&quot;日&quot;">
                  <c:v>45650</c:v>
                </c:pt>
                <c:pt idx="359" c:formatCode="m&quot;月&quot;d&quot;日&quot;">
                  <c:v>45651</c:v>
                </c:pt>
                <c:pt idx="360" c:formatCode="m&quot;月&quot;d&quot;日&quot;">
                  <c:v>45652</c:v>
                </c:pt>
                <c:pt idx="361" c:formatCode="m&quot;月&quot;d&quot;日&quot;">
                  <c:v>45653</c:v>
                </c:pt>
                <c:pt idx="362" c:formatCode="m&quot;月&quot;d&quot;日&quot;">
                  <c:v>45654</c:v>
                </c:pt>
                <c:pt idx="363" c:formatCode="m&quot;月&quot;d&quot;日&quot;">
                  <c:v>45655</c:v>
                </c:pt>
                <c:pt idx="364" c:formatCode="m&quot;月&quot;d&quot;日&quot;">
                  <c:v>45656</c:v>
                </c:pt>
                <c:pt idx="365" c:formatCode="m&quot;月&quot;d&quot;日&quot;">
                  <c:v>45657</c:v>
                </c:pt>
              </c:numCache>
            </c:numRef>
          </c:cat>
          <c:val>
            <c:numRef>
              <c:f>'[2024年电度统计 - 副本.xls]2024.01'!$E$3:$E$368</c:f>
              <c:numCache>
                <c:formatCode>0_ </c:formatCode>
                <c:ptCount val="366"/>
                <c:pt idx="0">
                  <c:v>99.8410642586164</c:v>
                </c:pt>
                <c:pt idx="1">
                  <c:v>100.950409417045</c:v>
                </c:pt>
                <c:pt idx="2">
                  <c:v>102.059754575475</c:v>
                </c:pt>
                <c:pt idx="3">
                  <c:v>194.135402725087</c:v>
                </c:pt>
                <c:pt idx="4">
                  <c:v>205.228854309378</c:v>
                </c:pt>
                <c:pt idx="5">
                  <c:v>136.449454486776</c:v>
                </c:pt>
                <c:pt idx="6">
                  <c:v>155.30832218007</c:v>
                </c:pt>
                <c:pt idx="7">
                  <c:v>139.777489962063</c:v>
                </c:pt>
                <c:pt idx="8">
                  <c:v>133.121419011488</c:v>
                </c:pt>
                <c:pt idx="9">
                  <c:v>183.041951140797</c:v>
                </c:pt>
                <c:pt idx="10">
                  <c:v>207.447544626236</c:v>
                </c:pt>
                <c:pt idx="11">
                  <c:v>173.057844714935</c:v>
                </c:pt>
                <c:pt idx="12">
                  <c:v>262.91480254769</c:v>
                </c:pt>
                <c:pt idx="13">
                  <c:v>219.650341368956</c:v>
                </c:pt>
                <c:pt idx="14">
                  <c:v>122.027967427198</c:v>
                </c:pt>
                <c:pt idx="15">
                  <c:v>116.481241635052</c:v>
                </c:pt>
                <c:pt idx="16">
                  <c:v>105.387790050762</c:v>
                </c:pt>
                <c:pt idx="17">
                  <c:v>119.80927711034</c:v>
                </c:pt>
                <c:pt idx="18">
                  <c:v>118.699931951911</c:v>
                </c:pt>
                <c:pt idx="19">
                  <c:v>148.652251229495</c:v>
                </c:pt>
                <c:pt idx="20">
                  <c:v>199.682128517233</c:v>
                </c:pt>
                <c:pt idx="21">
                  <c:v>178.60457050708</c:v>
                </c:pt>
                <c:pt idx="22">
                  <c:v>166.401773764361</c:v>
                </c:pt>
                <c:pt idx="23">
                  <c:v>118.699931951911</c:v>
                </c:pt>
                <c:pt idx="24">
                  <c:v>151.980286704783</c:v>
                </c:pt>
                <c:pt idx="25">
                  <c:v>153.089631863212</c:v>
                </c:pt>
                <c:pt idx="26">
                  <c:v>134.230764169918</c:v>
                </c:pt>
                <c:pt idx="27">
                  <c:v>139.777489962063</c:v>
                </c:pt>
                <c:pt idx="28">
                  <c:v>119.80927711034</c:v>
                </c:pt>
                <c:pt idx="29">
                  <c:v>119.80927711034</c:v>
                </c:pt>
                <c:pt idx="30">
                  <c:v>119.80927711034</c:v>
                </c:pt>
                <c:pt idx="31">
                  <c:v>125.356002902485</c:v>
                </c:pt>
                <c:pt idx="32">
                  <c:v>226.30641231953</c:v>
                </c:pt>
                <c:pt idx="33">
                  <c:v>128.684038377772</c:v>
                </c:pt>
                <c:pt idx="34">
                  <c:v>169.729809239648</c:v>
                </c:pt>
                <c:pt idx="35">
                  <c:v>169.729809239648</c:v>
                </c:pt>
                <c:pt idx="36">
                  <c:v>149.761596387925</c:v>
                </c:pt>
                <c:pt idx="37">
                  <c:v>113.153206159765</c:v>
                </c:pt>
                <c:pt idx="38">
                  <c:v>119.80927711034</c:v>
                </c:pt>
                <c:pt idx="39">
                  <c:v>108.715825526049</c:v>
                </c:pt>
                <c:pt idx="40">
                  <c:v>141.996180278921</c:v>
                </c:pt>
                <c:pt idx="41">
                  <c:v>194.135402725087</c:v>
                </c:pt>
                <c:pt idx="42">
                  <c:v>167.51111892279</c:v>
                </c:pt>
                <c:pt idx="43">
                  <c:v>122.027967427198</c:v>
                </c:pt>
                <c:pt idx="44">
                  <c:v>122.027967427198</c:v>
                </c:pt>
                <c:pt idx="45">
                  <c:v>113.153206159765</c:v>
                </c:pt>
                <c:pt idx="46">
                  <c:v>112.043861001336</c:v>
                </c:pt>
                <c:pt idx="47">
                  <c:v>114.262551318194</c:v>
                </c:pt>
                <c:pt idx="48">
                  <c:v>108.715825526049</c:v>
                </c:pt>
                <c:pt idx="49">
                  <c:v>164.183083447502</c:v>
                </c:pt>
                <c:pt idx="50">
                  <c:v>119.80927711034</c:v>
                </c:pt>
                <c:pt idx="51">
                  <c:v>116.481241635052</c:v>
                </c:pt>
                <c:pt idx="52">
                  <c:v>146.433560912637</c:v>
                </c:pt>
                <c:pt idx="53">
                  <c:v>118.699931951911</c:v>
                </c:pt>
                <c:pt idx="54">
                  <c:v>127.574693219343</c:v>
                </c:pt>
                <c:pt idx="55">
                  <c:v>108.715825526049</c:v>
                </c:pt>
                <c:pt idx="56">
                  <c:v>122.027967427198</c:v>
                </c:pt>
                <c:pt idx="57">
                  <c:v>104.278444892333</c:v>
                </c:pt>
                <c:pt idx="58">
                  <c:v>113.153206159765</c:v>
                </c:pt>
                <c:pt idx="59">
                  <c:v>117.590586793482</c:v>
                </c:pt>
                <c:pt idx="60">
                  <c:v>115.371896476623</c:v>
                </c:pt>
                <c:pt idx="61">
                  <c:v>105.387790050762</c:v>
                </c:pt>
                <c:pt idx="62">
                  <c:v>105.387790050762</c:v>
                </c:pt>
                <c:pt idx="63">
                  <c:v>112.043861001336</c:v>
                </c:pt>
                <c:pt idx="64">
                  <c:v>146.433560912637</c:v>
                </c:pt>
                <c:pt idx="65">
                  <c:v>115.371896476623</c:v>
                </c:pt>
                <c:pt idx="66">
                  <c:v>124.246657744056</c:v>
                </c:pt>
                <c:pt idx="67">
                  <c:v>148.652251229495</c:v>
                </c:pt>
                <c:pt idx="68">
                  <c:v>109.825170684478</c:v>
                </c:pt>
                <c:pt idx="69">
                  <c:v>110.934515842907</c:v>
                </c:pt>
                <c:pt idx="70">
                  <c:v>109.825170684478</c:v>
                </c:pt>
                <c:pt idx="71">
                  <c:v>108.715825526049</c:v>
                </c:pt>
                <c:pt idx="72">
                  <c:v>108.715825526049</c:v>
                </c:pt>
                <c:pt idx="73">
                  <c:v>108.715825526049</c:v>
                </c:pt>
                <c:pt idx="74">
                  <c:v>108.715825526049</c:v>
                </c:pt>
                <c:pt idx="75">
                  <c:v>119.80927711034</c:v>
                </c:pt>
                <c:pt idx="76">
                  <c:v>114.262551318194</c:v>
                </c:pt>
                <c:pt idx="77">
                  <c:v>113.153206159765</c:v>
                </c:pt>
                <c:pt idx="78">
                  <c:v>127.574693219343</c:v>
                </c:pt>
                <c:pt idx="79">
                  <c:v>112.043861001336</c:v>
                </c:pt>
                <c:pt idx="80">
                  <c:v>106.497135209191</c:v>
                </c:pt>
                <c:pt idx="81">
                  <c:v>109.825170684478</c:v>
                </c:pt>
                <c:pt idx="82">
                  <c:v>110.934515842907</c:v>
                </c:pt>
                <c:pt idx="83">
                  <c:v>114.262551318194</c:v>
                </c:pt>
                <c:pt idx="84">
                  <c:v>136.449454486776</c:v>
                </c:pt>
                <c:pt idx="85">
                  <c:v>185.260641457655</c:v>
                </c:pt>
                <c:pt idx="86">
                  <c:v>124.246657744056</c:v>
                </c:pt>
                <c:pt idx="87">
                  <c:v>148.652251229495</c:v>
                </c:pt>
                <c:pt idx="88">
                  <c:v>143.10552543735</c:v>
                </c:pt>
                <c:pt idx="89">
                  <c:v>157.527012496928</c:v>
                </c:pt>
                <c:pt idx="90">
                  <c:v>175.276535031793</c:v>
                </c:pt>
                <c:pt idx="91">
                  <c:v>229.634447794818</c:v>
                </c:pt>
                <c:pt idx="92">
                  <c:v>166.401773764361</c:v>
                </c:pt>
                <c:pt idx="93">
                  <c:v>120.918622268769</c:v>
                </c:pt>
                <c:pt idx="94">
                  <c:v>174.167189873364</c:v>
                </c:pt>
                <c:pt idx="95">
                  <c:v>288.429741191558</c:v>
                </c:pt>
                <c:pt idx="96">
                  <c:v>277.336289607268</c:v>
                </c:pt>
                <c:pt idx="97">
                  <c:v>363.865211964735</c:v>
                </c:pt>
                <c:pt idx="98">
                  <c:v>147.542906071066</c:v>
                </c:pt>
                <c:pt idx="99">
                  <c:v>157.527012496928</c:v>
                </c:pt>
                <c:pt idx="100">
                  <c:v>327.256821736576</c:v>
                </c:pt>
                <c:pt idx="101">
                  <c:v>144.214870595779</c:v>
                </c:pt>
                <c:pt idx="102">
                  <c:v>291.757776666846</c:v>
                </c:pt>
                <c:pt idx="103">
                  <c:v>126.465348060914</c:v>
                </c:pt>
                <c:pt idx="104">
                  <c:v>119.80927711034</c:v>
                </c:pt>
                <c:pt idx="105">
                  <c:v>283.992360557842</c:v>
                </c:pt>
                <c:pt idx="106">
                  <c:v>582.406208175262</c:v>
                </c:pt>
                <c:pt idx="107">
                  <c:v>137.558799645205</c:v>
                </c:pt>
                <c:pt idx="108">
                  <c:v>200.791473675662</c:v>
                </c:pt>
                <c:pt idx="109">
                  <c:v>502.533356768369</c:v>
                </c:pt>
                <c:pt idx="110">
                  <c:v>587.952933967407</c:v>
                </c:pt>
                <c:pt idx="111">
                  <c:v>500.314666451511</c:v>
                </c:pt>
                <c:pt idx="112">
                  <c:v>394.926876400749</c:v>
                </c:pt>
                <c:pt idx="113">
                  <c:v>558.000614689823</c:v>
                </c:pt>
                <c:pt idx="114">
                  <c:v>480.346453599788</c:v>
                </c:pt>
                <c:pt idx="115">
                  <c:v>343.896999113012</c:v>
                </c:pt>
                <c:pt idx="116">
                  <c:v>342.787653954583</c:v>
                </c:pt>
                <c:pt idx="117">
                  <c:v>342.787653954583</c:v>
                </c:pt>
                <c:pt idx="118">
                  <c:v>315.054024993856</c:v>
                </c:pt>
                <c:pt idx="119">
                  <c:v>558.000614689823</c:v>
                </c:pt>
                <c:pt idx="120">
                  <c:v>262.91480254769</c:v>
                </c:pt>
                <c:pt idx="121">
                  <c:v>487.002524550362</c:v>
                </c:pt>
                <c:pt idx="122">
                  <c:v>548.016508263961</c:v>
                </c:pt>
                <c:pt idx="123">
                  <c:v>274.00825413198</c:v>
                </c:pt>
                <c:pt idx="124">
                  <c:v>399.364257034465</c:v>
                </c:pt>
                <c:pt idx="125">
                  <c:v>390.489495767033</c:v>
                </c:pt>
                <c:pt idx="126">
                  <c:v>487.002524550362</c:v>
                </c:pt>
                <c:pt idx="127">
                  <c:v>261.805457389261</c:v>
                </c:pt>
                <c:pt idx="128">
                  <c:v>200.791473675662</c:v>
                </c:pt>
                <c:pt idx="129">
                  <c:v>177.495225348651</c:v>
                </c:pt>
                <c:pt idx="130">
                  <c:v>201.900818834091</c:v>
                </c:pt>
                <c:pt idx="131">
                  <c:v>290.648431508417</c:v>
                </c:pt>
                <c:pt idx="132">
                  <c:v>287.320396033129</c:v>
                </c:pt>
                <c:pt idx="133">
                  <c:v>199.682128517233</c:v>
                </c:pt>
                <c:pt idx="134">
                  <c:v>148.652251229495</c:v>
                </c:pt>
                <c:pt idx="135">
                  <c:v>332.803547528721</c:v>
                </c:pt>
                <c:pt idx="136">
                  <c:v>257.368076755544</c:v>
                </c:pt>
                <c:pt idx="137">
                  <c:v>166.401773764361</c:v>
                </c:pt>
                <c:pt idx="138">
                  <c:v>327.256821736576</c:v>
                </c:pt>
                <c:pt idx="139">
                  <c:v>222.978376844243</c:v>
                </c:pt>
                <c:pt idx="140">
                  <c:v>146.433560912637</c:v>
                </c:pt>
                <c:pt idx="141">
                  <c:v>139.777489962063</c:v>
                </c:pt>
                <c:pt idx="142">
                  <c:v>215.21296073524</c:v>
                </c:pt>
                <c:pt idx="143">
                  <c:v>210.775580101523</c:v>
                </c:pt>
                <c:pt idx="144">
                  <c:v>350.553070063586</c:v>
                </c:pt>
                <c:pt idx="145">
                  <c:v>380.505389341171</c:v>
                </c:pt>
                <c:pt idx="146">
                  <c:v>178.60457050708</c:v>
                </c:pt>
                <c:pt idx="147">
                  <c:v>138.668144803634</c:v>
                </c:pt>
                <c:pt idx="148">
                  <c:v>262.91480254769</c:v>
                </c:pt>
                <c:pt idx="149">
                  <c:v>442.628718213199</c:v>
                </c:pt>
                <c:pt idx="150">
                  <c:v>474.799727807642</c:v>
                </c:pt>
                <c:pt idx="151">
                  <c:v>580.187517858404</c:v>
                </c:pt>
                <c:pt idx="152">
                  <c:v>593.499659759553</c:v>
                </c:pt>
                <c:pt idx="153">
                  <c:v>465.92496654021</c:v>
                </c:pt>
                <c:pt idx="154">
                  <c:v>550.235198580819</c:v>
                </c:pt>
                <c:pt idx="155">
                  <c:v>511.408118035802</c:v>
                </c:pt>
                <c:pt idx="156">
                  <c:v>262.91480254769</c:v>
                </c:pt>
                <c:pt idx="157">
                  <c:v>309.507299201711</c:v>
                </c:pt>
                <c:pt idx="158">
                  <c:v>301.741883092707</c:v>
                </c:pt>
                <c:pt idx="159">
                  <c:v>258.477421913974</c:v>
                </c:pt>
                <c:pt idx="160">
                  <c:v>224.087722002672</c:v>
                </c:pt>
                <c:pt idx="161">
                  <c:v>317.272715310714</c:v>
                </c:pt>
                <c:pt idx="162">
                  <c:v>345.006344271441</c:v>
                </c:pt>
                <c:pt idx="163">
                  <c:v>579.078172699975</c:v>
                </c:pt>
                <c:pt idx="164">
                  <c:v>328.366166895005</c:v>
                </c:pt>
                <c:pt idx="165">
                  <c:v>186.369986616084</c:v>
                </c:pt>
                <c:pt idx="166">
                  <c:v>352.771760380445</c:v>
                </c:pt>
                <c:pt idx="167">
                  <c:v>357.209141014161</c:v>
                </c:pt>
                <c:pt idx="168">
                  <c:v>275.11759929041</c:v>
                </c:pt>
                <c:pt idx="169">
                  <c:v>196.354093041946</c:v>
                </c:pt>
                <c:pt idx="170">
                  <c:v>119.80927711034</c:v>
                </c:pt>
                <c:pt idx="171">
                  <c:v>224.087722002672</c:v>
                </c:pt>
                <c:pt idx="172">
                  <c:v>222.978376844243</c:v>
                </c:pt>
                <c:pt idx="173">
                  <c:v>317.272715310714</c:v>
                </c:pt>
                <c:pt idx="174">
                  <c:v>262.91480254769</c:v>
                </c:pt>
                <c:pt idx="175">
                  <c:v>262.91480254769</c:v>
                </c:pt>
                <c:pt idx="176">
                  <c:v>199.682128517233</c:v>
                </c:pt>
                <c:pt idx="177">
                  <c:v>211.884925259953</c:v>
                </c:pt>
                <c:pt idx="178">
                  <c:v>140.886835120492</c:v>
                </c:pt>
                <c:pt idx="179">
                  <c:v>262.91480254769</c:v>
                </c:pt>
                <c:pt idx="180">
                  <c:v>122.027967427198</c:v>
                </c:pt>
                <c:pt idx="181">
                  <c:v>147.542906071066</c:v>
                </c:pt>
                <c:pt idx="182">
                  <c:v>230.743792953247</c:v>
                </c:pt>
                <c:pt idx="183">
                  <c:v>356.099795855732</c:v>
                </c:pt>
                <c:pt idx="184">
                  <c:v>521.392224461663</c:v>
                </c:pt>
                <c:pt idx="185">
                  <c:v>457.050205272777</c:v>
                </c:pt>
                <c:pt idx="186">
                  <c:v>697.778104651886</c:v>
                </c:pt>
                <c:pt idx="187">
                  <c:v>585.734243650549</c:v>
                </c:pt>
                <c:pt idx="188">
                  <c:v>1622.97196678173</c:v>
                </c:pt>
                <c:pt idx="189">
                  <c:v>1693.97005692119</c:v>
                </c:pt>
                <c:pt idx="190">
                  <c:v>1619.64393130644</c:v>
                </c:pt>
                <c:pt idx="191">
                  <c:v>2462.74625171254</c:v>
                </c:pt>
                <c:pt idx="192">
                  <c:v>1051.65921019076</c:v>
                </c:pt>
                <c:pt idx="193">
                  <c:v>914.100410545554</c:v>
                </c:pt>
                <c:pt idx="194">
                  <c:v>1863.69986616084</c:v>
                </c:pt>
                <c:pt idx="195">
                  <c:v>1242.46657744056</c:v>
                </c:pt>
                <c:pt idx="196">
                  <c:v>1475.42906071066</c:v>
                </c:pt>
                <c:pt idx="197">
                  <c:v>2030.1016399252</c:v>
                </c:pt>
                <c:pt idx="198">
                  <c:v>7732.13575425062</c:v>
                </c:pt>
                <c:pt idx="199">
                  <c:v>2412.82571958323</c:v>
                </c:pt>
                <c:pt idx="200">
                  <c:v>1343.4169868576</c:v>
                </c:pt>
                <c:pt idx="201">
                  <c:v>2484.93315488112</c:v>
                </c:pt>
                <c:pt idx="202">
                  <c:v>1808.23260823939</c:v>
                </c:pt>
                <c:pt idx="203">
                  <c:v>2329.62483270105</c:v>
                </c:pt>
                <c:pt idx="204">
                  <c:v>2595.86767072403</c:v>
                </c:pt>
                <c:pt idx="205">
                  <c:v>8209.15417237512</c:v>
                </c:pt>
                <c:pt idx="206">
                  <c:v>3008.54406965964</c:v>
                </c:pt>
                <c:pt idx="207">
                  <c:v>1786.0457050708</c:v>
                </c:pt>
                <c:pt idx="208">
                  <c:v>1077.17414883463</c:v>
                </c:pt>
                <c:pt idx="209">
                  <c:v>895.24154285226</c:v>
                </c:pt>
                <c:pt idx="210">
                  <c:v>1175.90586793481</c:v>
                </c:pt>
                <c:pt idx="211">
                  <c:v>548.016508263961</c:v>
                </c:pt>
                <c:pt idx="212">
                  <c:v>611.249182294418</c:v>
                </c:pt>
                <c:pt idx="213">
                  <c:v>599.046385551698</c:v>
                </c:pt>
                <c:pt idx="214">
                  <c:v>529.157640570667</c:v>
                </c:pt>
                <c:pt idx="215">
                  <c:v>1008.39474901203</c:v>
                </c:pt>
                <c:pt idx="216">
                  <c:v>1874.79331774513</c:v>
                </c:pt>
                <c:pt idx="217">
                  <c:v>652.294953156294</c:v>
                </c:pt>
                <c:pt idx="218">
                  <c:v>658.951024106868</c:v>
                </c:pt>
                <c:pt idx="219">
                  <c:v>1198.0927711034</c:v>
                </c:pt>
                <c:pt idx="220">
                  <c:v>1497.61596387925</c:v>
                </c:pt>
                <c:pt idx="221">
                  <c:v>1930.26057566658</c:v>
                </c:pt>
                <c:pt idx="222">
                  <c:v>1763.85880190222</c:v>
                </c:pt>
                <c:pt idx="223">
                  <c:v>1184.78062920225</c:v>
                </c:pt>
                <c:pt idx="224">
                  <c:v>1066.08069725034</c:v>
                </c:pt>
                <c:pt idx="225">
                  <c:v>499.205321293082</c:v>
                </c:pt>
                <c:pt idx="226">
                  <c:v>663.388404740584</c:v>
                </c:pt>
                <c:pt idx="227">
                  <c:v>492.549250342507</c:v>
                </c:pt>
                <c:pt idx="228">
                  <c:v>305.069918567994</c:v>
                </c:pt>
                <c:pt idx="229">
                  <c:v>553.563234056106</c:v>
                </c:pt>
                <c:pt idx="230">
                  <c:v>389.380150608604</c:v>
                </c:pt>
                <c:pt idx="231">
                  <c:v>462.596931064923</c:v>
                </c:pt>
                <c:pt idx="232">
                  <c:v>338.350273320867</c:v>
                </c:pt>
                <c:pt idx="233">
                  <c:v>270.680218656693</c:v>
                </c:pt>
                <c:pt idx="234">
                  <c:v>181.932605982368</c:v>
                </c:pt>
                <c:pt idx="235">
                  <c:v>159.745702813786</c:v>
                </c:pt>
                <c:pt idx="236">
                  <c:v>268.461528339835</c:v>
                </c:pt>
                <c:pt idx="237">
                  <c:v>180.823260823939</c:v>
                </c:pt>
                <c:pt idx="238">
                  <c:v>359.427831331019</c:v>
                </c:pt>
                <c:pt idx="239">
                  <c:v>292.867121825275</c:v>
                </c:pt>
                <c:pt idx="240">
                  <c:v>122.027967427198</c:v>
                </c:pt>
                <c:pt idx="241">
                  <c:v>225.197067161101</c:v>
                </c:pt>
                <c:pt idx="242">
                  <c:v>402.692292509753</c:v>
                </c:pt>
                <c:pt idx="243">
                  <c:v>181.932605982368</c:v>
                </c:pt>
                <c:pt idx="244">
                  <c:v>366.083902281593</c:v>
                </c:pt>
                <c:pt idx="245">
                  <c:v>322.81944110286</c:v>
                </c:pt>
                <c:pt idx="246">
                  <c:v>335.022237845579</c:v>
                </c:pt>
                <c:pt idx="247">
                  <c:v>311.725989518569</c:v>
                </c:pt>
                <c:pt idx="248">
                  <c:v>368.302592598451</c:v>
                </c:pt>
                <c:pt idx="249">
                  <c:v>421.551160203047</c:v>
                </c:pt>
                <c:pt idx="250">
                  <c:v>308.397954043282</c:v>
                </c:pt>
                <c:pt idx="251">
                  <c:v>389.380150608604</c:v>
                </c:pt>
                <c:pt idx="252">
                  <c:v>302.851228251136</c:v>
                </c:pt>
                <c:pt idx="253">
                  <c:v>636.764120938287</c:v>
                </c:pt>
                <c:pt idx="254">
                  <c:v>671.153820849588</c:v>
                </c:pt>
                <c:pt idx="255">
                  <c:v>286.2110508747</c:v>
                </c:pt>
                <c:pt idx="256">
                  <c:v>620.123943561851</c:v>
                </c:pt>
                <c:pt idx="257">
                  <c:v>600.155730710127</c:v>
                </c:pt>
                <c:pt idx="258">
                  <c:v>2373.99863903821</c:v>
                </c:pt>
                <c:pt idx="259">
                  <c:v>1952.44747883516</c:v>
                </c:pt>
                <c:pt idx="260">
                  <c:v>1442.14870595779</c:v>
                </c:pt>
                <c:pt idx="261">
                  <c:v>665.607095057443</c:v>
                </c:pt>
                <c:pt idx="262">
                  <c:v>562.437995323539</c:v>
                </c:pt>
                <c:pt idx="263">
                  <c:v>513.62680835266</c:v>
                </c:pt>
                <c:pt idx="264">
                  <c:v>442.628718213199</c:v>
                </c:pt>
                <c:pt idx="265">
                  <c:v>809.821965653222</c:v>
                </c:pt>
                <c:pt idx="266">
                  <c:v>488.111869708791</c:v>
                </c:pt>
                <c:pt idx="267">
                  <c:v>345.006344271441</c:v>
                </c:pt>
                <c:pt idx="268">
                  <c:v>285.101705716271</c:v>
                </c:pt>
                <c:pt idx="269">
                  <c:v>478.127763282929</c:v>
                </c:pt>
                <c:pt idx="270">
                  <c:v>161.964393130644</c:v>
                </c:pt>
                <c:pt idx="271">
                  <c:v>552.453888897677</c:v>
                </c:pt>
                <c:pt idx="272">
                  <c:v>711.090246553034</c:v>
                </c:pt>
                <c:pt idx="273">
                  <c:v>921.865826654558</c:v>
                </c:pt>
                <c:pt idx="274">
                  <c:v>972.895703942295</c:v>
                </c:pt>
                <c:pt idx="275">
                  <c:v>704.43417560246</c:v>
                </c:pt>
                <c:pt idx="276">
                  <c:v>671.153820849588</c:v>
                </c:pt>
                <c:pt idx="277">
                  <c:v>553.563234056106</c:v>
                </c:pt>
                <c:pt idx="278">
                  <c:v>559.109959848252</c:v>
                </c:pt>
                <c:pt idx="279">
                  <c:v>425.988540836763</c:v>
                </c:pt>
                <c:pt idx="280">
                  <c:v>305.069918567994</c:v>
                </c:pt>
                <c:pt idx="281">
                  <c:v>297.304502458991</c:v>
                </c:pt>
                <c:pt idx="282">
                  <c:v>458.159550431206</c:v>
                </c:pt>
                <c:pt idx="283">
                  <c:v>281.773670240984</c:v>
                </c:pt>
                <c:pt idx="284">
                  <c:v>494.767940659366</c:v>
                </c:pt>
                <c:pt idx="285">
                  <c:v>482.565143916646</c:v>
                </c:pt>
                <c:pt idx="286">
                  <c:v>295.085812142133</c:v>
                </c:pt>
                <c:pt idx="287">
                  <c:v>549.12585342239</c:v>
                </c:pt>
                <c:pt idx="288">
                  <c:v>209.666234943094</c:v>
                </c:pt>
                <c:pt idx="289">
                  <c:v>400.473602192895</c:v>
                </c:pt>
                <c:pt idx="290">
                  <c:v>256.258731597115</c:v>
                </c:pt>
                <c:pt idx="291">
                  <c:v>341.678308796154</c:v>
                </c:pt>
                <c:pt idx="292">
                  <c:v>262.91480254769</c:v>
                </c:pt>
                <c:pt idx="293">
                  <c:v>906.334994436551</c:v>
                </c:pt>
                <c:pt idx="294">
                  <c:v>809.821965653222</c:v>
                </c:pt>
                <c:pt idx="295">
                  <c:v>823.134107554371</c:v>
                </c:pt>
                <c:pt idx="296">
                  <c:v>619.014598403421</c:v>
                </c:pt>
                <c:pt idx="297">
                  <c:v>508.080082560514</c:v>
                </c:pt>
                <c:pt idx="298">
                  <c:v>488.111869708791</c:v>
                </c:pt>
                <c:pt idx="299">
                  <c:v>277.336289607268</c:v>
                </c:pt>
                <c:pt idx="300">
                  <c:v>262.91480254769</c:v>
                </c:pt>
                <c:pt idx="301">
                  <c:v>342.787653954583</c:v>
                </c:pt>
                <c:pt idx="302">
                  <c:v>293.976466983704</c:v>
                </c:pt>
                <c:pt idx="303">
                  <c:v>404.910982826611</c:v>
                </c:pt>
                <c:pt idx="304">
                  <c:v>153.089631863212</c:v>
                </c:pt>
                <c:pt idx="305">
                  <c:v>331.694202370292</c:v>
                </c:pt>
                <c:pt idx="306">
                  <c:v>232.962483270105</c:v>
                </c:pt>
                <c:pt idx="307">
                  <c:v>316.163370152285</c:v>
                </c:pt>
                <c:pt idx="308">
                  <c:v>215.21296073524</c:v>
                </c:pt>
                <c:pt idx="309">
                  <c:v>268.461528339835</c:v>
                </c:pt>
                <c:pt idx="310">
                  <c:v>281.773670240984</c:v>
                </c:pt>
                <c:pt idx="311">
                  <c:v>403.801637668182</c:v>
                </c:pt>
                <c:pt idx="312">
                  <c:v>279.554979924126</c:v>
                </c:pt>
                <c:pt idx="313">
                  <c:v>274.00825413198</c:v>
                </c:pt>
                <c:pt idx="314">
                  <c:v>277.336289607268</c:v>
                </c:pt>
                <c:pt idx="315">
                  <c:v>391.598840925462</c:v>
                </c:pt>
                <c:pt idx="316">
                  <c:v>302.851228251136</c:v>
                </c:pt>
                <c:pt idx="317">
                  <c:v>150.870941546354</c:v>
                </c:pt>
                <c:pt idx="318">
                  <c:v>157.527012496928</c:v>
                </c:pt>
                <c:pt idx="319">
                  <c:v>222.978376844243</c:v>
                </c:pt>
                <c:pt idx="320">
                  <c:v>141.996180278921</c:v>
                </c:pt>
                <c:pt idx="321">
                  <c:v>169.729809239648</c:v>
                </c:pt>
                <c:pt idx="322">
                  <c:v>143.10552543735</c:v>
                </c:pt>
                <c:pt idx="323">
                  <c:v>129.793383536201</c:v>
                </c:pt>
                <c:pt idx="324">
                  <c:v>147.542906071066</c:v>
                </c:pt>
                <c:pt idx="325">
                  <c:v>269.570873498264</c:v>
                </c:pt>
                <c:pt idx="326">
                  <c:v>282.883015399413</c:v>
                </c:pt>
                <c:pt idx="327">
                  <c:v>282.883015399413</c:v>
                </c:pt>
                <c:pt idx="328">
                  <c:v>267.352183181406</c:v>
                </c:pt>
                <c:pt idx="329">
                  <c:v>300.632537934278</c:v>
                </c:pt>
                <c:pt idx="330">
                  <c:v>272.898908973551</c:v>
                </c:pt>
                <c:pt idx="331">
                  <c:v>236.290518745392</c:v>
                </c:pt>
                <c:pt idx="332">
                  <c:v>203.01016399252</c:v>
                </c:pt>
                <c:pt idx="333">
                  <c:v>149.761596387925</c:v>
                </c:pt>
                <c:pt idx="334">
                  <c:v>305.069918567994</c:v>
                </c:pt>
                <c:pt idx="335">
                  <c:v>177.495225348651</c:v>
                </c:pt>
                <c:pt idx="336">
                  <c:v>292.867121825275</c:v>
                </c:pt>
                <c:pt idx="337">
                  <c:v>187.479331774513</c:v>
                </c:pt>
                <c:pt idx="338">
                  <c:v>199.682128517233</c:v>
                </c:pt>
                <c:pt idx="339">
                  <c:v>171.948499556506</c:v>
                </c:pt>
                <c:pt idx="340">
                  <c:v>163.073738289073</c:v>
                </c:pt>
                <c:pt idx="341">
                  <c:v>129.793383536201</c:v>
                </c:pt>
                <c:pt idx="342">
                  <c:v>130.90272869463</c:v>
                </c:pt>
                <c:pt idx="343">
                  <c:v>130.90272869463</c:v>
                </c:pt>
                <c:pt idx="344">
                  <c:v>174.167189873364</c:v>
                </c:pt>
                <c:pt idx="345">
                  <c:v>173.057844714935</c:v>
                </c:pt>
                <c:pt idx="346">
                  <c:v>229.634447794818</c:v>
                </c:pt>
                <c:pt idx="347">
                  <c:v>483.674489075075</c:v>
                </c:pt>
                <c:pt idx="348">
                  <c:v>333.91289268715</c:v>
                </c:pt>
                <c:pt idx="349">
                  <c:v>320.600750786001</c:v>
                </c:pt>
                <c:pt idx="350">
                  <c:v>144.214870595779</c:v>
                </c:pt>
                <c:pt idx="351">
                  <c:v>145.324215754208</c:v>
                </c:pt>
                <c:pt idx="352">
                  <c:v>228.525102636389</c:v>
                </c:pt>
                <c:pt idx="353">
                  <c:v>157.527012496928</c:v>
                </c:pt>
                <c:pt idx="354">
                  <c:v>187.479331774513</c:v>
                </c:pt>
                <c:pt idx="355">
                  <c:v>137.558799645205</c:v>
                </c:pt>
                <c:pt idx="356">
                  <c:v>138.668144803634</c:v>
                </c:pt>
                <c:pt idx="357">
                  <c:v>141.996180278921</c:v>
                </c:pt>
                <c:pt idx="358">
                  <c:v>262.91480254769</c:v>
                </c:pt>
                <c:pt idx="359">
                  <c:v>262.91480254769</c:v>
                </c:pt>
                <c:pt idx="360">
                  <c:v>181.932605982368</c:v>
                </c:pt>
                <c:pt idx="361">
                  <c:v>165.292428605932</c:v>
                </c:pt>
                <c:pt idx="362">
                  <c:v>342.787653954583</c:v>
                </c:pt>
                <c:pt idx="363">
                  <c:v>237.399863903821</c:v>
                </c:pt>
                <c:pt idx="364">
                  <c:v>160.855047972215</c:v>
                </c:pt>
                <c:pt idx="365">
                  <c:v>249.602660646541</c:v>
                </c:pt>
              </c:numCache>
            </c:numRef>
          </c:val>
          <c:smooth val="0"/>
        </c:ser>
        <c:dLbls>
          <c:showLegendKey val="0"/>
          <c:showVal val="0"/>
          <c:showCatName val="0"/>
          <c:showSerName val="0"/>
          <c:showPercent val="0"/>
          <c:showBubbleSize val="0"/>
        </c:dLbls>
        <c:marker val="0"/>
        <c:smooth val="0"/>
        <c:axId val="907726388"/>
        <c:axId val="699987838"/>
      </c:lineChart>
      <c:dateAx>
        <c:axId val="236040227"/>
        <c:scaling>
          <c:orientation val="minMax"/>
        </c:scaling>
        <c:delete val="0"/>
        <c:axPos val="b"/>
        <c:numFmt formatCode="m&quot;月&quot;d&quot;日&quot;" sourceLinked="0"/>
        <c:majorTickMark val="out"/>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41193858"/>
        <c:crosses val="autoZero"/>
        <c:auto val="1"/>
        <c:lblOffset val="100"/>
        <c:baseTimeUnit val="days"/>
        <c:majorUnit val="1"/>
        <c:majorTimeUnit val="months"/>
        <c:minorUnit val="1"/>
        <c:minorTimeUnit val="months"/>
      </c:dateAx>
      <c:valAx>
        <c:axId val="841193858"/>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sz="1000" b="0" i="0" u="none" strike="noStrike" baseline="0">
                    <a:solidFill>
                      <a:srgbClr val="333333"/>
                    </a:solidFill>
                    <a:latin typeface="宋体" panose="02010600030101010101" charset="-122"/>
                    <a:ea typeface="宋体" panose="02010600030101010101" charset="-122"/>
                    <a:cs typeface="宋体" panose="02010600030101010101" charset="-122"/>
                  </a:rPr>
                  <a:t>水位</a:t>
                </a:r>
                <a:r>
                  <a:rPr lang="en-US" altLang="zh-CN" sz="1000" b="0" i="0" u="none" strike="noStrike" baseline="0">
                    <a:solidFill>
                      <a:srgbClr val="333333"/>
                    </a:solidFill>
                    <a:latin typeface="Calibri" panose="020F0502020204030204" pitchFamily="2" charset="0"/>
                    <a:ea typeface="Calibri" panose="020F0502020204030204" pitchFamily="2" charset="0"/>
                    <a:cs typeface="Calibri" panose="020F0502020204030204" pitchFamily="2" charset="0"/>
                  </a:rPr>
                  <a:t>m</a:t>
                </a:r>
                <a:endParaRPr lang="en-US" altLang="zh-CN"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overlay val="0"/>
          <c:spPr>
            <a:noFill/>
            <a:ln>
              <a:noFill/>
            </a:ln>
            <a:effectLst/>
          </c:spPr>
        </c:title>
        <c:numFmt formatCode="0.00_ " sourceLinked="1"/>
        <c:majorTickMark val="none"/>
        <c:minorTickMark val="none"/>
        <c:tickLblPos val="nextTo"/>
        <c:spPr>
          <a:noFill/>
          <a:ln w="12700" cap="flat" cmpd="sng" algn="ctr">
            <a:no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36040227"/>
        <c:crosses val="autoZero"/>
        <c:crossBetween val="between"/>
      </c:valAx>
      <c:dateAx>
        <c:axId val="907726388"/>
        <c:scaling>
          <c:orientation val="minMax"/>
        </c:scaling>
        <c:delete val="1"/>
        <c:axPos val="b"/>
        <c:numFmt formatCode="m&quot;月&quot;d&quot;日&quot;" sourceLinked="0"/>
        <c:majorTickMark val="none"/>
        <c:minorTickMark val="none"/>
        <c:tickLblPos val="nextTo"/>
        <c:txPr>
          <a:bodyPr rot="-60000000" spcFirstLastPara="0" vertOverflow="ellipsis" vert="horz" wrap="square" anchor="ctr" anchorCtr="1"/>
          <a:lstStyle/>
          <a:p>
            <a:pPr>
              <a:defRPr lang="zh-CN" sz="1000" b="0" i="0" u="none" strike="noStrike" kern="1200" baseline="0">
                <a:solidFill>
                  <a:srgbClr val="595959">
                    <a:alpha val="100000"/>
                  </a:srgbClr>
                </a:solidFill>
                <a:latin typeface="+mn-lt"/>
                <a:ea typeface="+mn-ea"/>
                <a:cs typeface="+mn-cs"/>
              </a:defRPr>
            </a:pPr>
          </a:p>
        </c:txPr>
        <c:crossAx val="699987838"/>
        <c:crosses val="autoZero"/>
        <c:auto val="1"/>
        <c:lblOffset val="100"/>
        <c:baseTimeUnit val="days"/>
        <c:majorUnit val="1"/>
        <c:majorTimeUnit val="months"/>
        <c:minorUnit val="1"/>
        <c:minorTimeUnit val="months"/>
      </c:dateAx>
      <c:valAx>
        <c:axId val="699987838"/>
        <c:scaling>
          <c:orientation val="minMax"/>
        </c:scaling>
        <c:delete val="0"/>
        <c:axPos val="r"/>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altLang="en-US" sz="1000" b="0" i="0" u="none" strike="noStrike" baseline="0">
                    <a:solidFill>
                      <a:srgbClr val="333333"/>
                    </a:solidFill>
                    <a:latin typeface="宋体" panose="02010600030101010101" charset="-122"/>
                    <a:ea typeface="宋体" panose="02010600030101010101" charset="-122"/>
                    <a:cs typeface="宋体" panose="02010600030101010101" charset="-122"/>
                  </a:rPr>
                  <a:t>流量</a:t>
                </a:r>
                <a:r>
                  <a:rPr lang="en-US" altLang="zh-CN" sz="1000" b="0" i="0" u="none" strike="noStrike" baseline="0">
                    <a:solidFill>
                      <a:srgbClr val="333333"/>
                    </a:solidFill>
                    <a:latin typeface="Calibri" panose="020F0502020204030204" pitchFamily="2" charset="0"/>
                    <a:ea typeface="Calibri" panose="020F0502020204030204" pitchFamily="2" charset="0"/>
                    <a:cs typeface="Calibri" panose="020F0502020204030204" pitchFamily="2" charset="0"/>
                  </a:rPr>
                  <a:t>m³/s</a:t>
                </a:r>
                <a:endParaRPr lang="en-US" altLang="zh-CN"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overlay val="0"/>
          <c:spPr>
            <a:noFill/>
            <a:ln>
              <a:noFill/>
            </a:ln>
            <a:effectLst/>
          </c:spPr>
        </c:title>
        <c:numFmt formatCode="0_ " sourceLinked="1"/>
        <c:majorTickMark val="none"/>
        <c:minorTickMark val="none"/>
        <c:tickLblPos val="nextTo"/>
        <c:spPr>
          <a:noFill/>
          <a:ln w="12700" cap="flat" cmpd="sng" algn="ctr">
            <a:no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07726388"/>
        <c:crosses val="max"/>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wrap="square"/>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FF0000"/>
        </a:solidFill>
        <a:ln>
          <a:solidFill>
            <a:srgbClr val="FF0000"/>
          </a:solid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3281CA7-A0CC-4531-9498-A2B4A77997DE}">
  <ds:schemaRefs/>
</ds:datastoreItem>
</file>

<file path=docProps/app.xml><?xml version="1.0" encoding="utf-8"?>
<Properties xmlns="http://schemas.openxmlformats.org/officeDocument/2006/extended-properties" xmlns:vt="http://schemas.openxmlformats.org/officeDocument/2006/docPropsVTypes">
  <Template>Normal</Template>
  <Company>CCCD</Company>
  <Pages>328</Pages>
  <Words>209309</Words>
  <Characters>236796</Characters>
  <Lines>13521</Lines>
  <Paragraphs>13891</Paragraphs>
  <TotalTime>2</TotalTime>
  <ScaleCrop>false</ScaleCrop>
  <LinksUpToDate>false</LinksUpToDate>
  <CharactersWithSpaces>238735</CharactersWithSpaces>
  <Application>WPS Office_11.8.2.12187_F1E327BC-269C-435d-A152-05C5408002CA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2022-06-15T08:42:00Z</dcterms:created>
  <dc:creator>yuanlvhui@126.com</dc:creator>
  <cp:lastModifiedBy>Administrator</cp:lastModifiedBy>
  <cp:lastPrinted>2022-03-11T11:34:00Z</cp:lastPrinted>
  <dcterms:modified xsi:type="dcterms:W3CDTF">2025-11-14T03:29:09Z</dcterms:modified>
  <dc:title>足203H4～H9六个平台地面集输工程</dc:title>
  <cp:revision>117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2052-11.8.2.12187</vt:lpwstr>
  </property>
  <property fmtid="{D5CDD505-2E9C-101B-9397-08002B2CF9AE}" pid="3" name="ICV">
    <vt:lpwstr>8A80E0C6FEAC48DB807B196E39A78063</vt:lpwstr>
  </property>
  <property fmtid="{D5CDD505-2E9C-101B-9397-08002B2CF9AE}" pid="4" name="KSOTemplateDocerSaveRecord">
    <vt:lpwstr>eyJoZGlkIjoiZDE0NmU2ZTQwNThlMzc2NTVjMjFmZDUzOTU1NDM2OTAiLCJ1c2VySWQiOiI3MjI3MzAxNjEifQ==</vt:lpwstr>
  </property>
  <property fmtid="{D5CDD505-2E9C-101B-9397-08002B2CF9AE}" pid="5" name="hmcheck_markmode">
    <vt:i4>0</vt:i4>
  </property>
  <property fmtid="{D5CDD505-2E9C-101B-9397-08002B2CF9AE}" pid="6" name="hmcheck_taskpanetype">
    <vt:i4>1</vt:i4>
  </property>
</Properties>
</file>